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20B6" w14:textId="77777777" w:rsidR="00F04F8B" w:rsidRPr="00A12F7E" w:rsidRDefault="00F04F8B" w:rsidP="00F04F8B">
      <w:pPr>
        <w:pStyle w:val="Heading1"/>
        <w:rPr>
          <w:color w:val="FFFFFF" w:themeColor="background1"/>
        </w:rPr>
      </w:pPr>
      <w:bookmarkStart w:id="0" w:name="ChapterNumber"/>
      <w:r>
        <w:rPr>
          <w:noProof/>
          <w:color w:val="FFFFFF" w:themeColor="background1"/>
        </w:rPr>
        <w:drawing>
          <wp:anchor distT="0" distB="0" distL="114300" distR="114300" simplePos="0" relativeHeight="251657216" behindDoc="0" locked="0" layoutInCell="1" allowOverlap="1" wp14:anchorId="0D652879" wp14:editId="1E16F5A9">
            <wp:simplePos x="0" y="0"/>
            <wp:positionH relativeFrom="page">
              <wp:align>center</wp:align>
            </wp:positionH>
            <wp:positionV relativeFrom="page">
              <wp:align>center</wp:align>
            </wp:positionV>
            <wp:extent cx="7558767" cy="10691998"/>
            <wp:effectExtent l="0" t="0" r="4445" b="0"/>
            <wp:wrapNone/>
            <wp:docPr id="1" name="Picture 1" descr="Cover of Supporting paper 12: An overview of innovation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rod-review-supporting-papers1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Pr="00A12F7E">
        <w:rPr>
          <w:color w:val="FFFFFF" w:themeColor="background1"/>
        </w:rPr>
        <w:t>An overview of innovation policy</w:t>
      </w:r>
    </w:p>
    <w:p w14:paraId="0D6520B7" w14:textId="77777777" w:rsidR="00F04F8B" w:rsidRDefault="00F04F8B" w:rsidP="00F04F8B">
      <w:pPr>
        <w:pStyle w:val="BodyText"/>
        <w:rPr>
          <w:rFonts w:ascii="Arial" w:hAnsi="Arial"/>
          <w:sz w:val="22"/>
          <w:szCs w:val="26"/>
        </w:rPr>
      </w:pPr>
      <w:r w:rsidRPr="00A12F7E">
        <w:rPr>
          <w:color w:val="FFFFFF" w:themeColor="background1"/>
        </w:rPr>
        <w:t>Shifting the Dial: 5 year Productivity Review — Supporting Paper No.15, Canberra, August 2017</w:t>
      </w:r>
      <w:r>
        <w:br w:type="page"/>
      </w:r>
      <w:bookmarkStart w:id="1" w:name="_GoBack"/>
      <w:bookmarkEnd w:id="1"/>
    </w:p>
    <w:p w14:paraId="0D6520B8" w14:textId="77777777" w:rsidR="00F04F8B" w:rsidRDefault="00F04F8B" w:rsidP="00F04F8B">
      <w:pPr>
        <w:pStyle w:val="Copyrightsubtitle"/>
        <w:spacing w:before="0"/>
      </w:pPr>
      <w:r>
        <w:lastRenderedPageBreak/>
        <w:fldChar w:fldCharType="begin"/>
      </w:r>
      <w:r>
        <w:instrText>SYMBOL 227 \f "Symbol"</w:instrText>
      </w:r>
      <w:r>
        <w:fldChar w:fldCharType="end"/>
      </w:r>
      <w:r>
        <w:t xml:space="preserve"> Commonwealth of Australia 2017</w:t>
      </w:r>
    </w:p>
    <w:p w14:paraId="0D6520B9" w14:textId="77777777" w:rsidR="00F04F8B" w:rsidRDefault="00F04F8B" w:rsidP="00F04F8B">
      <w:pPr>
        <w:pStyle w:val="BodyText"/>
        <w:tabs>
          <w:tab w:val="left" w:pos="851"/>
        </w:tabs>
        <w:spacing w:before="80" w:after="80"/>
        <w:jc w:val="left"/>
        <w:rPr>
          <w:b/>
        </w:rPr>
      </w:pPr>
      <w:r>
        <w:rPr>
          <w:b/>
        </w:rPr>
        <w:t>ISBN</w:t>
      </w:r>
      <w:r>
        <w:rPr>
          <w:b/>
        </w:rPr>
        <w:tab/>
      </w:r>
      <w:r w:rsidRPr="008A23D1">
        <w:rPr>
          <w:b/>
        </w:rPr>
        <w:t>978-1-74037-640-2</w:t>
      </w:r>
      <w:r>
        <w:rPr>
          <w:b/>
        </w:rPr>
        <w:t xml:space="preserve"> (PDF)</w:t>
      </w:r>
    </w:p>
    <w:p w14:paraId="0D6520BA" w14:textId="77777777" w:rsidR="00F04F8B" w:rsidRDefault="00F04F8B" w:rsidP="00F04F8B">
      <w:pPr>
        <w:pStyle w:val="BodyText"/>
        <w:spacing w:before="120" w:after="120"/>
      </w:pPr>
      <w:r>
        <w:rPr>
          <w:noProof/>
          <w:sz w:val="22"/>
          <w:szCs w:val="22"/>
        </w:rPr>
        <w:drawing>
          <wp:inline distT="0" distB="0" distL="0" distR="0" wp14:anchorId="0D65287B" wp14:editId="0D65287C">
            <wp:extent cx="843915" cy="293370"/>
            <wp:effectExtent l="0" t="0" r="0" b="0"/>
            <wp:docPr id="19" name="Picture 1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 BY licen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3915" cy="293370"/>
                    </a:xfrm>
                    <a:prstGeom prst="rect">
                      <a:avLst/>
                    </a:prstGeom>
                    <a:noFill/>
                    <a:ln>
                      <a:noFill/>
                    </a:ln>
                  </pic:spPr>
                </pic:pic>
              </a:graphicData>
            </a:graphic>
          </wp:inline>
        </w:drawing>
      </w:r>
    </w:p>
    <w:p w14:paraId="0D6520BB" w14:textId="77777777" w:rsidR="00F04F8B" w:rsidRDefault="00F04F8B" w:rsidP="00F04F8B">
      <w:pPr>
        <w:pStyle w:val="Copyrightbodytext"/>
      </w:pPr>
      <w:r>
        <w:t xml:space="preserve">Except for the Commonwealth Coat of Arms and content supplied by third parties, this copyright work is licensed under a Creative Commons Attribution 3.0 Australia licence. To view a copy of this licence, visit </w:t>
      </w:r>
      <w:r w:rsidRPr="00467BE2">
        <w:t>http://creativecommons.org/licenses/by/3.0/au</w:t>
      </w:r>
      <w:r>
        <w:rPr>
          <w:szCs w:val="24"/>
        </w:rPr>
        <w:t>.</w:t>
      </w:r>
      <w:r>
        <w:t xml:space="preserve"> In essence, you are free to copy, communicate and adapt the work, as long as you attribute the work to the Productivity Commission (but not in any way that suggests the Commission endorses you or your use) and abide by the other licence terms.</w:t>
      </w:r>
    </w:p>
    <w:p w14:paraId="0D6520BC" w14:textId="77777777" w:rsidR="00F04F8B" w:rsidRDefault="00F04F8B" w:rsidP="00F04F8B">
      <w:pPr>
        <w:pStyle w:val="Copyrightsubtitle"/>
        <w:spacing w:before="160"/>
      </w:pPr>
      <w:r>
        <w:t>Use of the Commonwealth Coat of Arms</w:t>
      </w:r>
    </w:p>
    <w:p w14:paraId="0D6520BD" w14:textId="77777777" w:rsidR="00F04F8B" w:rsidRDefault="00F04F8B" w:rsidP="00F04F8B">
      <w:pPr>
        <w:pStyle w:val="Copyrightbodytext"/>
      </w:pPr>
      <w:r>
        <w:t>For terms of use of the Coat of Arms visit the ‘</w:t>
      </w:r>
      <w:r w:rsidRPr="00467BE2">
        <w:t>It’s an Honour</w:t>
      </w:r>
      <w:r>
        <w:t xml:space="preserve">’ website: </w:t>
      </w:r>
      <w:r w:rsidRPr="00467BE2">
        <w:t>http://www.itsanhonour.gov.au</w:t>
      </w:r>
    </w:p>
    <w:p w14:paraId="0D6520BE" w14:textId="77777777" w:rsidR="00F04F8B" w:rsidRDefault="00F04F8B" w:rsidP="00F04F8B">
      <w:pPr>
        <w:pStyle w:val="Copyrightsubtitle"/>
        <w:spacing w:before="160"/>
      </w:pPr>
      <w:r>
        <w:t>Third party copyright</w:t>
      </w:r>
    </w:p>
    <w:p w14:paraId="0D6520BF" w14:textId="77777777" w:rsidR="00F04F8B" w:rsidRDefault="00F04F8B" w:rsidP="00F04F8B">
      <w:pPr>
        <w:pStyle w:val="Copyrightbodytext"/>
      </w:pPr>
      <w:r>
        <w:t>Wherever a third party holds copyright in this material, the copyright remains with that party. Their permission may be required to use the material, please contact them directly.</w:t>
      </w:r>
    </w:p>
    <w:p w14:paraId="0D6520C0" w14:textId="77777777" w:rsidR="00F04F8B" w:rsidRDefault="00F04F8B" w:rsidP="00F04F8B">
      <w:pPr>
        <w:pStyle w:val="Copyrightsubtitle"/>
        <w:spacing w:before="200"/>
      </w:pPr>
      <w:r>
        <w:t>Attribution</w:t>
      </w:r>
    </w:p>
    <w:p w14:paraId="0D6520C1" w14:textId="6C024072" w:rsidR="00F04F8B" w:rsidRPr="00B0510F" w:rsidRDefault="00F04F8B" w:rsidP="00F04F8B">
      <w:pPr>
        <w:pStyle w:val="Copyrightbodytext"/>
        <w:rPr>
          <w:spacing w:val="-2"/>
        </w:rPr>
      </w:pPr>
      <w:r w:rsidRPr="00B0510F">
        <w:rPr>
          <w:spacing w:val="-2"/>
        </w:rPr>
        <w:t xml:space="preserve">This work should be attributed as follows, </w:t>
      </w:r>
      <w:r w:rsidRPr="00B0510F">
        <w:rPr>
          <w:i/>
          <w:spacing w:val="-2"/>
        </w:rPr>
        <w:t>So</w:t>
      </w:r>
      <w:r w:rsidR="00B06523">
        <w:rPr>
          <w:i/>
          <w:spacing w:val="-2"/>
        </w:rPr>
        <w:t xml:space="preserve">urce: Productivity Commission, </w:t>
      </w:r>
      <w:r w:rsidRPr="00B0510F">
        <w:rPr>
          <w:i/>
          <w:spacing w:val="-2"/>
        </w:rPr>
        <w:t xml:space="preserve">An </w:t>
      </w:r>
      <w:r w:rsidR="00B06523" w:rsidRPr="00B0510F">
        <w:rPr>
          <w:i/>
          <w:spacing w:val="-2"/>
        </w:rPr>
        <w:t xml:space="preserve">Overview </w:t>
      </w:r>
      <w:r w:rsidRPr="00B0510F">
        <w:rPr>
          <w:i/>
          <w:spacing w:val="-2"/>
        </w:rPr>
        <w:t xml:space="preserve">of </w:t>
      </w:r>
      <w:r w:rsidR="00B06523">
        <w:rPr>
          <w:i/>
          <w:spacing w:val="-2"/>
        </w:rPr>
        <w:t>Innovation Policy</w:t>
      </w:r>
      <w:r w:rsidRPr="00B0510F">
        <w:rPr>
          <w:i/>
          <w:spacing w:val="-2"/>
        </w:rPr>
        <w:t>, Shifting the Dial: 5 year Productivity Review</w:t>
      </w:r>
      <w:r w:rsidR="00B06523">
        <w:rPr>
          <w:spacing w:val="-2"/>
        </w:rPr>
        <w:t xml:space="preserve">, </w:t>
      </w:r>
      <w:r w:rsidRPr="00B0510F">
        <w:rPr>
          <w:i/>
          <w:spacing w:val="-2"/>
        </w:rPr>
        <w:t xml:space="preserve">Supporting Paper No. </w:t>
      </w:r>
      <w:r w:rsidR="00C10E24" w:rsidRPr="00B0510F">
        <w:rPr>
          <w:i/>
          <w:spacing w:val="-2"/>
        </w:rPr>
        <w:t>1</w:t>
      </w:r>
      <w:r w:rsidR="00C10E24">
        <w:rPr>
          <w:i/>
          <w:spacing w:val="-2"/>
        </w:rPr>
        <w:t>2</w:t>
      </w:r>
      <w:r w:rsidRPr="00B0510F">
        <w:rPr>
          <w:i/>
          <w:spacing w:val="-2"/>
        </w:rPr>
        <w:t>.</w:t>
      </w:r>
    </w:p>
    <w:p w14:paraId="0D6520C2" w14:textId="06366AE9" w:rsidR="00F04F8B" w:rsidRPr="008A3857" w:rsidRDefault="00F04F8B" w:rsidP="00B0510F">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data,</w:t>
      </w:r>
      <w:r w:rsidRPr="00FA5F03">
        <w:rPr>
          <w:i/>
        </w:rPr>
        <w:t xml:space="preserve"> </w:t>
      </w:r>
      <w:r w:rsidRPr="003F2F8B">
        <w:rPr>
          <w:i/>
        </w:rPr>
        <w:t xml:space="preserve">An </w:t>
      </w:r>
      <w:r w:rsidR="00B06523" w:rsidRPr="003F2F8B">
        <w:rPr>
          <w:i/>
        </w:rPr>
        <w:t xml:space="preserve">Overview </w:t>
      </w:r>
      <w:r w:rsidRPr="003F2F8B">
        <w:rPr>
          <w:i/>
        </w:rPr>
        <w:t xml:space="preserve">of </w:t>
      </w:r>
      <w:r w:rsidR="00B06523" w:rsidRPr="003F2F8B">
        <w:rPr>
          <w:i/>
        </w:rPr>
        <w:t>Innovation Policy</w:t>
      </w:r>
      <w:r>
        <w:rPr>
          <w:i/>
        </w:rPr>
        <w:t>, Shifting the Dial: 5 year Productivity Review</w:t>
      </w:r>
      <w:r w:rsidR="00B06523">
        <w:rPr>
          <w:i/>
        </w:rPr>
        <w:t>,</w:t>
      </w:r>
      <w:r>
        <w:t xml:space="preserve"> </w:t>
      </w:r>
      <w:r>
        <w:rPr>
          <w:i/>
        </w:rPr>
        <w:t xml:space="preserve">Supporting Paper No. </w:t>
      </w:r>
      <w:r w:rsidR="00C10E24">
        <w:rPr>
          <w:i/>
        </w:rPr>
        <w:t>12</w:t>
      </w:r>
      <w:r>
        <w:rPr>
          <w:i/>
        </w:rPr>
        <w:t>.</w:t>
      </w:r>
    </w:p>
    <w:p w14:paraId="0D6520C3" w14:textId="77777777" w:rsidR="00F04F8B" w:rsidRDefault="00F04F8B" w:rsidP="00F04F8B">
      <w:pPr>
        <w:pStyle w:val="Copyrightsubtitle"/>
        <w:spacing w:before="160"/>
      </w:pPr>
      <w:r>
        <w:t>An appropriate reference for this publication is:</w:t>
      </w:r>
    </w:p>
    <w:p w14:paraId="0D6520C4" w14:textId="4FA14CBF" w:rsidR="00F04F8B" w:rsidRDefault="00F04F8B" w:rsidP="00F04F8B">
      <w:pPr>
        <w:pStyle w:val="Copyrightbodytext"/>
        <w:rPr>
          <w:b/>
        </w:rPr>
      </w:pPr>
      <w:r>
        <w:t xml:space="preserve">Productivity Commission 2017, </w:t>
      </w:r>
      <w:r w:rsidRPr="003F2F8B">
        <w:rPr>
          <w:i/>
        </w:rPr>
        <w:t xml:space="preserve">An </w:t>
      </w:r>
      <w:r w:rsidR="00B06523" w:rsidRPr="003F2F8B">
        <w:rPr>
          <w:i/>
        </w:rPr>
        <w:t xml:space="preserve">Overview </w:t>
      </w:r>
      <w:r w:rsidRPr="003F2F8B">
        <w:rPr>
          <w:i/>
        </w:rPr>
        <w:t xml:space="preserve">of </w:t>
      </w:r>
      <w:r w:rsidR="00B06523" w:rsidRPr="003F2F8B">
        <w:rPr>
          <w:i/>
        </w:rPr>
        <w:t>Innovation P</w:t>
      </w:r>
      <w:r w:rsidRPr="003F2F8B">
        <w:rPr>
          <w:i/>
        </w:rPr>
        <w:t>olicy</w:t>
      </w:r>
      <w:r>
        <w:rPr>
          <w:i/>
        </w:rPr>
        <w:t xml:space="preserve">, </w:t>
      </w:r>
      <w:r>
        <w:t xml:space="preserve">Shifting the Dial: 5 year </w:t>
      </w:r>
      <w:r w:rsidRPr="00713D24">
        <w:t>Productivity Review</w:t>
      </w:r>
      <w:r w:rsidR="00B06523">
        <w:t xml:space="preserve">, </w:t>
      </w:r>
      <w:r w:rsidRPr="00713D24">
        <w:t xml:space="preserve">Supporting Paper No. </w:t>
      </w:r>
      <w:r w:rsidR="00C10E24">
        <w:t>12</w:t>
      </w:r>
      <w:r w:rsidRPr="00713D24">
        <w:t>, Canberra.</w:t>
      </w:r>
    </w:p>
    <w:p w14:paraId="0D6520C5" w14:textId="77777777" w:rsidR="00F04F8B" w:rsidRDefault="00F04F8B" w:rsidP="00F04F8B">
      <w:pPr>
        <w:pStyle w:val="Copyrightsubtitle"/>
        <w:spacing w:before="160"/>
      </w:pPr>
      <w:r>
        <w:t>Publications enquiries</w:t>
      </w:r>
    </w:p>
    <w:p w14:paraId="0D6520C6" w14:textId="77777777" w:rsidR="00F04F8B" w:rsidRDefault="00F04F8B" w:rsidP="00F04F8B">
      <w:pPr>
        <w:pStyle w:val="Copyrightbodytext"/>
        <w:rPr>
          <w:szCs w:val="24"/>
        </w:rPr>
      </w:pPr>
      <w:r>
        <w:t xml:space="preserve">Media and Publications, </w:t>
      </w:r>
      <w:r>
        <w:rPr>
          <w:szCs w:val="24"/>
        </w:rPr>
        <w:t xml:space="preserve">phone: (03) 9653 2244 or email: </w:t>
      </w:r>
      <w:r w:rsidRPr="00467BE2">
        <w:rPr>
          <w:szCs w:val="24"/>
        </w:rPr>
        <w:t>maps@pc.gov.au</w:t>
      </w:r>
    </w:p>
    <w:p w14:paraId="0D6520C7" w14:textId="77777777" w:rsidR="00F04F8B" w:rsidRDefault="00F04F8B" w:rsidP="00F04F8B">
      <w:pPr>
        <w:pStyle w:val="BoxSpaceAbove"/>
        <w:spacing w:before="80"/>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Description w:val="Table used for design layout."/>
      </w:tblPr>
      <w:tblGrid>
        <w:gridCol w:w="8771"/>
      </w:tblGrid>
      <w:tr w:rsidR="00F04F8B" w14:paraId="0D6520C9" w14:textId="77777777" w:rsidTr="004637B7">
        <w:tc>
          <w:tcPr>
            <w:tcW w:w="8771" w:type="dxa"/>
            <w:tcBorders>
              <w:top w:val="single" w:sz="6" w:space="0" w:color="78A22F"/>
              <w:left w:val="nil"/>
              <w:bottom w:val="nil"/>
              <w:right w:val="nil"/>
            </w:tcBorders>
            <w:shd w:val="clear" w:color="auto" w:fill="F2F2F2" w:themeFill="background1" w:themeFillShade="F2"/>
            <w:hideMark/>
          </w:tcPr>
          <w:p w14:paraId="0D6520C8" w14:textId="77777777" w:rsidR="00F04F8B" w:rsidRDefault="00F04F8B" w:rsidP="00AC0DF5">
            <w:pPr>
              <w:pStyle w:val="BoxTitle"/>
              <w:rPr>
                <w:sz w:val="22"/>
                <w:szCs w:val="22"/>
                <w:lang w:eastAsia="en-US"/>
              </w:rPr>
            </w:pPr>
            <w:r>
              <w:rPr>
                <w:sz w:val="22"/>
                <w:szCs w:val="22"/>
                <w:lang w:eastAsia="en-US"/>
              </w:rPr>
              <w:t>The Productivity Commission</w:t>
            </w:r>
          </w:p>
        </w:tc>
      </w:tr>
      <w:tr w:rsidR="00F04F8B" w14:paraId="0D6520CD" w14:textId="77777777" w:rsidTr="004637B7">
        <w:tc>
          <w:tcPr>
            <w:tcW w:w="8771" w:type="dxa"/>
            <w:tcBorders>
              <w:top w:val="nil"/>
              <w:left w:val="nil"/>
              <w:bottom w:val="nil"/>
              <w:right w:val="nil"/>
            </w:tcBorders>
            <w:shd w:val="clear" w:color="auto" w:fill="F2F2F2" w:themeFill="background1" w:themeFillShade="F2"/>
            <w:hideMark/>
          </w:tcPr>
          <w:p w14:paraId="0D6520CA" w14:textId="77777777" w:rsidR="00F04F8B" w:rsidRDefault="00F04F8B" w:rsidP="00AC0DF5">
            <w:pPr>
              <w:pStyle w:val="Box"/>
              <w:spacing w:before="60"/>
              <w:rPr>
                <w:lang w:eastAsia="en-US"/>
              </w:rPr>
            </w:pPr>
            <w:r>
              <w:rPr>
                <w:lang w:eastAsia="en-US"/>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474135">
              <w:rPr>
                <w:lang w:eastAsia="en-US"/>
              </w:rPr>
              <w:noBreakHyphen/>
            </w:r>
            <w:r>
              <w:rPr>
                <w:lang w:eastAsia="en-US"/>
              </w:rPr>
              <w:t>term interest of the Australian community.</w:t>
            </w:r>
          </w:p>
          <w:p w14:paraId="0D6520CB" w14:textId="77777777" w:rsidR="00F04F8B" w:rsidRDefault="00F04F8B" w:rsidP="00AC0DF5">
            <w:pPr>
              <w:pStyle w:val="Box"/>
              <w:spacing w:before="60"/>
              <w:rPr>
                <w:lang w:eastAsia="en-US"/>
              </w:rPr>
            </w:pPr>
            <w:r>
              <w:rPr>
                <w:lang w:eastAsia="en-US"/>
              </w:rPr>
              <w:t>The Commission’s independence is underpinned by an Act of Parliament. Its processes and outputs are open to public scrutiny and are driven by concern for the wellbeing of the community as a whole.</w:t>
            </w:r>
          </w:p>
          <w:p w14:paraId="0D6520CC" w14:textId="77777777" w:rsidR="00F04F8B" w:rsidRDefault="00F04F8B" w:rsidP="00AC0DF5">
            <w:pPr>
              <w:pStyle w:val="Box"/>
              <w:spacing w:before="60"/>
              <w:rPr>
                <w:lang w:eastAsia="en-US"/>
              </w:rPr>
            </w:pPr>
            <w:r>
              <w:rPr>
                <w:szCs w:val="24"/>
                <w:lang w:eastAsia="en-US"/>
              </w:rPr>
              <w:t>Further information on the Productivity Commission can be obtained from the Commission’s website (</w:t>
            </w:r>
            <w:r w:rsidRPr="00467BE2">
              <w:rPr>
                <w:lang w:eastAsia="en-US"/>
              </w:rPr>
              <w:t>www.pc.gov.au</w:t>
            </w:r>
            <w:r>
              <w:rPr>
                <w:szCs w:val="24"/>
                <w:lang w:eastAsia="en-US"/>
              </w:rPr>
              <w:t>).</w:t>
            </w:r>
          </w:p>
        </w:tc>
      </w:tr>
      <w:tr w:rsidR="00F04F8B" w14:paraId="0D6520CF" w14:textId="77777777" w:rsidTr="004637B7">
        <w:tc>
          <w:tcPr>
            <w:tcW w:w="8771" w:type="dxa"/>
            <w:tcBorders>
              <w:top w:val="nil"/>
              <w:left w:val="nil"/>
              <w:bottom w:val="single" w:sz="6" w:space="0" w:color="78A22F"/>
              <w:right w:val="nil"/>
            </w:tcBorders>
            <w:shd w:val="clear" w:color="auto" w:fill="F2F2F2" w:themeFill="background1" w:themeFillShade="F2"/>
          </w:tcPr>
          <w:p w14:paraId="0D6520CE" w14:textId="77777777" w:rsidR="00F04F8B" w:rsidRDefault="00F04F8B" w:rsidP="00AC0DF5">
            <w:pPr>
              <w:pStyle w:val="Box"/>
              <w:spacing w:before="0" w:line="120" w:lineRule="exact"/>
              <w:rPr>
                <w:lang w:eastAsia="en-US"/>
              </w:rPr>
            </w:pPr>
          </w:p>
        </w:tc>
      </w:tr>
    </w:tbl>
    <w:p w14:paraId="0D6520D0" w14:textId="77777777" w:rsidR="00F04F8B" w:rsidRDefault="00F04F8B" w:rsidP="00F04F8B">
      <w:pPr>
        <w:pStyle w:val="Copyrightbodytext"/>
        <w:spacing w:before="0"/>
      </w:pPr>
    </w:p>
    <w:p w14:paraId="0D6520D1" w14:textId="77777777" w:rsidR="00F04F8B" w:rsidRDefault="00F04F8B" w:rsidP="008332F3">
      <w:pPr>
        <w:pStyle w:val="BodyText"/>
        <w:jc w:val="center"/>
        <w:sectPr w:rsidR="00F04F8B" w:rsidSect="00C45275">
          <w:footerReference w:type="even" r:id="rId16"/>
          <w:footerReference w:type="default" r:id="rId17"/>
          <w:pgSz w:w="11907" w:h="16840" w:code="9"/>
          <w:pgMar w:top="1985" w:right="1304" w:bottom="1247" w:left="1814" w:header="1701" w:footer="397" w:gutter="0"/>
          <w:pgNumType w:start="3" w:chapSep="period"/>
          <w:cols w:space="720"/>
        </w:sectPr>
      </w:pPr>
    </w:p>
    <w:p w14:paraId="0D6520D2" w14:textId="77777777" w:rsidR="008332F3" w:rsidRPr="008206EE" w:rsidRDefault="008332F3" w:rsidP="008332F3">
      <w:pPr>
        <w:pStyle w:val="Heading1NotTOC"/>
      </w:pPr>
      <w:r w:rsidRPr="00B153C3">
        <w:lastRenderedPageBreak/>
        <w:t>Contents</w:t>
      </w:r>
      <w:bookmarkStart w:id="2" w:name="InsertContents"/>
      <w:bookmarkEnd w:id="2"/>
    </w:p>
    <w:p w14:paraId="0D6520D3" w14:textId="77777777" w:rsidR="00B0510F" w:rsidRDefault="00B0510F" w:rsidP="00B0510F">
      <w:pPr>
        <w:pStyle w:val="TOC1"/>
        <w:rPr>
          <w:noProof/>
        </w:rPr>
      </w:pPr>
      <w:r>
        <w:rPr>
          <w:noProof/>
        </w:rPr>
        <w:t>Abbreviations</w:t>
      </w:r>
      <w:r>
        <w:rPr>
          <w:noProof/>
        </w:rPr>
        <w:tab/>
        <w:t>ii</w:t>
      </w:r>
    </w:p>
    <w:p w14:paraId="0D6520D4" w14:textId="77777777" w:rsidR="00B0510F" w:rsidRDefault="00B0510F" w:rsidP="00B0510F">
      <w:pPr>
        <w:pStyle w:val="TOC1"/>
        <w:spacing w:before="360"/>
        <w:rPr>
          <w:rFonts w:eastAsiaTheme="minorEastAsia"/>
        </w:rPr>
      </w:pPr>
      <w:r>
        <w:rPr>
          <w:rFonts w:eastAsiaTheme="minorEastAsia"/>
        </w:rPr>
        <w:t>Key Points</w:t>
      </w:r>
      <w:r>
        <w:rPr>
          <w:rFonts w:eastAsiaTheme="minorEastAsia"/>
        </w:rPr>
        <w:tab/>
        <w:t>iv</w:t>
      </w:r>
    </w:p>
    <w:p w14:paraId="0D6520D5" w14:textId="77777777" w:rsidR="00B0510F" w:rsidRPr="004637B7" w:rsidRDefault="00B0510F" w:rsidP="00B0510F">
      <w:pPr>
        <w:pStyle w:val="TOC1"/>
        <w:spacing w:before="360"/>
        <w:rPr>
          <w:rFonts w:eastAsiaTheme="minorEastAsia"/>
        </w:rPr>
      </w:pPr>
      <w:r>
        <w:rPr>
          <w:rFonts w:eastAsiaTheme="minorEastAsia"/>
        </w:rPr>
        <w:t>An overview of innovation policy</w:t>
      </w:r>
      <w:r>
        <w:rPr>
          <w:rFonts w:eastAsiaTheme="minorEastAsia"/>
        </w:rPr>
        <w:tab/>
        <w:t>1</w:t>
      </w:r>
    </w:p>
    <w:p w14:paraId="0D6520D6" w14:textId="77777777" w:rsidR="00B0510F" w:rsidRDefault="00B0510F" w:rsidP="00B0510F">
      <w:pPr>
        <w:pStyle w:val="TOC2"/>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The Australian government’s innovation policy</w:t>
      </w:r>
      <w:r>
        <w:rPr>
          <w:noProof/>
        </w:rPr>
        <w:tab/>
        <w:t>2</w:t>
      </w:r>
    </w:p>
    <w:p w14:paraId="0D6520D7" w14:textId="77777777" w:rsidR="00B0510F" w:rsidRDefault="00B0510F" w:rsidP="00B0510F">
      <w:pPr>
        <w:pStyle w:val="TOC2"/>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Supporting policies</w:t>
      </w:r>
      <w:r>
        <w:rPr>
          <w:noProof/>
        </w:rPr>
        <w:tab/>
        <w:t>14</w:t>
      </w:r>
    </w:p>
    <w:p w14:paraId="0D6520D8" w14:textId="77777777" w:rsidR="00B0510F" w:rsidRDefault="00B0510F" w:rsidP="00B0510F">
      <w:pPr>
        <w:pStyle w:val="TOC2"/>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Data</w:t>
      </w:r>
      <w:r>
        <w:rPr>
          <w:noProof/>
        </w:rPr>
        <w:tab/>
        <w:t>19</w:t>
      </w:r>
    </w:p>
    <w:p w14:paraId="0D6520D9" w14:textId="77777777" w:rsidR="00B0510F" w:rsidRDefault="00B0510F" w:rsidP="00B0510F">
      <w:pPr>
        <w:pStyle w:val="TOC2"/>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Some relevant statistics</w:t>
      </w:r>
      <w:r>
        <w:rPr>
          <w:noProof/>
        </w:rPr>
        <w:tab/>
        <w:t>20</w:t>
      </w:r>
    </w:p>
    <w:p w14:paraId="0D6520DA" w14:textId="77777777" w:rsidR="00B0510F" w:rsidRDefault="00B0510F" w:rsidP="00B0510F">
      <w:pPr>
        <w:pStyle w:val="TOC2"/>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Selected studies</w:t>
      </w:r>
      <w:r>
        <w:rPr>
          <w:noProof/>
        </w:rPr>
        <w:tab/>
        <w:t>22</w:t>
      </w:r>
    </w:p>
    <w:p w14:paraId="0D6520DB" w14:textId="77777777" w:rsidR="00B0510F" w:rsidRDefault="00B0510F" w:rsidP="00B0510F">
      <w:pPr>
        <w:pStyle w:val="TOC2"/>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Some key policy issues</w:t>
      </w:r>
      <w:r>
        <w:rPr>
          <w:noProof/>
        </w:rPr>
        <w:tab/>
        <w:t>24</w:t>
      </w:r>
    </w:p>
    <w:p w14:paraId="0D6520DC" w14:textId="77777777" w:rsidR="00B0510F" w:rsidRDefault="00B0510F" w:rsidP="00B0510F">
      <w:pPr>
        <w:pStyle w:val="TOC2"/>
        <w:rPr>
          <w:rFonts w:asciiTheme="minorHAnsi" w:eastAsiaTheme="minorEastAsia" w:hAnsiTheme="minorHAnsi" w:cstheme="minorBidi"/>
          <w:b/>
          <w:noProof/>
          <w:sz w:val="22"/>
          <w:szCs w:val="22"/>
          <w:lang w:eastAsia="en-AU"/>
        </w:rPr>
      </w:pPr>
      <w:r>
        <w:rPr>
          <w:noProof/>
        </w:rPr>
        <w:t>A</w:t>
      </w:r>
      <w:r>
        <w:rPr>
          <w:rFonts w:asciiTheme="minorHAnsi" w:eastAsiaTheme="minorEastAsia" w:hAnsiTheme="minorHAnsi" w:cstheme="minorBidi"/>
          <w:noProof/>
          <w:sz w:val="22"/>
          <w:szCs w:val="22"/>
          <w:lang w:eastAsia="en-AU"/>
        </w:rPr>
        <w:tab/>
      </w:r>
      <w:r>
        <w:rPr>
          <w:noProof/>
        </w:rPr>
        <w:t>Research institutions</w:t>
      </w:r>
      <w:r>
        <w:rPr>
          <w:noProof/>
        </w:rPr>
        <w:tab/>
        <w:t>27</w:t>
      </w:r>
    </w:p>
    <w:p w14:paraId="0D6520DD" w14:textId="77777777" w:rsidR="00B0510F" w:rsidRDefault="00B0510F" w:rsidP="00B0510F">
      <w:pPr>
        <w:pStyle w:val="TOC2"/>
        <w:rPr>
          <w:rFonts w:asciiTheme="minorHAnsi" w:eastAsiaTheme="minorEastAsia" w:hAnsiTheme="minorHAnsi" w:cstheme="minorBidi"/>
          <w:b/>
          <w:noProof/>
          <w:sz w:val="22"/>
          <w:szCs w:val="22"/>
          <w:lang w:eastAsia="en-AU"/>
        </w:rPr>
      </w:pPr>
      <w:r>
        <w:rPr>
          <w:noProof/>
        </w:rPr>
        <w:t>B</w:t>
      </w:r>
      <w:r>
        <w:rPr>
          <w:rFonts w:asciiTheme="minorHAnsi" w:eastAsiaTheme="minorEastAsia" w:hAnsiTheme="minorHAnsi" w:cstheme="minorBidi"/>
          <w:noProof/>
          <w:sz w:val="22"/>
          <w:szCs w:val="22"/>
          <w:lang w:eastAsia="en-AU"/>
        </w:rPr>
        <w:tab/>
      </w:r>
      <w:r>
        <w:rPr>
          <w:noProof/>
        </w:rPr>
        <w:t>Innovation programmes</w:t>
      </w:r>
      <w:r>
        <w:rPr>
          <w:noProof/>
        </w:rPr>
        <w:tab/>
        <w:t>33</w:t>
      </w:r>
    </w:p>
    <w:p w14:paraId="0D6520DE" w14:textId="77777777" w:rsidR="004775C9" w:rsidRDefault="00B0510F" w:rsidP="00B0510F">
      <w:pPr>
        <w:pStyle w:val="TOC1"/>
        <w:spacing w:before="360"/>
      </w:pPr>
      <w:r>
        <w:rPr>
          <w:noProof/>
        </w:rPr>
        <w:t>References</w:t>
      </w:r>
      <w:r>
        <w:rPr>
          <w:noProof/>
        </w:rPr>
        <w:tab/>
        <w:t>37</w:t>
      </w:r>
    </w:p>
    <w:p w14:paraId="0D6520DF" w14:textId="77777777" w:rsidR="004775C9" w:rsidRDefault="004775C9">
      <w:pPr>
        <w:rPr>
          <w:szCs w:val="20"/>
        </w:rPr>
      </w:pPr>
      <w:r>
        <w:br w:type="page"/>
      </w:r>
    </w:p>
    <w:p w14:paraId="0D6520E0" w14:textId="77777777" w:rsidR="008332F3" w:rsidRDefault="008332F3" w:rsidP="008332F3">
      <w:pPr>
        <w:pStyle w:val="Heading1"/>
      </w:pPr>
      <w:bookmarkStart w:id="3" w:name="Abbreviations"/>
      <w:bookmarkStart w:id="4" w:name="RDnote"/>
      <w:bookmarkStart w:id="5" w:name="EndContents"/>
      <w:bookmarkStart w:id="6" w:name="_Toc488850403"/>
      <w:bookmarkEnd w:id="3"/>
      <w:bookmarkEnd w:id="4"/>
      <w:bookmarkEnd w:id="5"/>
      <w:r>
        <w:lastRenderedPageBreak/>
        <w:t>Abbreviations</w:t>
      </w:r>
      <w:bookmarkEnd w:id="6"/>
    </w:p>
    <w:p w14:paraId="0D6520E1" w14:textId="77777777" w:rsidR="008332F3" w:rsidRDefault="008332F3" w:rsidP="008332F3">
      <w:pPr>
        <w:pStyle w:val="Heading2NotTOC"/>
      </w:pPr>
      <w:r>
        <w:t>Abbrevia</w:t>
      </w:r>
      <w:r w:rsidRPr="00F85393">
        <w:t>t</w:t>
      </w:r>
      <w:r>
        <w:t>ions</w:t>
      </w:r>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573BCD" w14:paraId="785B3B57" w14:textId="77777777" w:rsidTr="00B95E4F">
        <w:tc>
          <w:tcPr>
            <w:tcW w:w="2410" w:type="dxa"/>
            <w:vAlign w:val="center"/>
          </w:tcPr>
          <w:p w14:paraId="440459CD" w14:textId="723313FB" w:rsidR="00573BCD" w:rsidRPr="006C16D4" w:rsidRDefault="00573BCD" w:rsidP="006C16D4">
            <w:pPr>
              <w:pStyle w:val="BodyText"/>
            </w:pPr>
            <w:r>
              <w:t>ABN</w:t>
            </w:r>
          </w:p>
        </w:tc>
        <w:tc>
          <w:tcPr>
            <w:tcW w:w="6379" w:type="dxa"/>
            <w:vAlign w:val="center"/>
          </w:tcPr>
          <w:p w14:paraId="75F5F8EB" w14:textId="30272431" w:rsidR="00573BCD" w:rsidRPr="006C16D4" w:rsidRDefault="00573BCD" w:rsidP="006C16D4">
            <w:pPr>
              <w:pStyle w:val="BodyText"/>
            </w:pPr>
            <w:r>
              <w:t>Australian Business Number</w:t>
            </w:r>
          </w:p>
        </w:tc>
      </w:tr>
      <w:tr w:rsidR="008123DA" w14:paraId="0D6520E4" w14:textId="77777777" w:rsidTr="00B95E4F">
        <w:tc>
          <w:tcPr>
            <w:tcW w:w="2410" w:type="dxa"/>
            <w:vAlign w:val="center"/>
          </w:tcPr>
          <w:p w14:paraId="0D6520E2" w14:textId="77777777" w:rsidR="008123DA" w:rsidRPr="006C16D4" w:rsidRDefault="008123DA" w:rsidP="006C16D4">
            <w:pPr>
              <w:pStyle w:val="BodyText"/>
            </w:pPr>
            <w:r w:rsidRPr="006C16D4">
              <w:t>ABS</w:t>
            </w:r>
          </w:p>
        </w:tc>
        <w:tc>
          <w:tcPr>
            <w:tcW w:w="6379" w:type="dxa"/>
            <w:vAlign w:val="center"/>
          </w:tcPr>
          <w:p w14:paraId="0D6520E3" w14:textId="77777777" w:rsidR="008123DA" w:rsidRPr="006C16D4" w:rsidRDefault="00C45275" w:rsidP="006C16D4">
            <w:pPr>
              <w:pStyle w:val="BodyText"/>
            </w:pPr>
            <w:r w:rsidRPr="006C16D4">
              <w:t>Australian Bureau of Statistics</w:t>
            </w:r>
          </w:p>
        </w:tc>
      </w:tr>
      <w:tr w:rsidR="008123DA" w14:paraId="0D6520E7" w14:textId="77777777" w:rsidTr="00B95E4F">
        <w:tc>
          <w:tcPr>
            <w:tcW w:w="2410" w:type="dxa"/>
            <w:vAlign w:val="center"/>
          </w:tcPr>
          <w:p w14:paraId="0D6520E5" w14:textId="77777777" w:rsidR="008123DA" w:rsidRPr="006C16D4" w:rsidRDefault="008123DA" w:rsidP="006C16D4">
            <w:pPr>
              <w:pStyle w:val="BodyText"/>
            </w:pPr>
            <w:r w:rsidRPr="006C16D4">
              <w:t>ARC</w:t>
            </w:r>
          </w:p>
        </w:tc>
        <w:tc>
          <w:tcPr>
            <w:tcW w:w="6379" w:type="dxa"/>
            <w:vAlign w:val="center"/>
          </w:tcPr>
          <w:p w14:paraId="0D6520E6" w14:textId="77777777" w:rsidR="008123DA" w:rsidRPr="006C16D4" w:rsidRDefault="00C45275" w:rsidP="006C16D4">
            <w:pPr>
              <w:pStyle w:val="BodyText"/>
            </w:pPr>
            <w:r w:rsidRPr="006C16D4">
              <w:t>Australian Research Council</w:t>
            </w:r>
          </w:p>
        </w:tc>
      </w:tr>
      <w:tr w:rsidR="00E91342" w14:paraId="0D6520EA" w14:textId="77777777" w:rsidTr="00B95E4F">
        <w:tc>
          <w:tcPr>
            <w:tcW w:w="2410" w:type="dxa"/>
            <w:vAlign w:val="center"/>
          </w:tcPr>
          <w:p w14:paraId="0D6520E8" w14:textId="77777777" w:rsidR="00E91342" w:rsidRPr="006C16D4" w:rsidRDefault="00E91342" w:rsidP="006C16D4">
            <w:pPr>
              <w:pStyle w:val="BodyText"/>
            </w:pPr>
            <w:r>
              <w:t>ATO</w:t>
            </w:r>
          </w:p>
        </w:tc>
        <w:tc>
          <w:tcPr>
            <w:tcW w:w="6379" w:type="dxa"/>
            <w:vAlign w:val="center"/>
          </w:tcPr>
          <w:p w14:paraId="0D6520E9" w14:textId="77777777" w:rsidR="00E91342" w:rsidRPr="006C16D4" w:rsidRDefault="00E23B24" w:rsidP="006C16D4">
            <w:pPr>
              <w:pStyle w:val="BodyText"/>
            </w:pPr>
            <w:r>
              <w:t>Australian Taxation Office</w:t>
            </w:r>
          </w:p>
        </w:tc>
      </w:tr>
      <w:tr w:rsidR="00AE3C18" w14:paraId="0D6520ED" w14:textId="77777777" w:rsidTr="006E3D75">
        <w:tc>
          <w:tcPr>
            <w:tcW w:w="2410" w:type="dxa"/>
            <w:vAlign w:val="center"/>
          </w:tcPr>
          <w:p w14:paraId="0D6520EB" w14:textId="77777777" w:rsidR="00AE3C18" w:rsidRPr="006C16D4" w:rsidRDefault="00AE3C18" w:rsidP="006E3D75">
            <w:pPr>
              <w:pStyle w:val="BodyText"/>
            </w:pPr>
            <w:r>
              <w:t>BLADE</w:t>
            </w:r>
          </w:p>
        </w:tc>
        <w:tc>
          <w:tcPr>
            <w:tcW w:w="6379" w:type="dxa"/>
            <w:vAlign w:val="center"/>
          </w:tcPr>
          <w:p w14:paraId="0D6520EC" w14:textId="77777777" w:rsidR="00AE3C18" w:rsidRPr="006C16D4" w:rsidRDefault="00AE3C18" w:rsidP="006E3D75">
            <w:pPr>
              <w:pStyle w:val="BodyText"/>
            </w:pPr>
            <w:r w:rsidRPr="00EB7FF5">
              <w:t>Business Longitudinal Analysis Data Environment</w:t>
            </w:r>
          </w:p>
        </w:tc>
      </w:tr>
      <w:tr w:rsidR="008123DA" w14:paraId="0D6520F0" w14:textId="77777777" w:rsidTr="00B95E4F">
        <w:tc>
          <w:tcPr>
            <w:tcW w:w="2410" w:type="dxa"/>
            <w:vAlign w:val="center"/>
          </w:tcPr>
          <w:p w14:paraId="0D6520EE" w14:textId="77777777" w:rsidR="008123DA" w:rsidRPr="006C16D4" w:rsidRDefault="008123DA" w:rsidP="006C16D4">
            <w:pPr>
              <w:pStyle w:val="BodyText"/>
            </w:pPr>
            <w:r w:rsidRPr="006C16D4">
              <w:t>CRC</w:t>
            </w:r>
          </w:p>
        </w:tc>
        <w:tc>
          <w:tcPr>
            <w:tcW w:w="6379" w:type="dxa"/>
            <w:vAlign w:val="center"/>
          </w:tcPr>
          <w:p w14:paraId="0D6520EF" w14:textId="77777777" w:rsidR="008123DA" w:rsidRPr="006C16D4" w:rsidRDefault="00C45275" w:rsidP="00C86DDE">
            <w:pPr>
              <w:pStyle w:val="BodyText"/>
            </w:pPr>
            <w:r w:rsidRPr="006C16D4">
              <w:t xml:space="preserve">Cooperative </w:t>
            </w:r>
            <w:r w:rsidR="001732D0">
              <w:t>R</w:t>
            </w:r>
            <w:r w:rsidRPr="006C16D4">
              <w:t xml:space="preserve">esearch </w:t>
            </w:r>
            <w:r w:rsidR="001732D0">
              <w:t>C</w:t>
            </w:r>
            <w:r w:rsidRPr="006C16D4">
              <w:t>entre</w:t>
            </w:r>
          </w:p>
        </w:tc>
      </w:tr>
      <w:tr w:rsidR="008123DA" w14:paraId="0D6520F3" w14:textId="77777777" w:rsidTr="00B95E4F">
        <w:tc>
          <w:tcPr>
            <w:tcW w:w="2410" w:type="dxa"/>
            <w:vAlign w:val="center"/>
          </w:tcPr>
          <w:p w14:paraId="0D6520F1" w14:textId="77777777" w:rsidR="008123DA" w:rsidRPr="006C16D4" w:rsidRDefault="008123DA" w:rsidP="006C16D4">
            <w:pPr>
              <w:pStyle w:val="BodyText"/>
            </w:pPr>
            <w:r w:rsidRPr="006C16D4">
              <w:t>CSIRO</w:t>
            </w:r>
          </w:p>
        </w:tc>
        <w:tc>
          <w:tcPr>
            <w:tcW w:w="6379" w:type="dxa"/>
            <w:vAlign w:val="center"/>
          </w:tcPr>
          <w:p w14:paraId="0D6520F2" w14:textId="77777777" w:rsidR="008123DA" w:rsidRPr="006C16D4" w:rsidRDefault="006C16D4" w:rsidP="006C16D4">
            <w:pPr>
              <w:pStyle w:val="BodyText"/>
            </w:pPr>
            <w:r w:rsidRPr="00DE5448">
              <w:t>Commonwealth Scientific and I</w:t>
            </w:r>
            <w:r>
              <w:t>ndustrial Research Organisation</w:t>
            </w:r>
          </w:p>
        </w:tc>
      </w:tr>
      <w:tr w:rsidR="008123DA" w14:paraId="0D6520F6" w14:textId="77777777" w:rsidTr="00B95E4F">
        <w:tc>
          <w:tcPr>
            <w:tcW w:w="2410" w:type="dxa"/>
            <w:vAlign w:val="center"/>
          </w:tcPr>
          <w:p w14:paraId="0D6520F4" w14:textId="77777777" w:rsidR="008123DA" w:rsidRPr="006C16D4" w:rsidRDefault="008123DA" w:rsidP="006C16D4">
            <w:pPr>
              <w:pStyle w:val="BodyText"/>
            </w:pPr>
            <w:r w:rsidRPr="006C16D4">
              <w:t>DIIS</w:t>
            </w:r>
          </w:p>
        </w:tc>
        <w:tc>
          <w:tcPr>
            <w:tcW w:w="6379" w:type="dxa"/>
            <w:vAlign w:val="center"/>
          </w:tcPr>
          <w:p w14:paraId="0D6520F5" w14:textId="77777777" w:rsidR="008123DA" w:rsidRPr="006C16D4" w:rsidRDefault="008123DA" w:rsidP="006C16D4">
            <w:pPr>
              <w:pStyle w:val="BodyText"/>
            </w:pPr>
            <w:r w:rsidRPr="006C16D4">
              <w:t>Department of Industry, Innovation and Science</w:t>
            </w:r>
          </w:p>
        </w:tc>
      </w:tr>
      <w:tr w:rsidR="006E2F6E" w14:paraId="0D6520F9" w14:textId="77777777" w:rsidTr="00B95E4F">
        <w:tc>
          <w:tcPr>
            <w:tcW w:w="2410" w:type="dxa"/>
            <w:vAlign w:val="center"/>
          </w:tcPr>
          <w:p w14:paraId="0D6520F7" w14:textId="77777777" w:rsidR="006E2F6E" w:rsidRPr="006C16D4" w:rsidRDefault="006E2F6E" w:rsidP="006C16D4">
            <w:pPr>
              <w:pStyle w:val="BodyText"/>
            </w:pPr>
            <w:r>
              <w:t>DST</w:t>
            </w:r>
          </w:p>
        </w:tc>
        <w:tc>
          <w:tcPr>
            <w:tcW w:w="6379" w:type="dxa"/>
            <w:vAlign w:val="center"/>
          </w:tcPr>
          <w:p w14:paraId="0D6520F8" w14:textId="77777777" w:rsidR="006E2F6E" w:rsidRPr="006C16D4" w:rsidRDefault="006E2F6E" w:rsidP="006C16D4">
            <w:pPr>
              <w:pStyle w:val="BodyText"/>
            </w:pPr>
            <w:r>
              <w:t>Defe</w:t>
            </w:r>
            <w:r w:rsidR="00BE37E5">
              <w:t>nce Science and Technology</w:t>
            </w:r>
          </w:p>
        </w:tc>
      </w:tr>
      <w:tr w:rsidR="008123DA" w14:paraId="0D6520FC" w14:textId="77777777" w:rsidTr="00B95E4F">
        <w:tc>
          <w:tcPr>
            <w:tcW w:w="2410" w:type="dxa"/>
            <w:vAlign w:val="center"/>
          </w:tcPr>
          <w:p w14:paraId="0D6520FA" w14:textId="77777777" w:rsidR="008123DA" w:rsidRPr="006C16D4" w:rsidRDefault="008123DA" w:rsidP="006C16D4">
            <w:pPr>
              <w:pStyle w:val="BodyText"/>
            </w:pPr>
            <w:r w:rsidRPr="006C16D4">
              <w:t>ICT</w:t>
            </w:r>
          </w:p>
        </w:tc>
        <w:tc>
          <w:tcPr>
            <w:tcW w:w="6379" w:type="dxa"/>
            <w:vAlign w:val="center"/>
          </w:tcPr>
          <w:p w14:paraId="0D6520FB" w14:textId="77777777" w:rsidR="008123DA" w:rsidRPr="006C16D4" w:rsidRDefault="00E533D9" w:rsidP="006C16D4">
            <w:pPr>
              <w:pStyle w:val="BodyText"/>
            </w:pPr>
            <w:r w:rsidRPr="006C16D4">
              <w:t>Information and communication technology</w:t>
            </w:r>
          </w:p>
        </w:tc>
      </w:tr>
      <w:tr w:rsidR="008123DA" w14:paraId="0D6520FF" w14:textId="77777777" w:rsidTr="00B95E4F">
        <w:tc>
          <w:tcPr>
            <w:tcW w:w="2410" w:type="dxa"/>
            <w:vAlign w:val="center"/>
          </w:tcPr>
          <w:p w14:paraId="0D6520FD" w14:textId="77777777" w:rsidR="008123DA" w:rsidRPr="006C16D4" w:rsidRDefault="008123DA" w:rsidP="006C16D4">
            <w:pPr>
              <w:pStyle w:val="BodyText"/>
            </w:pPr>
            <w:r w:rsidRPr="006C16D4">
              <w:t>INSEAD</w:t>
            </w:r>
          </w:p>
        </w:tc>
        <w:tc>
          <w:tcPr>
            <w:tcW w:w="6379" w:type="dxa"/>
            <w:vAlign w:val="center"/>
          </w:tcPr>
          <w:p w14:paraId="0D6520FE" w14:textId="77777777" w:rsidR="008123DA" w:rsidRPr="006C16D4" w:rsidRDefault="00B95E4F" w:rsidP="006C16D4">
            <w:pPr>
              <w:pStyle w:val="BodyText"/>
            </w:pPr>
            <w:r w:rsidRPr="006C16D4">
              <w:t>Institut Européen d</w:t>
            </w:r>
            <w:r w:rsidR="003F7226">
              <w:t>’</w:t>
            </w:r>
            <w:r w:rsidRPr="006C16D4">
              <w:t>Administration des Affaires</w:t>
            </w:r>
          </w:p>
        </w:tc>
      </w:tr>
      <w:tr w:rsidR="008123DA" w14:paraId="0D652102" w14:textId="77777777" w:rsidTr="00B95E4F">
        <w:tc>
          <w:tcPr>
            <w:tcW w:w="2410" w:type="dxa"/>
            <w:vAlign w:val="center"/>
          </w:tcPr>
          <w:p w14:paraId="0D652100" w14:textId="77777777" w:rsidR="008123DA" w:rsidRPr="006C16D4" w:rsidRDefault="008123DA" w:rsidP="006C16D4">
            <w:pPr>
              <w:pStyle w:val="BodyText"/>
            </w:pPr>
            <w:r w:rsidRPr="006C16D4">
              <w:t>IP</w:t>
            </w:r>
          </w:p>
        </w:tc>
        <w:tc>
          <w:tcPr>
            <w:tcW w:w="6379" w:type="dxa"/>
            <w:vAlign w:val="center"/>
          </w:tcPr>
          <w:p w14:paraId="0D652101" w14:textId="77777777" w:rsidR="008123DA" w:rsidRPr="006C16D4" w:rsidRDefault="00E533D9" w:rsidP="006C16D4">
            <w:pPr>
              <w:pStyle w:val="BodyText"/>
            </w:pPr>
            <w:r w:rsidRPr="006C16D4">
              <w:t>Intellectual property</w:t>
            </w:r>
          </w:p>
        </w:tc>
      </w:tr>
      <w:tr w:rsidR="008123DA" w14:paraId="0D652105" w14:textId="77777777" w:rsidTr="00B95E4F">
        <w:tc>
          <w:tcPr>
            <w:tcW w:w="2410" w:type="dxa"/>
            <w:vAlign w:val="center"/>
          </w:tcPr>
          <w:p w14:paraId="0D652103" w14:textId="77777777" w:rsidR="008123DA" w:rsidRPr="006C16D4" w:rsidRDefault="008123DA" w:rsidP="006C16D4">
            <w:pPr>
              <w:pStyle w:val="BodyText"/>
            </w:pPr>
            <w:r w:rsidRPr="006C16D4">
              <w:t>ISA</w:t>
            </w:r>
          </w:p>
        </w:tc>
        <w:tc>
          <w:tcPr>
            <w:tcW w:w="6379" w:type="dxa"/>
            <w:vAlign w:val="center"/>
          </w:tcPr>
          <w:p w14:paraId="0D652104" w14:textId="77777777" w:rsidR="008123DA" w:rsidRPr="006C16D4" w:rsidRDefault="00E533D9" w:rsidP="006C16D4">
            <w:pPr>
              <w:pStyle w:val="BodyText"/>
            </w:pPr>
            <w:r w:rsidRPr="006C16D4">
              <w:t>Innovation and Science Australia</w:t>
            </w:r>
          </w:p>
        </w:tc>
      </w:tr>
      <w:tr w:rsidR="008123DA" w14:paraId="0D652108" w14:textId="77777777" w:rsidTr="00B95E4F">
        <w:tc>
          <w:tcPr>
            <w:tcW w:w="2410" w:type="dxa"/>
            <w:vAlign w:val="center"/>
          </w:tcPr>
          <w:p w14:paraId="0D652106" w14:textId="77777777" w:rsidR="008123DA" w:rsidRPr="006C16D4" w:rsidRDefault="008123DA" w:rsidP="006C16D4">
            <w:pPr>
              <w:pStyle w:val="BodyText"/>
            </w:pPr>
            <w:r w:rsidRPr="006C16D4">
              <w:t>NHMRC</w:t>
            </w:r>
          </w:p>
        </w:tc>
        <w:tc>
          <w:tcPr>
            <w:tcW w:w="6379" w:type="dxa"/>
            <w:vAlign w:val="center"/>
          </w:tcPr>
          <w:p w14:paraId="0D652107" w14:textId="77777777" w:rsidR="008123DA" w:rsidRPr="006C16D4" w:rsidRDefault="00E533D9">
            <w:pPr>
              <w:pStyle w:val="BodyText"/>
            </w:pPr>
            <w:r w:rsidRPr="006C16D4">
              <w:t xml:space="preserve">National Health </w:t>
            </w:r>
            <w:r w:rsidR="00D90FF4">
              <w:t>and</w:t>
            </w:r>
            <w:r w:rsidR="00D90FF4" w:rsidRPr="006C16D4">
              <w:t xml:space="preserve"> </w:t>
            </w:r>
            <w:r w:rsidRPr="006C16D4">
              <w:t>Medical Research Council</w:t>
            </w:r>
          </w:p>
        </w:tc>
      </w:tr>
      <w:tr w:rsidR="0062308E" w14:paraId="0D65210B" w14:textId="77777777" w:rsidTr="00B95E4F">
        <w:tc>
          <w:tcPr>
            <w:tcW w:w="2410" w:type="dxa"/>
            <w:vAlign w:val="center"/>
          </w:tcPr>
          <w:p w14:paraId="0D652109" w14:textId="77777777" w:rsidR="0062308E" w:rsidRPr="006C16D4" w:rsidRDefault="0062308E" w:rsidP="006C16D4">
            <w:pPr>
              <w:pStyle w:val="BodyText"/>
            </w:pPr>
            <w:r>
              <w:t>NSW</w:t>
            </w:r>
          </w:p>
        </w:tc>
        <w:tc>
          <w:tcPr>
            <w:tcW w:w="6379" w:type="dxa"/>
            <w:vAlign w:val="center"/>
          </w:tcPr>
          <w:p w14:paraId="0D65210A" w14:textId="77777777" w:rsidR="0062308E" w:rsidRPr="006C16D4" w:rsidRDefault="0062308E">
            <w:pPr>
              <w:pStyle w:val="BodyText"/>
            </w:pPr>
            <w:r>
              <w:t>New South Wales</w:t>
            </w:r>
          </w:p>
        </w:tc>
      </w:tr>
      <w:tr w:rsidR="00391D4E" w14:paraId="0D65210E" w14:textId="77777777" w:rsidTr="00B95E4F">
        <w:tc>
          <w:tcPr>
            <w:tcW w:w="2410" w:type="dxa"/>
            <w:vAlign w:val="center"/>
          </w:tcPr>
          <w:p w14:paraId="0D65210C" w14:textId="77777777" w:rsidR="00391D4E" w:rsidRDefault="00391D4E" w:rsidP="006C16D4">
            <w:pPr>
              <w:pStyle w:val="BodyText"/>
            </w:pPr>
            <w:r>
              <w:t>NT</w:t>
            </w:r>
          </w:p>
        </w:tc>
        <w:tc>
          <w:tcPr>
            <w:tcW w:w="6379" w:type="dxa"/>
            <w:vAlign w:val="center"/>
          </w:tcPr>
          <w:p w14:paraId="0D65210D" w14:textId="77777777" w:rsidR="00391D4E" w:rsidRDefault="00391D4E">
            <w:pPr>
              <w:pStyle w:val="BodyText"/>
            </w:pPr>
            <w:r>
              <w:t>Northern Territory</w:t>
            </w:r>
          </w:p>
        </w:tc>
      </w:tr>
      <w:tr w:rsidR="008123DA" w14:paraId="0D652111" w14:textId="77777777" w:rsidTr="00B95E4F">
        <w:tc>
          <w:tcPr>
            <w:tcW w:w="2410" w:type="dxa"/>
            <w:vAlign w:val="center"/>
          </w:tcPr>
          <w:p w14:paraId="0D65210F" w14:textId="77777777" w:rsidR="008123DA" w:rsidRPr="006C16D4" w:rsidRDefault="008123DA" w:rsidP="006C16D4">
            <w:pPr>
              <w:pStyle w:val="BodyText"/>
            </w:pPr>
            <w:r w:rsidRPr="006C16D4">
              <w:t>OECD</w:t>
            </w:r>
          </w:p>
        </w:tc>
        <w:tc>
          <w:tcPr>
            <w:tcW w:w="6379" w:type="dxa"/>
            <w:vAlign w:val="center"/>
          </w:tcPr>
          <w:p w14:paraId="0D652110" w14:textId="77777777" w:rsidR="008123DA" w:rsidRPr="006C16D4" w:rsidRDefault="00E533D9" w:rsidP="00BD6363">
            <w:pPr>
              <w:pStyle w:val="BodyText"/>
            </w:pPr>
            <w:r w:rsidRPr="006C16D4">
              <w:t>Organisation for Economic Cooperation and Development</w:t>
            </w:r>
          </w:p>
        </w:tc>
      </w:tr>
      <w:tr w:rsidR="008123DA" w14:paraId="0D652114" w14:textId="77777777" w:rsidTr="00B95E4F">
        <w:tc>
          <w:tcPr>
            <w:tcW w:w="2410" w:type="dxa"/>
            <w:vAlign w:val="center"/>
          </w:tcPr>
          <w:p w14:paraId="0D652112" w14:textId="77777777" w:rsidR="008123DA" w:rsidRPr="006C16D4" w:rsidRDefault="008123DA" w:rsidP="006C16D4">
            <w:pPr>
              <w:pStyle w:val="BodyText"/>
            </w:pPr>
            <w:r w:rsidRPr="006C16D4">
              <w:t>PCT</w:t>
            </w:r>
          </w:p>
        </w:tc>
        <w:tc>
          <w:tcPr>
            <w:tcW w:w="6379" w:type="dxa"/>
            <w:vAlign w:val="center"/>
          </w:tcPr>
          <w:p w14:paraId="0D652113" w14:textId="77777777" w:rsidR="008123DA" w:rsidRPr="006C16D4" w:rsidRDefault="00E533D9" w:rsidP="006C16D4">
            <w:pPr>
              <w:pStyle w:val="BodyText"/>
            </w:pPr>
            <w:r w:rsidRPr="006C16D4">
              <w:t>Patent Cooperation Treaty</w:t>
            </w:r>
          </w:p>
        </w:tc>
      </w:tr>
      <w:tr w:rsidR="0062308E" w14:paraId="0D652117" w14:textId="77777777" w:rsidTr="00B95E4F">
        <w:tc>
          <w:tcPr>
            <w:tcW w:w="2410" w:type="dxa"/>
            <w:vAlign w:val="center"/>
          </w:tcPr>
          <w:p w14:paraId="0D652115" w14:textId="77777777" w:rsidR="0062308E" w:rsidRPr="006C16D4" w:rsidRDefault="0062308E" w:rsidP="006C16D4">
            <w:pPr>
              <w:pStyle w:val="BodyText"/>
            </w:pPr>
            <w:r>
              <w:t>Qld</w:t>
            </w:r>
          </w:p>
        </w:tc>
        <w:tc>
          <w:tcPr>
            <w:tcW w:w="6379" w:type="dxa"/>
            <w:vAlign w:val="center"/>
          </w:tcPr>
          <w:p w14:paraId="0D652116" w14:textId="77777777" w:rsidR="0062308E" w:rsidRPr="006C16D4" w:rsidRDefault="0062308E" w:rsidP="006C16D4">
            <w:pPr>
              <w:pStyle w:val="BodyText"/>
            </w:pPr>
            <w:r>
              <w:t>Queensland</w:t>
            </w:r>
          </w:p>
        </w:tc>
      </w:tr>
      <w:tr w:rsidR="006E2F6E" w14:paraId="0D65211A" w14:textId="77777777" w:rsidTr="00B95E4F">
        <w:tc>
          <w:tcPr>
            <w:tcW w:w="2410" w:type="dxa"/>
            <w:vAlign w:val="center"/>
          </w:tcPr>
          <w:p w14:paraId="0D652118" w14:textId="77777777" w:rsidR="006E2F6E" w:rsidRDefault="006E2F6E" w:rsidP="006C16D4">
            <w:pPr>
              <w:pStyle w:val="BodyText"/>
            </w:pPr>
            <w:r>
              <w:t>R&amp;D</w:t>
            </w:r>
          </w:p>
        </w:tc>
        <w:tc>
          <w:tcPr>
            <w:tcW w:w="6379" w:type="dxa"/>
            <w:vAlign w:val="center"/>
          </w:tcPr>
          <w:p w14:paraId="0D652119" w14:textId="77777777" w:rsidR="006E2F6E" w:rsidRDefault="006E2F6E" w:rsidP="00C86DDE">
            <w:pPr>
              <w:pStyle w:val="BodyText"/>
            </w:pPr>
            <w:r>
              <w:t>Research and development</w:t>
            </w:r>
          </w:p>
        </w:tc>
      </w:tr>
      <w:tr w:rsidR="008123DA" w14:paraId="0D65211D" w14:textId="77777777" w:rsidTr="00B95E4F">
        <w:tc>
          <w:tcPr>
            <w:tcW w:w="2410" w:type="dxa"/>
            <w:vAlign w:val="center"/>
          </w:tcPr>
          <w:p w14:paraId="0D65211B" w14:textId="77777777" w:rsidR="008123DA" w:rsidRPr="006C16D4" w:rsidRDefault="008123DA" w:rsidP="006C16D4">
            <w:pPr>
              <w:pStyle w:val="BodyText"/>
            </w:pPr>
            <w:r w:rsidRPr="006C16D4">
              <w:lastRenderedPageBreak/>
              <w:t>RDC</w:t>
            </w:r>
          </w:p>
        </w:tc>
        <w:tc>
          <w:tcPr>
            <w:tcW w:w="6379" w:type="dxa"/>
            <w:vAlign w:val="center"/>
          </w:tcPr>
          <w:p w14:paraId="0D65211C" w14:textId="77777777" w:rsidR="008123DA" w:rsidRPr="006C16D4" w:rsidRDefault="00C45275" w:rsidP="006C16D4">
            <w:pPr>
              <w:pStyle w:val="BodyText"/>
            </w:pPr>
            <w:r w:rsidRPr="006C16D4">
              <w:t>Research and Development Corporation</w:t>
            </w:r>
          </w:p>
        </w:tc>
      </w:tr>
      <w:tr w:rsidR="00391D4E" w14:paraId="0D652120" w14:textId="77777777" w:rsidTr="00B95E4F">
        <w:tc>
          <w:tcPr>
            <w:tcW w:w="2410" w:type="dxa"/>
            <w:vAlign w:val="center"/>
          </w:tcPr>
          <w:p w14:paraId="0D65211E" w14:textId="77777777" w:rsidR="00391D4E" w:rsidRPr="006C16D4" w:rsidRDefault="00391D4E" w:rsidP="006C16D4">
            <w:pPr>
              <w:pStyle w:val="BodyText"/>
            </w:pPr>
            <w:r>
              <w:t>SA</w:t>
            </w:r>
          </w:p>
        </w:tc>
        <w:tc>
          <w:tcPr>
            <w:tcW w:w="6379" w:type="dxa"/>
            <w:vAlign w:val="center"/>
          </w:tcPr>
          <w:p w14:paraId="0D65211F" w14:textId="77777777" w:rsidR="00391D4E" w:rsidRPr="006C16D4" w:rsidRDefault="00391D4E" w:rsidP="006C16D4">
            <w:pPr>
              <w:pStyle w:val="BodyText"/>
            </w:pPr>
            <w:r>
              <w:t>South Australia</w:t>
            </w:r>
          </w:p>
        </w:tc>
      </w:tr>
      <w:tr w:rsidR="00344AC4" w14:paraId="0D652123" w14:textId="77777777" w:rsidTr="00B95E4F">
        <w:tc>
          <w:tcPr>
            <w:tcW w:w="2410" w:type="dxa"/>
            <w:vAlign w:val="center"/>
          </w:tcPr>
          <w:p w14:paraId="0D652121" w14:textId="77777777" w:rsidR="00344AC4" w:rsidRPr="006C16D4" w:rsidRDefault="00344AC4" w:rsidP="006C16D4">
            <w:pPr>
              <w:pStyle w:val="BodyText"/>
            </w:pPr>
            <w:r>
              <w:t>SME</w:t>
            </w:r>
          </w:p>
        </w:tc>
        <w:tc>
          <w:tcPr>
            <w:tcW w:w="6379" w:type="dxa"/>
            <w:vAlign w:val="center"/>
          </w:tcPr>
          <w:p w14:paraId="0D652122" w14:textId="77777777" w:rsidR="00344AC4" w:rsidRPr="006C16D4" w:rsidRDefault="00344AC4" w:rsidP="00053DAB">
            <w:pPr>
              <w:pStyle w:val="BodyText"/>
            </w:pPr>
            <w:r>
              <w:t>Small and medium</w:t>
            </w:r>
            <w:r>
              <w:noBreakHyphen/>
              <w:t>sized enterprises</w:t>
            </w:r>
          </w:p>
        </w:tc>
      </w:tr>
      <w:tr w:rsidR="00F16C5B" w14:paraId="0D652126" w14:textId="77777777" w:rsidTr="00B95E4F">
        <w:tc>
          <w:tcPr>
            <w:tcW w:w="2410" w:type="dxa"/>
            <w:vAlign w:val="center"/>
          </w:tcPr>
          <w:p w14:paraId="0D652124" w14:textId="77777777" w:rsidR="00F16C5B" w:rsidRPr="006C16D4" w:rsidRDefault="00F16C5B" w:rsidP="006C16D4">
            <w:pPr>
              <w:pStyle w:val="BodyText"/>
            </w:pPr>
            <w:r>
              <w:t>SP</w:t>
            </w:r>
          </w:p>
        </w:tc>
        <w:tc>
          <w:tcPr>
            <w:tcW w:w="6379" w:type="dxa"/>
            <w:vAlign w:val="center"/>
          </w:tcPr>
          <w:p w14:paraId="0D652125" w14:textId="77777777" w:rsidR="00F16C5B" w:rsidRPr="006C16D4" w:rsidRDefault="00F16C5B" w:rsidP="006C16D4">
            <w:pPr>
              <w:pStyle w:val="BodyText"/>
            </w:pPr>
            <w:r>
              <w:t>Supporting paper</w:t>
            </w:r>
          </w:p>
        </w:tc>
      </w:tr>
      <w:tr w:rsidR="008123DA" w14:paraId="0D652129" w14:textId="77777777" w:rsidTr="00B95E4F">
        <w:tc>
          <w:tcPr>
            <w:tcW w:w="2410" w:type="dxa"/>
            <w:vAlign w:val="center"/>
          </w:tcPr>
          <w:p w14:paraId="0D652127" w14:textId="77777777" w:rsidR="008123DA" w:rsidRPr="006C16D4" w:rsidRDefault="008123DA" w:rsidP="006C16D4">
            <w:pPr>
              <w:pStyle w:val="BodyText"/>
            </w:pPr>
            <w:r w:rsidRPr="006C16D4">
              <w:t>STEM</w:t>
            </w:r>
          </w:p>
        </w:tc>
        <w:tc>
          <w:tcPr>
            <w:tcW w:w="6379" w:type="dxa"/>
            <w:vAlign w:val="center"/>
          </w:tcPr>
          <w:p w14:paraId="0D652128" w14:textId="77777777" w:rsidR="008123DA" w:rsidRPr="006C16D4" w:rsidRDefault="006B225C" w:rsidP="006C16D4">
            <w:pPr>
              <w:pStyle w:val="BodyText"/>
            </w:pPr>
            <w:r w:rsidRPr="006C16D4">
              <w:t>Science</w:t>
            </w:r>
            <w:r w:rsidR="00E533D9" w:rsidRPr="006C16D4">
              <w:t>, technology, engineering and mathematics</w:t>
            </w:r>
          </w:p>
        </w:tc>
      </w:tr>
      <w:tr w:rsidR="00E23B24" w14:paraId="0D65212C" w14:textId="77777777" w:rsidTr="00B95E4F">
        <w:tc>
          <w:tcPr>
            <w:tcW w:w="2410" w:type="dxa"/>
            <w:vAlign w:val="center"/>
          </w:tcPr>
          <w:p w14:paraId="0D65212A" w14:textId="77777777" w:rsidR="00E23B24" w:rsidRPr="006C16D4" w:rsidRDefault="00E23B24" w:rsidP="006C16D4">
            <w:pPr>
              <w:pStyle w:val="BodyText"/>
            </w:pPr>
            <w:r>
              <w:t>Tas</w:t>
            </w:r>
          </w:p>
        </w:tc>
        <w:tc>
          <w:tcPr>
            <w:tcW w:w="6379" w:type="dxa"/>
            <w:vAlign w:val="center"/>
          </w:tcPr>
          <w:p w14:paraId="0D65212B" w14:textId="77777777" w:rsidR="00E23B24" w:rsidRPr="006C16D4" w:rsidRDefault="00E23B24" w:rsidP="006C16D4">
            <w:pPr>
              <w:pStyle w:val="BodyText"/>
            </w:pPr>
            <w:r>
              <w:t>Tasmania</w:t>
            </w:r>
          </w:p>
        </w:tc>
      </w:tr>
      <w:tr w:rsidR="008123DA" w14:paraId="0D65212F" w14:textId="77777777" w:rsidTr="00B95E4F">
        <w:tc>
          <w:tcPr>
            <w:tcW w:w="2410" w:type="dxa"/>
            <w:vAlign w:val="center"/>
          </w:tcPr>
          <w:p w14:paraId="0D65212D" w14:textId="77777777" w:rsidR="008123DA" w:rsidRPr="006C16D4" w:rsidRDefault="008123DA" w:rsidP="006C16D4">
            <w:pPr>
              <w:pStyle w:val="BodyText"/>
            </w:pPr>
            <w:r w:rsidRPr="006C16D4">
              <w:t>UK</w:t>
            </w:r>
          </w:p>
        </w:tc>
        <w:tc>
          <w:tcPr>
            <w:tcW w:w="6379" w:type="dxa"/>
            <w:vAlign w:val="center"/>
          </w:tcPr>
          <w:p w14:paraId="0D65212E" w14:textId="77777777" w:rsidR="008123DA" w:rsidRPr="006C16D4" w:rsidRDefault="00C45275" w:rsidP="006C16D4">
            <w:pPr>
              <w:pStyle w:val="BodyText"/>
            </w:pPr>
            <w:r w:rsidRPr="006C16D4">
              <w:t>United Kingdom</w:t>
            </w:r>
          </w:p>
        </w:tc>
      </w:tr>
      <w:tr w:rsidR="008123DA" w14:paraId="0D652132" w14:textId="77777777" w:rsidTr="00B95E4F">
        <w:tc>
          <w:tcPr>
            <w:tcW w:w="2410" w:type="dxa"/>
            <w:vAlign w:val="center"/>
          </w:tcPr>
          <w:p w14:paraId="0D652130" w14:textId="77777777" w:rsidR="008123DA" w:rsidRPr="006C16D4" w:rsidRDefault="008123DA" w:rsidP="006C16D4">
            <w:pPr>
              <w:pStyle w:val="BodyText"/>
            </w:pPr>
            <w:r w:rsidRPr="006C16D4">
              <w:t>US</w:t>
            </w:r>
          </w:p>
        </w:tc>
        <w:tc>
          <w:tcPr>
            <w:tcW w:w="6379" w:type="dxa"/>
            <w:vAlign w:val="center"/>
          </w:tcPr>
          <w:p w14:paraId="0D652131" w14:textId="77777777" w:rsidR="008123DA" w:rsidRPr="006C16D4" w:rsidRDefault="00C45275" w:rsidP="006C16D4">
            <w:pPr>
              <w:pStyle w:val="BodyText"/>
            </w:pPr>
            <w:r w:rsidRPr="006C16D4">
              <w:t>United States</w:t>
            </w:r>
          </w:p>
        </w:tc>
      </w:tr>
      <w:tr w:rsidR="00E23B24" w14:paraId="0D652135" w14:textId="77777777" w:rsidTr="00B95E4F">
        <w:tc>
          <w:tcPr>
            <w:tcW w:w="2410" w:type="dxa"/>
            <w:vAlign w:val="center"/>
          </w:tcPr>
          <w:p w14:paraId="0D652133" w14:textId="77777777" w:rsidR="00E23B24" w:rsidRPr="006C16D4" w:rsidRDefault="00E23B24" w:rsidP="006C16D4">
            <w:pPr>
              <w:pStyle w:val="BodyText"/>
            </w:pPr>
            <w:r>
              <w:t>Vic</w:t>
            </w:r>
          </w:p>
        </w:tc>
        <w:tc>
          <w:tcPr>
            <w:tcW w:w="6379" w:type="dxa"/>
            <w:vAlign w:val="center"/>
          </w:tcPr>
          <w:p w14:paraId="0D652134" w14:textId="77777777" w:rsidR="00E23B24" w:rsidRPr="006C16D4" w:rsidRDefault="00E23B24" w:rsidP="006C16D4">
            <w:pPr>
              <w:pStyle w:val="BodyText"/>
            </w:pPr>
            <w:r>
              <w:t>Victoria</w:t>
            </w:r>
          </w:p>
        </w:tc>
      </w:tr>
      <w:tr w:rsidR="00C74CA9" w14:paraId="0D652138" w14:textId="77777777" w:rsidTr="00B95E4F">
        <w:tc>
          <w:tcPr>
            <w:tcW w:w="2410" w:type="dxa"/>
            <w:vAlign w:val="center"/>
          </w:tcPr>
          <w:p w14:paraId="0D652136" w14:textId="77777777" w:rsidR="00C74CA9" w:rsidRDefault="00C74CA9" w:rsidP="006C16D4">
            <w:pPr>
              <w:pStyle w:val="BodyText"/>
            </w:pPr>
            <w:r>
              <w:t>WA</w:t>
            </w:r>
          </w:p>
        </w:tc>
        <w:tc>
          <w:tcPr>
            <w:tcW w:w="6379" w:type="dxa"/>
            <w:vAlign w:val="center"/>
          </w:tcPr>
          <w:p w14:paraId="0D652137" w14:textId="77777777" w:rsidR="00C74CA9" w:rsidRDefault="00C74CA9" w:rsidP="006C16D4">
            <w:pPr>
              <w:pStyle w:val="BodyText"/>
            </w:pPr>
            <w:r>
              <w:t>Western Australia</w:t>
            </w:r>
          </w:p>
        </w:tc>
      </w:tr>
      <w:tr w:rsidR="008123DA" w14:paraId="0D65213B" w14:textId="77777777" w:rsidTr="00B95E4F">
        <w:tc>
          <w:tcPr>
            <w:tcW w:w="2410" w:type="dxa"/>
            <w:vAlign w:val="center"/>
          </w:tcPr>
          <w:p w14:paraId="0D652139" w14:textId="77777777" w:rsidR="008123DA" w:rsidRPr="006C16D4" w:rsidRDefault="008123DA" w:rsidP="006C16D4">
            <w:pPr>
              <w:pStyle w:val="BodyText"/>
            </w:pPr>
            <w:r w:rsidRPr="006C16D4">
              <w:t>WIPO</w:t>
            </w:r>
          </w:p>
        </w:tc>
        <w:tc>
          <w:tcPr>
            <w:tcW w:w="6379" w:type="dxa"/>
            <w:vAlign w:val="center"/>
          </w:tcPr>
          <w:p w14:paraId="0D65213A" w14:textId="77777777" w:rsidR="008123DA" w:rsidRPr="006C16D4" w:rsidRDefault="00E533D9" w:rsidP="006C16D4">
            <w:pPr>
              <w:pStyle w:val="BodyText"/>
            </w:pPr>
            <w:r w:rsidRPr="006C16D4">
              <w:t>World Intellectual Property Organization</w:t>
            </w:r>
          </w:p>
        </w:tc>
      </w:tr>
    </w:tbl>
    <w:p w14:paraId="0D65213C" w14:textId="77777777" w:rsidR="00B13031" w:rsidRDefault="00B13031" w:rsidP="001320C8">
      <w:pPr>
        <w:pStyle w:val="BodyText"/>
      </w:pPr>
      <w:r>
        <w:br w:type="page"/>
      </w:r>
    </w:p>
    <w:p w14:paraId="0D65213D" w14:textId="77777777" w:rsidR="0066337A" w:rsidRDefault="0066337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9073"/>
      </w:tblGrid>
      <w:tr w:rsidR="0066337A" w14:paraId="0D65213F" w14:textId="77777777" w:rsidTr="004803DA">
        <w:tc>
          <w:tcPr>
            <w:tcW w:w="5000" w:type="pct"/>
            <w:tcBorders>
              <w:top w:val="single" w:sz="6" w:space="0" w:color="78A22F"/>
              <w:left w:val="nil"/>
              <w:bottom w:val="nil"/>
              <w:right w:val="nil"/>
            </w:tcBorders>
            <w:shd w:val="clear" w:color="auto" w:fill="F2F2F2"/>
          </w:tcPr>
          <w:p w14:paraId="0D65213E" w14:textId="77777777" w:rsidR="0066337A" w:rsidRDefault="0066337A">
            <w:pPr>
              <w:pStyle w:val="BoxTitle"/>
            </w:pPr>
            <w:r>
              <w:rPr>
                <w:b w:val="0"/>
              </w:rPr>
              <w:t>Key points</w:t>
            </w:r>
          </w:p>
        </w:tc>
      </w:tr>
      <w:tr w:rsidR="0066337A" w14:paraId="0D652147" w14:textId="77777777" w:rsidTr="004803DA">
        <w:tc>
          <w:tcPr>
            <w:tcW w:w="5000" w:type="pct"/>
            <w:tcBorders>
              <w:top w:val="nil"/>
              <w:left w:val="nil"/>
              <w:bottom w:val="nil"/>
              <w:right w:val="nil"/>
            </w:tcBorders>
            <w:shd w:val="clear" w:color="auto" w:fill="F2F2F2"/>
          </w:tcPr>
          <w:p w14:paraId="0D652140" w14:textId="77777777" w:rsidR="0066337A" w:rsidRDefault="0066337A" w:rsidP="001320C8">
            <w:pPr>
              <w:pStyle w:val="BoxListBullet"/>
            </w:pPr>
            <w:r>
              <w:t xml:space="preserve">In 2015, the </w:t>
            </w:r>
            <w:r>
              <w:rPr>
                <w:lang w:val="en-US"/>
              </w:rPr>
              <w:t>Australian Government</w:t>
            </w:r>
            <w:r>
              <w:t xml:space="preserve"> brought many of its separate, but related, policies together under the </w:t>
            </w:r>
            <w:r w:rsidRPr="00940E5E">
              <w:rPr>
                <w:i/>
                <w:iCs/>
              </w:rPr>
              <w:t>National Innovation and Science Agenda</w:t>
            </w:r>
            <w:r>
              <w:t xml:space="preserve">. They established a new body, Innovation and Science </w:t>
            </w:r>
            <w:r w:rsidRPr="0040011D">
              <w:t>Australia</w:t>
            </w:r>
            <w:r>
              <w:t xml:space="preserve">, to develop and implement </w:t>
            </w:r>
            <w:r w:rsidR="006E2F6E">
              <w:t xml:space="preserve">policy </w:t>
            </w:r>
            <w:r>
              <w:t>to promote innovation.</w:t>
            </w:r>
          </w:p>
          <w:p w14:paraId="0D652141" w14:textId="77777777" w:rsidR="0066337A" w:rsidRDefault="0066337A" w:rsidP="001320C8">
            <w:pPr>
              <w:pStyle w:val="BoxListBullet"/>
            </w:pPr>
            <w:r>
              <w:t>Beyond investing in basic research and skills, t</w:t>
            </w:r>
            <w:r w:rsidRPr="004803DA">
              <w:t xml:space="preserve">he jury is out on whether there are specific government policies that can successfully promote innovation and whether this would be material to Australian economic growth. </w:t>
            </w:r>
            <w:r w:rsidRPr="001320C8">
              <w:rPr>
                <w:rStyle w:val="BodyTextChar"/>
                <w:sz w:val="20"/>
              </w:rPr>
              <w:t>The Commission has previously argued that the government should conduct rigorous evaluations of all government innovation program</w:t>
            </w:r>
            <w:r w:rsidR="004B12F8">
              <w:rPr>
                <w:rStyle w:val="BodyTextChar"/>
                <w:sz w:val="20"/>
              </w:rPr>
              <w:t>me</w:t>
            </w:r>
            <w:r w:rsidRPr="001320C8">
              <w:rPr>
                <w:rStyle w:val="BodyTextChar"/>
                <w:sz w:val="20"/>
              </w:rPr>
              <w:t xml:space="preserve">s to verify that they are achieving ‘additionality’ and are cost effective </w:t>
            </w:r>
            <w:r w:rsidRPr="001320C8">
              <w:t>(PC 2007)</w:t>
            </w:r>
            <w:r w:rsidRPr="001320C8">
              <w:rPr>
                <w:rStyle w:val="BodyTextChar"/>
                <w:sz w:val="20"/>
              </w:rPr>
              <w:t>.</w:t>
            </w:r>
          </w:p>
          <w:p w14:paraId="0D652142" w14:textId="77777777" w:rsidR="0066337A" w:rsidRDefault="0066337A" w:rsidP="001320C8">
            <w:pPr>
              <w:pStyle w:val="BoxListBullet"/>
            </w:pPr>
            <w:r>
              <w:t>The Department of Industry, Innovation and Science (DIIS)</w:t>
            </w:r>
            <w:r w:rsidR="000037B9">
              <w:t xml:space="preserve"> </w:t>
            </w:r>
            <w:r w:rsidR="00EB7FF5">
              <w:t xml:space="preserve">is </w:t>
            </w:r>
            <w:r>
              <w:t xml:space="preserve">building </w:t>
            </w:r>
            <w:r w:rsidR="00EB7FF5">
              <w:t xml:space="preserve">a </w:t>
            </w:r>
            <w:r>
              <w:t>data</w:t>
            </w:r>
            <w:r w:rsidR="00D90FF4">
              <w:t xml:space="preserve"> framework </w:t>
            </w:r>
            <w:r>
              <w:t>to</w:t>
            </w:r>
            <w:r w:rsidR="00EB7FF5">
              <w:t>, among other things, support the</w:t>
            </w:r>
            <w:r>
              <w:t xml:space="preserve"> evaluat</w:t>
            </w:r>
            <w:r w:rsidR="00B76D5E">
              <w:t>ion of</w:t>
            </w:r>
            <w:r>
              <w:t xml:space="preserve"> their program</w:t>
            </w:r>
            <w:r w:rsidR="004B12F8">
              <w:t>me</w:t>
            </w:r>
            <w:r>
              <w:t xml:space="preserve">s, drawing on data from the ATO, </w:t>
            </w:r>
            <w:r w:rsidR="000037B9">
              <w:t xml:space="preserve">the </w:t>
            </w:r>
            <w:r>
              <w:t xml:space="preserve">ABS and what they collect from the firms receiving support. This </w:t>
            </w:r>
            <w:r w:rsidR="00D90FF4">
              <w:t xml:space="preserve">framework </w:t>
            </w:r>
            <w:r>
              <w:t>(BLADE), which is managed by the AB</w:t>
            </w:r>
            <w:r w:rsidR="008C31B7">
              <w:t>S</w:t>
            </w:r>
            <w:r>
              <w:t xml:space="preserve"> and is progressively being made available to researchers beyond DIIS, is an important first step in providing better evaluation of industry program</w:t>
            </w:r>
            <w:r w:rsidR="004B12F8">
              <w:t>me</w:t>
            </w:r>
            <w:r>
              <w:t>s. This work should inform this question of what governments should and should not do to stimulate innovation in the next Productivity Review, in 5 years</w:t>
            </w:r>
            <w:r w:rsidR="003F7226">
              <w:noBreakHyphen/>
            </w:r>
            <w:r>
              <w:t>time.</w:t>
            </w:r>
          </w:p>
          <w:p w14:paraId="0D652143" w14:textId="77777777" w:rsidR="00075FF8" w:rsidRDefault="00075FF8" w:rsidP="001320C8">
            <w:pPr>
              <w:pStyle w:val="BoxListBullet"/>
            </w:pPr>
            <w:r>
              <w:t xml:space="preserve">In the meantime, there are several areas where the government should take action. </w:t>
            </w:r>
          </w:p>
          <w:p w14:paraId="0D652144" w14:textId="77777777" w:rsidR="0066337A" w:rsidRDefault="00075FF8" w:rsidP="001320C8">
            <w:pPr>
              <w:pStyle w:val="BoxListBullet2"/>
            </w:pPr>
            <w:r>
              <w:t xml:space="preserve">A recent review of the Australian economy by the OECD </w:t>
            </w:r>
            <w:r w:rsidR="00BD0BEA" w:rsidRPr="00913D66">
              <w:rPr>
                <w:rFonts w:cs="Arial"/>
              </w:rPr>
              <w:t>(2017)</w:t>
            </w:r>
            <w:r w:rsidR="00BD0BEA">
              <w:t xml:space="preserve"> </w:t>
            </w:r>
            <w:r>
              <w:t>recommended consolidating the 150 Commonwealth program</w:t>
            </w:r>
            <w:r w:rsidR="004B12F8">
              <w:t>me</w:t>
            </w:r>
            <w:r>
              <w:t>s. Many of these schemes are small in terms of the funds involved — with 74 collectively accounting for under 2 per cent of Australian Government expenditure of just under $10 billion in 2015</w:t>
            </w:r>
            <w:r>
              <w:noBreakHyphen/>
              <w:t>16 (with an average expenditure of $2.6 million)</w:t>
            </w:r>
            <w:r w:rsidR="00B76D5E">
              <w:t>.</w:t>
            </w:r>
            <w:r>
              <w:t xml:space="preserve"> While trials are to be applauded, they are not a valid test if they fail simply due to insufficient scale</w:t>
            </w:r>
            <w:r w:rsidRPr="004155DB">
              <w:t>.</w:t>
            </w:r>
          </w:p>
          <w:p w14:paraId="0D652145" w14:textId="257909D6" w:rsidR="00075FF8" w:rsidRDefault="00075FF8" w:rsidP="001320C8">
            <w:pPr>
              <w:pStyle w:val="BoxListBullet2"/>
            </w:pPr>
            <w:r>
              <w:t>A third of the almost $10 billion public investment in innovation</w:t>
            </w:r>
            <w:r w:rsidR="00D451C0">
              <w:noBreakHyphen/>
            </w:r>
            <w:r>
              <w:t xml:space="preserve">related activities (including basic research funding) is through the R&amp;D tax incentive. The Ferris, Finkel and Fraser </w:t>
            </w:r>
            <w:r w:rsidR="00BD0BEA">
              <w:t xml:space="preserve">Review </w:t>
            </w:r>
            <w:r w:rsidR="00BD0BEA" w:rsidRPr="00913D66">
              <w:rPr>
                <w:rFonts w:cs="Arial"/>
              </w:rPr>
              <w:t>(2016)</w:t>
            </w:r>
            <w:r w:rsidR="00BD0BEA">
              <w:t xml:space="preserve"> </w:t>
            </w:r>
            <w:r>
              <w:t>made six recommendations which largely sought to: limit the scope for creative accounting by greater clarity and transparency; reward collaborative research efforts; and better focus support to innovative investments by limiting the cash refund and imposing an intensity threshold while expanding the expenditure threshold to retain the incentive for large firms to increase R&amp;D in Australia.</w:t>
            </w:r>
          </w:p>
          <w:p w14:paraId="0D652146" w14:textId="77777777" w:rsidR="00075FF8" w:rsidRPr="0066337A" w:rsidRDefault="00075FF8" w:rsidP="001320C8">
            <w:pPr>
              <w:pStyle w:val="BoxListBullet"/>
            </w:pPr>
            <w:r>
              <w:t>The lack of connection between the research and private sector is a</w:t>
            </w:r>
            <w:r w:rsidR="005B1A5E">
              <w:t>n issue</w:t>
            </w:r>
            <w:r>
              <w:t xml:space="preserve">. Yet trying to make academics become entrepreneurs is rarely successful. Critical mass — for networks of contacts, to attract skilled workers, and to pool risk for investors — is well recognised as important for building sustainable innovative ecosystems. </w:t>
            </w:r>
            <w:r w:rsidR="00582907">
              <w:t xml:space="preserve">Governments at all levels have responded with investments in maker spaces, incubators, and accelerators that may bear fruit, but it is also possible that lack of scale will undermine these efforts. </w:t>
            </w:r>
            <w:r>
              <w:t xml:space="preserve">Addressing this is difficult, but greater cooperation between governments to build areas of expertise in specific locations would assist entrepreneurs and firms in building critical mass. </w:t>
            </w:r>
          </w:p>
        </w:tc>
      </w:tr>
      <w:tr w:rsidR="0066337A" w14:paraId="0D652149" w14:textId="77777777" w:rsidTr="004803DA">
        <w:tc>
          <w:tcPr>
            <w:tcW w:w="5000" w:type="pct"/>
            <w:tcBorders>
              <w:top w:val="nil"/>
              <w:left w:val="nil"/>
              <w:bottom w:val="single" w:sz="6" w:space="0" w:color="78A22F"/>
              <w:right w:val="nil"/>
            </w:tcBorders>
            <w:shd w:val="clear" w:color="auto" w:fill="F2F2F2"/>
          </w:tcPr>
          <w:p w14:paraId="0D652148" w14:textId="77777777" w:rsidR="0066337A" w:rsidRDefault="0066337A">
            <w:pPr>
              <w:pStyle w:val="Box"/>
              <w:spacing w:before="0" w:line="120" w:lineRule="exact"/>
            </w:pPr>
          </w:p>
        </w:tc>
      </w:tr>
      <w:tr w:rsidR="0066337A" w:rsidRPr="000863A5" w14:paraId="0D65214B" w14:textId="77777777" w:rsidTr="004803DA">
        <w:tc>
          <w:tcPr>
            <w:tcW w:w="5000" w:type="pct"/>
            <w:tcBorders>
              <w:top w:val="single" w:sz="6" w:space="0" w:color="78A22F"/>
              <w:left w:val="nil"/>
              <w:bottom w:val="nil"/>
              <w:right w:val="nil"/>
            </w:tcBorders>
          </w:tcPr>
          <w:p w14:paraId="0D65214A" w14:textId="77777777" w:rsidR="0066337A" w:rsidRPr="00626D32" w:rsidRDefault="0066337A" w:rsidP="004803DA">
            <w:pPr>
              <w:pStyle w:val="BoxSpaceBelow"/>
            </w:pPr>
          </w:p>
        </w:tc>
      </w:tr>
    </w:tbl>
    <w:p w14:paraId="0D65214C" w14:textId="77777777" w:rsidR="008332F3" w:rsidRDefault="008332F3" w:rsidP="008332F3">
      <w:pPr>
        <w:pStyle w:val="BodyText"/>
      </w:pPr>
    </w:p>
    <w:p w14:paraId="0D65214D" w14:textId="77777777" w:rsidR="008123DA" w:rsidRDefault="008123DA">
      <w:pPr>
        <w:sectPr w:rsidR="008123DA" w:rsidSect="004775C9">
          <w:headerReference w:type="even" r:id="rId18"/>
          <w:headerReference w:type="default" r:id="rId19"/>
          <w:footerReference w:type="even" r:id="rId20"/>
          <w:footerReference w:type="default" r:id="rId21"/>
          <w:pgSz w:w="11907" w:h="16840" w:code="9"/>
          <w:pgMar w:top="1985" w:right="1304" w:bottom="1247" w:left="1814" w:header="1701" w:footer="397" w:gutter="0"/>
          <w:pgNumType w:fmt="lowerRoman" w:start="1" w:chapSep="period"/>
          <w:cols w:space="720"/>
        </w:sectPr>
      </w:pPr>
    </w:p>
    <w:p w14:paraId="0D65214E" w14:textId="74D6ADDC" w:rsidR="00A33DFF" w:rsidRDefault="00DE4789" w:rsidP="008332F3">
      <w:pPr>
        <w:pStyle w:val="Heading1"/>
        <w:spacing w:before="0"/>
      </w:pPr>
      <w:bookmarkStart w:id="8" w:name="ChapterTitle"/>
      <w:bookmarkStart w:id="9" w:name="_Toc488850404"/>
      <w:bookmarkEnd w:id="0"/>
      <w:r>
        <w:t>An overview of i</w:t>
      </w:r>
      <w:r w:rsidR="008332F3">
        <w:t>nnovation</w:t>
      </w:r>
      <w:bookmarkEnd w:id="8"/>
      <w:r w:rsidR="00EE572C">
        <w:t xml:space="preserve"> policy</w:t>
      </w:r>
      <w:bookmarkEnd w:id="9"/>
    </w:p>
    <w:p w14:paraId="0D65214F" w14:textId="77777777" w:rsidR="001B486D" w:rsidRDefault="001B486D" w:rsidP="00265A58">
      <w:pPr>
        <w:pStyle w:val="BodyText"/>
      </w:pPr>
      <w:r>
        <w:t xml:space="preserve">Innovation and science are seen as critical </w:t>
      </w:r>
      <w:r w:rsidR="005309B4">
        <w:t xml:space="preserve">for </w:t>
      </w:r>
      <w:r>
        <w:t>maintain</w:t>
      </w:r>
      <w:r w:rsidR="00265A58">
        <w:t>ing</w:t>
      </w:r>
      <w:r>
        <w:t xml:space="preserve"> </w:t>
      </w:r>
      <w:r w:rsidR="005309B4">
        <w:t xml:space="preserve">Australia’s </w:t>
      </w:r>
      <w:r w:rsidR="00265A58">
        <w:t>high standard of living</w:t>
      </w:r>
      <w:r w:rsidR="00CF05D1">
        <w:t xml:space="preserve">, ensuring its ongoing international competitiveness, creating jobs and </w:t>
      </w:r>
      <w:r w:rsidR="00265A58">
        <w:t>ensur</w:t>
      </w:r>
      <w:r w:rsidR="005309B4">
        <w:t>ing</w:t>
      </w:r>
      <w:r w:rsidR="00265A58">
        <w:t xml:space="preserve"> </w:t>
      </w:r>
      <w:r>
        <w:t>future economic prosperity.</w:t>
      </w:r>
      <w:r w:rsidR="00265A58">
        <w:t xml:space="preserve"> Central to this is the creation and adoption of </w:t>
      </w:r>
      <w:r w:rsidR="005309B4">
        <w:t xml:space="preserve">knowledge, ideas, </w:t>
      </w:r>
      <w:r>
        <w:t xml:space="preserve">products, processes and </w:t>
      </w:r>
      <w:r w:rsidR="00265A58">
        <w:t>wa</w:t>
      </w:r>
      <w:r w:rsidR="00202E9A">
        <w:t>y</w:t>
      </w:r>
      <w:r w:rsidR="00265A58">
        <w:t xml:space="preserve">s of doing </w:t>
      </w:r>
      <w:r>
        <w:t>business.</w:t>
      </w:r>
      <w:r w:rsidR="00265A58">
        <w:t xml:space="preserve"> This requires </w:t>
      </w:r>
      <w:r>
        <w:t xml:space="preserve">a culture </w:t>
      </w:r>
      <w:r w:rsidR="00265A58">
        <w:t xml:space="preserve">that values and is open to new </w:t>
      </w:r>
      <w:r>
        <w:t>ideas</w:t>
      </w:r>
      <w:r w:rsidR="00265A58">
        <w:t xml:space="preserve"> and ways of doing things, takes risks</w:t>
      </w:r>
      <w:r w:rsidR="005309B4">
        <w:t xml:space="preserve"> and learns from</w:t>
      </w:r>
      <w:r w:rsidR="00265A58">
        <w:t xml:space="preserve"> </w:t>
      </w:r>
      <w:r>
        <w:t>mistakes</w:t>
      </w:r>
      <w:r w:rsidR="00265A58">
        <w:t xml:space="preserve"> made</w:t>
      </w:r>
      <w:r>
        <w:t>.</w:t>
      </w:r>
    </w:p>
    <w:p w14:paraId="0D652150" w14:textId="77777777" w:rsidR="00265A58" w:rsidRDefault="00265A58" w:rsidP="00265A58">
      <w:pPr>
        <w:pStyle w:val="BodyText"/>
      </w:pPr>
      <w:r>
        <w:t xml:space="preserve">Technological progress has long </w:t>
      </w:r>
      <w:r w:rsidR="00C42B4A">
        <w:t>b</w:t>
      </w:r>
      <w:r>
        <w:t xml:space="preserve">een an important driver of economic growth in </w:t>
      </w:r>
      <w:r w:rsidR="005309B4">
        <w:t xml:space="preserve">developed </w:t>
      </w:r>
      <w:r>
        <w:t xml:space="preserve">economies such as Australia. </w:t>
      </w:r>
      <w:r w:rsidR="00654E60">
        <w:t>This rate of progress has quickened in recent years as technological advances open</w:t>
      </w:r>
      <w:r w:rsidR="005309B4">
        <w:t xml:space="preserve"> up new opportunities and lower</w:t>
      </w:r>
      <w:r w:rsidR="008866DC">
        <w:t>s</w:t>
      </w:r>
      <w:r>
        <w:t xml:space="preserve"> the cost of exploiting them. </w:t>
      </w:r>
      <w:r w:rsidR="00C42B4A">
        <w:t xml:space="preserve">This progress </w:t>
      </w:r>
      <w:r w:rsidR="005309B4">
        <w:t xml:space="preserve">gradually </w:t>
      </w:r>
      <w:r w:rsidR="00C42B4A">
        <w:t>changes the nature of econom</w:t>
      </w:r>
      <w:r w:rsidR="00202E9A">
        <w:t>ic activity</w:t>
      </w:r>
      <w:r w:rsidR="00C42B4A">
        <w:t xml:space="preserve"> and society</w:t>
      </w:r>
      <w:r w:rsidR="005309B4">
        <w:t>. Such changes</w:t>
      </w:r>
      <w:r w:rsidR="00C42B4A">
        <w:t xml:space="preserve"> </w:t>
      </w:r>
      <w:r w:rsidR="005309B4">
        <w:t xml:space="preserve">challenge </w:t>
      </w:r>
      <w:r w:rsidR="00C42B4A">
        <w:t xml:space="preserve">the viability of established </w:t>
      </w:r>
      <w:r w:rsidR="005309B4">
        <w:t xml:space="preserve">ways of doing things and existing </w:t>
      </w:r>
      <w:r w:rsidR="00C42B4A">
        <w:t>business models.</w:t>
      </w:r>
    </w:p>
    <w:p w14:paraId="0D652151" w14:textId="519E7C59" w:rsidR="0072157D" w:rsidRDefault="0072157D" w:rsidP="0072157D">
      <w:pPr>
        <w:pStyle w:val="BodyText"/>
      </w:pPr>
      <w:r>
        <w:t>Innovation policy see</w:t>
      </w:r>
      <w:r w:rsidR="00202E9A">
        <w:t>k</w:t>
      </w:r>
      <w:r>
        <w:t xml:space="preserve">s to </w:t>
      </w:r>
      <w:r w:rsidR="00F514AE">
        <w:t>foster,</w:t>
      </w:r>
      <w:r>
        <w:t xml:space="preserve"> nurture and develop knowledge, </w:t>
      </w:r>
      <w:r w:rsidR="0034583E">
        <w:t>and to have these ideas put into practice by business in</w:t>
      </w:r>
      <w:r>
        <w:t xml:space="preserve"> </w:t>
      </w:r>
      <w:r w:rsidR="0034583E">
        <w:t xml:space="preserve">new and better </w:t>
      </w:r>
      <w:r>
        <w:t>products, processes and wa</w:t>
      </w:r>
      <w:r w:rsidR="00202E9A">
        <w:t>y</w:t>
      </w:r>
      <w:r>
        <w:t xml:space="preserve">s of doing business. </w:t>
      </w:r>
      <w:r w:rsidR="0034583E">
        <w:t>Governments seek to</w:t>
      </w:r>
      <w:r>
        <w:t xml:space="preserve"> encourag</w:t>
      </w:r>
      <w:r w:rsidR="00F16C5B">
        <w:t>e</w:t>
      </w:r>
      <w:r>
        <w:t xml:space="preserve"> innovation</w:t>
      </w:r>
      <w:r w:rsidR="0034583E">
        <w:t xml:space="preserve"> by investing in the generation of knowledge</w:t>
      </w:r>
      <w:r w:rsidR="00894442">
        <w:t>,</w:t>
      </w:r>
      <w:r w:rsidR="0034583E">
        <w:t xml:space="preserve"> supporting basic and applied</w:t>
      </w:r>
      <w:r>
        <w:t xml:space="preserve"> research and development (R&amp;D)</w:t>
      </w:r>
      <w:r w:rsidR="0034583E">
        <w:t>, building the skills of the workforce, providing a sound regulatory environment</w:t>
      </w:r>
      <w:r w:rsidR="008C31B7">
        <w:t xml:space="preserve"> </w:t>
      </w:r>
      <w:r w:rsidR="00B3678A">
        <w:t xml:space="preserve">(Supporting </w:t>
      </w:r>
      <w:r w:rsidR="00C10E24">
        <w:t xml:space="preserve">Paper 13 </w:t>
      </w:r>
      <w:r w:rsidR="008C31B7">
        <w:t>(SP </w:t>
      </w:r>
      <w:r w:rsidR="00C10E24">
        <w:t>13</w:t>
      </w:r>
      <w:r w:rsidR="008C31B7">
        <w:t>)</w:t>
      </w:r>
      <w:r w:rsidR="00B3678A">
        <w:t>)</w:t>
      </w:r>
      <w:r w:rsidR="0034583E">
        <w:t>,</w:t>
      </w:r>
      <w:r>
        <w:t xml:space="preserve"> and </w:t>
      </w:r>
      <w:r w:rsidR="00894442">
        <w:t xml:space="preserve">promoting </w:t>
      </w:r>
      <w:r>
        <w:t xml:space="preserve">a culture that values </w:t>
      </w:r>
      <w:r w:rsidR="00894442">
        <w:t>innovation</w:t>
      </w:r>
      <w:r>
        <w:t>.</w:t>
      </w:r>
    </w:p>
    <w:p w14:paraId="0D652152" w14:textId="77777777" w:rsidR="00F208BF" w:rsidRDefault="00894442" w:rsidP="00265A58">
      <w:pPr>
        <w:pStyle w:val="BodyText"/>
      </w:pPr>
      <w:r>
        <w:t xml:space="preserve">The ways in which </w:t>
      </w:r>
      <w:r w:rsidR="00C42B4A">
        <w:t>Australian governments have supported innovation</w:t>
      </w:r>
      <w:r>
        <w:t xml:space="preserve"> are many and varied</w:t>
      </w:r>
      <w:r w:rsidR="00C42B4A">
        <w:t>.</w:t>
      </w:r>
      <w:r w:rsidR="00DE5448">
        <w:t xml:space="preserve"> </w:t>
      </w:r>
      <w:r>
        <w:t>At the basic research and skill development end of the spectrum,</w:t>
      </w:r>
      <w:r w:rsidR="00DE5448">
        <w:t xml:space="preserve"> </w:t>
      </w:r>
      <w:r>
        <w:t xml:space="preserve">governments support research by academics mainly at universities. With a more applied focus, but still on research that may not have immediate commercial applications, </w:t>
      </w:r>
      <w:r w:rsidR="00DE5448">
        <w:t>government</w:t>
      </w:r>
      <w:r w:rsidR="00DE5448">
        <w:noBreakHyphen/>
        <w:t>owned institutions</w:t>
      </w:r>
      <w:r w:rsidR="005F5004">
        <w:t>,</w:t>
      </w:r>
      <w:r w:rsidR="00DE5448">
        <w:t xml:space="preserve"> such as the </w:t>
      </w:r>
      <w:r w:rsidR="00DE5448" w:rsidRPr="00DE5448">
        <w:t xml:space="preserve">Commonwealth Scientific and Industrial Research Organisation </w:t>
      </w:r>
      <w:r w:rsidR="00DE5448">
        <w:t>(CSIRO)</w:t>
      </w:r>
      <w:r w:rsidR="005F5004">
        <w:t>,</w:t>
      </w:r>
      <w:r>
        <w:t xml:space="preserve"> </w:t>
      </w:r>
      <w:r w:rsidR="00DE5448">
        <w:t>undert</w:t>
      </w:r>
      <w:r w:rsidR="00CC406B">
        <w:t>a</w:t>
      </w:r>
      <w:r w:rsidR="00DE5448">
        <w:t>k</w:t>
      </w:r>
      <w:r w:rsidR="00CC406B">
        <w:t>e</w:t>
      </w:r>
      <w:r w:rsidR="00DE5448">
        <w:t xml:space="preserve"> the research directly. </w:t>
      </w:r>
      <w:r>
        <w:t>Governments also offer a range of tax concessions, grants and other inducements to the private sector to boost their R&amp;D, and in some cases assist them through the commercialisation process.</w:t>
      </w:r>
      <w:r w:rsidR="00DE5448">
        <w:t xml:space="preserve"> </w:t>
      </w:r>
      <w:r w:rsidR="00CC406B">
        <w:t xml:space="preserve">This assistance is </w:t>
      </w:r>
      <w:r w:rsidR="00202E9A">
        <w:t xml:space="preserve">provided on the basis </w:t>
      </w:r>
      <w:r w:rsidR="00DE5448">
        <w:t xml:space="preserve">that, without assistance, markets would undertake insufficient </w:t>
      </w:r>
      <w:r w:rsidR="008C31B7">
        <w:t>R&amp;D</w:t>
      </w:r>
      <w:r w:rsidR="00CC406B">
        <w:t>,</w:t>
      </w:r>
      <w:r w:rsidR="00DE5448">
        <w:t xml:space="preserve"> as they would not take into account the external</w:t>
      </w:r>
      <w:r w:rsidR="00F208BF">
        <w:t xml:space="preserve"> benefits arising to others from their </w:t>
      </w:r>
      <w:r w:rsidR="00CC406B">
        <w:t>research</w:t>
      </w:r>
      <w:r w:rsidR="00F208BF">
        <w:t>.</w:t>
      </w:r>
      <w:r w:rsidR="0066337A">
        <w:t xml:space="preserve"> </w:t>
      </w:r>
    </w:p>
    <w:p w14:paraId="0D652153" w14:textId="77777777" w:rsidR="00283C7A" w:rsidRDefault="0072157D" w:rsidP="0072157D">
      <w:pPr>
        <w:pStyle w:val="BodyText"/>
      </w:pPr>
      <w:r>
        <w:rPr>
          <w:lang w:val="en-US"/>
        </w:rPr>
        <w:t>Australian government</w:t>
      </w:r>
      <w:r w:rsidR="00262FCB">
        <w:rPr>
          <w:lang w:val="en-US"/>
        </w:rPr>
        <w:t>s</w:t>
      </w:r>
      <w:r>
        <w:t xml:space="preserve"> </w:t>
      </w:r>
      <w:r w:rsidR="00262FCB">
        <w:t>have also invested in maker spaces, incubators, and accelerators with the hope of attracting entrepreneurs and building critical mass to attract skills and investors. Together this</w:t>
      </w:r>
      <w:r>
        <w:t xml:space="preserve"> loose grouping of a wide range of different policies</w:t>
      </w:r>
      <w:r w:rsidR="00262FCB">
        <w:t xml:space="preserve"> are governments’ attempts to support Australian firms to </w:t>
      </w:r>
      <w:r w:rsidR="00AD1018">
        <w:t>innovate</w:t>
      </w:r>
      <w:r w:rsidR="00283C7A">
        <w:t>.</w:t>
      </w:r>
    </w:p>
    <w:p w14:paraId="0D652154" w14:textId="77777777" w:rsidR="0072157D" w:rsidRDefault="00D20C0A" w:rsidP="0072157D">
      <w:pPr>
        <w:pStyle w:val="BodyText"/>
      </w:pPr>
      <w:r>
        <w:t xml:space="preserve">The </w:t>
      </w:r>
      <w:r w:rsidR="0072157D">
        <w:rPr>
          <w:lang w:val="en-US"/>
        </w:rPr>
        <w:t>Australian Government</w:t>
      </w:r>
      <w:r w:rsidR="0072157D">
        <w:t xml:space="preserve"> brought many of the</w:t>
      </w:r>
      <w:r w:rsidR="00AD1018">
        <w:t>ir</w:t>
      </w:r>
      <w:r w:rsidR="0072157D">
        <w:t xml:space="preserve"> separate, but related, policies together </w:t>
      </w:r>
      <w:r>
        <w:t xml:space="preserve">in 2015 </w:t>
      </w:r>
      <w:r w:rsidR="0072157D">
        <w:t xml:space="preserve">under the </w:t>
      </w:r>
      <w:r w:rsidR="0072157D" w:rsidRPr="00940E5E">
        <w:rPr>
          <w:i/>
        </w:rPr>
        <w:t>National Innovation and Science Agenda</w:t>
      </w:r>
      <w:r w:rsidR="0072157D">
        <w:t xml:space="preserve"> </w:t>
      </w:r>
      <w:r w:rsidR="00122F5C" w:rsidRPr="00122F5C">
        <w:rPr>
          <w:szCs w:val="24"/>
        </w:rPr>
        <w:t>(Commonwealth of Australia 2015)</w:t>
      </w:r>
      <w:r w:rsidR="0072157D">
        <w:t>.</w:t>
      </w:r>
    </w:p>
    <w:p w14:paraId="0D652155" w14:textId="77777777" w:rsidR="00283C7A" w:rsidRDefault="00283C7A" w:rsidP="0072157D">
      <w:pPr>
        <w:pStyle w:val="BodyText"/>
      </w:pPr>
      <w:r>
        <w:t xml:space="preserve">This paper seeks to provide an overview of </w:t>
      </w:r>
      <w:r>
        <w:rPr>
          <w:lang w:val="en-US"/>
        </w:rPr>
        <w:t>Australian Government</w:t>
      </w:r>
      <w:r>
        <w:t xml:space="preserve"> innovation policy. It commences by outlining the key Australian Government policies that target innovation (</w:t>
      </w:r>
      <w:r w:rsidRPr="0005747D">
        <w:t>section 1).</w:t>
      </w:r>
      <w:r>
        <w:t xml:space="preserve"> It then</w:t>
      </w:r>
      <w:r w:rsidDel="008C31B7">
        <w:t xml:space="preserve"> </w:t>
      </w:r>
      <w:r w:rsidR="008C31B7">
        <w:t xml:space="preserve">outlines </w:t>
      </w:r>
      <w:r>
        <w:t>some other Australian Government policies that, while pursuing other objectives, also support innovation (</w:t>
      </w:r>
      <w:r w:rsidRPr="0005747D">
        <w:t>section 2</w:t>
      </w:r>
      <w:r>
        <w:t>). The paper then provides an overview of a data framework being developed that could support future analysis of innovation policy in Australia (</w:t>
      </w:r>
      <w:r w:rsidRPr="0005747D">
        <w:t>section 3</w:t>
      </w:r>
      <w:r>
        <w:t xml:space="preserve">). It then provides some selected statistics </w:t>
      </w:r>
      <w:r w:rsidR="005177B0">
        <w:t xml:space="preserve">on innovation in Australia </w:t>
      </w:r>
      <w:r>
        <w:t>(</w:t>
      </w:r>
      <w:r w:rsidRPr="0005747D">
        <w:t>section 4</w:t>
      </w:r>
      <w:r>
        <w:t>)</w:t>
      </w:r>
      <w:r w:rsidR="005177B0">
        <w:t>. The paper draws some policy</w:t>
      </w:r>
      <w:r w:rsidR="005177B0">
        <w:noBreakHyphen/>
        <w:t xml:space="preserve">relevant findings from </w:t>
      </w:r>
      <w:r>
        <w:t xml:space="preserve">some recent reviews </w:t>
      </w:r>
      <w:r w:rsidR="005177B0">
        <w:t xml:space="preserve">of innovation policy in Australia </w:t>
      </w:r>
      <w:r>
        <w:t>(</w:t>
      </w:r>
      <w:r w:rsidRPr="0005747D">
        <w:t>section 5</w:t>
      </w:r>
      <w:r>
        <w:t xml:space="preserve">). </w:t>
      </w:r>
      <w:r w:rsidR="005177B0">
        <w:t xml:space="preserve">It </w:t>
      </w:r>
      <w:r>
        <w:t xml:space="preserve">concludes </w:t>
      </w:r>
      <w:r w:rsidR="005177B0">
        <w:t xml:space="preserve">by raising </w:t>
      </w:r>
      <w:r>
        <w:t xml:space="preserve">some issues for </w:t>
      </w:r>
      <w:r w:rsidR="005177B0">
        <w:t xml:space="preserve">Australian innovation </w:t>
      </w:r>
      <w:r>
        <w:t>policy (</w:t>
      </w:r>
      <w:r w:rsidRPr="0005747D">
        <w:t>section 6</w:t>
      </w:r>
      <w:r>
        <w:t>)</w:t>
      </w:r>
      <w:r w:rsidR="00FC303E">
        <w:t>.</w:t>
      </w:r>
    </w:p>
    <w:p w14:paraId="0D652156" w14:textId="77777777" w:rsidR="00854A2B" w:rsidRDefault="00F97E1E" w:rsidP="00854A2B">
      <w:pPr>
        <w:pStyle w:val="Heading2"/>
      </w:pPr>
      <w:bookmarkStart w:id="10" w:name="_Toc488850405"/>
      <w:r>
        <w:rPr>
          <w:noProof/>
        </w:rPr>
        <w:t>1</w:t>
      </w:r>
      <w:r w:rsidR="00854A2B">
        <w:tab/>
      </w:r>
      <w:r w:rsidR="00AD1018">
        <w:t xml:space="preserve">The Australian </w:t>
      </w:r>
      <w:r w:rsidR="00F16C5B">
        <w:t>G</w:t>
      </w:r>
      <w:r w:rsidR="00AD1018">
        <w:t>overnment’s innovation policy</w:t>
      </w:r>
      <w:bookmarkEnd w:id="10"/>
    </w:p>
    <w:p w14:paraId="0D652157" w14:textId="77777777" w:rsidR="004877FA" w:rsidRPr="0072157D" w:rsidRDefault="004877FA" w:rsidP="004877FA">
      <w:pPr>
        <w:pStyle w:val="Heading3"/>
      </w:pPr>
      <w:r>
        <w:t>Government expenditure</w:t>
      </w:r>
    </w:p>
    <w:p w14:paraId="0D652158" w14:textId="5C835913" w:rsidR="00D431E9" w:rsidRDefault="00D431E9" w:rsidP="0043109E">
      <w:pPr>
        <w:pStyle w:val="BodyText"/>
      </w:pPr>
      <w:r>
        <w:t xml:space="preserve">The Australian Government </w:t>
      </w:r>
      <w:r w:rsidR="0072157D">
        <w:t xml:space="preserve">spent </w:t>
      </w:r>
      <w:r>
        <w:t>$</w:t>
      </w:r>
      <w:r w:rsidR="00B62D0B">
        <w:t>10</w:t>
      </w:r>
      <w:r>
        <w:t>.</w:t>
      </w:r>
      <w:r w:rsidR="00B62D0B">
        <w:t>1 </w:t>
      </w:r>
      <w:r>
        <w:t xml:space="preserve">billion on </w:t>
      </w:r>
      <w:r w:rsidR="005F5004">
        <w:t>research and other measures to support innovation</w:t>
      </w:r>
      <w:r w:rsidR="0072157D">
        <w:t xml:space="preserve"> </w:t>
      </w:r>
      <w:r>
        <w:t>in 2015</w:t>
      </w:r>
      <w:r>
        <w:noBreakHyphen/>
        <w:t>16 (figure </w:t>
      </w:r>
      <w:r w:rsidR="006A42C5">
        <w:t>1</w:t>
      </w:r>
      <w:r>
        <w:t>).</w:t>
      </w:r>
      <w:r w:rsidR="00913D66" w:rsidRPr="002A779A">
        <w:rPr>
          <w:rStyle w:val="FootnoteReference"/>
        </w:rPr>
        <w:footnoteReference w:id="2"/>
      </w:r>
      <w:r w:rsidR="00AE10C2">
        <w:t xml:space="preserve"> The full list of Australian Government expenditure on innovation, science and R&amp;D in this year is detailed in appendix B.</w:t>
      </w:r>
    </w:p>
    <w:p w14:paraId="0D652159" w14:textId="77777777" w:rsidR="00F208BF" w:rsidRDefault="00F208BF" w:rsidP="00F208BF">
      <w:pPr>
        <w:pStyle w:val="BodyText"/>
      </w:pPr>
      <w:r>
        <w:t>One</w:t>
      </w:r>
      <w:r>
        <w:noBreakHyphen/>
        <w:t xml:space="preserve">third of this </w:t>
      </w:r>
      <w:r w:rsidR="00D431E9">
        <w:t xml:space="preserve">expenditure </w:t>
      </w:r>
      <w:r>
        <w:t>was directed towards the business sector, primarily through tax measures aimed at encouraging R&amp;D.</w:t>
      </w:r>
      <w:r w:rsidR="002855F9">
        <w:t xml:space="preserve"> Government research activities accounted for one</w:t>
      </w:r>
      <w:r w:rsidR="0097670F">
        <w:noBreakHyphen/>
      </w:r>
      <w:r w:rsidR="002855F9">
        <w:t>fi</w:t>
      </w:r>
      <w:r w:rsidR="001B02DC">
        <w:t>f</w:t>
      </w:r>
      <w:r w:rsidR="002855F9">
        <w:t>th of this investment, with the remainder target</w:t>
      </w:r>
      <w:r w:rsidR="0072157D">
        <w:t>ing</w:t>
      </w:r>
      <w:r w:rsidR="002855F9">
        <w:t xml:space="preserve"> research (by universities, </w:t>
      </w:r>
      <w:r w:rsidR="00854A2B" w:rsidRPr="00854A2B">
        <w:t xml:space="preserve">rural research </w:t>
      </w:r>
      <w:r w:rsidR="00854A2B">
        <w:t>and</w:t>
      </w:r>
      <w:r w:rsidR="00854A2B" w:rsidRPr="00854A2B">
        <w:t xml:space="preserve"> development corporations </w:t>
      </w:r>
      <w:r w:rsidR="00854A2B">
        <w:t>(</w:t>
      </w:r>
      <w:r w:rsidR="007129A2">
        <w:t>r</w:t>
      </w:r>
      <w:r w:rsidR="00D3129E">
        <w:t xml:space="preserve">ural </w:t>
      </w:r>
      <w:r w:rsidR="002855F9">
        <w:t>RDCs</w:t>
      </w:r>
      <w:r w:rsidR="00854A2B">
        <w:t>)</w:t>
      </w:r>
      <w:r w:rsidR="008259C4">
        <w:t xml:space="preserve">, </w:t>
      </w:r>
      <w:r w:rsidR="008259C4" w:rsidRPr="00854A2B">
        <w:t xml:space="preserve">cooperative research centres </w:t>
      </w:r>
      <w:r w:rsidR="008259C4">
        <w:t>(CRC</w:t>
      </w:r>
      <w:r w:rsidR="0097670F">
        <w:t>s</w:t>
      </w:r>
      <w:r w:rsidR="008259C4">
        <w:t>)</w:t>
      </w:r>
      <w:r w:rsidR="002855F9">
        <w:t xml:space="preserve"> and through grants).</w:t>
      </w:r>
    </w:p>
    <w:p w14:paraId="0D65215A" w14:textId="77777777" w:rsidR="00E421C9" w:rsidRDefault="00E421C9" w:rsidP="00E421C9">
      <w:pPr>
        <w:pStyle w:val="BodyText"/>
      </w:pPr>
      <w:r>
        <w:t xml:space="preserve">Expenditure across each of these sectors includes </w:t>
      </w:r>
      <w:r w:rsidR="008C31B7">
        <w:t xml:space="preserve">a </w:t>
      </w:r>
      <w:r>
        <w:t xml:space="preserve">mix of </w:t>
      </w:r>
      <w:r w:rsidR="008C31B7">
        <w:t xml:space="preserve">institutional </w:t>
      </w:r>
      <w:r>
        <w:t>and grant funding.</w:t>
      </w:r>
    </w:p>
    <w:p w14:paraId="0D65215B" w14:textId="77777777" w:rsidR="00E421C9" w:rsidRDefault="00E421C9" w:rsidP="00E421C9">
      <w:pPr>
        <w:pStyle w:val="BodyText"/>
      </w:pPr>
      <w:r>
        <w:t xml:space="preserve">There were 150 separate </w:t>
      </w:r>
      <w:r>
        <w:rPr>
          <w:lang w:val="en-US"/>
        </w:rPr>
        <w:t>Australian Government</w:t>
      </w:r>
      <w:r>
        <w:t xml:space="preserve"> funded innovation programmes or activities in the 2015</w:t>
      </w:r>
      <w:r>
        <w:noBreakHyphen/>
        <w:t xml:space="preserve">16 budget </w:t>
      </w:r>
      <w:r w:rsidRPr="005B3829">
        <w:rPr>
          <w:szCs w:val="24"/>
        </w:rPr>
        <w:t>(DIIS 2016)</w:t>
      </w:r>
      <w:r>
        <w:t xml:space="preserve">. Expenditure on these initiatives totalled $10.1 billion. This is a conservative estimate of all initiatives and funding, as it excludes related </w:t>
      </w:r>
      <w:r>
        <w:rPr>
          <w:lang w:val="en-US"/>
        </w:rPr>
        <w:t>Australian Government</w:t>
      </w:r>
      <w:r>
        <w:t xml:space="preserve"> programmes and those of state and territory governments.</w:t>
      </w:r>
    </w:p>
    <w:p w14:paraId="0D65215C" w14:textId="77777777" w:rsidR="00F208BF" w:rsidRDefault="00F208BF" w:rsidP="001F620B">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208BF" w14:paraId="0D65215E" w14:textId="77777777" w:rsidTr="00B0510F">
        <w:trPr>
          <w:tblHeader/>
        </w:trPr>
        <w:tc>
          <w:tcPr>
            <w:tcW w:w="8771" w:type="dxa"/>
            <w:tcBorders>
              <w:top w:val="single" w:sz="6" w:space="0" w:color="78A22F"/>
              <w:left w:val="nil"/>
              <w:bottom w:val="nil"/>
              <w:right w:val="nil"/>
            </w:tcBorders>
            <w:shd w:val="clear" w:color="auto" w:fill="auto"/>
          </w:tcPr>
          <w:p w14:paraId="0D65215D" w14:textId="77777777" w:rsidR="00F208BF" w:rsidRPr="00176D3F" w:rsidRDefault="00F208BF" w:rsidP="00474135">
            <w:pPr>
              <w:pStyle w:val="FigureTitle"/>
            </w:pPr>
            <w:r w:rsidRPr="00784A05">
              <w:rPr>
                <w:b w:val="0"/>
              </w:rPr>
              <w:t xml:space="preserve">Figure </w:t>
            </w:r>
            <w:bookmarkStart w:id="11" w:name="OLE_LINK2"/>
            <w:r w:rsidR="00F97E1E">
              <w:rPr>
                <w:b w:val="0"/>
                <w:noProof/>
              </w:rPr>
              <w:t>1</w:t>
            </w:r>
            <w:bookmarkEnd w:id="11"/>
            <w:r>
              <w:tab/>
              <w:t>Australian Government investment in R&amp;D, 2015</w:t>
            </w:r>
            <w:r>
              <w:noBreakHyphen/>
              <w:t>16</w:t>
            </w:r>
          </w:p>
        </w:tc>
      </w:tr>
      <w:tr w:rsidR="00F208BF" w14:paraId="0D652162"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208BF" w:rsidRPr="00B1465D" w14:paraId="0D652160" w14:textId="77777777" w:rsidTr="001F620B">
              <w:trPr>
                <w:tblHeader/>
                <w:jc w:val="center"/>
              </w:trPr>
              <w:tc>
                <w:tcPr>
                  <w:tcW w:w="5000" w:type="pct"/>
                  <w:tcBorders>
                    <w:top w:val="nil"/>
                    <w:bottom w:val="nil"/>
                  </w:tcBorders>
                </w:tcPr>
                <w:p w14:paraId="0D65215F" w14:textId="35D5FCC2" w:rsidR="00F208BF" w:rsidRPr="00B1465D" w:rsidRDefault="006E3D75">
                  <w:pPr>
                    <w:pStyle w:val="Figure"/>
                    <w:spacing w:before="60" w:after="60"/>
                    <w:rPr>
                      <w:rFonts w:ascii="Arial" w:hAnsi="Arial" w:cs="Arial"/>
                      <w:sz w:val="18"/>
                      <w:szCs w:val="18"/>
                    </w:rPr>
                  </w:pPr>
                  <w:r w:rsidRPr="006E3D75">
                    <w:rPr>
                      <w:rFonts w:ascii="Arial" w:hAnsi="Arial" w:cs="Arial"/>
                      <w:noProof/>
                      <w:sz w:val="18"/>
                      <w:szCs w:val="18"/>
                    </w:rPr>
                    <w:drawing>
                      <wp:inline distT="0" distB="0" distL="0" distR="0" wp14:anchorId="0A116440" wp14:editId="6DC64179">
                        <wp:extent cx="5403850" cy="2876550"/>
                        <wp:effectExtent l="0" t="0" r="6350" b="0"/>
                        <wp:docPr id="2" name="Picture 2" descr="The figure shows Australian Government investment in research and development in 2015-16 broken down by sector (expressed in million dollars). The Australian Government spent $10.1 billion on research and other measures to support innovation in 2015-16. Expenditure on Australian Government research activities was $1.8 billion; business sector was $3.4 billion; higher education sector $3.5 billion; and multi sector was $1.4 billion. This expenditure was spread over a wide range of areas, with the main areas being: research and development tax measures, university block research funding, Australian Research Council grants, National Health and Medical Research Council funding, and funding of the Commonwealth Scientific Industrial Research Organisation."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161" w14:textId="77777777" w:rsidR="00F208BF" w:rsidRDefault="00F208BF" w:rsidP="001F620B">
            <w:pPr>
              <w:pStyle w:val="Figure"/>
            </w:pPr>
          </w:p>
        </w:tc>
      </w:tr>
      <w:tr w:rsidR="00F208BF" w:rsidRPr="00176D3F" w14:paraId="0D652164" w14:textId="77777777" w:rsidTr="00B0510F">
        <w:tc>
          <w:tcPr>
            <w:tcW w:w="8771" w:type="dxa"/>
            <w:tcBorders>
              <w:top w:val="nil"/>
              <w:left w:val="nil"/>
              <w:bottom w:val="nil"/>
              <w:right w:val="nil"/>
            </w:tcBorders>
            <w:shd w:val="clear" w:color="auto" w:fill="auto"/>
          </w:tcPr>
          <w:p w14:paraId="0D652163" w14:textId="6F25CE22" w:rsidR="00F208BF" w:rsidRPr="00176D3F" w:rsidRDefault="00C7225D" w:rsidP="00122F5C">
            <w:pPr>
              <w:pStyle w:val="Source"/>
            </w:pPr>
            <w:r>
              <w:rPr>
                <w:i/>
              </w:rPr>
              <w:t>S</w:t>
            </w:r>
            <w:r w:rsidR="00F208BF" w:rsidRPr="00784A05">
              <w:rPr>
                <w:i/>
              </w:rPr>
              <w:t>ource</w:t>
            </w:r>
            <w:r w:rsidR="00F208BF" w:rsidRPr="00176D3F">
              <w:t xml:space="preserve">: </w:t>
            </w:r>
            <w:r w:rsidR="00B62D0B">
              <w:t>DIIS </w:t>
            </w:r>
            <w:r w:rsidR="00B62D0B" w:rsidRPr="00D8604B">
              <w:rPr>
                <w:rFonts w:cs="Arial"/>
              </w:rPr>
              <w:t>(2016)</w:t>
            </w:r>
            <w:r w:rsidR="00B62D0B">
              <w:t>.</w:t>
            </w:r>
          </w:p>
        </w:tc>
      </w:tr>
      <w:tr w:rsidR="00F208BF" w14:paraId="0D652166" w14:textId="77777777" w:rsidTr="00B0510F">
        <w:tc>
          <w:tcPr>
            <w:tcW w:w="8771" w:type="dxa"/>
            <w:tcBorders>
              <w:top w:val="nil"/>
              <w:left w:val="nil"/>
              <w:bottom w:val="single" w:sz="6" w:space="0" w:color="78A22F"/>
              <w:right w:val="nil"/>
            </w:tcBorders>
            <w:shd w:val="clear" w:color="auto" w:fill="auto"/>
          </w:tcPr>
          <w:p w14:paraId="0D652165" w14:textId="77777777" w:rsidR="00F208BF" w:rsidRDefault="00F208BF" w:rsidP="001F620B">
            <w:pPr>
              <w:pStyle w:val="Figurespace"/>
            </w:pPr>
          </w:p>
        </w:tc>
      </w:tr>
      <w:tr w:rsidR="00F208BF" w:rsidRPr="000863A5" w14:paraId="0D652168" w14:textId="77777777" w:rsidTr="00B0510F">
        <w:tc>
          <w:tcPr>
            <w:tcW w:w="8771" w:type="dxa"/>
            <w:tcBorders>
              <w:top w:val="single" w:sz="6" w:space="0" w:color="78A22F"/>
              <w:left w:val="nil"/>
              <w:bottom w:val="nil"/>
              <w:right w:val="nil"/>
            </w:tcBorders>
          </w:tcPr>
          <w:p w14:paraId="0D652167" w14:textId="77777777" w:rsidR="00F208BF" w:rsidRPr="00626D32" w:rsidRDefault="00F208BF" w:rsidP="001F620B">
            <w:pPr>
              <w:pStyle w:val="BoxSpaceBelow"/>
            </w:pPr>
          </w:p>
        </w:tc>
      </w:tr>
    </w:tbl>
    <w:p w14:paraId="0D652169" w14:textId="77777777" w:rsidR="0067258B" w:rsidRPr="001B02DC" w:rsidRDefault="0067258B" w:rsidP="0067258B">
      <w:pPr>
        <w:pStyle w:val="Heading3"/>
      </w:pPr>
      <w:r>
        <w:t>Research organisations</w:t>
      </w:r>
    </w:p>
    <w:p w14:paraId="0D65216A" w14:textId="77777777" w:rsidR="00DD0D2F" w:rsidRPr="001B02DC" w:rsidRDefault="00DD0D2F" w:rsidP="0067258B">
      <w:pPr>
        <w:pStyle w:val="Heading4"/>
      </w:pPr>
      <w:r>
        <w:t>Government research organisations</w:t>
      </w:r>
    </w:p>
    <w:p w14:paraId="0D65216B" w14:textId="77777777" w:rsidR="0067258B" w:rsidRDefault="001B02DC" w:rsidP="00415241">
      <w:pPr>
        <w:pStyle w:val="BodyText"/>
      </w:pPr>
      <w:r>
        <w:t xml:space="preserve">The Australian </w:t>
      </w:r>
      <w:r w:rsidR="002B30EE">
        <w:t xml:space="preserve">Government </w:t>
      </w:r>
      <w:r>
        <w:t>spent $1.8 billion o</w:t>
      </w:r>
      <w:r w:rsidR="00BC51A5">
        <w:t>n</w:t>
      </w:r>
      <w:r>
        <w:t xml:space="preserve"> </w:t>
      </w:r>
      <w:r w:rsidR="00BC51A5">
        <w:t xml:space="preserve">the </w:t>
      </w:r>
      <w:r>
        <w:t xml:space="preserve">research activities </w:t>
      </w:r>
      <w:r w:rsidR="00BC51A5">
        <w:t xml:space="preserve">of </w:t>
      </w:r>
      <w:r w:rsidR="00415241">
        <w:t>16 </w:t>
      </w:r>
      <w:r w:rsidR="00BC51A5">
        <w:t xml:space="preserve">government agencies </w:t>
      </w:r>
      <w:r>
        <w:t>in 2015</w:t>
      </w:r>
      <w:r w:rsidR="004B3C99">
        <w:noBreakHyphen/>
      </w:r>
      <w:r>
        <w:t>16</w:t>
      </w:r>
      <w:r w:rsidR="00415241">
        <w:t xml:space="preserve"> (table A.1 at the end of this paper)</w:t>
      </w:r>
      <w:r w:rsidR="0067258B">
        <w:t>.</w:t>
      </w:r>
    </w:p>
    <w:p w14:paraId="0D65216C" w14:textId="77777777" w:rsidR="00E600AA" w:rsidRDefault="00E600AA" w:rsidP="00E600AA">
      <w:pPr>
        <w:pStyle w:val="BodyText"/>
      </w:pPr>
      <w:r>
        <w:t xml:space="preserve">Of these, the two main </w:t>
      </w:r>
      <w:r w:rsidR="00BC51A5">
        <w:t>Australian G</w:t>
      </w:r>
      <w:r>
        <w:t>overnment research organisations are:</w:t>
      </w:r>
    </w:p>
    <w:p w14:paraId="0D65216D" w14:textId="77777777" w:rsidR="00E600AA" w:rsidRDefault="00E600AA" w:rsidP="00E600AA">
      <w:pPr>
        <w:pStyle w:val="ListBullet"/>
      </w:pPr>
      <w:r>
        <w:t>the CSIRO ($750 million)</w:t>
      </w:r>
    </w:p>
    <w:p w14:paraId="0D65216E" w14:textId="77777777" w:rsidR="00E600AA" w:rsidRDefault="00E600AA" w:rsidP="00E600AA">
      <w:pPr>
        <w:pStyle w:val="ListBullet"/>
      </w:pPr>
      <w:r>
        <w:t>the Defence Science Technology Group ($464 million).</w:t>
      </w:r>
    </w:p>
    <w:p w14:paraId="0D65216F" w14:textId="77777777" w:rsidR="00E600AA" w:rsidRPr="001B02DC" w:rsidRDefault="00E600AA" w:rsidP="00E600AA">
      <w:pPr>
        <w:pStyle w:val="BodyText"/>
      </w:pPr>
      <w:r>
        <w:t>Funding of the remaining government research organisations totalled $621 million.</w:t>
      </w:r>
    </w:p>
    <w:p w14:paraId="0D652170" w14:textId="77777777" w:rsidR="00DD0D2F" w:rsidRDefault="00DD0D2F" w:rsidP="0067258B">
      <w:pPr>
        <w:pStyle w:val="Heading4"/>
      </w:pPr>
      <w:r>
        <w:t>The higher education sector</w:t>
      </w:r>
    </w:p>
    <w:p w14:paraId="0D652171" w14:textId="77777777" w:rsidR="00BC51A5" w:rsidRDefault="00FA7227" w:rsidP="00FA7227">
      <w:pPr>
        <w:pStyle w:val="BodyText"/>
      </w:pPr>
      <w:r>
        <w:t xml:space="preserve">The Australian </w:t>
      </w:r>
      <w:r w:rsidR="00BC51A5">
        <w:t xml:space="preserve">Government </w:t>
      </w:r>
      <w:r>
        <w:t>spent $</w:t>
      </w:r>
      <w:r w:rsidR="00867448">
        <w:t>3.</w:t>
      </w:r>
      <w:r w:rsidR="00E20BF6">
        <w:t>5 </w:t>
      </w:r>
      <w:r>
        <w:t>billion o</w:t>
      </w:r>
      <w:r w:rsidR="00BC51A5">
        <w:t>n</w:t>
      </w:r>
      <w:r>
        <w:t xml:space="preserve"> </w:t>
      </w:r>
      <w:r w:rsidR="00BC51A5">
        <w:t xml:space="preserve">research and innovation undertaken by the </w:t>
      </w:r>
      <w:r>
        <w:t>higher education sector in 2015</w:t>
      </w:r>
      <w:r>
        <w:noBreakHyphen/>
        <w:t>16</w:t>
      </w:r>
      <w:r w:rsidR="00763A8F">
        <w:t xml:space="preserve"> (figure </w:t>
      </w:r>
      <w:r w:rsidR="00EC3F48">
        <w:t>1</w:t>
      </w:r>
      <w:r w:rsidR="00763A8F">
        <w:t>)</w:t>
      </w:r>
      <w:r w:rsidR="00EC3F48">
        <w:t>.</w:t>
      </w:r>
      <w:r>
        <w:t xml:space="preserve"> The main government </w:t>
      </w:r>
      <w:r w:rsidR="00BC51A5">
        <w:t>funding covers:</w:t>
      </w:r>
    </w:p>
    <w:p w14:paraId="0D652172" w14:textId="77777777" w:rsidR="00BC51A5" w:rsidRDefault="00EC3F48" w:rsidP="00BC51A5">
      <w:pPr>
        <w:pStyle w:val="ListBullet"/>
      </w:pPr>
      <w:r>
        <w:t xml:space="preserve">performance based </w:t>
      </w:r>
      <w:r w:rsidR="00BC51A5">
        <w:t xml:space="preserve">block funding </w:t>
      </w:r>
      <w:r>
        <w:t xml:space="preserve">to fund university research </w:t>
      </w:r>
      <w:r w:rsidR="00BC51A5">
        <w:t>($2 billion)</w:t>
      </w:r>
    </w:p>
    <w:p w14:paraId="0D652173" w14:textId="77777777" w:rsidR="00BC51A5" w:rsidRDefault="008259C4" w:rsidP="00BC51A5">
      <w:pPr>
        <w:pStyle w:val="ListBullet"/>
      </w:pPr>
      <w:r w:rsidRPr="008259C4">
        <w:t>Australian Research Council (ARC)</w:t>
      </w:r>
      <w:r w:rsidR="00FA7227">
        <w:t xml:space="preserve"> grants ($</w:t>
      </w:r>
      <w:r>
        <w:t>816</w:t>
      </w:r>
      <w:r w:rsidR="00FA7227">
        <w:t> </w:t>
      </w:r>
      <w:r w:rsidR="00BC51A5">
        <w:t>m</w:t>
      </w:r>
      <w:r w:rsidR="00FA7227">
        <w:t>illion</w:t>
      </w:r>
      <w:r w:rsidR="00A51916">
        <w:t>)</w:t>
      </w:r>
    </w:p>
    <w:p w14:paraId="0D652174" w14:textId="77777777" w:rsidR="00FE0B4F" w:rsidRDefault="007129A2" w:rsidP="00FE0B4F">
      <w:pPr>
        <w:pStyle w:val="ListBullet"/>
      </w:pPr>
      <w:r>
        <w:t>National Health and</w:t>
      </w:r>
      <w:r w:rsidR="00FE0B4F" w:rsidRPr="008259C4">
        <w:t xml:space="preserve"> Medical Research Council </w:t>
      </w:r>
      <w:r w:rsidR="00FE0B4F">
        <w:t>(NHMR</w:t>
      </w:r>
      <w:r w:rsidR="009E0FA5">
        <w:t>C) ($653 million)</w:t>
      </w:r>
    </w:p>
    <w:p w14:paraId="0D652175" w14:textId="77777777" w:rsidR="00FA7227" w:rsidRDefault="00FE0B4F" w:rsidP="00FE0B4F">
      <w:pPr>
        <w:pStyle w:val="ListBullet"/>
      </w:pPr>
      <w:r>
        <w:t xml:space="preserve">other </w:t>
      </w:r>
      <w:r w:rsidRPr="00FE0B4F">
        <w:t>Higher Education R&amp;D</w:t>
      </w:r>
      <w:r w:rsidR="00B44FBB">
        <w:t xml:space="preserve"> </w:t>
      </w:r>
      <w:r w:rsidR="00A51916">
        <w:t>(</w:t>
      </w:r>
      <w:r w:rsidR="00B44FBB">
        <w:t>$</w:t>
      </w:r>
      <w:r>
        <w:t>43 </w:t>
      </w:r>
      <w:r w:rsidR="00B44FBB">
        <w:t>million</w:t>
      </w:r>
      <w:r w:rsidR="00E54A5C">
        <w:t>)</w:t>
      </w:r>
      <w:r w:rsidR="00EC3F48">
        <w:t xml:space="preserve"> (figure 2)</w:t>
      </w:r>
      <w:r w:rsidR="00E54A5C">
        <w:t>.</w:t>
      </w:r>
    </w:p>
    <w:p w14:paraId="0D652176" w14:textId="77777777" w:rsidR="00E600AA" w:rsidRDefault="004B3C99" w:rsidP="00FA7227">
      <w:pPr>
        <w:pStyle w:val="BodyText"/>
      </w:pPr>
      <w:r w:rsidRPr="00F16C5B">
        <w:t xml:space="preserve">Research </w:t>
      </w:r>
      <w:r w:rsidR="00EC3F48">
        <w:t xml:space="preserve">performance </w:t>
      </w:r>
      <w:r w:rsidRPr="00F16C5B">
        <w:t>block funding grants were provided to 42 </w:t>
      </w:r>
      <w:r w:rsidR="0093153D" w:rsidRPr="00F16C5B">
        <w:t>higher education providers</w:t>
      </w:r>
      <w:r w:rsidRPr="00F16C5B">
        <w:t xml:space="preserve"> in 2016</w:t>
      </w:r>
      <w:r w:rsidR="00D36AE4">
        <w:t xml:space="preserve"> (table A.2 at the end of this paper)</w:t>
      </w:r>
      <w:r w:rsidR="00096886">
        <w:t>, with t</w:t>
      </w:r>
      <w:r w:rsidR="0052550F">
        <w:t xml:space="preserve">he single largest recipient </w:t>
      </w:r>
      <w:r w:rsidR="00096886">
        <w:t xml:space="preserve">being </w:t>
      </w:r>
      <w:r w:rsidR="0052550F" w:rsidRPr="0052550F">
        <w:t>The University of Melbourne</w:t>
      </w:r>
      <w:r w:rsidR="0052550F">
        <w:t xml:space="preserve"> with $185 million.</w:t>
      </w:r>
    </w:p>
    <w:p w14:paraId="0D652177" w14:textId="7267C2C3" w:rsidR="009D39E1" w:rsidRDefault="00E45C17" w:rsidP="00FA7227">
      <w:pPr>
        <w:pStyle w:val="BodyText"/>
      </w:pPr>
      <w:r>
        <w:t xml:space="preserve">In addition to research funding, </w:t>
      </w:r>
      <w:r w:rsidR="000B4AAC">
        <w:t xml:space="preserve">Australian universities received </w:t>
      </w:r>
      <w:r w:rsidR="00BF00F9">
        <w:t>an additional $19.2 billion in 2015 to fund their teaching and other activities (SP </w:t>
      </w:r>
      <w:r w:rsidR="006E3D75">
        <w:t>7</w:t>
      </w:r>
      <w:r w:rsidR="00BF00F9">
        <w:t>).</w:t>
      </w:r>
    </w:p>
    <w:p w14:paraId="0D652178" w14:textId="77777777" w:rsidR="009D39E1" w:rsidRDefault="009D39E1" w:rsidP="009D39E1">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D39E1" w14:paraId="0D65217A" w14:textId="77777777" w:rsidTr="00B0510F">
        <w:trPr>
          <w:tblHeader/>
        </w:trPr>
        <w:tc>
          <w:tcPr>
            <w:tcW w:w="8771" w:type="dxa"/>
            <w:tcBorders>
              <w:top w:val="single" w:sz="6" w:space="0" w:color="78A22F"/>
              <w:left w:val="nil"/>
              <w:bottom w:val="nil"/>
              <w:right w:val="nil"/>
            </w:tcBorders>
            <w:shd w:val="clear" w:color="auto" w:fill="auto"/>
          </w:tcPr>
          <w:p w14:paraId="0D652179" w14:textId="77777777" w:rsidR="009D39E1" w:rsidRPr="00176D3F" w:rsidRDefault="009D39E1" w:rsidP="00474135">
            <w:pPr>
              <w:pStyle w:val="FigureTitle"/>
            </w:pPr>
            <w:r w:rsidRPr="00784A05">
              <w:rPr>
                <w:b w:val="0"/>
              </w:rPr>
              <w:t xml:space="preserve">Figure </w:t>
            </w:r>
            <w:bookmarkStart w:id="12" w:name="OLE_LINK5"/>
            <w:r w:rsidR="00F97E1E">
              <w:rPr>
                <w:b w:val="0"/>
                <w:noProof/>
              </w:rPr>
              <w:t>2</w:t>
            </w:r>
            <w:bookmarkEnd w:id="12"/>
            <w:r>
              <w:tab/>
              <w:t>Australian university research funding</w:t>
            </w:r>
            <w:r w:rsidR="0024402F">
              <w:t xml:space="preserve"> by source</w:t>
            </w:r>
            <w:r>
              <w:t>, 2015</w:t>
            </w:r>
            <w:r>
              <w:noBreakHyphen/>
              <w:t>16</w:t>
            </w:r>
          </w:p>
        </w:tc>
      </w:tr>
      <w:tr w:rsidR="009D39E1" w14:paraId="0D65217E"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9D39E1" w:rsidRPr="00B1465D" w14:paraId="0D65217C" w14:textId="77777777" w:rsidTr="00283C7A">
              <w:trPr>
                <w:tblHeader/>
                <w:jc w:val="center"/>
              </w:trPr>
              <w:tc>
                <w:tcPr>
                  <w:tcW w:w="5000" w:type="pct"/>
                  <w:tcBorders>
                    <w:top w:val="nil"/>
                    <w:bottom w:val="nil"/>
                  </w:tcBorders>
                </w:tcPr>
                <w:p w14:paraId="0D65217B" w14:textId="77777777" w:rsidR="009D39E1" w:rsidRPr="00B1465D" w:rsidRDefault="00D8604B" w:rsidP="00283C7A">
                  <w:pPr>
                    <w:pStyle w:val="Figure"/>
                    <w:spacing w:before="60" w:after="60"/>
                    <w:rPr>
                      <w:rFonts w:ascii="Arial" w:hAnsi="Arial" w:cs="Arial"/>
                      <w:sz w:val="18"/>
                      <w:szCs w:val="18"/>
                    </w:rPr>
                  </w:pPr>
                  <w:r w:rsidRPr="00D8604B">
                    <w:rPr>
                      <w:rFonts w:ascii="Arial" w:hAnsi="Arial" w:cs="Arial"/>
                      <w:noProof/>
                      <w:sz w:val="18"/>
                      <w:szCs w:val="18"/>
                    </w:rPr>
                    <w:drawing>
                      <wp:inline distT="0" distB="0" distL="0" distR="0" wp14:anchorId="0D65287F" wp14:editId="0D892333">
                        <wp:extent cx="5403850" cy="2876550"/>
                        <wp:effectExtent l="0" t="0" r="6350" b="0"/>
                        <wp:docPr id="7" name="Picture 7" descr="The figure shows Australian university research funding in 2015-16 by source (expressed as percentages). The main source of university research funding were from: performance based block funding (57 per cent); the Australian Research Council (23 per cent); the National Health and Medical Research Council (19 per cent); and other sources (1 per cen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17D" w14:textId="77777777" w:rsidR="009D39E1" w:rsidRDefault="009D39E1" w:rsidP="00283C7A">
            <w:pPr>
              <w:pStyle w:val="Figure"/>
            </w:pPr>
          </w:p>
        </w:tc>
      </w:tr>
      <w:tr w:rsidR="009D39E1" w:rsidRPr="00176D3F" w14:paraId="0D652180" w14:textId="77777777" w:rsidTr="00B0510F">
        <w:tc>
          <w:tcPr>
            <w:tcW w:w="8771" w:type="dxa"/>
            <w:tcBorders>
              <w:top w:val="nil"/>
              <w:left w:val="nil"/>
              <w:bottom w:val="nil"/>
              <w:right w:val="nil"/>
            </w:tcBorders>
            <w:shd w:val="clear" w:color="auto" w:fill="auto"/>
          </w:tcPr>
          <w:p w14:paraId="0D65217F" w14:textId="7BD56D44" w:rsidR="009D39E1" w:rsidRPr="00176D3F" w:rsidRDefault="00C7225D">
            <w:pPr>
              <w:pStyle w:val="Source"/>
            </w:pPr>
            <w:r>
              <w:rPr>
                <w:i/>
              </w:rPr>
              <w:t>S</w:t>
            </w:r>
            <w:r w:rsidR="009D39E1" w:rsidRPr="00784A05">
              <w:rPr>
                <w:i/>
              </w:rPr>
              <w:t>ource</w:t>
            </w:r>
            <w:r w:rsidR="009D39E1" w:rsidRPr="00176D3F">
              <w:t>:</w:t>
            </w:r>
            <w:r w:rsidR="00D8604B">
              <w:t xml:space="preserve"> DIIS </w:t>
            </w:r>
            <w:r w:rsidR="00D8604B" w:rsidRPr="00D8604B">
              <w:rPr>
                <w:rFonts w:cs="Arial"/>
              </w:rPr>
              <w:t>(2016)</w:t>
            </w:r>
            <w:r w:rsidR="009D39E1">
              <w:t>.</w:t>
            </w:r>
          </w:p>
        </w:tc>
      </w:tr>
      <w:tr w:rsidR="009D39E1" w14:paraId="0D652182" w14:textId="77777777" w:rsidTr="00B0510F">
        <w:tc>
          <w:tcPr>
            <w:tcW w:w="8771" w:type="dxa"/>
            <w:tcBorders>
              <w:top w:val="nil"/>
              <w:left w:val="nil"/>
              <w:bottom w:val="single" w:sz="6" w:space="0" w:color="78A22F"/>
              <w:right w:val="nil"/>
            </w:tcBorders>
            <w:shd w:val="clear" w:color="auto" w:fill="auto"/>
          </w:tcPr>
          <w:p w14:paraId="0D652181" w14:textId="77777777" w:rsidR="009D39E1" w:rsidRDefault="009D39E1" w:rsidP="00283C7A">
            <w:pPr>
              <w:pStyle w:val="Figurespace"/>
            </w:pPr>
          </w:p>
        </w:tc>
      </w:tr>
      <w:tr w:rsidR="009D39E1" w:rsidRPr="000863A5" w14:paraId="0D652184" w14:textId="77777777" w:rsidTr="00B0510F">
        <w:tc>
          <w:tcPr>
            <w:tcW w:w="8771" w:type="dxa"/>
            <w:tcBorders>
              <w:top w:val="single" w:sz="6" w:space="0" w:color="78A22F"/>
              <w:left w:val="nil"/>
              <w:bottom w:val="nil"/>
              <w:right w:val="nil"/>
            </w:tcBorders>
          </w:tcPr>
          <w:p w14:paraId="0D652183" w14:textId="77777777" w:rsidR="009D39E1" w:rsidRPr="00626D32" w:rsidRDefault="009D39E1" w:rsidP="00283C7A">
            <w:pPr>
              <w:pStyle w:val="BoxSpaceBelow"/>
            </w:pPr>
          </w:p>
        </w:tc>
      </w:tr>
    </w:tbl>
    <w:p w14:paraId="0D652185" w14:textId="77777777" w:rsidR="00763A8F" w:rsidRDefault="00763A8F" w:rsidP="00763A8F">
      <w:pPr>
        <w:pStyle w:val="Heading4"/>
      </w:pPr>
      <w:r>
        <w:t>Multi</w:t>
      </w:r>
      <w:r>
        <w:noBreakHyphen/>
        <w:t>sector</w:t>
      </w:r>
    </w:p>
    <w:p w14:paraId="0D652186" w14:textId="77777777" w:rsidR="00763A8F" w:rsidRDefault="00763A8F" w:rsidP="00763A8F">
      <w:pPr>
        <w:pStyle w:val="BodyText"/>
      </w:pPr>
      <w:r>
        <w:t xml:space="preserve">Some </w:t>
      </w:r>
      <w:r w:rsidRPr="00763A8F">
        <w:t xml:space="preserve">R&amp;D </w:t>
      </w:r>
      <w:r w:rsidR="003B4515">
        <w:t xml:space="preserve">is </w:t>
      </w:r>
      <w:r w:rsidRPr="00763A8F">
        <w:t xml:space="preserve">undertaken </w:t>
      </w:r>
      <w:r w:rsidR="003B4515">
        <w:t xml:space="preserve">by more </w:t>
      </w:r>
      <w:r w:rsidR="008448F0">
        <w:t xml:space="preserve">than one </w:t>
      </w:r>
      <w:r w:rsidRPr="00763A8F">
        <w:t>sector</w:t>
      </w:r>
      <w:r w:rsidR="003B4515">
        <w:t xml:space="preserve">. For example, </w:t>
      </w:r>
      <w:r w:rsidRPr="00763A8F">
        <w:t xml:space="preserve">NHMRC </w:t>
      </w:r>
      <w:r w:rsidR="003B4515">
        <w:t xml:space="preserve">grants fund research undertaken by </w:t>
      </w:r>
      <w:r w:rsidRPr="00763A8F">
        <w:t>universities</w:t>
      </w:r>
      <w:r w:rsidR="003B4515">
        <w:t>,</w:t>
      </w:r>
      <w:r w:rsidRPr="00763A8F">
        <w:t xml:space="preserve"> medical research institutes, government bodies and hospitals.</w:t>
      </w:r>
      <w:r w:rsidR="003B4515">
        <w:t xml:space="preserve"> Other research involves joint public</w:t>
      </w:r>
      <w:r w:rsidR="003B4515">
        <w:noBreakHyphen/>
        <w:t xml:space="preserve">private sector </w:t>
      </w:r>
      <w:r w:rsidR="008448F0">
        <w:t>partnerships</w:t>
      </w:r>
      <w:r w:rsidR="003B4515">
        <w:t>.</w:t>
      </w:r>
      <w:r w:rsidR="008448F0">
        <w:t xml:space="preserve"> </w:t>
      </w:r>
    </w:p>
    <w:p w14:paraId="0D652187" w14:textId="77777777" w:rsidR="007129A2" w:rsidRDefault="007129A2" w:rsidP="007129A2">
      <w:pPr>
        <w:pStyle w:val="BodyText"/>
      </w:pPr>
      <w:r>
        <w:t>The Australian government spent $1.4 billion on multi</w:t>
      </w:r>
      <w:r>
        <w:noBreakHyphen/>
        <w:t>sectoral research in 2015</w:t>
      </w:r>
      <w:r>
        <w:noBreakHyphen/>
        <w:t>16 (figure 1). The main multi</w:t>
      </w:r>
      <w:r>
        <w:noBreakHyphen/>
        <w:t>sectoral research funding agencies are:</w:t>
      </w:r>
    </w:p>
    <w:p w14:paraId="0D652188" w14:textId="77777777" w:rsidR="00763A8F" w:rsidRDefault="007129A2" w:rsidP="00763A8F">
      <w:pPr>
        <w:pStyle w:val="ListBullet"/>
      </w:pPr>
      <w:r>
        <w:t>r</w:t>
      </w:r>
      <w:r w:rsidR="00763A8F">
        <w:t>ural RDCs ($323 million)</w:t>
      </w:r>
    </w:p>
    <w:p w14:paraId="0D652189" w14:textId="77777777" w:rsidR="00763A8F" w:rsidRDefault="00763A8F" w:rsidP="00763A8F">
      <w:pPr>
        <w:pStyle w:val="ListBullet"/>
      </w:pPr>
      <w:r>
        <w:t xml:space="preserve">NHMRC </w:t>
      </w:r>
      <w:r w:rsidR="008448F0">
        <w:t xml:space="preserve">(excluding university) </w:t>
      </w:r>
      <w:r>
        <w:t>($193 million)</w:t>
      </w:r>
    </w:p>
    <w:p w14:paraId="0D65218A" w14:textId="77777777" w:rsidR="00763A8F" w:rsidRDefault="00763A8F" w:rsidP="00763A8F">
      <w:pPr>
        <w:pStyle w:val="ListBullet"/>
      </w:pPr>
      <w:r>
        <w:t>CRCs ($141 million).</w:t>
      </w:r>
    </w:p>
    <w:p w14:paraId="0D65218B" w14:textId="77777777" w:rsidR="00763A8F" w:rsidRDefault="00763A8F" w:rsidP="00763A8F">
      <w:pPr>
        <w:pStyle w:val="BodyText"/>
      </w:pPr>
      <w:r>
        <w:t>Funding of the remaining innovation undertaken by multi</w:t>
      </w:r>
      <w:r>
        <w:noBreakHyphen/>
        <w:t>sector organisation</w:t>
      </w:r>
      <w:r w:rsidR="00566975">
        <w:t>s</w:t>
      </w:r>
      <w:r w:rsidRPr="00B44FBB">
        <w:t xml:space="preserve"> </w:t>
      </w:r>
      <w:r>
        <w:t>totalled $695 million and primarily covered R&amp;D in the areas of energy, environment and health.</w:t>
      </w:r>
    </w:p>
    <w:p w14:paraId="0D65218C" w14:textId="77777777" w:rsidR="00763A8F" w:rsidRDefault="00763A8F" w:rsidP="00763A8F">
      <w:pPr>
        <w:pStyle w:val="Heading4"/>
      </w:pPr>
      <w:r>
        <w:t xml:space="preserve">Rural </w:t>
      </w:r>
      <w:r w:rsidRPr="00811410">
        <w:t>RDC</w:t>
      </w:r>
      <w:r>
        <w:t>s</w:t>
      </w:r>
      <w:r w:rsidR="00AC22F3">
        <w:t xml:space="preserve"> and rural R&amp;D</w:t>
      </w:r>
    </w:p>
    <w:p w14:paraId="0D65218D" w14:textId="766549ED" w:rsidR="00763A8F" w:rsidRDefault="00763A8F" w:rsidP="00763A8F">
      <w:pPr>
        <w:pStyle w:val="BodyText"/>
      </w:pPr>
      <w:r w:rsidRPr="00854A2B">
        <w:t xml:space="preserve">Rural </w:t>
      </w:r>
      <w:r>
        <w:t xml:space="preserve">RDCs </w:t>
      </w:r>
      <w:r w:rsidRPr="00811410">
        <w:t>invest in R&amp;D and innovation to improve the profitability, productivity, competitiveness and long</w:t>
      </w:r>
      <w:r>
        <w:noBreakHyphen/>
      </w:r>
      <w:r w:rsidRPr="00811410">
        <w:t>term sustainability of Australia</w:t>
      </w:r>
      <w:r>
        <w:t>’</w:t>
      </w:r>
      <w:r w:rsidRPr="00811410">
        <w:t xml:space="preserve">s primary industries. </w:t>
      </w:r>
      <w:r>
        <w:t xml:space="preserve">The Rural RDCs act as </w:t>
      </w:r>
      <w:r w:rsidRPr="00027FC2">
        <w:t>investment managers, custodians of public and private funds, and service providers to industry and government</w:t>
      </w:r>
      <w:r>
        <w:t>. There were 15 Rural RDCs in Australia in 2015</w:t>
      </w:r>
      <w:r>
        <w:noBreakHyphen/>
        <w:t xml:space="preserve">16 (table A.3 at the end of this paper). These organisations are </w:t>
      </w:r>
      <w:r w:rsidRPr="00811410">
        <w:t xml:space="preserve">primarily funded </w:t>
      </w:r>
      <w:r>
        <w:t xml:space="preserve">through </w:t>
      </w:r>
      <w:r w:rsidRPr="00811410">
        <w:t xml:space="preserve">statutory R&amp;D levies (or charges) on </w:t>
      </w:r>
      <w:r>
        <w:t xml:space="preserve">the commercial production of </w:t>
      </w:r>
      <w:r w:rsidRPr="00811410">
        <w:t>various commodities, with matching funding from the Australian Government.</w:t>
      </w:r>
    </w:p>
    <w:p w14:paraId="0D65218E" w14:textId="77777777" w:rsidR="00763A8F" w:rsidRDefault="00763A8F" w:rsidP="00763A8F">
      <w:pPr>
        <w:pStyle w:val="BodyText"/>
      </w:pPr>
      <w:r>
        <w:t xml:space="preserve">Five Rural RDCs </w:t>
      </w:r>
      <w:r w:rsidRPr="00027FC2">
        <w:t xml:space="preserve">are statutory corporations or authorities </w:t>
      </w:r>
      <w:r>
        <w:t xml:space="preserve">that are </w:t>
      </w:r>
      <w:r w:rsidRPr="00027FC2">
        <w:t xml:space="preserve">owned by the </w:t>
      </w:r>
      <w:r>
        <w:rPr>
          <w:lang w:val="en-US"/>
        </w:rPr>
        <w:t>Australian Government</w:t>
      </w:r>
      <w:r>
        <w:t xml:space="preserve"> </w:t>
      </w:r>
      <w:r w:rsidRPr="00284756">
        <w:t>and established under legislation:</w:t>
      </w:r>
    </w:p>
    <w:p w14:paraId="0D65218F" w14:textId="77777777" w:rsidR="00763A8F" w:rsidRDefault="00763A8F" w:rsidP="00763A8F">
      <w:pPr>
        <w:pStyle w:val="ListBullet"/>
      </w:pPr>
      <w:r>
        <w:t xml:space="preserve">the </w:t>
      </w:r>
      <w:r w:rsidRPr="00284756">
        <w:t>Australian Grape and Wine Authority</w:t>
      </w:r>
    </w:p>
    <w:p w14:paraId="0D652190" w14:textId="77777777" w:rsidR="00763A8F" w:rsidRDefault="00763A8F" w:rsidP="00763A8F">
      <w:pPr>
        <w:pStyle w:val="ListBullet"/>
      </w:pPr>
      <w:r>
        <w:t xml:space="preserve">the </w:t>
      </w:r>
      <w:r w:rsidRPr="00284756">
        <w:t>Cotton Research and Development Corporation</w:t>
      </w:r>
    </w:p>
    <w:p w14:paraId="0D652191" w14:textId="77777777" w:rsidR="00763A8F" w:rsidRDefault="00763A8F" w:rsidP="00763A8F">
      <w:pPr>
        <w:pStyle w:val="ListBullet"/>
      </w:pPr>
      <w:r>
        <w:t xml:space="preserve">the </w:t>
      </w:r>
      <w:r w:rsidRPr="00284756">
        <w:t>Fisheries Research and Development Corporation</w:t>
      </w:r>
    </w:p>
    <w:p w14:paraId="0D652192" w14:textId="77777777" w:rsidR="00763A8F" w:rsidRDefault="00763A8F" w:rsidP="00763A8F">
      <w:pPr>
        <w:pStyle w:val="ListBullet"/>
      </w:pPr>
      <w:r>
        <w:t xml:space="preserve">the </w:t>
      </w:r>
      <w:r w:rsidRPr="00284756">
        <w:t>Grains Research and Development Corporation</w:t>
      </w:r>
    </w:p>
    <w:p w14:paraId="0D652193" w14:textId="77777777" w:rsidR="00763A8F" w:rsidRDefault="00763A8F" w:rsidP="00763A8F">
      <w:pPr>
        <w:pStyle w:val="ListBullet"/>
      </w:pPr>
      <w:r>
        <w:t xml:space="preserve">the </w:t>
      </w:r>
      <w:r w:rsidRPr="00284756">
        <w:t>Rural Industries Resea</w:t>
      </w:r>
      <w:r>
        <w:t>rch and Development Corporation</w:t>
      </w:r>
      <w:r w:rsidRPr="00027FC2">
        <w:t>.</w:t>
      </w:r>
    </w:p>
    <w:p w14:paraId="0D652194" w14:textId="77777777" w:rsidR="00763A8F" w:rsidRDefault="00763A8F" w:rsidP="00763A8F">
      <w:pPr>
        <w:pStyle w:val="BodyText"/>
      </w:pPr>
      <w:r w:rsidRPr="00027FC2">
        <w:t>The remain</w:t>
      </w:r>
      <w:r>
        <w:t>ing 10 Rural RDCs</w:t>
      </w:r>
      <w:r w:rsidRPr="00027FC2">
        <w:t xml:space="preserve"> are industry</w:t>
      </w:r>
      <w:r>
        <w:noBreakHyphen/>
      </w:r>
      <w:r w:rsidRPr="00027FC2">
        <w:t>owned, not</w:t>
      </w:r>
      <w:r>
        <w:noBreakHyphen/>
      </w:r>
      <w:r w:rsidRPr="00027FC2">
        <w:t>for</w:t>
      </w:r>
      <w:r>
        <w:noBreakHyphen/>
      </w:r>
      <w:r w:rsidRPr="00027FC2">
        <w:t xml:space="preserve">profit companies established </w:t>
      </w:r>
      <w:r>
        <w:t xml:space="preserve">under </w:t>
      </w:r>
      <w:r w:rsidRPr="00027FC2">
        <w:t xml:space="preserve">Australia’s corporations law and declared through regulation as the service providers to industry for specific activities. </w:t>
      </w:r>
      <w:r>
        <w:t xml:space="preserve">These Rural RDCs cover: dairy, eggs, </w:t>
      </w:r>
      <w:r w:rsidRPr="00027FC2">
        <w:t>forest and wood products</w:t>
      </w:r>
      <w:r>
        <w:t>,</w:t>
      </w:r>
      <w:r w:rsidRPr="00027FC2">
        <w:t xml:space="preserve"> </w:t>
      </w:r>
      <w:r>
        <w:t>horticulture, livestock export, meat and livestock, meat processing, pork, sugar and wool.</w:t>
      </w:r>
    </w:p>
    <w:p w14:paraId="0D652195" w14:textId="77777777" w:rsidR="00675BFE" w:rsidRDefault="00AC22F3" w:rsidP="004775C9">
      <w:pPr>
        <w:pStyle w:val="BodyText"/>
      </w:pPr>
      <w:r>
        <w:t xml:space="preserve">The </w:t>
      </w:r>
      <w:r>
        <w:rPr>
          <w:lang w:val="en-US"/>
        </w:rPr>
        <w:t>Australian Government</w:t>
      </w:r>
      <w:r>
        <w:t xml:space="preserve"> expenditure on rural R&amp;D in 2015</w:t>
      </w:r>
      <w:r>
        <w:noBreakHyphen/>
        <w:t xml:space="preserve">16 was $323 million. </w:t>
      </w:r>
      <w:r w:rsidR="004004E1">
        <w:t>This expenditure consisted of</w:t>
      </w:r>
      <w:r w:rsidR="00675BFE">
        <w:t>:</w:t>
      </w:r>
    </w:p>
    <w:p w14:paraId="0D652196" w14:textId="77777777" w:rsidR="00763A8F" w:rsidRDefault="004004E1" w:rsidP="00675BFE">
      <w:pPr>
        <w:pStyle w:val="ListBullet"/>
      </w:pPr>
      <w:r>
        <w:t xml:space="preserve">$279 million </w:t>
      </w:r>
      <w:r w:rsidR="00AC22F3">
        <w:t xml:space="preserve">on </w:t>
      </w:r>
      <w:r w:rsidR="00AC22F3" w:rsidDel="00751C54">
        <w:t xml:space="preserve">rural </w:t>
      </w:r>
      <w:r w:rsidR="00751C54">
        <w:t>RDCs</w:t>
      </w:r>
      <w:r w:rsidR="00675BFE">
        <w:t>, with t</w:t>
      </w:r>
      <w:r w:rsidR="00BE21D1">
        <w:t xml:space="preserve">he largest Australian Government matching payments </w:t>
      </w:r>
      <w:r w:rsidR="00675BFE">
        <w:t>being made to</w:t>
      </w:r>
      <w:r w:rsidR="00BE21D1">
        <w:t>: grains ($68 million); meat ($60 million); horticulture ($44 million); and dair</w:t>
      </w:r>
      <w:r>
        <w:t>y ($24 million)</w:t>
      </w:r>
    </w:p>
    <w:p w14:paraId="0D652197" w14:textId="77777777" w:rsidR="00675BFE" w:rsidRDefault="004004E1" w:rsidP="00675BFE">
      <w:pPr>
        <w:pStyle w:val="ListBullet"/>
      </w:pPr>
      <w:r>
        <w:t xml:space="preserve">$44 million </w:t>
      </w:r>
      <w:r w:rsidR="00675BFE">
        <w:t xml:space="preserve">on other </w:t>
      </w:r>
      <w:r w:rsidR="00675BFE" w:rsidDel="00751C54">
        <w:t xml:space="preserve">rural </w:t>
      </w:r>
      <w:r w:rsidR="00675BFE">
        <w:t>R&amp;D</w:t>
      </w:r>
      <w:r>
        <w:t>, including research into fisheries, landcare, pest and weed control as well as rural extension and outreach (figure 3)</w:t>
      </w:r>
      <w:r w:rsidR="00675BFE">
        <w:t>.</w:t>
      </w:r>
    </w:p>
    <w:p w14:paraId="0D652198" w14:textId="77777777" w:rsidR="00D010BD" w:rsidRDefault="00D010BD" w:rsidP="00D010BD">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010BD" w14:paraId="0D65219A" w14:textId="77777777" w:rsidTr="00B0510F">
        <w:trPr>
          <w:tblHeader/>
        </w:trPr>
        <w:tc>
          <w:tcPr>
            <w:tcW w:w="8771" w:type="dxa"/>
            <w:tcBorders>
              <w:top w:val="single" w:sz="6" w:space="0" w:color="78A22F"/>
              <w:left w:val="nil"/>
              <w:bottom w:val="nil"/>
              <w:right w:val="nil"/>
            </w:tcBorders>
            <w:shd w:val="clear" w:color="auto" w:fill="auto"/>
          </w:tcPr>
          <w:p w14:paraId="0D652199" w14:textId="77777777" w:rsidR="00D010BD" w:rsidRPr="00176D3F" w:rsidRDefault="00D010BD" w:rsidP="00474135">
            <w:pPr>
              <w:pStyle w:val="FigureTitle"/>
            </w:pPr>
            <w:r w:rsidRPr="00784A05">
              <w:rPr>
                <w:b w:val="0"/>
              </w:rPr>
              <w:t xml:space="preserve">Figure </w:t>
            </w:r>
            <w:bookmarkStart w:id="13" w:name="OLE_LINK10"/>
            <w:r w:rsidR="00F97E1E">
              <w:rPr>
                <w:b w:val="0"/>
                <w:noProof/>
              </w:rPr>
              <w:t>3</w:t>
            </w:r>
            <w:bookmarkEnd w:id="13"/>
            <w:r>
              <w:tab/>
              <w:t>Rural R&amp;D expenditure by sector, 2015</w:t>
            </w:r>
            <w:r>
              <w:noBreakHyphen/>
              <w:t>16</w:t>
            </w:r>
            <w:r w:rsidR="00E901D1" w:rsidRPr="004775C9">
              <w:rPr>
                <w:rStyle w:val="NoteLabel"/>
              </w:rPr>
              <w:t>a</w:t>
            </w:r>
          </w:p>
        </w:tc>
      </w:tr>
      <w:tr w:rsidR="00D010BD" w14:paraId="0D65219E"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D010BD" w:rsidRPr="00B1465D" w14:paraId="0D65219C" w14:textId="77777777" w:rsidTr="0096522B">
              <w:trPr>
                <w:tblHeader/>
                <w:jc w:val="center"/>
              </w:trPr>
              <w:tc>
                <w:tcPr>
                  <w:tcW w:w="5000" w:type="pct"/>
                  <w:tcBorders>
                    <w:top w:val="nil"/>
                    <w:bottom w:val="nil"/>
                  </w:tcBorders>
                </w:tcPr>
                <w:p w14:paraId="0D65219B" w14:textId="77777777" w:rsidR="00D010BD" w:rsidRPr="00B1465D" w:rsidRDefault="00BE21D1" w:rsidP="0096522B">
                  <w:pPr>
                    <w:pStyle w:val="Figure"/>
                    <w:spacing w:before="60" w:after="60"/>
                    <w:rPr>
                      <w:rFonts w:ascii="Arial" w:hAnsi="Arial" w:cs="Arial"/>
                      <w:sz w:val="18"/>
                      <w:szCs w:val="18"/>
                    </w:rPr>
                  </w:pPr>
                  <w:r w:rsidRPr="00BE21D1">
                    <w:rPr>
                      <w:rFonts w:ascii="Arial" w:hAnsi="Arial" w:cs="Arial"/>
                      <w:noProof/>
                      <w:sz w:val="18"/>
                      <w:szCs w:val="18"/>
                    </w:rPr>
                    <w:drawing>
                      <wp:inline distT="0" distB="0" distL="0" distR="0" wp14:anchorId="0D652881" wp14:editId="379F3FC6">
                        <wp:extent cx="5403850" cy="2876550"/>
                        <wp:effectExtent l="0" t="0" r="6350" b="0"/>
                        <wp:docPr id="18" name="Picture 18" descr="The figure shows rural research and development expenditure in 2015-16 by sector (expressed as percentages). Most expenditure was directed to rural development corporation (86 per cent). This expenditure was allocated: grains (21 per cent); meat (19 per cent); horticulture (13 per cent); cotton, grape wine and sugar (9 per cent); dairy (7 per cent); wool (4 per cent); and other (13 per cent). In addition, expenditure on other non rural development corporation research and development was 14 per cent."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19D" w14:textId="77777777" w:rsidR="00D010BD" w:rsidRDefault="00D010BD" w:rsidP="0096522B">
            <w:pPr>
              <w:pStyle w:val="Figure"/>
            </w:pPr>
          </w:p>
        </w:tc>
      </w:tr>
      <w:tr w:rsidR="00E901D1" w:rsidRPr="00176D3F" w14:paraId="0D6521A0" w14:textId="77777777" w:rsidTr="00B0510F">
        <w:tc>
          <w:tcPr>
            <w:tcW w:w="8771" w:type="dxa"/>
            <w:tcBorders>
              <w:top w:val="nil"/>
              <w:left w:val="nil"/>
              <w:bottom w:val="nil"/>
              <w:right w:val="nil"/>
            </w:tcBorders>
            <w:shd w:val="clear" w:color="auto" w:fill="auto"/>
          </w:tcPr>
          <w:p w14:paraId="0D65219F" w14:textId="77777777" w:rsidR="00E901D1" w:rsidRDefault="00E901D1" w:rsidP="004775C9">
            <w:pPr>
              <w:pStyle w:val="Note"/>
            </w:pPr>
            <w:r w:rsidRPr="004775C9">
              <w:rPr>
                <w:rStyle w:val="NoteLabel"/>
              </w:rPr>
              <w:t>a</w:t>
            </w:r>
            <w:r>
              <w:t> Source reports individual payments made to some RDCs. The remaining RDCs are grouped together.</w:t>
            </w:r>
          </w:p>
        </w:tc>
      </w:tr>
      <w:tr w:rsidR="00D010BD" w:rsidRPr="00176D3F" w14:paraId="0D6521A2" w14:textId="77777777" w:rsidTr="00B0510F">
        <w:tc>
          <w:tcPr>
            <w:tcW w:w="8771" w:type="dxa"/>
            <w:tcBorders>
              <w:top w:val="nil"/>
              <w:left w:val="nil"/>
              <w:bottom w:val="nil"/>
              <w:right w:val="nil"/>
            </w:tcBorders>
            <w:shd w:val="clear" w:color="auto" w:fill="auto"/>
          </w:tcPr>
          <w:p w14:paraId="0D6521A1" w14:textId="2C15A66F" w:rsidR="00D010BD" w:rsidRPr="00176D3F" w:rsidRDefault="00C7225D" w:rsidP="0096522B">
            <w:pPr>
              <w:pStyle w:val="Source"/>
            </w:pPr>
            <w:r>
              <w:rPr>
                <w:i/>
              </w:rPr>
              <w:t>S</w:t>
            </w:r>
            <w:r w:rsidR="00D010BD" w:rsidRPr="00784A05">
              <w:rPr>
                <w:i/>
              </w:rPr>
              <w:t>ource</w:t>
            </w:r>
            <w:r w:rsidR="00D010BD" w:rsidRPr="00176D3F">
              <w:t>:</w:t>
            </w:r>
            <w:r w:rsidR="00D010BD">
              <w:t xml:space="preserve"> DIIS </w:t>
            </w:r>
            <w:r w:rsidR="00D010BD" w:rsidRPr="005B3829">
              <w:rPr>
                <w:rFonts w:cs="Arial"/>
              </w:rPr>
              <w:t>(2016)</w:t>
            </w:r>
            <w:r w:rsidR="00D010BD">
              <w:t>.</w:t>
            </w:r>
          </w:p>
        </w:tc>
      </w:tr>
      <w:tr w:rsidR="00D010BD" w14:paraId="0D6521A4" w14:textId="77777777" w:rsidTr="00B0510F">
        <w:tc>
          <w:tcPr>
            <w:tcW w:w="8771" w:type="dxa"/>
            <w:tcBorders>
              <w:top w:val="nil"/>
              <w:left w:val="nil"/>
              <w:bottom w:val="single" w:sz="6" w:space="0" w:color="78A22F"/>
              <w:right w:val="nil"/>
            </w:tcBorders>
            <w:shd w:val="clear" w:color="auto" w:fill="auto"/>
          </w:tcPr>
          <w:p w14:paraId="0D6521A3" w14:textId="77777777" w:rsidR="00D010BD" w:rsidRDefault="00D010BD" w:rsidP="0096522B">
            <w:pPr>
              <w:pStyle w:val="Figurespace"/>
            </w:pPr>
          </w:p>
        </w:tc>
      </w:tr>
      <w:tr w:rsidR="00D010BD" w:rsidRPr="000863A5" w14:paraId="0D6521A6" w14:textId="77777777" w:rsidTr="00B0510F">
        <w:tc>
          <w:tcPr>
            <w:tcW w:w="8771" w:type="dxa"/>
            <w:tcBorders>
              <w:top w:val="single" w:sz="6" w:space="0" w:color="78A22F"/>
              <w:left w:val="nil"/>
              <w:bottom w:val="nil"/>
              <w:right w:val="nil"/>
            </w:tcBorders>
          </w:tcPr>
          <w:p w14:paraId="0D6521A5" w14:textId="77777777" w:rsidR="00D010BD" w:rsidRPr="00626D32" w:rsidRDefault="00D010BD" w:rsidP="0096522B">
            <w:pPr>
              <w:pStyle w:val="BoxSpaceBelow"/>
            </w:pPr>
          </w:p>
        </w:tc>
      </w:tr>
    </w:tbl>
    <w:p w14:paraId="0D6521A7" w14:textId="77777777" w:rsidR="0052550F" w:rsidRDefault="0052550F" w:rsidP="0067258B">
      <w:pPr>
        <w:pStyle w:val="Heading4"/>
      </w:pPr>
      <w:r>
        <w:t>N</w:t>
      </w:r>
      <w:r w:rsidR="00A14C4A">
        <w:t xml:space="preserve">ational Health and Medical Research Council </w:t>
      </w:r>
    </w:p>
    <w:p w14:paraId="0D6521A8" w14:textId="4EAB3928" w:rsidR="0052550F" w:rsidRDefault="0052550F" w:rsidP="0052550F">
      <w:pPr>
        <w:pStyle w:val="BodyText"/>
      </w:pPr>
      <w:r>
        <w:t xml:space="preserve">The </w:t>
      </w:r>
      <w:r w:rsidR="00A14C4A">
        <w:t>NHMRC</w:t>
      </w:r>
      <w:r w:rsidR="00D451C0">
        <w:t xml:space="preserve"> </w:t>
      </w:r>
      <w:r>
        <w:t xml:space="preserve">is the main funder of </w:t>
      </w:r>
      <w:r w:rsidRPr="00B47AD5">
        <w:t>clinical</w:t>
      </w:r>
      <w:r>
        <w:t>, health</w:t>
      </w:r>
      <w:r w:rsidRPr="00B47AD5">
        <w:t xml:space="preserve"> and other medical research </w:t>
      </w:r>
      <w:r>
        <w:t>in Australia. It also develops advice for the community, health professionals and governments. The Council seeks to promote the development and maintenance of public and individual health standards</w:t>
      </w:r>
      <w:r w:rsidRPr="00D43ABC">
        <w:t xml:space="preserve"> </w:t>
      </w:r>
      <w:r>
        <w:t>in Australia.</w:t>
      </w:r>
    </w:p>
    <w:p w14:paraId="0D6521A9" w14:textId="77777777" w:rsidR="0052550F" w:rsidRDefault="0052550F" w:rsidP="0052550F">
      <w:pPr>
        <w:pStyle w:val="BodyText"/>
      </w:pPr>
      <w:r>
        <w:t xml:space="preserve">The NHMRC funds </w:t>
      </w:r>
      <w:r w:rsidR="008448F0">
        <w:t xml:space="preserve">this </w:t>
      </w:r>
      <w:r>
        <w:t xml:space="preserve">research by providing grants, usually to universities, medical research institutes, hospitals </w:t>
      </w:r>
      <w:r w:rsidR="00A14C4A">
        <w:t>and</w:t>
      </w:r>
      <w:r>
        <w:t xml:space="preserve"> government</w:t>
      </w:r>
      <w:r w:rsidR="00982C71">
        <w:t xml:space="preserve"> (figure </w:t>
      </w:r>
      <w:r w:rsidR="006A42C5">
        <w:t>4</w:t>
      </w:r>
      <w:r w:rsidR="00982C71">
        <w:t>)</w:t>
      </w:r>
      <w:r>
        <w:t>.</w:t>
      </w:r>
    </w:p>
    <w:p w14:paraId="0D6521AA" w14:textId="77777777" w:rsidR="00F9651B" w:rsidRDefault="00F9651B" w:rsidP="00F9651B">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9651B" w14:paraId="0D6521AC" w14:textId="77777777" w:rsidTr="00B0510F">
        <w:trPr>
          <w:tblHeader/>
        </w:trPr>
        <w:tc>
          <w:tcPr>
            <w:tcW w:w="8771" w:type="dxa"/>
            <w:tcBorders>
              <w:top w:val="single" w:sz="6" w:space="0" w:color="78A22F"/>
              <w:left w:val="nil"/>
              <w:bottom w:val="nil"/>
              <w:right w:val="nil"/>
            </w:tcBorders>
            <w:shd w:val="clear" w:color="auto" w:fill="auto"/>
          </w:tcPr>
          <w:p w14:paraId="0D6521AB" w14:textId="77777777" w:rsidR="00F9651B" w:rsidRPr="00176D3F" w:rsidRDefault="00F9651B" w:rsidP="00474135">
            <w:pPr>
              <w:pStyle w:val="FigureTitle"/>
            </w:pPr>
            <w:r w:rsidRPr="00784A05">
              <w:rPr>
                <w:b w:val="0"/>
              </w:rPr>
              <w:t xml:space="preserve">Figure </w:t>
            </w:r>
            <w:bookmarkStart w:id="14" w:name="OLE_LINK6"/>
            <w:r w:rsidR="00F97E1E">
              <w:rPr>
                <w:b w:val="0"/>
                <w:noProof/>
              </w:rPr>
              <w:t>4</w:t>
            </w:r>
            <w:bookmarkEnd w:id="14"/>
            <w:r>
              <w:tab/>
              <w:t xml:space="preserve">NHMRC </w:t>
            </w:r>
            <w:r w:rsidR="0073129F">
              <w:t xml:space="preserve">expenditure </w:t>
            </w:r>
            <w:r>
              <w:t>by research sector, 2015</w:t>
            </w:r>
            <w:r>
              <w:noBreakHyphen/>
              <w:t>16</w:t>
            </w:r>
          </w:p>
        </w:tc>
      </w:tr>
      <w:tr w:rsidR="00F9651B" w14:paraId="0D6521B0"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9651B" w:rsidRPr="00B1465D" w14:paraId="0D6521AE" w14:textId="77777777" w:rsidTr="00283C7A">
              <w:trPr>
                <w:tblHeader/>
                <w:jc w:val="center"/>
              </w:trPr>
              <w:tc>
                <w:tcPr>
                  <w:tcW w:w="5000" w:type="pct"/>
                  <w:tcBorders>
                    <w:top w:val="nil"/>
                    <w:bottom w:val="nil"/>
                  </w:tcBorders>
                </w:tcPr>
                <w:p w14:paraId="0D6521AD" w14:textId="7EAE062A" w:rsidR="00F9651B" w:rsidRPr="00B1465D" w:rsidRDefault="00741E2E" w:rsidP="00283C7A">
                  <w:pPr>
                    <w:pStyle w:val="Figure"/>
                    <w:spacing w:before="60" w:after="60"/>
                    <w:rPr>
                      <w:rFonts w:ascii="Arial" w:hAnsi="Arial" w:cs="Arial"/>
                      <w:sz w:val="18"/>
                      <w:szCs w:val="18"/>
                    </w:rPr>
                  </w:pPr>
                  <w:r w:rsidRPr="00741E2E">
                    <w:rPr>
                      <w:rFonts w:ascii="Arial" w:hAnsi="Arial" w:cs="Arial"/>
                      <w:noProof/>
                      <w:sz w:val="18"/>
                      <w:szCs w:val="18"/>
                    </w:rPr>
                    <w:drawing>
                      <wp:inline distT="0" distB="0" distL="0" distR="0" wp14:anchorId="3E2356D3" wp14:editId="11DA6CBE">
                        <wp:extent cx="5403850" cy="2876550"/>
                        <wp:effectExtent l="0" t="0" r="6350" b="0"/>
                        <wp:docPr id="6" name="Picture 6" descr="The figure shows National Health and Medical Research Council expenditure in 2015-16 by research sector (expressed as percentages). This expenditure was allocated: universities (77 per cent); medical research institutes (22 per cent); hospitals (0.1 per cent), government (0.1 per cent); and other (1 per cent)."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1AF" w14:textId="77777777" w:rsidR="00F9651B" w:rsidRDefault="00F9651B" w:rsidP="00283C7A">
            <w:pPr>
              <w:pStyle w:val="Figure"/>
            </w:pPr>
          </w:p>
        </w:tc>
      </w:tr>
      <w:tr w:rsidR="00F9651B" w:rsidRPr="00176D3F" w14:paraId="0D6521B2" w14:textId="77777777" w:rsidTr="00B0510F">
        <w:tc>
          <w:tcPr>
            <w:tcW w:w="8771" w:type="dxa"/>
            <w:tcBorders>
              <w:top w:val="nil"/>
              <w:left w:val="nil"/>
              <w:bottom w:val="nil"/>
              <w:right w:val="nil"/>
            </w:tcBorders>
            <w:shd w:val="clear" w:color="auto" w:fill="auto"/>
          </w:tcPr>
          <w:p w14:paraId="0D6521B1" w14:textId="7828BBF2" w:rsidR="00F9651B" w:rsidRPr="00176D3F" w:rsidRDefault="00C7225D" w:rsidP="00283C7A">
            <w:pPr>
              <w:pStyle w:val="Source"/>
            </w:pPr>
            <w:r>
              <w:rPr>
                <w:i/>
              </w:rPr>
              <w:t>S</w:t>
            </w:r>
            <w:r w:rsidR="00F9651B" w:rsidRPr="00784A05">
              <w:rPr>
                <w:i/>
              </w:rPr>
              <w:t>ource</w:t>
            </w:r>
            <w:r w:rsidR="00F9651B" w:rsidRPr="00176D3F">
              <w:t>:</w:t>
            </w:r>
            <w:r w:rsidR="00F9651B">
              <w:t xml:space="preserve"> DIIS </w:t>
            </w:r>
            <w:r w:rsidR="00F9651B" w:rsidRPr="005B3829">
              <w:rPr>
                <w:rFonts w:cs="Arial"/>
              </w:rPr>
              <w:t>(2016)</w:t>
            </w:r>
            <w:r w:rsidR="00F9651B">
              <w:t>.</w:t>
            </w:r>
          </w:p>
        </w:tc>
      </w:tr>
      <w:tr w:rsidR="00F9651B" w14:paraId="0D6521B4" w14:textId="77777777" w:rsidTr="00B0510F">
        <w:tc>
          <w:tcPr>
            <w:tcW w:w="8771" w:type="dxa"/>
            <w:tcBorders>
              <w:top w:val="nil"/>
              <w:left w:val="nil"/>
              <w:bottom w:val="single" w:sz="6" w:space="0" w:color="78A22F"/>
              <w:right w:val="nil"/>
            </w:tcBorders>
            <w:shd w:val="clear" w:color="auto" w:fill="auto"/>
          </w:tcPr>
          <w:p w14:paraId="0D6521B3" w14:textId="77777777" w:rsidR="00F9651B" w:rsidRDefault="00F9651B" w:rsidP="00283C7A">
            <w:pPr>
              <w:pStyle w:val="Figurespace"/>
            </w:pPr>
          </w:p>
        </w:tc>
      </w:tr>
      <w:tr w:rsidR="00F9651B" w:rsidRPr="000863A5" w14:paraId="0D6521B6" w14:textId="77777777" w:rsidTr="00B0510F">
        <w:tc>
          <w:tcPr>
            <w:tcW w:w="8771" w:type="dxa"/>
            <w:tcBorders>
              <w:top w:val="single" w:sz="6" w:space="0" w:color="78A22F"/>
              <w:left w:val="nil"/>
              <w:bottom w:val="nil"/>
              <w:right w:val="nil"/>
            </w:tcBorders>
          </w:tcPr>
          <w:p w14:paraId="0D6521B5" w14:textId="77777777" w:rsidR="00F9651B" w:rsidRPr="00626D32" w:rsidRDefault="00F9651B" w:rsidP="00283C7A">
            <w:pPr>
              <w:pStyle w:val="BoxSpaceBelow"/>
            </w:pPr>
          </w:p>
        </w:tc>
      </w:tr>
    </w:tbl>
    <w:p w14:paraId="0D6521B7" w14:textId="77777777" w:rsidR="00E421C9" w:rsidRDefault="00E421C9" w:rsidP="00E421C9">
      <w:pPr>
        <w:pStyle w:val="BodyText"/>
      </w:pPr>
      <w:r>
        <w:rPr>
          <w:lang w:val="en-US"/>
        </w:rPr>
        <w:t>Australian Government</w:t>
      </w:r>
      <w:r>
        <w:t xml:space="preserve"> </w:t>
      </w:r>
      <w:r w:rsidR="004004E1">
        <w:t xml:space="preserve">research funding allocated by </w:t>
      </w:r>
      <w:r>
        <w:t>the NHMRC in 2015</w:t>
      </w:r>
      <w:r>
        <w:noBreakHyphen/>
        <w:t>16 was $846 million. This was split between:</w:t>
      </w:r>
    </w:p>
    <w:p w14:paraId="0D6521B8" w14:textId="77777777" w:rsidR="00E421C9" w:rsidRDefault="00EA60CE" w:rsidP="00E421C9">
      <w:pPr>
        <w:pStyle w:val="ListBullet"/>
      </w:pPr>
      <w:r>
        <w:t xml:space="preserve">grant </w:t>
      </w:r>
      <w:r w:rsidR="00E421C9">
        <w:t>funding for university</w:t>
      </w:r>
      <w:r w:rsidR="00751C54">
        <w:t xml:space="preserve"> researchers</w:t>
      </w:r>
      <w:r w:rsidR="00E421C9">
        <w:t xml:space="preserve"> of $653 million </w:t>
      </w:r>
      <w:r w:rsidR="001B6D9E">
        <w:t>(</w:t>
      </w:r>
      <w:r w:rsidR="00E421C9">
        <w:t>part of university funding</w:t>
      </w:r>
      <w:r w:rsidR="001B6D9E">
        <w:t>)</w:t>
      </w:r>
    </w:p>
    <w:p w14:paraId="0D6521B9" w14:textId="77777777" w:rsidR="00E421C9" w:rsidRDefault="00E54A5C" w:rsidP="00E421C9">
      <w:pPr>
        <w:pStyle w:val="ListBullet"/>
      </w:pPr>
      <w:r>
        <w:t>grant</w:t>
      </w:r>
      <w:r w:rsidR="00EA60CE">
        <w:t xml:space="preserve"> </w:t>
      </w:r>
      <w:r w:rsidR="001B6D9E">
        <w:t>fu</w:t>
      </w:r>
      <w:r w:rsidR="00EA60CE">
        <w:t xml:space="preserve">nding of </w:t>
      </w:r>
      <w:r w:rsidR="00E421C9">
        <w:t>g</w:t>
      </w:r>
      <w:r w:rsidR="00E421C9" w:rsidRPr="00316B76">
        <w:t xml:space="preserve">overnment, </w:t>
      </w:r>
      <w:r w:rsidR="00E421C9">
        <w:t xml:space="preserve">medical research institutes and other of $193 million </w:t>
      </w:r>
      <w:r w:rsidR="001B6D9E">
        <w:t>(</w:t>
      </w:r>
      <w:r w:rsidR="00E421C9">
        <w:t>part of multi</w:t>
      </w:r>
      <w:r w:rsidR="00E421C9">
        <w:noBreakHyphen/>
        <w:t>sector funding</w:t>
      </w:r>
      <w:r w:rsidR="001B6D9E">
        <w:t>)</w:t>
      </w:r>
      <w:r w:rsidR="00E421C9">
        <w:t>.</w:t>
      </w:r>
    </w:p>
    <w:p w14:paraId="0D6521BA" w14:textId="77777777" w:rsidR="00E421C9" w:rsidRDefault="00A14C4A" w:rsidP="00E421C9">
      <w:pPr>
        <w:pStyle w:val="BodyText"/>
      </w:pPr>
      <w:r>
        <w:t>In addition, t</w:t>
      </w:r>
      <w:r w:rsidR="00E421C9">
        <w:t>he cost of running the NHMRC in 2015</w:t>
      </w:r>
      <w:r w:rsidR="00E421C9">
        <w:noBreakHyphen/>
        <w:t xml:space="preserve">16 was $41 million </w:t>
      </w:r>
      <w:r w:rsidR="00E421C9" w:rsidRPr="005B3829">
        <w:rPr>
          <w:szCs w:val="24"/>
        </w:rPr>
        <w:t>(NHMRC 2016)</w:t>
      </w:r>
      <w:r w:rsidR="00E421C9">
        <w:t>.</w:t>
      </w:r>
    </w:p>
    <w:p w14:paraId="0D6521BB" w14:textId="77777777" w:rsidR="0067258B" w:rsidRDefault="0067258B" w:rsidP="0067258B">
      <w:pPr>
        <w:pStyle w:val="Heading4"/>
      </w:pPr>
      <w:r>
        <w:t>C</w:t>
      </w:r>
      <w:r w:rsidR="00765D7A">
        <w:t xml:space="preserve">ooperative </w:t>
      </w:r>
      <w:r>
        <w:t>R</w:t>
      </w:r>
      <w:r w:rsidR="00765D7A">
        <w:t xml:space="preserve">esearch </w:t>
      </w:r>
      <w:r>
        <w:t>C</w:t>
      </w:r>
      <w:r w:rsidR="00765D7A">
        <w:t>entre</w:t>
      </w:r>
      <w:r>
        <w:t>s</w:t>
      </w:r>
    </w:p>
    <w:p w14:paraId="0D6521BC" w14:textId="77777777" w:rsidR="0067258B" w:rsidRDefault="0073129F" w:rsidP="0067258B">
      <w:pPr>
        <w:pStyle w:val="BodyText"/>
      </w:pPr>
      <w:r>
        <w:t>CRCs</w:t>
      </w:r>
      <w:r w:rsidR="00532A3A">
        <w:t xml:space="preserve"> </w:t>
      </w:r>
      <w:r w:rsidR="0067258B">
        <w:t xml:space="preserve">undertake </w:t>
      </w:r>
      <w:r w:rsidR="0067258B" w:rsidRPr="00EC5838">
        <w:t>industry</w:t>
      </w:r>
      <w:r w:rsidR="0097670F">
        <w:noBreakHyphen/>
      </w:r>
      <w:r w:rsidR="0067258B" w:rsidRPr="00EC5838">
        <w:t>led and outcome</w:t>
      </w:r>
      <w:r w:rsidR="0097670F">
        <w:noBreakHyphen/>
      </w:r>
      <w:r w:rsidR="0067258B" w:rsidRPr="00EC5838">
        <w:t>focused collaborative research partnerships between industry, researchers and the community</w:t>
      </w:r>
      <w:r w:rsidR="00532A3A">
        <w:t>. They</w:t>
      </w:r>
      <w:r w:rsidR="0067258B">
        <w:t xml:space="preserve"> link business with researchers. A CRC is defined as:</w:t>
      </w:r>
    </w:p>
    <w:p w14:paraId="0D6521BD" w14:textId="77777777" w:rsidR="0067258B" w:rsidRDefault="0067258B" w:rsidP="0067258B">
      <w:pPr>
        <w:pStyle w:val="Quote"/>
      </w:pPr>
      <w:r>
        <w:t xml:space="preserve">… </w:t>
      </w:r>
      <w:r w:rsidRPr="00B16F86">
        <w:t>a company formed through a collaboration of businesses and researchers. This includes private sector organisations (both large and small enterprises), industry associations, universities and government research agencies such as the Commonwealth Scientific and Industrial Research Organisation (CSIRO), and other end users. This team of collaborators undertakes research and development leading to utilitarian outcomes for public good that have posit</w:t>
      </w:r>
      <w:r>
        <w:t>ive social and economic impacts.</w:t>
      </w:r>
      <w:r w:rsidR="00532A3A">
        <w:t xml:space="preserve"> </w:t>
      </w:r>
      <w:r w:rsidR="00106FC9" w:rsidRPr="00106FC9">
        <w:rPr>
          <w:sz w:val="24"/>
          <w:szCs w:val="24"/>
        </w:rPr>
        <w:t>(Cooperative Research Centres Association 2016)</w:t>
      </w:r>
    </w:p>
    <w:p w14:paraId="0D6521BE" w14:textId="77777777" w:rsidR="00CE06CC" w:rsidRDefault="005F5004" w:rsidP="0067258B">
      <w:pPr>
        <w:pStyle w:val="BodyText"/>
      </w:pPr>
      <w:r>
        <w:rPr>
          <w:lang w:val="en-US"/>
        </w:rPr>
        <w:t xml:space="preserve">The </w:t>
      </w:r>
      <w:r w:rsidR="0067258B">
        <w:rPr>
          <w:lang w:val="en-US"/>
        </w:rPr>
        <w:t>Australian Government</w:t>
      </w:r>
      <w:r w:rsidR="0067258B">
        <w:t xml:space="preserve"> fund</w:t>
      </w:r>
      <w:r>
        <w:t xml:space="preserve">s </w:t>
      </w:r>
      <w:r w:rsidR="0067258B">
        <w:t>CRCs through competitive, merit</w:t>
      </w:r>
      <w:r w:rsidR="0067258B">
        <w:noBreakHyphen/>
      </w:r>
      <w:r w:rsidR="0067258B" w:rsidRPr="00EC5838">
        <w:t>based grant</w:t>
      </w:r>
      <w:r w:rsidR="0067258B">
        <w:t>s</w:t>
      </w:r>
      <w:r w:rsidR="000749D5">
        <w:t xml:space="preserve"> </w:t>
      </w:r>
      <w:r w:rsidR="001B6D9E">
        <w:t xml:space="preserve">program </w:t>
      </w:r>
      <w:r w:rsidR="000749D5">
        <w:t>run by the Department of Industry, Innovation and Science</w:t>
      </w:r>
      <w:r w:rsidR="00054209">
        <w:t>.</w:t>
      </w:r>
    </w:p>
    <w:p w14:paraId="0D6521BF" w14:textId="3C698509" w:rsidR="0067258B" w:rsidRDefault="00CE06CC" w:rsidP="0067258B">
      <w:pPr>
        <w:pStyle w:val="BodyText"/>
      </w:pPr>
      <w:r>
        <w:t xml:space="preserve">The number of operational CRCs varies over time, as new CRCs are created and as old ones do not have their funding </w:t>
      </w:r>
      <w:r w:rsidR="00532A3A">
        <w:t>extend</w:t>
      </w:r>
      <w:r>
        <w:t>ed. Each CRC is funded for a fixed term — ranging from two to t</w:t>
      </w:r>
      <w:r w:rsidR="00532A3A">
        <w:t>en</w:t>
      </w:r>
      <w:r>
        <w:t> year</w:t>
      </w:r>
      <w:r w:rsidR="000749D5">
        <w:t>s</w:t>
      </w:r>
      <w:r>
        <w:t xml:space="preserve"> (with an average of 6.6 years)</w:t>
      </w:r>
      <w:r w:rsidR="004A06DD">
        <w:t xml:space="preserve"> — and for a specified </w:t>
      </w:r>
      <w:r w:rsidR="00532A3A">
        <w:t>financial outlay</w:t>
      </w:r>
      <w:r>
        <w:t>. Some CRCs receive subsequent tranches of funding after their initial funding expire</w:t>
      </w:r>
      <w:r w:rsidR="00741E2E">
        <w:t>s</w:t>
      </w:r>
      <w:r>
        <w:t>.</w:t>
      </w:r>
      <w:r w:rsidR="004A06DD" w:rsidRPr="004A06DD">
        <w:t xml:space="preserve"> </w:t>
      </w:r>
      <w:r w:rsidR="004A06DD">
        <w:t>There were 31 CRCs funded in the 2015</w:t>
      </w:r>
      <w:r w:rsidR="004A06DD">
        <w:noBreakHyphen/>
        <w:t>16 budget (table A.4 at the end of this paper).</w:t>
      </w:r>
    </w:p>
    <w:p w14:paraId="0D6521C0" w14:textId="77777777" w:rsidR="0067258B" w:rsidRDefault="0067258B" w:rsidP="0067258B">
      <w:pPr>
        <w:pStyle w:val="BodyText"/>
      </w:pPr>
      <w:r>
        <w:t>Funding consists of two streams:</w:t>
      </w:r>
    </w:p>
    <w:p w14:paraId="0D6521C1" w14:textId="77777777" w:rsidR="0067258B" w:rsidRDefault="0067258B" w:rsidP="0067258B">
      <w:pPr>
        <w:pStyle w:val="ListBullet"/>
      </w:pPr>
      <w:r>
        <w:t>CRCs to support medium to long</w:t>
      </w:r>
      <w:r w:rsidR="00A1454B">
        <w:noBreakHyphen/>
      </w:r>
      <w:r>
        <w:t>term industry</w:t>
      </w:r>
      <w:r w:rsidR="00A1454B">
        <w:noBreakHyphen/>
      </w:r>
      <w:r>
        <w:t>led collaborative research</w:t>
      </w:r>
    </w:p>
    <w:p w14:paraId="0D6521C2" w14:textId="77777777" w:rsidR="0067258B" w:rsidRPr="00D43ABC" w:rsidRDefault="0067258B" w:rsidP="0067258B">
      <w:pPr>
        <w:pStyle w:val="ListBullet"/>
      </w:pPr>
      <w:r>
        <w:t>CRC Projects to support short</w:t>
      </w:r>
      <w:r w:rsidR="007E56A8">
        <w:noBreakHyphen/>
      </w:r>
      <w:r>
        <w:t>term, industry</w:t>
      </w:r>
      <w:r w:rsidR="0097670F">
        <w:noBreakHyphen/>
      </w:r>
      <w:r>
        <w:t>led collaborative research.</w:t>
      </w:r>
    </w:p>
    <w:p w14:paraId="0D6521C3" w14:textId="77777777" w:rsidR="0067258B" w:rsidRDefault="0067258B" w:rsidP="0067258B">
      <w:pPr>
        <w:pStyle w:val="BodyText"/>
      </w:pPr>
      <w:r>
        <w:rPr>
          <w:lang w:val="en-US"/>
        </w:rPr>
        <w:t>Australian Government</w:t>
      </w:r>
      <w:r>
        <w:t xml:space="preserve"> expenditure on CRCs in 2015</w:t>
      </w:r>
      <w:r>
        <w:noBreakHyphen/>
        <w:t>16 was $141 million.</w:t>
      </w:r>
    </w:p>
    <w:p w14:paraId="0D6521C4" w14:textId="77777777" w:rsidR="0067258B" w:rsidRDefault="0067258B" w:rsidP="0067258B">
      <w:pPr>
        <w:pStyle w:val="Heading3"/>
      </w:pPr>
      <w:r>
        <w:t>Research grants</w:t>
      </w:r>
    </w:p>
    <w:p w14:paraId="0D6521C5" w14:textId="77777777" w:rsidR="00E225CB" w:rsidRDefault="00E225CB" w:rsidP="0067258B">
      <w:pPr>
        <w:pStyle w:val="Heading4"/>
      </w:pPr>
      <w:r>
        <w:t>University block research funding</w:t>
      </w:r>
    </w:p>
    <w:p w14:paraId="0D6521C6" w14:textId="77777777" w:rsidR="00187B07" w:rsidRDefault="002B0A04" w:rsidP="002B0A04">
      <w:pPr>
        <w:pStyle w:val="BodyText"/>
      </w:pPr>
      <w:r>
        <w:t xml:space="preserve">The </w:t>
      </w:r>
      <w:r w:rsidRPr="002B0A04">
        <w:t xml:space="preserve">Australian Government </w:t>
      </w:r>
      <w:r>
        <w:t xml:space="preserve">employs a </w:t>
      </w:r>
      <w:r w:rsidRPr="002B0A04">
        <w:t xml:space="preserve">dual </w:t>
      </w:r>
      <w:r>
        <w:t xml:space="preserve">approach to </w:t>
      </w:r>
      <w:r w:rsidRPr="002B0A04">
        <w:t xml:space="preserve">funding </w:t>
      </w:r>
      <w:r>
        <w:t xml:space="preserve">research undertaken by the </w:t>
      </w:r>
      <w:r w:rsidRPr="002B0A04">
        <w:t>higher education sector</w:t>
      </w:r>
      <w:r>
        <w:t>.</w:t>
      </w:r>
    </w:p>
    <w:p w14:paraId="0D6521C7" w14:textId="77777777" w:rsidR="004B71E8" w:rsidRDefault="002B0A04" w:rsidP="002B0A04">
      <w:pPr>
        <w:pStyle w:val="BodyText"/>
      </w:pPr>
      <w:r>
        <w:t>C</w:t>
      </w:r>
      <w:r w:rsidRPr="002B0A04">
        <w:t>ompetitive and other grants support the direct costs of research</w:t>
      </w:r>
      <w:r w:rsidR="00187B07" w:rsidRPr="00187B07">
        <w:t xml:space="preserve"> under the </w:t>
      </w:r>
      <w:r w:rsidR="00187B07" w:rsidRPr="004775C9">
        <w:rPr>
          <w:i/>
        </w:rPr>
        <w:t>Higher Education Support Act (HESA) 2003</w:t>
      </w:r>
      <w:r w:rsidR="00187B07">
        <w:t xml:space="preserve"> (Cwlth)</w:t>
      </w:r>
      <w:r w:rsidR="00187B07" w:rsidRPr="00187B07">
        <w:t>.</w:t>
      </w:r>
    </w:p>
    <w:p w14:paraId="0D6521C8" w14:textId="77777777" w:rsidR="00846741" w:rsidRDefault="00846741" w:rsidP="004155DB">
      <w:pPr>
        <w:pStyle w:val="BodyText"/>
      </w:pPr>
      <w:r w:rsidRPr="002515CF">
        <w:t>Australian Government</w:t>
      </w:r>
      <w:r>
        <w:t xml:space="preserve"> expenditure on block grants in 2015</w:t>
      </w:r>
      <w:r>
        <w:noBreakHyphen/>
        <w:t>16 totalled $2 billion (figure </w:t>
      </w:r>
      <w:r w:rsidR="006A42C5">
        <w:t>5</w:t>
      </w:r>
      <w:r>
        <w:t xml:space="preserve">). This consisted of </w:t>
      </w:r>
      <w:r w:rsidR="004B724C">
        <w:t>seven types of grants</w:t>
      </w:r>
      <w:r>
        <w:t>:</w:t>
      </w:r>
    </w:p>
    <w:p w14:paraId="0D6521C9" w14:textId="77777777" w:rsidR="004B724C" w:rsidRDefault="004B724C" w:rsidP="004B724C">
      <w:pPr>
        <w:pStyle w:val="ListBullet"/>
      </w:pPr>
      <w:r w:rsidRPr="004155DB">
        <w:rPr>
          <w:i/>
        </w:rPr>
        <w:t>Australian Postgraduate Awards</w:t>
      </w:r>
      <w:r>
        <w:t xml:space="preserve">, which fund </w:t>
      </w:r>
      <w:r w:rsidRPr="004B724C">
        <w:t xml:space="preserve">scholarships </w:t>
      </w:r>
      <w:r>
        <w:t xml:space="preserve">for </w:t>
      </w:r>
      <w:r w:rsidRPr="004B724C">
        <w:t>students of exceptional research potential undertaking a doctorate or master</w:t>
      </w:r>
      <w:r w:rsidR="00AE3C18">
        <w:t>’</w:t>
      </w:r>
      <w:r w:rsidRPr="004B724C">
        <w:t>s degree by research</w:t>
      </w:r>
      <w:r>
        <w:t xml:space="preserve"> ($282 million)</w:t>
      </w:r>
    </w:p>
    <w:p w14:paraId="0D6521CA" w14:textId="77777777" w:rsidR="004B724C" w:rsidRDefault="004B724C" w:rsidP="004B724C">
      <w:pPr>
        <w:pStyle w:val="ListBullet"/>
      </w:pPr>
      <w:r w:rsidRPr="004155DB">
        <w:rPr>
          <w:i/>
        </w:rPr>
        <w:t>International Postgraduate Research Scholarship</w:t>
      </w:r>
      <w:r w:rsidR="00672924">
        <w:t xml:space="preserve">, which fund </w:t>
      </w:r>
      <w:r w:rsidR="00672924" w:rsidRPr="004B724C">
        <w:t xml:space="preserve">scholarships </w:t>
      </w:r>
      <w:r w:rsidR="00672924">
        <w:t xml:space="preserve">for overseas </w:t>
      </w:r>
      <w:r w:rsidR="00672924" w:rsidRPr="004B724C">
        <w:t>students of exceptional research potential undertaking a doctorate or master</w:t>
      </w:r>
      <w:r w:rsidR="00AE3C18">
        <w:t>’</w:t>
      </w:r>
      <w:r w:rsidR="00672924" w:rsidRPr="004B724C">
        <w:t>s degree by research</w:t>
      </w:r>
      <w:r w:rsidR="00672924">
        <w:t xml:space="preserve"> </w:t>
      </w:r>
      <w:r w:rsidR="009A06DA">
        <w:t xml:space="preserve">at </w:t>
      </w:r>
      <w:r w:rsidR="00672924">
        <w:t xml:space="preserve">Australian universities </w:t>
      </w:r>
      <w:r>
        <w:t>($22 million)</w:t>
      </w:r>
    </w:p>
    <w:p w14:paraId="0D6521CB" w14:textId="77777777" w:rsidR="004B724C" w:rsidRDefault="004B724C" w:rsidP="00672924">
      <w:pPr>
        <w:pStyle w:val="ListBullet"/>
      </w:pPr>
      <w:r w:rsidRPr="004155DB">
        <w:rPr>
          <w:i/>
        </w:rPr>
        <w:t>Joint Research Engagement Program</w:t>
      </w:r>
      <w:r w:rsidR="00672924">
        <w:t xml:space="preserve">, which fund </w:t>
      </w:r>
      <w:r w:rsidR="00672924" w:rsidRPr="00672924">
        <w:t>research</w:t>
      </w:r>
      <w:r w:rsidR="00672924">
        <w:noBreakHyphen/>
      </w:r>
      <w:r w:rsidR="00672924" w:rsidRPr="00672924">
        <w:t>related activit</w:t>
      </w:r>
      <w:r w:rsidR="00672924">
        <w:t>ies</w:t>
      </w:r>
      <w:r w:rsidR="00672924" w:rsidRPr="00672924">
        <w:t xml:space="preserve"> </w:t>
      </w:r>
      <w:r w:rsidR="00672924">
        <w:t xml:space="preserve">by </w:t>
      </w:r>
      <w:r w:rsidR="00672924" w:rsidRPr="00672924">
        <w:t>Australian higher education provider</w:t>
      </w:r>
      <w:r w:rsidR="00672924">
        <w:t>s</w:t>
      </w:r>
      <w:r>
        <w:t xml:space="preserve"> ($360 </w:t>
      </w:r>
      <w:r w:rsidR="00B94B44">
        <w:t>m</w:t>
      </w:r>
      <w:r>
        <w:t>illion)</w:t>
      </w:r>
    </w:p>
    <w:p w14:paraId="0D6521CC" w14:textId="77777777" w:rsidR="004B724C" w:rsidRDefault="004B724C" w:rsidP="00672924">
      <w:pPr>
        <w:pStyle w:val="ListBullet"/>
      </w:pPr>
      <w:r w:rsidRPr="004155DB">
        <w:rPr>
          <w:i/>
        </w:rPr>
        <w:t>National Institutes Program — ANU Component</w:t>
      </w:r>
      <w:r w:rsidR="00672924">
        <w:t xml:space="preserve">, which funds </w:t>
      </w:r>
      <w:r w:rsidR="00672924" w:rsidRPr="00672924">
        <w:t>research and research training provided to the Institute of Advanced Studies of the Australian National University</w:t>
      </w:r>
      <w:r>
        <w:t xml:space="preserve"> ($192 million)</w:t>
      </w:r>
    </w:p>
    <w:p w14:paraId="0D6521CD" w14:textId="77777777" w:rsidR="004B724C" w:rsidRDefault="004B724C" w:rsidP="00646F74">
      <w:pPr>
        <w:pStyle w:val="ListBullet"/>
      </w:pPr>
      <w:r w:rsidRPr="004155DB">
        <w:rPr>
          <w:i/>
        </w:rPr>
        <w:t>Research Infrastructure Block Grants</w:t>
      </w:r>
      <w:r w:rsidR="00672924">
        <w:t xml:space="preserve">, which </w:t>
      </w:r>
      <w:r w:rsidR="00646F74">
        <w:t xml:space="preserve">help fund research infrastructure </w:t>
      </w:r>
      <w:r w:rsidR="00646F74" w:rsidRPr="00646F74">
        <w:t xml:space="preserve">such as libraries, laboratories, computing centres, animal houses, herbaria, </w:t>
      </w:r>
      <w:r w:rsidR="001B6D9E">
        <w:t xml:space="preserve">and </w:t>
      </w:r>
      <w:r w:rsidR="00646F74" w:rsidRPr="00646F74">
        <w:t>experimental farms</w:t>
      </w:r>
      <w:r w:rsidR="00646F74" w:rsidRPr="00646F74" w:rsidDel="00646F74">
        <w:t xml:space="preserve"> </w:t>
      </w:r>
      <w:r w:rsidR="00646F74">
        <w:t xml:space="preserve">(not including construction of buildings or staff salaries) </w:t>
      </w:r>
      <w:r>
        <w:t>($</w:t>
      </w:r>
      <w:r w:rsidRPr="004B724C">
        <w:t>242</w:t>
      </w:r>
      <w:r>
        <w:t> million)</w:t>
      </w:r>
    </w:p>
    <w:p w14:paraId="0D6521CE" w14:textId="77777777" w:rsidR="00C03175" w:rsidRDefault="00C03175" w:rsidP="00C03175">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C03175" w14:paraId="0D6521D0" w14:textId="77777777" w:rsidTr="00B0510F">
        <w:trPr>
          <w:tblHeader/>
        </w:trPr>
        <w:tc>
          <w:tcPr>
            <w:tcW w:w="8771" w:type="dxa"/>
            <w:tcBorders>
              <w:top w:val="single" w:sz="6" w:space="0" w:color="78A22F"/>
              <w:left w:val="nil"/>
              <w:bottom w:val="nil"/>
              <w:right w:val="nil"/>
            </w:tcBorders>
            <w:shd w:val="clear" w:color="auto" w:fill="auto"/>
          </w:tcPr>
          <w:p w14:paraId="0D6521CF" w14:textId="77777777" w:rsidR="00C03175" w:rsidRPr="00176D3F" w:rsidRDefault="00C03175" w:rsidP="00474135">
            <w:pPr>
              <w:pStyle w:val="FigureTitle"/>
            </w:pPr>
            <w:r w:rsidRPr="00784A05">
              <w:rPr>
                <w:b w:val="0"/>
              </w:rPr>
              <w:t xml:space="preserve">Figure </w:t>
            </w:r>
            <w:bookmarkStart w:id="15" w:name="OLE_LINK11"/>
            <w:r w:rsidR="00F97E1E">
              <w:rPr>
                <w:b w:val="0"/>
                <w:noProof/>
              </w:rPr>
              <w:t>5</w:t>
            </w:r>
            <w:bookmarkEnd w:id="15"/>
            <w:r>
              <w:tab/>
              <w:t>University performance</w:t>
            </w:r>
            <w:r w:rsidR="004E5779">
              <w:noBreakHyphen/>
            </w:r>
            <w:r>
              <w:t xml:space="preserve">based block funding by </w:t>
            </w:r>
            <w:r w:rsidR="004E5779">
              <w:t xml:space="preserve">grant </w:t>
            </w:r>
            <w:r>
              <w:t>type, 2015</w:t>
            </w:r>
            <w:r>
              <w:noBreakHyphen/>
              <w:t>16</w:t>
            </w:r>
          </w:p>
        </w:tc>
      </w:tr>
      <w:tr w:rsidR="00C03175" w14:paraId="0D6521D4"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C03175" w:rsidRPr="00B1465D" w14:paraId="0D6521D2" w14:textId="77777777" w:rsidTr="0077082E">
              <w:trPr>
                <w:tblHeader/>
                <w:jc w:val="center"/>
              </w:trPr>
              <w:tc>
                <w:tcPr>
                  <w:tcW w:w="5000" w:type="pct"/>
                  <w:tcBorders>
                    <w:top w:val="nil"/>
                    <w:bottom w:val="nil"/>
                  </w:tcBorders>
                </w:tcPr>
                <w:p w14:paraId="0D6521D1" w14:textId="77777777" w:rsidR="00C03175" w:rsidRPr="00B1465D" w:rsidRDefault="004E5779" w:rsidP="0077082E">
                  <w:pPr>
                    <w:pStyle w:val="Figure"/>
                    <w:spacing w:before="60" w:after="60"/>
                    <w:rPr>
                      <w:rFonts w:ascii="Arial" w:hAnsi="Arial" w:cs="Arial"/>
                      <w:sz w:val="18"/>
                      <w:szCs w:val="18"/>
                    </w:rPr>
                  </w:pPr>
                  <w:r w:rsidRPr="004E5779">
                    <w:rPr>
                      <w:rFonts w:ascii="Arial" w:hAnsi="Arial" w:cs="Arial"/>
                      <w:noProof/>
                      <w:sz w:val="18"/>
                      <w:szCs w:val="18"/>
                    </w:rPr>
                    <w:drawing>
                      <wp:inline distT="0" distB="0" distL="0" distR="0" wp14:anchorId="0D652885" wp14:editId="07A9C958">
                        <wp:extent cx="5403850" cy="2876550"/>
                        <wp:effectExtent l="0" t="0" r="6350" b="0"/>
                        <wp:docPr id="10" name="Picture 10" descr="The figure shows university performance based block funding in 2015-16 by grant type (expressed as percentages). This grant expenditure was allocated: Research Training Scheme (34 per cent); Joint Research Engagement Program (18 per cent); Australian Postgraduate Awards (14 per cent); Research Infrastructure Block Grants (12 per cent); Sustainable Research Excellence in Universities (12 per cent); National Institutes Program — Australian National University Component (9 per cent); and International Postgraduate Research Scholarship (1 per cent)."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1D3" w14:textId="77777777" w:rsidR="00C03175" w:rsidRDefault="00C03175" w:rsidP="0077082E">
            <w:pPr>
              <w:pStyle w:val="Figure"/>
            </w:pPr>
          </w:p>
        </w:tc>
      </w:tr>
      <w:tr w:rsidR="00C03175" w:rsidRPr="00176D3F" w14:paraId="0D6521D6" w14:textId="77777777" w:rsidTr="00B0510F">
        <w:tc>
          <w:tcPr>
            <w:tcW w:w="8771" w:type="dxa"/>
            <w:tcBorders>
              <w:top w:val="nil"/>
              <w:left w:val="nil"/>
              <w:bottom w:val="nil"/>
              <w:right w:val="nil"/>
            </w:tcBorders>
            <w:shd w:val="clear" w:color="auto" w:fill="auto"/>
          </w:tcPr>
          <w:p w14:paraId="0D6521D5" w14:textId="45374DD0" w:rsidR="00C03175" w:rsidRPr="00176D3F" w:rsidRDefault="00C7225D" w:rsidP="0077082E">
            <w:pPr>
              <w:pStyle w:val="Source"/>
            </w:pPr>
            <w:r>
              <w:rPr>
                <w:i/>
              </w:rPr>
              <w:t>S</w:t>
            </w:r>
            <w:r w:rsidR="00C03175" w:rsidRPr="00784A05">
              <w:rPr>
                <w:i/>
              </w:rPr>
              <w:t>ource</w:t>
            </w:r>
            <w:r w:rsidR="00C03175" w:rsidRPr="00176D3F">
              <w:t>:</w:t>
            </w:r>
            <w:r w:rsidR="00C03175">
              <w:t xml:space="preserve"> DIIS </w:t>
            </w:r>
            <w:r w:rsidR="00C03175" w:rsidRPr="005B3829">
              <w:rPr>
                <w:rFonts w:cs="Arial"/>
              </w:rPr>
              <w:t>(2016)</w:t>
            </w:r>
            <w:r w:rsidR="00C03175">
              <w:t>.</w:t>
            </w:r>
          </w:p>
        </w:tc>
      </w:tr>
      <w:tr w:rsidR="00C03175" w14:paraId="0D6521D8" w14:textId="77777777" w:rsidTr="00B0510F">
        <w:tc>
          <w:tcPr>
            <w:tcW w:w="8771" w:type="dxa"/>
            <w:tcBorders>
              <w:top w:val="nil"/>
              <w:left w:val="nil"/>
              <w:bottom w:val="single" w:sz="6" w:space="0" w:color="78A22F"/>
              <w:right w:val="nil"/>
            </w:tcBorders>
            <w:shd w:val="clear" w:color="auto" w:fill="auto"/>
          </w:tcPr>
          <w:p w14:paraId="0D6521D7" w14:textId="77777777" w:rsidR="00C03175" w:rsidRDefault="00C03175" w:rsidP="0077082E">
            <w:pPr>
              <w:pStyle w:val="Figurespace"/>
            </w:pPr>
          </w:p>
        </w:tc>
      </w:tr>
      <w:tr w:rsidR="00C03175" w:rsidRPr="000863A5" w14:paraId="0D6521DA" w14:textId="77777777" w:rsidTr="00B0510F">
        <w:tc>
          <w:tcPr>
            <w:tcW w:w="8771" w:type="dxa"/>
            <w:tcBorders>
              <w:top w:val="single" w:sz="6" w:space="0" w:color="78A22F"/>
              <w:left w:val="nil"/>
              <w:bottom w:val="nil"/>
              <w:right w:val="nil"/>
            </w:tcBorders>
          </w:tcPr>
          <w:p w14:paraId="0D6521D9" w14:textId="77777777" w:rsidR="00C03175" w:rsidRPr="00626D32" w:rsidRDefault="00C03175" w:rsidP="0077082E">
            <w:pPr>
              <w:pStyle w:val="BoxSpaceBelow"/>
            </w:pPr>
          </w:p>
        </w:tc>
      </w:tr>
    </w:tbl>
    <w:p w14:paraId="0D6521DB" w14:textId="77777777" w:rsidR="000749D5" w:rsidRDefault="00846741" w:rsidP="00846741">
      <w:pPr>
        <w:pStyle w:val="ListBullet"/>
      </w:pPr>
      <w:r w:rsidRPr="00B26447">
        <w:rPr>
          <w:i/>
        </w:rPr>
        <w:t>Research Training Scheme</w:t>
      </w:r>
      <w:r>
        <w:t xml:space="preserve">, which </w:t>
      </w:r>
      <w:r w:rsidRPr="009A06DA">
        <w:t xml:space="preserve">supports the costs associated </w:t>
      </w:r>
      <w:r>
        <w:t xml:space="preserve">by </w:t>
      </w:r>
      <w:r w:rsidRPr="009A06DA">
        <w:t xml:space="preserve">higher education providers </w:t>
      </w:r>
      <w:r>
        <w:t xml:space="preserve">in </w:t>
      </w:r>
      <w:r w:rsidRPr="009A06DA">
        <w:t>providing research training for domestic students undertaking a higher degree by research</w:t>
      </w:r>
      <w:r w:rsidR="000749D5">
        <w:t xml:space="preserve"> </w:t>
      </w:r>
      <w:r w:rsidR="005B727C">
        <w:t>(</w:t>
      </w:r>
      <w:r>
        <w:t>$684 million)</w:t>
      </w:r>
    </w:p>
    <w:p w14:paraId="0D6521DC" w14:textId="77777777" w:rsidR="00846741" w:rsidRDefault="000749D5" w:rsidP="000749D5">
      <w:pPr>
        <w:pStyle w:val="ListBullet"/>
      </w:pPr>
      <w:r w:rsidRPr="0015722C">
        <w:rPr>
          <w:i/>
        </w:rPr>
        <w:t>Sustainable Research Excellence in Universities</w:t>
      </w:r>
      <w:r>
        <w:t xml:space="preserve">, which </w:t>
      </w:r>
      <w:r w:rsidR="00FA4D35">
        <w:t xml:space="preserve">gives </w:t>
      </w:r>
      <w:r w:rsidRPr="009A06DA">
        <w:t xml:space="preserve">higher education providers </w:t>
      </w:r>
      <w:r w:rsidR="00FA4D35">
        <w:t xml:space="preserve">discretion in how they fund the indirect </w:t>
      </w:r>
      <w:r w:rsidR="00FA4D35" w:rsidRPr="009A06DA">
        <w:t xml:space="preserve">costs associated </w:t>
      </w:r>
      <w:r w:rsidR="00FA4D35">
        <w:t xml:space="preserve">with </w:t>
      </w:r>
      <w:r w:rsidR="00FA4D35" w:rsidRPr="00672924">
        <w:t xml:space="preserve">carrying out research projects supported by the </w:t>
      </w:r>
      <w:r w:rsidR="00FA4D35">
        <w:t>ARC</w:t>
      </w:r>
      <w:r w:rsidR="00FA4D35" w:rsidRPr="00672924">
        <w:t xml:space="preserve">, </w:t>
      </w:r>
      <w:r w:rsidR="00FA4D35">
        <w:t>NHMRC</w:t>
      </w:r>
      <w:r w:rsidR="00FA4D35" w:rsidRPr="00672924">
        <w:t xml:space="preserve"> </w:t>
      </w:r>
      <w:r w:rsidR="00FA4D35">
        <w:t xml:space="preserve">or </w:t>
      </w:r>
      <w:r w:rsidR="00FA4D35" w:rsidRPr="00672924">
        <w:t>other national competitive research granting programs</w:t>
      </w:r>
      <w:r w:rsidR="00FA4D35">
        <w:t xml:space="preserve"> </w:t>
      </w:r>
      <w:r>
        <w:t>($239 million</w:t>
      </w:r>
      <w:r w:rsidR="00FA4D35">
        <w:t>)</w:t>
      </w:r>
      <w:r w:rsidR="00846741">
        <w:t>.</w:t>
      </w:r>
    </w:p>
    <w:p w14:paraId="0D6521DD" w14:textId="77777777" w:rsidR="00846741" w:rsidRDefault="00846741" w:rsidP="00846741">
      <w:pPr>
        <w:pStyle w:val="BodyText"/>
      </w:pPr>
      <w:r>
        <w:t xml:space="preserve">An eighth block grant, </w:t>
      </w:r>
      <w:r w:rsidRPr="00B26447">
        <w:rPr>
          <w:i/>
        </w:rPr>
        <w:t>Research Training Program</w:t>
      </w:r>
      <w:r>
        <w:t>, was scheduled to commence in 2016</w:t>
      </w:r>
      <w:r>
        <w:noBreakHyphen/>
        <w:t xml:space="preserve">17 to </w:t>
      </w:r>
      <w:r w:rsidRPr="009A06DA">
        <w:t xml:space="preserve">support the training of </w:t>
      </w:r>
      <w:r w:rsidR="00023F53">
        <w:t xml:space="preserve">the </w:t>
      </w:r>
      <w:r w:rsidRPr="009A06DA">
        <w:t>next generation of researchers and innovators by offsetting fees otherwise payable, supporting general living costs and providing ancillary allowances to students</w:t>
      </w:r>
      <w:r>
        <w:t>.</w:t>
      </w:r>
    </w:p>
    <w:p w14:paraId="0D6521DE" w14:textId="77777777" w:rsidR="00846741" w:rsidRPr="004B724C" w:rsidRDefault="00846741" w:rsidP="00846741">
      <w:pPr>
        <w:pStyle w:val="BodyText"/>
      </w:pPr>
      <w:r w:rsidRPr="004B724C">
        <w:t xml:space="preserve">As part of the National Innovation and Science Agenda, funding arrangements for six </w:t>
      </w:r>
      <w:r w:rsidR="00C86DDE">
        <w:t xml:space="preserve">of these </w:t>
      </w:r>
      <w:r w:rsidRPr="004B724C">
        <w:t>block grants were consolidated from 1 January 2017</w:t>
      </w:r>
      <w:r w:rsidR="00C86DDE" w:rsidRPr="00C86DDE">
        <w:t xml:space="preserve"> </w:t>
      </w:r>
      <w:r w:rsidR="00C86DDE" w:rsidRPr="004B724C">
        <w:t>into two</w:t>
      </w:r>
      <w:r w:rsidRPr="004B724C">
        <w:t>:</w:t>
      </w:r>
    </w:p>
    <w:p w14:paraId="0D6521DF" w14:textId="77777777" w:rsidR="002B0A04" w:rsidRPr="002B0A04" w:rsidRDefault="007E56A8" w:rsidP="004B67AA">
      <w:pPr>
        <w:pStyle w:val="ListBullet"/>
      </w:pPr>
      <w:r>
        <w:rPr>
          <w:i/>
        </w:rPr>
        <w:t>R</w:t>
      </w:r>
      <w:r w:rsidR="002B0A04" w:rsidRPr="002515CF">
        <w:rPr>
          <w:i/>
        </w:rPr>
        <w:t>esearch Support Program</w:t>
      </w:r>
      <w:r w:rsidRPr="002A779A">
        <w:rPr>
          <w:rStyle w:val="FootnoteReference"/>
        </w:rPr>
        <w:footnoteReference w:id="3"/>
      </w:r>
      <w:r w:rsidR="002B0A04">
        <w:rPr>
          <w:i/>
        </w:rPr>
        <w:t xml:space="preserve">, </w:t>
      </w:r>
      <w:r w:rsidR="002B0A04" w:rsidRPr="002B0A04">
        <w:t>which</w:t>
      </w:r>
      <w:r w:rsidR="002B0A04">
        <w:rPr>
          <w:i/>
        </w:rPr>
        <w:t xml:space="preserve"> </w:t>
      </w:r>
      <w:r w:rsidR="002B0A04" w:rsidRPr="002B0A04">
        <w:t xml:space="preserve">support the systemic </w:t>
      </w:r>
      <w:r w:rsidR="002B0A04">
        <w:t xml:space="preserve">indirect </w:t>
      </w:r>
      <w:r w:rsidR="002B0A04" w:rsidRPr="002B0A04">
        <w:t>costs</w:t>
      </w:r>
      <w:r w:rsidR="004B67AA">
        <w:t xml:space="preserve"> of research</w:t>
      </w:r>
      <w:r w:rsidR="002B0A04" w:rsidRPr="002B0A04">
        <w:t>, including the indirect costs, such as libraries, laboratories, consumables, computing centres and the salaries of support and technical staff</w:t>
      </w:r>
    </w:p>
    <w:p w14:paraId="0D6521E0" w14:textId="27738C3F" w:rsidR="002B0A04" w:rsidRPr="002B0A04" w:rsidRDefault="002B0A04" w:rsidP="002B0A04">
      <w:pPr>
        <w:pStyle w:val="ListBullet"/>
      </w:pPr>
      <w:r w:rsidRPr="004B67AA">
        <w:rPr>
          <w:i/>
        </w:rPr>
        <w:t>Research Training Program</w:t>
      </w:r>
      <w:r w:rsidRPr="002A779A">
        <w:rPr>
          <w:rStyle w:val="FootnoteReference"/>
        </w:rPr>
        <w:footnoteReference w:id="4"/>
      </w:r>
      <w:r w:rsidR="004B67AA">
        <w:t xml:space="preserve">, which supports </w:t>
      </w:r>
      <w:r>
        <w:t xml:space="preserve">domestic and overseas students undertaking </w:t>
      </w:r>
      <w:r w:rsidR="00741E2E">
        <w:t xml:space="preserve">research doctorate and research masters </w:t>
      </w:r>
      <w:r>
        <w:t>degrees</w:t>
      </w:r>
      <w:r w:rsidR="004B67AA">
        <w:t xml:space="preserve">. The payments may cover: </w:t>
      </w:r>
      <w:r>
        <w:t>tuition fees offset</w:t>
      </w:r>
      <w:r w:rsidR="004B67AA">
        <w:t xml:space="preserve">; </w:t>
      </w:r>
      <w:r>
        <w:t>stipend for general living costs</w:t>
      </w:r>
      <w:r w:rsidR="004B67AA">
        <w:t xml:space="preserve">; and </w:t>
      </w:r>
      <w:r>
        <w:t>allowances related to the ancillary cost of research degrees.</w:t>
      </w:r>
    </w:p>
    <w:p w14:paraId="0D6521E1" w14:textId="77777777" w:rsidR="00846741" w:rsidRDefault="00846741" w:rsidP="00846741">
      <w:pPr>
        <w:pStyle w:val="BodyText"/>
      </w:pPr>
      <w:r w:rsidRPr="002515CF">
        <w:t xml:space="preserve">The </w:t>
      </w:r>
      <w:r w:rsidR="0099066D">
        <w:t xml:space="preserve">funding </w:t>
      </w:r>
      <w:r>
        <w:t xml:space="preserve">grants are </w:t>
      </w:r>
      <w:r w:rsidRPr="002515CF">
        <w:t>administer</w:t>
      </w:r>
      <w:r>
        <w:t>ed</w:t>
      </w:r>
      <w:r w:rsidRPr="002515CF">
        <w:t xml:space="preserve"> by the Department of Education and Training</w:t>
      </w:r>
      <w:r>
        <w:t>.</w:t>
      </w:r>
    </w:p>
    <w:p w14:paraId="0D6521E2" w14:textId="77777777" w:rsidR="00D43ABC" w:rsidRDefault="00D43ABC" w:rsidP="0067258B">
      <w:pPr>
        <w:pStyle w:val="Heading4"/>
      </w:pPr>
      <w:r>
        <w:t>N</w:t>
      </w:r>
      <w:r w:rsidR="00B5291C">
        <w:t xml:space="preserve">ational </w:t>
      </w:r>
      <w:r>
        <w:t>H</w:t>
      </w:r>
      <w:r w:rsidR="00B5291C">
        <w:t xml:space="preserve">ealth and </w:t>
      </w:r>
      <w:r>
        <w:t>M</w:t>
      </w:r>
      <w:r w:rsidR="00B5291C">
        <w:t xml:space="preserve">edical </w:t>
      </w:r>
      <w:r>
        <w:t>R</w:t>
      </w:r>
      <w:r w:rsidR="00B5291C">
        <w:t xml:space="preserve">esearch </w:t>
      </w:r>
      <w:r>
        <w:t>C</w:t>
      </w:r>
      <w:r w:rsidR="00B5291C">
        <w:t>entre</w:t>
      </w:r>
      <w:r w:rsidR="0067258B">
        <w:t xml:space="preserve"> grants</w:t>
      </w:r>
    </w:p>
    <w:p w14:paraId="0D6521E3" w14:textId="16D80BE7" w:rsidR="00D43ABC" w:rsidRDefault="003E2930" w:rsidP="003E2930">
      <w:pPr>
        <w:pStyle w:val="BodyText"/>
      </w:pPr>
      <w:r>
        <w:t xml:space="preserve">The NHMRC </w:t>
      </w:r>
      <w:r w:rsidR="0052550F">
        <w:t xml:space="preserve">provides grants to </w:t>
      </w:r>
      <w:r w:rsidR="00D43ABC">
        <w:t xml:space="preserve">universities, </w:t>
      </w:r>
      <w:r w:rsidR="00DD2E87">
        <w:t>medical research institutes</w:t>
      </w:r>
      <w:r w:rsidR="00DD2E87" w:rsidRPr="002A779A">
        <w:rPr>
          <w:rStyle w:val="FootnoteReference"/>
        </w:rPr>
        <w:footnoteReference w:id="5"/>
      </w:r>
      <w:r w:rsidR="00DD2E87">
        <w:t xml:space="preserve">, </w:t>
      </w:r>
      <w:r w:rsidR="00D43ABC">
        <w:t>hospitals</w:t>
      </w:r>
      <w:r>
        <w:t xml:space="preserve"> </w:t>
      </w:r>
      <w:r w:rsidR="0052550F">
        <w:t xml:space="preserve">and </w:t>
      </w:r>
      <w:r w:rsidR="00D43ABC">
        <w:t>government</w:t>
      </w:r>
      <w:r w:rsidR="0052550F">
        <w:t xml:space="preserve"> to fund a wide range of health and medical research</w:t>
      </w:r>
      <w:r w:rsidR="00D43ABC">
        <w:t>.</w:t>
      </w:r>
      <w:r>
        <w:t xml:space="preserve"> Some grants fund infrastructure and other</w:t>
      </w:r>
      <w:r w:rsidR="00741E2E">
        <w:t>s</w:t>
      </w:r>
      <w:r>
        <w:t xml:space="preserve"> research. Some </w:t>
      </w:r>
      <w:r w:rsidR="00FB22E9">
        <w:t xml:space="preserve">grants </w:t>
      </w:r>
      <w:r>
        <w:t xml:space="preserve">are </w:t>
      </w:r>
      <w:r w:rsidR="00FB22E9">
        <w:t>annual</w:t>
      </w:r>
      <w:r>
        <w:t xml:space="preserve"> and others one</w:t>
      </w:r>
      <w:r>
        <w:noBreakHyphen/>
        <w:t>off</w:t>
      </w:r>
      <w:r w:rsidR="00FB22E9">
        <w:t xml:space="preserve">. Some </w:t>
      </w:r>
      <w:r>
        <w:t xml:space="preserve">grants </w:t>
      </w:r>
      <w:r w:rsidR="00FB22E9">
        <w:t xml:space="preserve">are </w:t>
      </w:r>
      <w:r>
        <w:t xml:space="preserve">highly </w:t>
      </w:r>
      <w:r w:rsidR="00FB22E9">
        <w:t xml:space="preserve">targeted (such as </w:t>
      </w:r>
      <w:r>
        <w:t xml:space="preserve">for </w:t>
      </w:r>
      <w:r w:rsidR="006D1498">
        <w:t>d</w:t>
      </w:r>
      <w:r w:rsidR="00FB22E9">
        <w:t>ementia</w:t>
      </w:r>
      <w:r>
        <w:t xml:space="preserve"> research</w:t>
      </w:r>
      <w:r w:rsidR="00FB22E9">
        <w:t>)</w:t>
      </w:r>
      <w:r>
        <w:t xml:space="preserve"> and others general. </w:t>
      </w:r>
      <w:r w:rsidR="006D1498">
        <w:t>NHMRC g</w:t>
      </w:r>
      <w:r>
        <w:t xml:space="preserve">rant </w:t>
      </w:r>
      <w:r w:rsidR="00FB22E9">
        <w:t xml:space="preserve">funding is </w:t>
      </w:r>
      <w:r w:rsidR="00C86DDE">
        <w:t>determined by the allocation in the Australian Government budget</w:t>
      </w:r>
      <w:r w:rsidR="00FB22E9">
        <w:t>.</w:t>
      </w:r>
    </w:p>
    <w:p w14:paraId="0D6521E4" w14:textId="77777777" w:rsidR="004E2BF7" w:rsidRDefault="004E2BF7" w:rsidP="003E2930">
      <w:pPr>
        <w:pStyle w:val="BodyText"/>
      </w:pPr>
      <w:r>
        <w:t>Current NHMRC grants cover:</w:t>
      </w:r>
    </w:p>
    <w:p w14:paraId="0D6521E5" w14:textId="77777777" w:rsidR="00D43ABC" w:rsidRDefault="00D43ABC" w:rsidP="00D43ABC">
      <w:pPr>
        <w:pStyle w:val="ListBullet"/>
      </w:pPr>
      <w:r w:rsidRPr="00FB22E9">
        <w:rPr>
          <w:i/>
        </w:rPr>
        <w:t>Grants to Accelerate Research Translation</w:t>
      </w:r>
      <w:r w:rsidR="004E2BF7">
        <w:t>,</w:t>
      </w:r>
      <w:r>
        <w:t xml:space="preserve"> </w:t>
      </w:r>
      <w:r w:rsidR="004E2BF7">
        <w:t xml:space="preserve">which </w:t>
      </w:r>
      <w:r>
        <w:t>fund</w:t>
      </w:r>
      <w:r w:rsidR="004E2BF7">
        <w:t>s</w:t>
      </w:r>
      <w:r>
        <w:t xml:space="preserve"> research to support the production of scholarly evidence to inform policy and/or practice and the intellectual work to better deal with complex translation pathw</w:t>
      </w:r>
      <w:r w:rsidR="004E2BF7">
        <w:t>ays</w:t>
      </w:r>
    </w:p>
    <w:p w14:paraId="0D6521E6" w14:textId="77777777" w:rsidR="00D43ABC" w:rsidRDefault="00D43ABC" w:rsidP="00D43ABC">
      <w:pPr>
        <w:pStyle w:val="ListBullet"/>
      </w:pPr>
      <w:r w:rsidRPr="00FB22E9">
        <w:rPr>
          <w:i/>
        </w:rPr>
        <w:t>Grants to Build Australia’s Future Capability</w:t>
      </w:r>
      <w:r w:rsidR="004E2BF7">
        <w:t>, which</w:t>
      </w:r>
      <w:r w:rsidR="00FB22E9">
        <w:t xml:space="preserve"> fund</w:t>
      </w:r>
      <w:r w:rsidR="004E2BF7">
        <w:t>s</w:t>
      </w:r>
      <w:r w:rsidR="00FB22E9">
        <w:t xml:space="preserve"> </w:t>
      </w:r>
      <w:r>
        <w:t>researchers</w:t>
      </w:r>
      <w:r w:rsidR="004E2BF7">
        <w:t>,</w:t>
      </w:r>
      <w:r>
        <w:t xml:space="preserve"> research teams and infrastructure to complete health and medical research in Australia</w:t>
      </w:r>
    </w:p>
    <w:p w14:paraId="0D6521E7" w14:textId="414F8951" w:rsidR="00D43ABC" w:rsidRDefault="00D43ABC" w:rsidP="00D43ABC">
      <w:pPr>
        <w:pStyle w:val="ListBullet"/>
      </w:pPr>
      <w:r w:rsidRPr="00FB22E9">
        <w:rPr>
          <w:i/>
        </w:rPr>
        <w:t xml:space="preserve">Work </w:t>
      </w:r>
      <w:r w:rsidR="00CA14EF" w:rsidRPr="00FB22E9">
        <w:rPr>
          <w:i/>
        </w:rPr>
        <w:t xml:space="preserve">with </w:t>
      </w:r>
      <w:r w:rsidRPr="00FB22E9">
        <w:rPr>
          <w:i/>
        </w:rPr>
        <w:t>Partners</w:t>
      </w:r>
      <w:r w:rsidR="004E2BF7">
        <w:t xml:space="preserve">, which seeks </w:t>
      </w:r>
      <w:r w:rsidR="00FB22E9">
        <w:t xml:space="preserve">to </w:t>
      </w:r>
      <w:r>
        <w:t>improve the availability and quality of research evidence to decision makers who design policy and to inform the policy process by supporting more effective connections between deci</w:t>
      </w:r>
      <w:r w:rsidR="004E2BF7">
        <w:t>sion makers and researchers</w:t>
      </w:r>
    </w:p>
    <w:p w14:paraId="0D6521E8" w14:textId="77777777" w:rsidR="00D43ABC" w:rsidRDefault="00D43ABC" w:rsidP="00FB22E9">
      <w:pPr>
        <w:pStyle w:val="ListBullet"/>
      </w:pPr>
      <w:r w:rsidRPr="004E2BF7">
        <w:rPr>
          <w:i/>
        </w:rPr>
        <w:t>Collaborative Grants</w:t>
      </w:r>
      <w:r w:rsidR="00507EFA">
        <w:t>,</w:t>
      </w:r>
      <w:r w:rsidR="004E2BF7">
        <w:t xml:space="preserve"> which </w:t>
      </w:r>
      <w:r>
        <w:t>assist</w:t>
      </w:r>
      <w:r w:rsidR="004E2BF7">
        <w:t xml:space="preserve"> </w:t>
      </w:r>
      <w:r>
        <w:t>Australian researchers to participate in multinational research collaborative projects with international researchers</w:t>
      </w:r>
      <w:r w:rsidR="00507EFA">
        <w:t xml:space="preserve"> to create </w:t>
      </w:r>
      <w:r>
        <w:t xml:space="preserve">knowledge and/or </w:t>
      </w:r>
      <w:r w:rsidR="00507EFA">
        <w:t xml:space="preserve">translate </w:t>
      </w:r>
      <w:r>
        <w:t>research</w:t>
      </w:r>
    </w:p>
    <w:p w14:paraId="0D6521E9" w14:textId="77777777" w:rsidR="00507EFA" w:rsidRDefault="00D43ABC" w:rsidP="00A24382">
      <w:pPr>
        <w:pStyle w:val="ListBullet"/>
      </w:pPr>
      <w:r w:rsidRPr="00507EFA">
        <w:rPr>
          <w:i/>
        </w:rPr>
        <w:t>Gap Funding</w:t>
      </w:r>
      <w:r w:rsidR="004E2BF7">
        <w:t xml:space="preserve">, which </w:t>
      </w:r>
      <w:r w:rsidR="00A24382">
        <w:t xml:space="preserve">helps </w:t>
      </w:r>
      <w:r w:rsidR="00FB22E9">
        <w:t xml:space="preserve">external </w:t>
      </w:r>
      <w:r>
        <w:t xml:space="preserve">organisations </w:t>
      </w:r>
      <w:r w:rsidR="00A24382">
        <w:t xml:space="preserve">that may </w:t>
      </w:r>
      <w:r w:rsidR="00A24382" w:rsidRPr="00A24382">
        <w:t xml:space="preserve">have funding available </w:t>
      </w:r>
      <w:r w:rsidR="00507EFA">
        <w:t xml:space="preserve">to </w:t>
      </w:r>
      <w:r w:rsidR="00A24382">
        <w:t xml:space="preserve">identify </w:t>
      </w:r>
      <w:r w:rsidR="00A24382" w:rsidRPr="00A24382">
        <w:t>fundable research and/or researchers</w:t>
      </w:r>
      <w:r>
        <w:t>.</w:t>
      </w:r>
    </w:p>
    <w:p w14:paraId="0D6521EA" w14:textId="77777777" w:rsidR="00D43ABC" w:rsidRDefault="00BA6B66" w:rsidP="00507EFA">
      <w:pPr>
        <w:pStyle w:val="BodyText"/>
      </w:pPr>
      <w:r>
        <w:t>The NHMRC funded $846 million in research in 2015</w:t>
      </w:r>
      <w:r>
        <w:noBreakHyphen/>
        <w:t xml:space="preserve">16 ($653 million to universities and $193 million to Government, </w:t>
      </w:r>
      <w:r w:rsidR="00453DD9" w:rsidRPr="00453DD9">
        <w:t>medical research institutes</w:t>
      </w:r>
      <w:r>
        <w:t>, hospital and other).</w:t>
      </w:r>
      <w:r w:rsidR="00E421C9">
        <w:t xml:space="preserve"> This funding was provided by a variety of different grants (figure </w:t>
      </w:r>
      <w:r w:rsidR="006A42C5">
        <w:t>6</w:t>
      </w:r>
      <w:r w:rsidR="00E421C9">
        <w:t>).</w:t>
      </w:r>
      <w:r w:rsidR="006D7DCF">
        <w:t xml:space="preserve"> The NHMRC funded </w:t>
      </w:r>
      <w:r w:rsidR="00C86DDE">
        <w:t>50</w:t>
      </w:r>
      <w:r w:rsidR="006D7DCF">
        <w:t xml:space="preserve"> institutions in 2016 (table A.5 at the end of this paper). It funded 986 projects out of </w:t>
      </w:r>
      <w:r w:rsidR="00DA338A">
        <w:t>the 5</w:t>
      </w:r>
      <w:r w:rsidR="006D7DCF">
        <w:t>5</w:t>
      </w:r>
      <w:r w:rsidR="00C86DDE">
        <w:t>1</w:t>
      </w:r>
      <w:r w:rsidR="006D7DCF">
        <w:t>9 applications received (a funding rate of 17.9 per cent).</w:t>
      </w:r>
    </w:p>
    <w:p w14:paraId="0D6521EB" w14:textId="77777777" w:rsidR="003D3931" w:rsidRDefault="003D3931" w:rsidP="003D3931">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3D3931" w14:paraId="0D6521ED" w14:textId="77777777" w:rsidTr="00B0510F">
        <w:trPr>
          <w:tblHeader/>
        </w:trPr>
        <w:tc>
          <w:tcPr>
            <w:tcW w:w="8771" w:type="dxa"/>
            <w:tcBorders>
              <w:top w:val="single" w:sz="6" w:space="0" w:color="78A22F"/>
              <w:left w:val="nil"/>
              <w:bottom w:val="nil"/>
              <w:right w:val="nil"/>
            </w:tcBorders>
            <w:shd w:val="clear" w:color="auto" w:fill="auto"/>
          </w:tcPr>
          <w:p w14:paraId="0D6521EC" w14:textId="77777777" w:rsidR="003D3931" w:rsidRPr="00176D3F" w:rsidRDefault="003D3931" w:rsidP="00474135">
            <w:pPr>
              <w:pStyle w:val="FigureTitle"/>
            </w:pPr>
            <w:r w:rsidRPr="00784A05">
              <w:rPr>
                <w:b w:val="0"/>
              </w:rPr>
              <w:t xml:space="preserve">Figure </w:t>
            </w:r>
            <w:bookmarkStart w:id="16" w:name="OLE_LINK8"/>
            <w:r w:rsidR="00F97E1E">
              <w:rPr>
                <w:b w:val="0"/>
                <w:noProof/>
              </w:rPr>
              <w:t>6</w:t>
            </w:r>
            <w:bookmarkEnd w:id="16"/>
            <w:r>
              <w:tab/>
              <w:t>NHMRC expenditure by grant type, 2015</w:t>
            </w:r>
            <w:r>
              <w:noBreakHyphen/>
              <w:t>16</w:t>
            </w:r>
          </w:p>
        </w:tc>
      </w:tr>
      <w:tr w:rsidR="003D3931" w14:paraId="0D6521F1"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3931" w:rsidRPr="00B1465D" w14:paraId="0D6521EF" w14:textId="77777777" w:rsidTr="00283C7A">
              <w:trPr>
                <w:tblHeader/>
                <w:jc w:val="center"/>
              </w:trPr>
              <w:tc>
                <w:tcPr>
                  <w:tcW w:w="5000" w:type="pct"/>
                  <w:tcBorders>
                    <w:top w:val="nil"/>
                    <w:bottom w:val="nil"/>
                  </w:tcBorders>
                </w:tcPr>
                <w:p w14:paraId="0D6521EE" w14:textId="77777777" w:rsidR="003D3931" w:rsidRPr="00B1465D" w:rsidRDefault="003D3931" w:rsidP="00283C7A">
                  <w:pPr>
                    <w:pStyle w:val="Figure"/>
                    <w:spacing w:before="60" w:after="60"/>
                    <w:rPr>
                      <w:rFonts w:ascii="Arial" w:hAnsi="Arial" w:cs="Arial"/>
                      <w:sz w:val="18"/>
                      <w:szCs w:val="18"/>
                    </w:rPr>
                  </w:pPr>
                  <w:r w:rsidRPr="003D3931">
                    <w:rPr>
                      <w:rFonts w:ascii="Arial" w:hAnsi="Arial" w:cs="Arial"/>
                      <w:noProof/>
                      <w:sz w:val="18"/>
                      <w:szCs w:val="18"/>
                    </w:rPr>
                    <w:drawing>
                      <wp:inline distT="0" distB="0" distL="0" distR="0" wp14:anchorId="0D652887" wp14:editId="0332F567">
                        <wp:extent cx="5403850" cy="2876550"/>
                        <wp:effectExtent l="0" t="0" r="6350" b="0"/>
                        <wp:docPr id="11" name="Picture 11" descr="The figure shows National Health and Medical Research Council expenditure in 2015-16 by grant type (expressed as percentages). This grant expenditure was allocated: Project grants (51 per cent); Programs (13 per cent); Research fellowships (8 per cent); Centres of research excellence (5 per cent); Targeted calls (4 per cent); Career development fellowships (3 per cent); Partnerships (3 per cent); and All other (13 per cent)."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1F0" w14:textId="77777777" w:rsidR="003D3931" w:rsidRDefault="003D3931" w:rsidP="00283C7A">
            <w:pPr>
              <w:pStyle w:val="Figure"/>
            </w:pPr>
          </w:p>
        </w:tc>
      </w:tr>
      <w:tr w:rsidR="003D3931" w:rsidRPr="00176D3F" w14:paraId="0D6521F3" w14:textId="77777777" w:rsidTr="00B0510F">
        <w:tc>
          <w:tcPr>
            <w:tcW w:w="8771" w:type="dxa"/>
            <w:tcBorders>
              <w:top w:val="nil"/>
              <w:left w:val="nil"/>
              <w:bottom w:val="nil"/>
              <w:right w:val="nil"/>
            </w:tcBorders>
            <w:shd w:val="clear" w:color="auto" w:fill="auto"/>
          </w:tcPr>
          <w:p w14:paraId="0D6521F2" w14:textId="58F5A982" w:rsidR="003D3931" w:rsidRPr="00176D3F" w:rsidRDefault="00C7225D" w:rsidP="00283C7A">
            <w:pPr>
              <w:pStyle w:val="Source"/>
            </w:pPr>
            <w:r>
              <w:rPr>
                <w:i/>
              </w:rPr>
              <w:t>S</w:t>
            </w:r>
            <w:r w:rsidR="003D3931" w:rsidRPr="00784A05">
              <w:rPr>
                <w:i/>
              </w:rPr>
              <w:t>ource</w:t>
            </w:r>
            <w:r w:rsidR="003D3931" w:rsidRPr="00176D3F">
              <w:t>:</w:t>
            </w:r>
            <w:r w:rsidR="003D3931">
              <w:t xml:space="preserve"> DIIS </w:t>
            </w:r>
            <w:r w:rsidR="003D3931" w:rsidRPr="005B3829">
              <w:rPr>
                <w:rFonts w:cs="Arial"/>
              </w:rPr>
              <w:t>(2016)</w:t>
            </w:r>
            <w:r w:rsidR="003D3931">
              <w:t>.</w:t>
            </w:r>
          </w:p>
        </w:tc>
      </w:tr>
      <w:tr w:rsidR="003D3931" w14:paraId="0D6521F5" w14:textId="77777777" w:rsidTr="00B0510F">
        <w:tc>
          <w:tcPr>
            <w:tcW w:w="8771" w:type="dxa"/>
            <w:tcBorders>
              <w:top w:val="nil"/>
              <w:left w:val="nil"/>
              <w:bottom w:val="single" w:sz="6" w:space="0" w:color="78A22F"/>
              <w:right w:val="nil"/>
            </w:tcBorders>
            <w:shd w:val="clear" w:color="auto" w:fill="auto"/>
          </w:tcPr>
          <w:p w14:paraId="0D6521F4" w14:textId="77777777" w:rsidR="003D3931" w:rsidRDefault="003D3931" w:rsidP="00283C7A">
            <w:pPr>
              <w:pStyle w:val="Figurespace"/>
            </w:pPr>
          </w:p>
        </w:tc>
      </w:tr>
      <w:tr w:rsidR="003D3931" w:rsidRPr="000863A5" w14:paraId="0D6521F7" w14:textId="77777777" w:rsidTr="00B0510F">
        <w:tc>
          <w:tcPr>
            <w:tcW w:w="8771" w:type="dxa"/>
            <w:tcBorders>
              <w:top w:val="single" w:sz="6" w:space="0" w:color="78A22F"/>
              <w:left w:val="nil"/>
              <w:bottom w:val="nil"/>
              <w:right w:val="nil"/>
            </w:tcBorders>
          </w:tcPr>
          <w:p w14:paraId="0D6521F6" w14:textId="77777777" w:rsidR="003D3931" w:rsidRPr="00626D32" w:rsidRDefault="003D3931" w:rsidP="00283C7A">
            <w:pPr>
              <w:pStyle w:val="BoxSpaceBelow"/>
            </w:pPr>
          </w:p>
        </w:tc>
      </w:tr>
    </w:tbl>
    <w:p w14:paraId="0D6521F8" w14:textId="77777777" w:rsidR="0067258B" w:rsidRDefault="0067258B" w:rsidP="0067258B">
      <w:pPr>
        <w:pStyle w:val="Heading4"/>
      </w:pPr>
      <w:r>
        <w:t>A</w:t>
      </w:r>
      <w:r w:rsidR="00612EE5">
        <w:t xml:space="preserve">ustralian </w:t>
      </w:r>
      <w:r>
        <w:t>R</w:t>
      </w:r>
      <w:r w:rsidR="00612EE5">
        <w:t xml:space="preserve">esearch </w:t>
      </w:r>
      <w:r>
        <w:t>C</w:t>
      </w:r>
      <w:r w:rsidR="00612EE5">
        <w:t>ouncil</w:t>
      </w:r>
      <w:r>
        <w:t xml:space="preserve"> grants</w:t>
      </w:r>
    </w:p>
    <w:p w14:paraId="0D6521F9" w14:textId="77777777" w:rsidR="005E3045" w:rsidRDefault="00B47AD5" w:rsidP="005E3045">
      <w:pPr>
        <w:pStyle w:val="BodyText"/>
      </w:pPr>
      <w:r>
        <w:t xml:space="preserve">The ARC is an Australian Government agency that seeks to advance Australian research and innovation globally </w:t>
      </w:r>
      <w:r w:rsidR="00F54867">
        <w:t xml:space="preserve">for the </w:t>
      </w:r>
      <w:r>
        <w:t xml:space="preserve">benefit </w:t>
      </w:r>
      <w:r w:rsidR="00F54867">
        <w:t xml:space="preserve">of </w:t>
      </w:r>
      <w:r>
        <w:t xml:space="preserve">the </w:t>
      </w:r>
      <w:r w:rsidR="00F54867">
        <w:t xml:space="preserve">Australian </w:t>
      </w:r>
      <w:r>
        <w:t>community. It provides advice to the Australian Government on research matters, administers the National Competitive Grants Program, and administers Excellence in Research for Australia.</w:t>
      </w:r>
      <w:r w:rsidR="005E3045">
        <w:t xml:space="preserve"> The cost of running the ARC in 2015</w:t>
      </w:r>
      <w:r w:rsidR="005E3045">
        <w:noBreakHyphen/>
        <w:t>16 was $26 million</w:t>
      </w:r>
      <w:r w:rsidR="003D4D85">
        <w:t xml:space="preserve"> </w:t>
      </w:r>
      <w:r w:rsidR="00A94EE3" w:rsidRPr="004155DB">
        <w:rPr>
          <w:szCs w:val="24"/>
        </w:rPr>
        <w:t>(ARC 2016)</w:t>
      </w:r>
      <w:r w:rsidR="005E3045">
        <w:t>.</w:t>
      </w:r>
    </w:p>
    <w:p w14:paraId="0D6521FA" w14:textId="77777777" w:rsidR="00B47AD5" w:rsidRDefault="00B47AD5" w:rsidP="00B47AD5">
      <w:pPr>
        <w:pStyle w:val="BodyText"/>
      </w:pPr>
      <w:r>
        <w:t>T</w:t>
      </w:r>
      <w:r w:rsidRPr="00B47AD5">
        <w:t xml:space="preserve">he ARC supports fundamental and applied research and research training through national competition across all disciplines. </w:t>
      </w:r>
      <w:r>
        <w:t>T</w:t>
      </w:r>
      <w:r w:rsidRPr="00B47AD5">
        <w:t xml:space="preserve">he ARC </w:t>
      </w:r>
      <w:r>
        <w:t xml:space="preserve">also </w:t>
      </w:r>
      <w:r w:rsidRPr="00B47AD5">
        <w:t>brokers partnerships between researchers and industry, government, community organisations and the international community.</w:t>
      </w:r>
    </w:p>
    <w:p w14:paraId="0D6521FB" w14:textId="77777777" w:rsidR="00B016DC" w:rsidRDefault="00B016DC" w:rsidP="00B016DC">
      <w:pPr>
        <w:pStyle w:val="BodyText"/>
      </w:pPr>
      <w:r>
        <w:t>The ARC funded $816 million in research in 2015</w:t>
      </w:r>
      <w:r>
        <w:noBreakHyphen/>
        <w:t>16</w:t>
      </w:r>
      <w:r w:rsidR="00DB3572">
        <w:t xml:space="preserve"> (</w:t>
      </w:r>
      <w:r w:rsidR="00C86DDE">
        <w:t>figure 1</w:t>
      </w:r>
      <w:r w:rsidR="00DB3572">
        <w:t>)</w:t>
      </w:r>
      <w:r>
        <w:t>.</w:t>
      </w:r>
    </w:p>
    <w:p w14:paraId="0D6521FC" w14:textId="77777777" w:rsidR="002A0AF0" w:rsidRDefault="002A0AF0" w:rsidP="002A0AF0">
      <w:pPr>
        <w:pStyle w:val="BodyText"/>
      </w:pPr>
      <w:r>
        <w:t>The key National Competitive Grants were:</w:t>
      </w:r>
    </w:p>
    <w:p w14:paraId="0D6521FD" w14:textId="77777777" w:rsidR="00CF1A97" w:rsidRDefault="00CF1A97" w:rsidP="00CF1A97">
      <w:pPr>
        <w:pStyle w:val="ListBullet"/>
      </w:pPr>
      <w:r w:rsidRPr="00CF1A97">
        <w:t xml:space="preserve">Discovery </w:t>
      </w:r>
      <w:r w:rsidR="00B016DC" w:rsidRPr="00CF1A97">
        <w:t>programme</w:t>
      </w:r>
    </w:p>
    <w:p w14:paraId="0D6521FE" w14:textId="77777777" w:rsidR="00CF1A97" w:rsidRDefault="00B016DC" w:rsidP="00CF1A97">
      <w:pPr>
        <w:pStyle w:val="ListBullet2"/>
      </w:pPr>
      <w:r w:rsidRPr="00CF1A97">
        <w:t>Australian laureate fellowships</w:t>
      </w:r>
      <w:r>
        <w:t xml:space="preserve"> (15 awards; $45 million)</w:t>
      </w:r>
    </w:p>
    <w:p w14:paraId="0D6521FF" w14:textId="77777777" w:rsidR="00CF1A97" w:rsidRDefault="00B016DC" w:rsidP="00CF1A97">
      <w:pPr>
        <w:pStyle w:val="ListBullet2"/>
      </w:pPr>
      <w:r>
        <w:t>discovery early career researcher award (200 awards; $70.7 million)</w:t>
      </w:r>
    </w:p>
    <w:p w14:paraId="0D652200" w14:textId="77777777" w:rsidR="00CF1A97" w:rsidRDefault="00B016DC" w:rsidP="00CF1A97">
      <w:pPr>
        <w:pStyle w:val="ListBullet2"/>
      </w:pPr>
      <w:r w:rsidRPr="00CF1A97">
        <w:t xml:space="preserve">discovery indigenous </w:t>
      </w:r>
      <w:r>
        <w:t>(10 awards; $4.1 million)</w:t>
      </w:r>
    </w:p>
    <w:p w14:paraId="0D652201" w14:textId="77777777" w:rsidR="00CF1A97" w:rsidRDefault="00B016DC" w:rsidP="00CF1A97">
      <w:pPr>
        <w:pStyle w:val="ListBullet2"/>
      </w:pPr>
      <w:r w:rsidRPr="00CF1A97">
        <w:t xml:space="preserve">discovery projects </w:t>
      </w:r>
      <w:r>
        <w:t>(635 awards; $244.9 million)</w:t>
      </w:r>
    </w:p>
    <w:p w14:paraId="0D652202" w14:textId="77777777" w:rsidR="00CF1A97" w:rsidRDefault="00B016DC" w:rsidP="00CF1A97">
      <w:pPr>
        <w:pStyle w:val="ListBullet2"/>
      </w:pPr>
      <w:r w:rsidRPr="00CF1A97">
        <w:t xml:space="preserve">future fellowships </w:t>
      </w:r>
      <w:r>
        <w:t>(50 awards; $38.6 million)</w:t>
      </w:r>
    </w:p>
    <w:p w14:paraId="0D652203" w14:textId="77777777" w:rsidR="00CF1A97" w:rsidRDefault="00B016DC" w:rsidP="00CF1A97">
      <w:pPr>
        <w:pStyle w:val="ListBullet"/>
      </w:pPr>
      <w:r w:rsidRPr="00CF1A97">
        <w:t>Linkage programme</w:t>
      </w:r>
    </w:p>
    <w:p w14:paraId="0D652204" w14:textId="77777777" w:rsidR="00CF1A97" w:rsidRDefault="00B016DC" w:rsidP="00CF1A97">
      <w:pPr>
        <w:pStyle w:val="ListBullet2"/>
      </w:pPr>
      <w:r>
        <w:t>industrial transformation research hubs (5 awards; $15.7 million)</w:t>
      </w:r>
    </w:p>
    <w:p w14:paraId="0D652205" w14:textId="77777777" w:rsidR="00CF1A97" w:rsidRDefault="00B016DC" w:rsidP="00CF1A97">
      <w:pPr>
        <w:pStyle w:val="ListBullet2"/>
      </w:pPr>
      <w:r>
        <w:t>industrial transformation training centres (6 awards; $22 million)</w:t>
      </w:r>
    </w:p>
    <w:p w14:paraId="0D652206" w14:textId="77777777" w:rsidR="00CF1A97" w:rsidRDefault="00B016DC" w:rsidP="00CF1A97">
      <w:pPr>
        <w:pStyle w:val="ListBullet2"/>
      </w:pPr>
      <w:r>
        <w:t>linkage infrastructure, equipment and facilities (54 awards; $38 million)</w:t>
      </w:r>
    </w:p>
    <w:p w14:paraId="0D652207" w14:textId="55BEEFD9" w:rsidR="00CF1A97" w:rsidRDefault="00B016DC" w:rsidP="00CF1A97">
      <w:pPr>
        <w:pStyle w:val="ListBullet2"/>
      </w:pPr>
      <w:r w:rsidRPr="00CF1A97">
        <w:t xml:space="preserve">linkage projects </w:t>
      </w:r>
      <w:r>
        <w:t>(252 awards; $86.9 million)</w:t>
      </w:r>
      <w:r w:rsidR="00741E2E">
        <w:t xml:space="preserve"> (ARC 2016, pp. 159–61)</w:t>
      </w:r>
      <w:r w:rsidR="00874E96">
        <w:t>.</w:t>
      </w:r>
    </w:p>
    <w:p w14:paraId="0D652208" w14:textId="77777777" w:rsidR="00DD0D2F" w:rsidRDefault="00DD0D2F" w:rsidP="0067258B">
      <w:pPr>
        <w:pStyle w:val="Heading3"/>
      </w:pPr>
      <w:r>
        <w:t>Private sector research</w:t>
      </w:r>
    </w:p>
    <w:p w14:paraId="0D652209" w14:textId="77777777" w:rsidR="00D73551" w:rsidRDefault="00F23A46" w:rsidP="00F23A46">
      <w:pPr>
        <w:pStyle w:val="BodyText"/>
      </w:pPr>
      <w:r>
        <w:t xml:space="preserve">The Australian government </w:t>
      </w:r>
      <w:r w:rsidR="009A21BD">
        <w:t xml:space="preserve">funded </w:t>
      </w:r>
      <w:r>
        <w:t>$3.</w:t>
      </w:r>
      <w:r w:rsidR="00F514AE">
        <w:t>4</w:t>
      </w:r>
      <w:r>
        <w:t xml:space="preserve"> billion </w:t>
      </w:r>
      <w:r w:rsidR="009A21BD">
        <w:t xml:space="preserve">of </w:t>
      </w:r>
      <w:r>
        <w:t xml:space="preserve">business sector </w:t>
      </w:r>
      <w:r w:rsidR="009A21BD">
        <w:t xml:space="preserve">research </w:t>
      </w:r>
      <w:r>
        <w:t>in 2015</w:t>
      </w:r>
      <w:r>
        <w:noBreakHyphen/>
        <w:t>16</w:t>
      </w:r>
      <w:r w:rsidR="00D377DA">
        <w:t xml:space="preserve"> (figure 1)</w:t>
      </w:r>
      <w:r>
        <w:t xml:space="preserve">. This funding </w:t>
      </w:r>
      <w:r w:rsidR="009A21BD">
        <w:t>wa</w:t>
      </w:r>
      <w:r>
        <w:t xml:space="preserve">s directed towards: </w:t>
      </w:r>
    </w:p>
    <w:p w14:paraId="0D65220A" w14:textId="77777777" w:rsidR="00D73551" w:rsidRDefault="00D73551" w:rsidP="00D73551">
      <w:pPr>
        <w:pStyle w:val="ListBullet"/>
      </w:pPr>
      <w:r>
        <w:t>R&amp;D tax measures ($3.2 billion</w:t>
      </w:r>
      <w:r w:rsidR="009E0FA5">
        <w:t>)</w:t>
      </w:r>
    </w:p>
    <w:p w14:paraId="0D65220B" w14:textId="77777777" w:rsidR="00E73BF0" w:rsidRDefault="00F23A46">
      <w:pPr>
        <w:pStyle w:val="ListBullet"/>
      </w:pPr>
      <w:r w:rsidRPr="00F23A46">
        <w:t>business innovation and other R&amp;D</w:t>
      </w:r>
      <w:r>
        <w:t xml:space="preserve"> measures ($236 million</w:t>
      </w:r>
      <w:r w:rsidR="00D377DA">
        <w:t>)</w:t>
      </w:r>
      <w:r>
        <w:t>.</w:t>
      </w:r>
    </w:p>
    <w:p w14:paraId="0D65220C" w14:textId="77777777" w:rsidR="00E73BF0" w:rsidRPr="00E20BF6" w:rsidRDefault="00E73BF0" w:rsidP="00741E2E">
      <w:pPr>
        <w:pStyle w:val="BodyText"/>
      </w:pPr>
      <w:r w:rsidRPr="00E20BF6">
        <w:t xml:space="preserve">The </w:t>
      </w:r>
      <w:r w:rsidR="003C2644" w:rsidRPr="00E20BF6">
        <w:t xml:space="preserve">funding for </w:t>
      </w:r>
      <w:r w:rsidRPr="00E20BF6">
        <w:t>business innovation and other R&amp;D includes $</w:t>
      </w:r>
      <w:r w:rsidR="003C2644" w:rsidRPr="00E20BF6">
        <w:t>43</w:t>
      </w:r>
      <w:r w:rsidRPr="00E20BF6">
        <w:t xml:space="preserve"> million for </w:t>
      </w:r>
      <w:r w:rsidR="003C2644" w:rsidRPr="00E20BF6">
        <w:t xml:space="preserve">the Innovation Investment Fund, $27 million for Accelerating Commercialisation, $12 million for the Commercialisation Fund and </w:t>
      </w:r>
      <w:r w:rsidRPr="00E20BF6">
        <w:t xml:space="preserve">$7 million for Commercialisation Australia (discussed later) </w:t>
      </w:r>
      <w:r w:rsidR="00C74049" w:rsidRPr="00E20BF6">
        <w:t>(figure </w:t>
      </w:r>
      <w:r w:rsidR="006A42C5" w:rsidRPr="00E20BF6">
        <w:t>7</w:t>
      </w:r>
      <w:r w:rsidR="00C74049" w:rsidRPr="00E20BF6">
        <w:t>).</w:t>
      </w:r>
    </w:p>
    <w:p w14:paraId="0D65220D" w14:textId="77777777" w:rsidR="00386C13" w:rsidRDefault="00386C13" w:rsidP="00386C13">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E73BF0" w14:paraId="0D65220F" w14:textId="77777777" w:rsidTr="00B0510F">
        <w:trPr>
          <w:tblHeader/>
        </w:trPr>
        <w:tc>
          <w:tcPr>
            <w:tcW w:w="8771" w:type="dxa"/>
            <w:tcBorders>
              <w:top w:val="single" w:sz="6" w:space="0" w:color="78A22F"/>
              <w:left w:val="nil"/>
              <w:bottom w:val="nil"/>
              <w:right w:val="nil"/>
            </w:tcBorders>
            <w:shd w:val="clear" w:color="auto" w:fill="auto"/>
          </w:tcPr>
          <w:p w14:paraId="0D65220E" w14:textId="77777777" w:rsidR="00E73BF0" w:rsidRPr="00176D3F" w:rsidRDefault="00E73BF0" w:rsidP="00474135">
            <w:pPr>
              <w:pStyle w:val="FigureTitle"/>
            </w:pPr>
            <w:r w:rsidRPr="00784A05">
              <w:rPr>
                <w:b w:val="0"/>
              </w:rPr>
              <w:t xml:space="preserve">Figure </w:t>
            </w:r>
            <w:bookmarkStart w:id="17" w:name="OLE_LINK7"/>
            <w:r w:rsidR="00F97E1E">
              <w:rPr>
                <w:b w:val="0"/>
                <w:noProof/>
              </w:rPr>
              <w:t>7</w:t>
            </w:r>
            <w:bookmarkEnd w:id="17"/>
            <w:r>
              <w:tab/>
              <w:t>Business innovation and other R&amp;D grants, 2015</w:t>
            </w:r>
            <w:r>
              <w:noBreakHyphen/>
              <w:t>16</w:t>
            </w:r>
            <w:r w:rsidRPr="004775C9">
              <w:rPr>
                <w:rStyle w:val="NoteLabel"/>
              </w:rPr>
              <w:t>a</w:t>
            </w:r>
          </w:p>
        </w:tc>
      </w:tr>
      <w:tr w:rsidR="00E73BF0" w14:paraId="0D652213"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E73BF0" w:rsidRPr="00B1465D" w14:paraId="0D652211" w14:textId="77777777" w:rsidTr="00283C7A">
              <w:trPr>
                <w:tblHeader/>
                <w:jc w:val="center"/>
              </w:trPr>
              <w:tc>
                <w:tcPr>
                  <w:tcW w:w="5000" w:type="pct"/>
                  <w:tcBorders>
                    <w:top w:val="nil"/>
                    <w:bottom w:val="nil"/>
                  </w:tcBorders>
                </w:tcPr>
                <w:p w14:paraId="0D652210" w14:textId="77777777" w:rsidR="00E73BF0" w:rsidRPr="00B1465D" w:rsidRDefault="00E73BF0" w:rsidP="00283C7A">
                  <w:pPr>
                    <w:pStyle w:val="Figure"/>
                    <w:spacing w:before="60" w:after="60"/>
                    <w:rPr>
                      <w:rFonts w:ascii="Arial" w:hAnsi="Arial" w:cs="Arial"/>
                      <w:sz w:val="18"/>
                      <w:szCs w:val="18"/>
                    </w:rPr>
                  </w:pPr>
                  <w:r w:rsidRPr="00E73BF0">
                    <w:rPr>
                      <w:rFonts w:ascii="Arial" w:hAnsi="Arial" w:cs="Arial"/>
                      <w:noProof/>
                      <w:sz w:val="18"/>
                      <w:szCs w:val="18"/>
                    </w:rPr>
                    <w:drawing>
                      <wp:inline distT="0" distB="0" distL="0" distR="0" wp14:anchorId="0D652889" wp14:editId="42C0EA3C">
                        <wp:extent cx="5403850" cy="2876550"/>
                        <wp:effectExtent l="0" t="0" r="6350" b="0"/>
                        <wp:docPr id="13" name="Picture 13" descr="The figure shows business innovation and other research and development grants in 2015-16 (expressed as percentages). This expenditure was allocated: Automotive Transformation Scheme (60 per cent); Innovation Investment Fund (20 per cent); Accelerating Commercialisation (12 per cent); Commercialisation Fund (5 per cent); and Commercialisation Australia (3 per cent)."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212" w14:textId="77777777" w:rsidR="00E73BF0" w:rsidRDefault="00E73BF0" w:rsidP="00283C7A">
            <w:pPr>
              <w:pStyle w:val="Figure"/>
            </w:pPr>
          </w:p>
        </w:tc>
      </w:tr>
      <w:tr w:rsidR="00E73BF0" w:rsidRPr="00176D3F" w14:paraId="0D652215" w14:textId="77777777" w:rsidTr="00B0510F">
        <w:tc>
          <w:tcPr>
            <w:tcW w:w="8771" w:type="dxa"/>
            <w:tcBorders>
              <w:top w:val="nil"/>
              <w:left w:val="nil"/>
              <w:bottom w:val="nil"/>
              <w:right w:val="nil"/>
            </w:tcBorders>
            <w:shd w:val="clear" w:color="auto" w:fill="auto"/>
          </w:tcPr>
          <w:p w14:paraId="0D652214" w14:textId="19BCA414" w:rsidR="00E73BF0" w:rsidRPr="004775C9" w:rsidRDefault="00E73BF0">
            <w:pPr>
              <w:pStyle w:val="Source"/>
            </w:pPr>
            <w:r w:rsidRPr="00E73BF0">
              <w:rPr>
                <w:rStyle w:val="NoteLabel"/>
              </w:rPr>
              <w:t>a</w:t>
            </w:r>
            <w:r>
              <w:t> </w:t>
            </w:r>
            <w:r w:rsidRPr="00E73BF0">
              <w:t>Accelerating Commercialisation</w:t>
            </w:r>
            <w:r>
              <w:t xml:space="preserve">: </w:t>
            </w:r>
            <w:r w:rsidRPr="00E73BF0">
              <w:t>Entrepreneurs</w:t>
            </w:r>
            <w:r w:rsidR="00D451C0">
              <w:t>’</w:t>
            </w:r>
            <w:r w:rsidRPr="00E73BF0">
              <w:t xml:space="preserve"> Programme </w:t>
            </w:r>
            <w:r>
              <w:rPr>
                <w:rFonts w:cs="Arial"/>
              </w:rPr>
              <w:t>—</w:t>
            </w:r>
            <w:r w:rsidRPr="00E73BF0">
              <w:t xml:space="preserve"> Accelerating Commercialisation</w:t>
            </w:r>
            <w:r>
              <w:t xml:space="preserve">. </w:t>
            </w:r>
            <w:r w:rsidRPr="00E73BF0">
              <w:t>Innovation Investment Fund includ</w:t>
            </w:r>
            <w:r>
              <w:t>es</w:t>
            </w:r>
            <w:r w:rsidRPr="00E73BF0">
              <w:t xml:space="preserve"> Innovation Investment Follow</w:t>
            </w:r>
            <w:r w:rsidR="00DA338A">
              <w:noBreakHyphen/>
            </w:r>
            <w:r w:rsidRPr="00E73BF0">
              <w:t>on Fund</w:t>
            </w:r>
            <w:r>
              <w:t>.</w:t>
            </w:r>
          </w:p>
        </w:tc>
      </w:tr>
      <w:tr w:rsidR="00E73BF0" w:rsidRPr="00176D3F" w14:paraId="0D652217" w14:textId="77777777" w:rsidTr="00B0510F">
        <w:tc>
          <w:tcPr>
            <w:tcW w:w="8771" w:type="dxa"/>
            <w:tcBorders>
              <w:top w:val="nil"/>
              <w:left w:val="nil"/>
              <w:bottom w:val="nil"/>
              <w:right w:val="nil"/>
            </w:tcBorders>
            <w:shd w:val="clear" w:color="auto" w:fill="auto"/>
          </w:tcPr>
          <w:p w14:paraId="0D652216" w14:textId="29C36D4F" w:rsidR="00E73BF0" w:rsidRPr="00176D3F" w:rsidRDefault="00C7225D" w:rsidP="00283C7A">
            <w:pPr>
              <w:pStyle w:val="Source"/>
            </w:pPr>
            <w:r>
              <w:rPr>
                <w:i/>
              </w:rPr>
              <w:t>S</w:t>
            </w:r>
            <w:r w:rsidR="00E73BF0" w:rsidRPr="00784A05">
              <w:rPr>
                <w:i/>
              </w:rPr>
              <w:t>ource</w:t>
            </w:r>
            <w:r w:rsidR="00E73BF0" w:rsidRPr="00176D3F">
              <w:t>:</w:t>
            </w:r>
            <w:r w:rsidR="00E73BF0">
              <w:t xml:space="preserve"> DIIS </w:t>
            </w:r>
            <w:r w:rsidR="00E73BF0" w:rsidRPr="005B3829">
              <w:rPr>
                <w:rFonts w:cs="Arial"/>
              </w:rPr>
              <w:t>(2016)</w:t>
            </w:r>
            <w:r w:rsidR="00E73BF0">
              <w:t>.</w:t>
            </w:r>
          </w:p>
        </w:tc>
      </w:tr>
      <w:tr w:rsidR="00E73BF0" w14:paraId="0D652219" w14:textId="77777777" w:rsidTr="00B0510F">
        <w:tc>
          <w:tcPr>
            <w:tcW w:w="8771" w:type="dxa"/>
            <w:tcBorders>
              <w:top w:val="nil"/>
              <w:left w:val="nil"/>
              <w:bottom w:val="single" w:sz="6" w:space="0" w:color="78A22F"/>
              <w:right w:val="nil"/>
            </w:tcBorders>
            <w:shd w:val="clear" w:color="auto" w:fill="auto"/>
          </w:tcPr>
          <w:p w14:paraId="0D652218" w14:textId="77777777" w:rsidR="00E73BF0" w:rsidRDefault="00E73BF0" w:rsidP="00283C7A">
            <w:pPr>
              <w:pStyle w:val="Figurespace"/>
            </w:pPr>
          </w:p>
        </w:tc>
      </w:tr>
      <w:tr w:rsidR="00E73BF0" w:rsidRPr="000863A5" w14:paraId="0D65221B" w14:textId="77777777" w:rsidTr="00B0510F">
        <w:tc>
          <w:tcPr>
            <w:tcW w:w="8771" w:type="dxa"/>
            <w:tcBorders>
              <w:top w:val="single" w:sz="6" w:space="0" w:color="78A22F"/>
              <w:left w:val="nil"/>
              <w:bottom w:val="nil"/>
              <w:right w:val="nil"/>
            </w:tcBorders>
          </w:tcPr>
          <w:p w14:paraId="0D65221A" w14:textId="77777777" w:rsidR="00E73BF0" w:rsidRPr="00626D32" w:rsidRDefault="00E73BF0" w:rsidP="00283C7A">
            <w:pPr>
              <w:pStyle w:val="BoxSpaceBelow"/>
            </w:pPr>
          </w:p>
        </w:tc>
      </w:tr>
    </w:tbl>
    <w:p w14:paraId="0D65221C" w14:textId="77777777" w:rsidR="009855F1" w:rsidRDefault="009855F1" w:rsidP="009855F1">
      <w:pPr>
        <w:pStyle w:val="Heading3"/>
      </w:pPr>
      <w:r>
        <w:t>National Innovation and Science Agenda</w:t>
      </w:r>
    </w:p>
    <w:p w14:paraId="0D65221D" w14:textId="77777777" w:rsidR="001A2E44" w:rsidRDefault="009855F1" w:rsidP="001A2E44">
      <w:pPr>
        <w:pStyle w:val="BodyText"/>
      </w:pPr>
      <w:r>
        <w:t>The National Innovation and Science Agenda covers a range of related policy initiatives in the a</w:t>
      </w:r>
      <w:r w:rsidR="00476DA0">
        <w:t>reas of innovation and science.</w:t>
      </w:r>
      <w:r w:rsidR="00476DA0" w:rsidRPr="00476DA0">
        <w:t xml:space="preserve"> </w:t>
      </w:r>
      <w:r w:rsidR="00476DA0">
        <w:t xml:space="preserve">It is intended to </w:t>
      </w:r>
      <w:r w:rsidR="00D377DA">
        <w:t xml:space="preserve">promote </w:t>
      </w:r>
      <w:r w:rsidR="00476DA0">
        <w:t xml:space="preserve">a more innovative and entrepreneurial economy </w:t>
      </w:r>
      <w:r w:rsidR="00D377DA">
        <w:t xml:space="preserve">as well as </w:t>
      </w:r>
      <w:r w:rsidR="00476DA0">
        <w:t>provid</w:t>
      </w:r>
      <w:r w:rsidR="00D377DA">
        <w:t>ing</w:t>
      </w:r>
      <w:r w:rsidR="00476DA0">
        <w:t xml:space="preserve"> an overarching framework for </w:t>
      </w:r>
      <w:r w:rsidR="00476DA0">
        <w:rPr>
          <w:lang w:val="en-US"/>
        </w:rPr>
        <w:t>innovation policy in Australia</w:t>
      </w:r>
      <w:r w:rsidR="00D377DA">
        <w:t xml:space="preserve"> </w:t>
      </w:r>
      <w:r w:rsidR="00D377DA" w:rsidRPr="00D377DA">
        <w:rPr>
          <w:szCs w:val="24"/>
        </w:rPr>
        <w:t>(Commonwealth of Australia 2015)</w:t>
      </w:r>
      <w:r w:rsidR="00476DA0">
        <w:rPr>
          <w:lang w:val="en-US"/>
        </w:rPr>
        <w:t>.</w:t>
      </w:r>
    </w:p>
    <w:p w14:paraId="0D65221E" w14:textId="77777777" w:rsidR="009855F1" w:rsidRDefault="009855F1" w:rsidP="009855F1">
      <w:pPr>
        <w:pStyle w:val="BodyText"/>
      </w:pPr>
      <w:r>
        <w:t xml:space="preserve">The Agenda </w:t>
      </w:r>
      <w:r w:rsidR="00707A5A">
        <w:t xml:space="preserve">states </w:t>
      </w:r>
      <w:r w:rsidR="00476DA0">
        <w:t xml:space="preserve">that the </w:t>
      </w:r>
      <w:r>
        <w:t xml:space="preserve">main building blocks for successful innovation </w:t>
      </w:r>
      <w:r w:rsidR="00476DA0">
        <w:t xml:space="preserve">in Australia </w:t>
      </w:r>
      <w:r>
        <w:t>are its strong economic fundamentals, direct access to Asian markets, a global reputation as a trusted source of goods and services and home to some of the highest quality scientific research organisations in the world. It identifies that the main obstacles to overcome are</w:t>
      </w:r>
      <w:r w:rsidR="00F653F9">
        <w:t>:</w:t>
      </w:r>
      <w:r>
        <w:t xml:space="preserve"> insufficient access to early stage capital for many start</w:t>
      </w:r>
      <w:r w:rsidR="00625E7A">
        <w:noBreakHyphen/>
      </w:r>
      <w:r>
        <w:t>ups</w:t>
      </w:r>
      <w:r w:rsidR="00F653F9">
        <w:t xml:space="preserve">; </w:t>
      </w:r>
      <w:r>
        <w:t>the lowest level of industry</w:t>
      </w:r>
      <w:r>
        <w:noBreakHyphen/>
        <w:t>research collaboration in the OECD</w:t>
      </w:r>
      <w:r w:rsidR="00F653F9">
        <w:t xml:space="preserve">; </w:t>
      </w:r>
      <w:r>
        <w:t>falling student maths skills</w:t>
      </w:r>
      <w:r w:rsidR="00F653F9">
        <w:t>;</w:t>
      </w:r>
      <w:r>
        <w:t xml:space="preserve"> and that the government is not leading on innovation, but rather following (</w:t>
      </w:r>
      <w:r w:rsidR="00463803">
        <w:t>figure </w:t>
      </w:r>
      <w:r w:rsidR="006A42C5">
        <w:t>8</w:t>
      </w:r>
      <w:r>
        <w:t>).</w:t>
      </w:r>
    </w:p>
    <w:p w14:paraId="0D65221F" w14:textId="77777777" w:rsidR="009855F1" w:rsidRDefault="009855F1" w:rsidP="009855F1">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9855F1" w14:paraId="0D652221" w14:textId="77777777" w:rsidTr="00B0510F">
        <w:trPr>
          <w:tblHeader/>
        </w:trPr>
        <w:tc>
          <w:tcPr>
            <w:tcW w:w="8771" w:type="dxa"/>
            <w:tcBorders>
              <w:top w:val="single" w:sz="6" w:space="0" w:color="78A22F"/>
              <w:left w:val="nil"/>
              <w:bottom w:val="nil"/>
              <w:right w:val="nil"/>
            </w:tcBorders>
            <w:shd w:val="clear" w:color="auto" w:fill="auto"/>
          </w:tcPr>
          <w:p w14:paraId="0D652220" w14:textId="77777777" w:rsidR="009855F1" w:rsidRPr="00176D3F" w:rsidRDefault="009855F1" w:rsidP="00474135">
            <w:pPr>
              <w:pStyle w:val="FigureTitle"/>
            </w:pPr>
            <w:bookmarkStart w:id="18" w:name="OLE_LINK1"/>
            <w:r w:rsidRPr="00784A05">
              <w:rPr>
                <w:b w:val="0"/>
              </w:rPr>
              <w:t xml:space="preserve">Figure </w:t>
            </w:r>
            <w:bookmarkStart w:id="19" w:name="OLE_LINK3"/>
            <w:r w:rsidR="00F97E1E">
              <w:rPr>
                <w:b w:val="0"/>
                <w:noProof/>
              </w:rPr>
              <w:t>8</w:t>
            </w:r>
            <w:bookmarkEnd w:id="18"/>
            <w:bookmarkEnd w:id="19"/>
            <w:r>
              <w:tab/>
              <w:t>Characterisation of Australia’s strengths and weaknesses in the National Innovation and Science Agenda</w:t>
            </w:r>
          </w:p>
        </w:tc>
      </w:tr>
      <w:tr w:rsidR="009855F1" w14:paraId="0D652225"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9855F1" w:rsidRPr="00B1465D" w14:paraId="0D652223" w14:textId="77777777" w:rsidTr="00B47AD5">
              <w:trPr>
                <w:tblHeader/>
                <w:jc w:val="center"/>
              </w:trPr>
              <w:tc>
                <w:tcPr>
                  <w:tcW w:w="5000" w:type="pct"/>
                  <w:tcBorders>
                    <w:top w:val="nil"/>
                    <w:bottom w:val="nil"/>
                  </w:tcBorders>
                </w:tcPr>
                <w:p w14:paraId="0D652222" w14:textId="62F91BC1" w:rsidR="009855F1" w:rsidRPr="00B1465D" w:rsidRDefault="00B00C07" w:rsidP="00B47AD5">
                  <w:pPr>
                    <w:pStyle w:val="Figure"/>
                    <w:spacing w:before="60" w:after="60"/>
                    <w:rPr>
                      <w:rFonts w:ascii="Arial" w:hAnsi="Arial" w:cs="Arial"/>
                      <w:sz w:val="18"/>
                      <w:szCs w:val="18"/>
                    </w:rPr>
                  </w:pPr>
                  <w:r w:rsidRPr="00B00C07">
                    <w:rPr>
                      <w:rFonts w:ascii="Arial" w:hAnsi="Arial" w:cs="Arial"/>
                      <w:noProof/>
                      <w:sz w:val="18"/>
                      <w:szCs w:val="18"/>
                    </w:rPr>
                    <w:drawing>
                      <wp:inline distT="0" distB="0" distL="0" distR="0" wp14:anchorId="18075975" wp14:editId="1CADCD37">
                        <wp:extent cx="5395595" cy="2644140"/>
                        <wp:effectExtent l="0" t="0" r="0" b="3810"/>
                        <wp:docPr id="4" name="Picture 4" descr="The figure reproduces a figure from the National Innovation and Science Agenda showing the characterisation of Australia’s strengths and weaknesses in the National Innovation and Science Agenda. The left-hand panels is headed ‘Australia has strong building blocks for success …’. They are listed as: Strong economic fundamentals and a stable investment climate; Direct access to markets in Asia — the world's economic engine room; Global reputation as a trusted source of goods and services; and Home to some of the highest quality scientific research organisations in the world. The right-hand panels is headed ‘… but there are obstacles we need to overcome’. They are listed as: Insufficient access to early stage capital for many startups; The lowest level of industry-research collaboration in the OECD; School students' maths skills are falling; and Government following on innovation, not leading."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5595" cy="2644140"/>
                                </a:xfrm>
                                <a:prstGeom prst="rect">
                                  <a:avLst/>
                                </a:prstGeom>
                                <a:noFill/>
                                <a:ln>
                                  <a:noFill/>
                                </a:ln>
                              </pic:spPr>
                            </pic:pic>
                          </a:graphicData>
                        </a:graphic>
                      </wp:inline>
                    </w:drawing>
                  </w:r>
                </w:p>
              </w:tc>
            </w:tr>
          </w:tbl>
          <w:p w14:paraId="0D652224" w14:textId="77777777" w:rsidR="009855F1" w:rsidRDefault="009855F1" w:rsidP="00B47AD5">
            <w:pPr>
              <w:pStyle w:val="Figure"/>
            </w:pPr>
          </w:p>
        </w:tc>
      </w:tr>
      <w:tr w:rsidR="009855F1" w:rsidRPr="00176D3F" w14:paraId="0D652227" w14:textId="77777777" w:rsidTr="00B0510F">
        <w:tc>
          <w:tcPr>
            <w:tcW w:w="8771" w:type="dxa"/>
            <w:tcBorders>
              <w:top w:val="nil"/>
              <w:left w:val="nil"/>
              <w:bottom w:val="nil"/>
              <w:right w:val="nil"/>
            </w:tcBorders>
            <w:shd w:val="clear" w:color="auto" w:fill="auto"/>
          </w:tcPr>
          <w:p w14:paraId="0D652226" w14:textId="77777777" w:rsidR="009855F1" w:rsidRPr="00176D3F" w:rsidRDefault="009855F1" w:rsidP="00122F5C">
            <w:pPr>
              <w:pStyle w:val="Source"/>
            </w:pPr>
            <w:r>
              <w:rPr>
                <w:i/>
              </w:rPr>
              <w:t>S</w:t>
            </w:r>
            <w:r w:rsidRPr="00784A05">
              <w:rPr>
                <w:i/>
              </w:rPr>
              <w:t>ource</w:t>
            </w:r>
            <w:r w:rsidRPr="00176D3F">
              <w:t xml:space="preserve">: </w:t>
            </w:r>
            <w:r w:rsidRPr="00654E60">
              <w:t xml:space="preserve">Commonwealth of Australia </w:t>
            </w:r>
            <w:r w:rsidR="00122F5C" w:rsidRPr="00122F5C">
              <w:rPr>
                <w:rFonts w:cs="Arial"/>
                <w:szCs w:val="24"/>
              </w:rPr>
              <w:t>(2015, p. 1)</w:t>
            </w:r>
            <w:r w:rsidR="00874E96">
              <w:t>.</w:t>
            </w:r>
          </w:p>
        </w:tc>
      </w:tr>
      <w:tr w:rsidR="009855F1" w14:paraId="0D652229" w14:textId="77777777" w:rsidTr="00B0510F">
        <w:tc>
          <w:tcPr>
            <w:tcW w:w="8771" w:type="dxa"/>
            <w:tcBorders>
              <w:top w:val="nil"/>
              <w:left w:val="nil"/>
              <w:bottom w:val="single" w:sz="6" w:space="0" w:color="78A22F"/>
              <w:right w:val="nil"/>
            </w:tcBorders>
            <w:shd w:val="clear" w:color="auto" w:fill="auto"/>
          </w:tcPr>
          <w:p w14:paraId="0D652228" w14:textId="77777777" w:rsidR="009855F1" w:rsidRDefault="009855F1" w:rsidP="00B47AD5">
            <w:pPr>
              <w:pStyle w:val="Figurespace"/>
            </w:pPr>
          </w:p>
        </w:tc>
      </w:tr>
      <w:tr w:rsidR="009855F1" w:rsidRPr="000863A5" w14:paraId="0D65222B" w14:textId="77777777" w:rsidTr="00B0510F">
        <w:tc>
          <w:tcPr>
            <w:tcW w:w="8771" w:type="dxa"/>
            <w:tcBorders>
              <w:top w:val="single" w:sz="6" w:space="0" w:color="78A22F"/>
              <w:left w:val="nil"/>
              <w:bottom w:val="nil"/>
              <w:right w:val="nil"/>
            </w:tcBorders>
          </w:tcPr>
          <w:p w14:paraId="0D65222A" w14:textId="77777777" w:rsidR="009855F1" w:rsidRPr="00626D32" w:rsidRDefault="009855F1" w:rsidP="00B47AD5">
            <w:pPr>
              <w:pStyle w:val="BoxSpaceBelow"/>
            </w:pPr>
          </w:p>
        </w:tc>
      </w:tr>
    </w:tbl>
    <w:p w14:paraId="0D65222C" w14:textId="77777777" w:rsidR="00476DA0" w:rsidRDefault="00476DA0" w:rsidP="00476DA0">
      <w:pPr>
        <w:pStyle w:val="BodyText"/>
        <w:rPr>
          <w:lang w:val="en-US"/>
        </w:rPr>
      </w:pPr>
      <w:r>
        <w:t xml:space="preserve">To achieve these goals, the Agenda </w:t>
      </w:r>
      <w:r>
        <w:rPr>
          <w:lang w:val="en-US"/>
        </w:rPr>
        <w:t>consists of four key pillars:</w:t>
      </w:r>
    </w:p>
    <w:p w14:paraId="0D65222D" w14:textId="77777777" w:rsidR="00476DA0" w:rsidRDefault="00476DA0" w:rsidP="00476DA0">
      <w:pPr>
        <w:pStyle w:val="ListBullet"/>
      </w:pPr>
      <w:r w:rsidRPr="001A2E44">
        <w:rPr>
          <w:i/>
        </w:rPr>
        <w:t>culture and capital</w:t>
      </w:r>
      <w:r>
        <w:t>, which aims to develop an Australia that is confident, embraces risk, pursues ideas and learns from mistakes, and for investors to back these ideas at an early stage</w:t>
      </w:r>
    </w:p>
    <w:p w14:paraId="0D65222E" w14:textId="77777777" w:rsidR="00476DA0" w:rsidRDefault="00476DA0" w:rsidP="00476DA0">
      <w:pPr>
        <w:pStyle w:val="ListBullet"/>
      </w:pPr>
      <w:r w:rsidRPr="001A2E44">
        <w:rPr>
          <w:i/>
        </w:rPr>
        <w:t>collaboration</w:t>
      </w:r>
      <w:r>
        <w:t>, which seeks to encourage Australian researchers and businesses to collaborate to shape future industries and generate wealth</w:t>
      </w:r>
    </w:p>
    <w:p w14:paraId="0D65222F" w14:textId="77777777" w:rsidR="00476DA0" w:rsidRDefault="00476DA0" w:rsidP="00476DA0">
      <w:pPr>
        <w:pStyle w:val="ListBullet"/>
      </w:pPr>
      <w:r w:rsidRPr="001A2E44">
        <w:rPr>
          <w:i/>
        </w:rPr>
        <w:t>talent and skill</w:t>
      </w:r>
      <w:r>
        <w:t>, which supports Australian students to embrace the digital age by promoting coding and computing in schools to ensure that students have the problem solving and critical reasoning skills for high wage jobs</w:t>
      </w:r>
    </w:p>
    <w:p w14:paraId="0D652230" w14:textId="77777777" w:rsidR="009A21BD" w:rsidRDefault="00476DA0" w:rsidP="00476DA0">
      <w:pPr>
        <w:pStyle w:val="ListBullet"/>
      </w:pPr>
      <w:r w:rsidRPr="001A2E44">
        <w:rPr>
          <w:i/>
        </w:rPr>
        <w:t>government as an exemplar</w:t>
      </w:r>
      <w:r>
        <w:t xml:space="preserve">, which aspires to </w:t>
      </w:r>
      <w:r w:rsidRPr="001A2E44">
        <w:t xml:space="preserve">place innovation and science at the centre of the Government </w:t>
      </w:r>
      <w:r>
        <w:t>and to lead by example by becoming more innovative in</w:t>
      </w:r>
      <w:r w:rsidR="009A21BD" w:rsidRPr="009A21BD">
        <w:t xml:space="preserve"> </w:t>
      </w:r>
      <w:r w:rsidR="009A21BD">
        <w:t>how government:</w:t>
      </w:r>
    </w:p>
    <w:p w14:paraId="0D652231" w14:textId="77777777" w:rsidR="009A21BD" w:rsidRDefault="00476DA0" w:rsidP="009A21BD">
      <w:pPr>
        <w:pStyle w:val="ListBullet2"/>
      </w:pPr>
      <w:r>
        <w:t>deliver</w:t>
      </w:r>
      <w:r w:rsidR="009A21BD">
        <w:t>s</w:t>
      </w:r>
      <w:r w:rsidR="006825A5">
        <w:t xml:space="preserve"> services</w:t>
      </w:r>
    </w:p>
    <w:p w14:paraId="0D652232" w14:textId="77777777" w:rsidR="009A21BD" w:rsidRDefault="00476DA0" w:rsidP="009A21BD">
      <w:pPr>
        <w:pStyle w:val="ListBullet2"/>
      </w:pPr>
      <w:r>
        <w:t>make</w:t>
      </w:r>
      <w:r w:rsidR="009A21BD">
        <w:t>s</w:t>
      </w:r>
      <w:r>
        <w:t xml:space="preserve"> data</w:t>
      </w:r>
      <w:r w:rsidR="006825A5">
        <w:t xml:space="preserve"> openly available to the public</w:t>
      </w:r>
    </w:p>
    <w:p w14:paraId="0D652233" w14:textId="77777777" w:rsidR="00476DA0" w:rsidRDefault="00476DA0" w:rsidP="009A21BD">
      <w:pPr>
        <w:pStyle w:val="ListBullet2"/>
      </w:pPr>
      <w:r>
        <w:t>make</w:t>
      </w:r>
      <w:r w:rsidR="009A21BD">
        <w:t>s</w:t>
      </w:r>
      <w:r>
        <w:t xml:space="preserve"> it easier for start</w:t>
      </w:r>
      <w:r w:rsidR="00625E7A">
        <w:noBreakHyphen/>
      </w:r>
      <w:r>
        <w:t>ups and innovative small businesses to sell technology services to government.</w:t>
      </w:r>
    </w:p>
    <w:p w14:paraId="0D652234" w14:textId="77777777" w:rsidR="00476DA0" w:rsidRDefault="00476DA0" w:rsidP="00476DA0">
      <w:pPr>
        <w:pStyle w:val="BodyText"/>
      </w:pPr>
      <w:r>
        <w:t xml:space="preserve">The Agenda includes </w:t>
      </w:r>
      <w:r w:rsidR="00977A2F">
        <w:t>2</w:t>
      </w:r>
      <w:r>
        <w:t>4 policy initiatives, with $1</w:t>
      </w:r>
      <w:r w:rsidR="00977A2F">
        <w:t>.1</w:t>
      </w:r>
      <w:r>
        <w:t xml:space="preserve"> billion in expenditure over the </w:t>
      </w:r>
      <w:r w:rsidR="00977A2F">
        <w:t>four</w:t>
      </w:r>
      <w:r w:rsidR="00977A2F">
        <w:noBreakHyphen/>
        <w:t xml:space="preserve">year </w:t>
      </w:r>
      <w:r>
        <w:t>forward estimates</w:t>
      </w:r>
      <w:r w:rsidR="00F514AE">
        <w:t>.</w:t>
      </w:r>
      <w:r>
        <w:t xml:space="preserve"> Just under half of this expenditure targets </w:t>
      </w:r>
      <w:r w:rsidRPr="00B87F69">
        <w:t>critical research infrastructure</w:t>
      </w:r>
      <w:r>
        <w:t xml:space="preserve"> ($459 million). Other significant expenditure items include: </w:t>
      </w:r>
    </w:p>
    <w:p w14:paraId="0D652235" w14:textId="77777777" w:rsidR="00476DA0" w:rsidRDefault="00476DA0" w:rsidP="00476DA0">
      <w:pPr>
        <w:pStyle w:val="ListBullet"/>
      </w:pPr>
      <w:r w:rsidRPr="00B87F69">
        <w:t xml:space="preserve">sharper incentives for engagement </w:t>
      </w:r>
      <w:r w:rsidR="006825A5">
        <w:t>($127 million)</w:t>
      </w:r>
    </w:p>
    <w:p w14:paraId="0D652236" w14:textId="77777777" w:rsidR="00476DA0" w:rsidRDefault="00476DA0" w:rsidP="00476DA0">
      <w:pPr>
        <w:pStyle w:val="ListBullet"/>
      </w:pPr>
      <w:r w:rsidRPr="00B87F69">
        <w:t>tax incentives for angel investors</w:t>
      </w:r>
      <w:r w:rsidR="006825A5">
        <w:t xml:space="preserve"> ($106 million)</w:t>
      </w:r>
    </w:p>
    <w:p w14:paraId="0D652237" w14:textId="77777777" w:rsidR="00476DA0" w:rsidRDefault="00476DA0" w:rsidP="00476DA0">
      <w:pPr>
        <w:pStyle w:val="ListBullet"/>
      </w:pPr>
      <w:r w:rsidRPr="00B87F69">
        <w:t xml:space="preserve">inspiring all Australians in digital literacy and STEM </w:t>
      </w:r>
      <w:r w:rsidR="006825A5">
        <w:t>($84 million)</w:t>
      </w:r>
    </w:p>
    <w:p w14:paraId="0D652238" w14:textId="77777777" w:rsidR="00476DA0" w:rsidRDefault="00476DA0" w:rsidP="00476DA0">
      <w:pPr>
        <w:pStyle w:val="ListBullet"/>
      </w:pPr>
      <w:r w:rsidRPr="00B87F69">
        <w:t xml:space="preserve">intangible asset depreciation </w:t>
      </w:r>
      <w:r>
        <w:t>($80 million)</w:t>
      </w:r>
    </w:p>
    <w:p w14:paraId="0D652239" w14:textId="77777777" w:rsidR="00476DA0" w:rsidRDefault="00476DA0" w:rsidP="00476DA0">
      <w:pPr>
        <w:pStyle w:val="ListBullet"/>
      </w:pPr>
      <w:r w:rsidRPr="006825A5">
        <w:rPr>
          <w:i/>
        </w:rPr>
        <w:t>Data61</w:t>
      </w:r>
      <w:r>
        <w:t>, which is a data innovation group created from the merger between National ICT Australia and CSIRO’s digit</w:t>
      </w:r>
      <w:r w:rsidR="006825A5">
        <w:t>al research unit ($71 million).</w:t>
      </w:r>
    </w:p>
    <w:p w14:paraId="0D65223A" w14:textId="77777777" w:rsidR="001B02DC" w:rsidRDefault="00F97E1E" w:rsidP="00CB65EF">
      <w:pPr>
        <w:pStyle w:val="Heading2"/>
      </w:pPr>
      <w:bookmarkStart w:id="20" w:name="_Toc488850406"/>
      <w:r>
        <w:rPr>
          <w:noProof/>
        </w:rPr>
        <w:t>2</w:t>
      </w:r>
      <w:r w:rsidR="00CB65EF">
        <w:tab/>
      </w:r>
      <w:r w:rsidR="0087552C">
        <w:t xml:space="preserve">Supporting </w:t>
      </w:r>
      <w:r w:rsidR="001B02DC">
        <w:t>policies</w:t>
      </w:r>
      <w:bookmarkEnd w:id="20"/>
    </w:p>
    <w:p w14:paraId="0D65223B" w14:textId="77777777" w:rsidR="00F208BF" w:rsidRDefault="006825A5" w:rsidP="00265A58">
      <w:pPr>
        <w:pStyle w:val="BodyText"/>
      </w:pPr>
      <w:r>
        <w:t xml:space="preserve">A </w:t>
      </w:r>
      <w:r w:rsidR="00DD7AFA">
        <w:t xml:space="preserve">range of </w:t>
      </w:r>
      <w:r w:rsidR="00B44FBB">
        <w:t xml:space="preserve">other </w:t>
      </w:r>
      <w:r w:rsidR="00DD7AFA">
        <w:t xml:space="preserve">government policies </w:t>
      </w:r>
      <w:r w:rsidR="00B44FBB">
        <w:t xml:space="preserve">and expenditures </w:t>
      </w:r>
      <w:r w:rsidR="00DD7AFA">
        <w:t>also support or target innovation, research, investment and the diffusion of knowledge.</w:t>
      </w:r>
    </w:p>
    <w:p w14:paraId="0D65223C" w14:textId="77777777" w:rsidR="0045119D" w:rsidRDefault="0045119D" w:rsidP="001F65A7">
      <w:pPr>
        <w:pStyle w:val="Heading3"/>
      </w:pPr>
      <w:r>
        <w:t>Intellectual property laws</w:t>
      </w:r>
    </w:p>
    <w:p w14:paraId="0D65223D" w14:textId="77777777" w:rsidR="00F9075A" w:rsidRDefault="00E55B4C" w:rsidP="00265A58">
      <w:pPr>
        <w:pStyle w:val="BodyText"/>
      </w:pPr>
      <w:r>
        <w:t>I</w:t>
      </w:r>
      <w:r w:rsidR="0074510D">
        <w:t>ntellectual property laws</w:t>
      </w:r>
      <w:r w:rsidR="0074510D" w:rsidDel="0074510D">
        <w:t xml:space="preserve"> </w:t>
      </w:r>
      <w:r>
        <w:t>provide an important platform for</w:t>
      </w:r>
      <w:r w:rsidR="003F7226">
        <w:t xml:space="preserve"> </w:t>
      </w:r>
      <w:r w:rsidR="00100310">
        <w:t>innovati</w:t>
      </w:r>
      <w:r w:rsidR="00386C13">
        <w:t>on</w:t>
      </w:r>
      <w:r w:rsidR="00100310">
        <w:t xml:space="preserve"> policy in Australia. These </w:t>
      </w:r>
      <w:r w:rsidR="00100310" w:rsidRPr="00100310">
        <w:t>law</w:t>
      </w:r>
      <w:r w:rsidR="00100310">
        <w:t>s</w:t>
      </w:r>
      <w:r w:rsidR="00100310" w:rsidRPr="00100310">
        <w:t xml:space="preserve"> aim at ‘safeguarding creators and other producers of intellectual goods and services by granting them certain time</w:t>
      </w:r>
      <w:r w:rsidR="0097670F">
        <w:noBreakHyphen/>
      </w:r>
      <w:r w:rsidR="00100310" w:rsidRPr="00100310">
        <w:t>limited rights to control the use made of those productions’ (WIPO 2004, p.</w:t>
      </w:r>
      <w:r w:rsidR="009D1F40">
        <w:t> </w:t>
      </w:r>
      <w:r w:rsidR="00100310" w:rsidRPr="00100310">
        <w:t>3</w:t>
      </w:r>
      <w:r w:rsidR="00F9075A" w:rsidRPr="00100310">
        <w:t>).</w:t>
      </w:r>
    </w:p>
    <w:p w14:paraId="0D65223E" w14:textId="77777777" w:rsidR="00100310" w:rsidRDefault="00100310" w:rsidP="00265A58">
      <w:pPr>
        <w:pStyle w:val="BodyText"/>
      </w:pPr>
      <w:r w:rsidRPr="00100310">
        <w:t xml:space="preserve">The underlying rationale for </w:t>
      </w:r>
      <w:r w:rsidR="00654E60">
        <w:t xml:space="preserve">these </w:t>
      </w:r>
      <w:r w:rsidR="00654E60" w:rsidRPr="00100310">
        <w:t>laws</w:t>
      </w:r>
      <w:r w:rsidRPr="00100310">
        <w:t xml:space="preserve"> is that creations and ideas, once known, may be copied at little cost which may in turn lead to under</w:t>
      </w:r>
      <w:r w:rsidR="0097670F">
        <w:noBreakHyphen/>
      </w:r>
      <w:r w:rsidRPr="00100310">
        <w:t xml:space="preserve">investment in intellectual goods and services, in the absence of </w:t>
      </w:r>
      <w:r w:rsidR="009D1F40">
        <w:t xml:space="preserve">intellectual property </w:t>
      </w:r>
      <w:r w:rsidRPr="00100310">
        <w:t>protection</w:t>
      </w:r>
      <w:r w:rsidR="009D1F40">
        <w:t xml:space="preserve"> </w:t>
      </w:r>
      <w:r w:rsidR="00584F25" w:rsidRPr="00584F25">
        <w:rPr>
          <w:szCs w:val="24"/>
        </w:rPr>
        <w:t>(PC 2013, p. 65)</w:t>
      </w:r>
      <w:r w:rsidRPr="00100310">
        <w:t>.</w:t>
      </w:r>
    </w:p>
    <w:p w14:paraId="0D65223F" w14:textId="351297FA" w:rsidR="0045119D" w:rsidRDefault="0045119D" w:rsidP="0045119D">
      <w:pPr>
        <w:pStyle w:val="BodyText"/>
      </w:pPr>
      <w:r>
        <w:t xml:space="preserve">These laws seek to overcome </w:t>
      </w:r>
      <w:r w:rsidR="00344AC4">
        <w:t xml:space="preserve">this </w:t>
      </w:r>
      <w:r>
        <w:t>market failure by enabling the developer of this intellectual property to, for a specified period of time,</w:t>
      </w:r>
      <w:r w:rsidR="00DF3BE1">
        <w:t xml:space="preserve"> </w:t>
      </w:r>
      <w:r w:rsidR="003865D6">
        <w:t>prevent others from using</w:t>
      </w:r>
      <w:r>
        <w:t xml:space="preserve"> this property</w:t>
      </w:r>
      <w:r w:rsidR="003865D6">
        <w:t xml:space="preserve"> for personal gain</w:t>
      </w:r>
      <w:r>
        <w:t xml:space="preserve">. </w:t>
      </w:r>
      <w:r w:rsidR="00E55B4C">
        <w:t>The granting of IP rights is a driver for innovation, but requires that the owner of the IP can defend their rights — which can be an expensive process. Secrecy and staying ahead of the market are also ways in which firms can ensure that they benefit from their investment in R&amp;D. But t</w:t>
      </w:r>
      <w:r w:rsidRPr="00166C81">
        <w:t xml:space="preserve">he system </w:t>
      </w:r>
      <w:r w:rsidR="00E55B4C">
        <w:t xml:space="preserve">also </w:t>
      </w:r>
      <w:r w:rsidRPr="00166C81">
        <w:t xml:space="preserve">influences the activities of firms and individuals </w:t>
      </w:r>
      <w:r w:rsidR="00E55B4C">
        <w:t>that seek to</w:t>
      </w:r>
      <w:r w:rsidRPr="00166C81">
        <w:t xml:space="preserve"> use </w:t>
      </w:r>
      <w:r>
        <w:t xml:space="preserve">intellectual property </w:t>
      </w:r>
      <w:r w:rsidRPr="00166C81">
        <w:t xml:space="preserve">in the production of their own goods and services. </w:t>
      </w:r>
      <w:r w:rsidR="00E55B4C">
        <w:t>IP can be used as a barrier to entry, and to extract rents from firms that access IP under license. For example, the Commission has argued that a shift in copyright law to fair use could well be a game changer by removing a barrier to innovation in Australia</w:t>
      </w:r>
      <w:r w:rsidR="003865D6">
        <w:t xml:space="preserve">, and that applications of IP should not provide for </w:t>
      </w:r>
      <w:r w:rsidR="00BC6AB9">
        <w:t xml:space="preserve">an </w:t>
      </w:r>
      <w:r w:rsidR="003865D6">
        <w:t>exemption from competition law</w:t>
      </w:r>
      <w:r w:rsidR="00E55B4C">
        <w:t xml:space="preserve"> (chapter </w:t>
      </w:r>
      <w:r w:rsidR="006E3D75">
        <w:t>5</w:t>
      </w:r>
      <w:r w:rsidR="00BC6AB9">
        <w:t>, SP </w:t>
      </w:r>
      <w:r w:rsidR="006E3D75">
        <w:t>13</w:t>
      </w:r>
      <w:r w:rsidR="00E55B4C">
        <w:t>)</w:t>
      </w:r>
      <w:r>
        <w:t>.</w:t>
      </w:r>
    </w:p>
    <w:p w14:paraId="0D652240" w14:textId="77777777" w:rsidR="00897DB2" w:rsidRDefault="00897DB2" w:rsidP="0045119D">
      <w:pPr>
        <w:pStyle w:val="BodyText"/>
      </w:pPr>
      <w:r>
        <w:t>The intellectual property system covers a diverse range of legal protections including:</w:t>
      </w:r>
    </w:p>
    <w:p w14:paraId="0D652241" w14:textId="77777777" w:rsidR="00897DB2" w:rsidRDefault="0045119D" w:rsidP="0045119D">
      <w:pPr>
        <w:pStyle w:val="ListBullet"/>
        <w:spacing w:line="320" w:lineRule="atLeast"/>
      </w:pPr>
      <w:r>
        <w:t>patents</w:t>
      </w:r>
    </w:p>
    <w:p w14:paraId="0D652242" w14:textId="77777777" w:rsidR="00897DB2" w:rsidRDefault="00625E7A" w:rsidP="0045119D">
      <w:pPr>
        <w:pStyle w:val="ListBullet"/>
        <w:spacing w:line="320" w:lineRule="atLeast"/>
      </w:pPr>
      <w:r>
        <w:t>trade mark</w:t>
      </w:r>
      <w:r w:rsidR="0045119D">
        <w:t>s</w:t>
      </w:r>
    </w:p>
    <w:p w14:paraId="0D652243" w14:textId="77777777" w:rsidR="00897DB2" w:rsidRDefault="0045119D" w:rsidP="0045119D">
      <w:pPr>
        <w:pStyle w:val="ListBullet"/>
        <w:spacing w:line="320" w:lineRule="atLeast"/>
      </w:pPr>
      <w:r>
        <w:t>geographical indications of source</w:t>
      </w:r>
    </w:p>
    <w:p w14:paraId="0D652244" w14:textId="77777777" w:rsidR="00D43ABC" w:rsidRDefault="0045119D" w:rsidP="0045119D">
      <w:pPr>
        <w:pStyle w:val="ListBullet"/>
        <w:spacing w:line="320" w:lineRule="atLeast"/>
      </w:pPr>
      <w:r w:rsidRPr="00D11482">
        <w:t>designs</w:t>
      </w:r>
    </w:p>
    <w:p w14:paraId="0D652245" w14:textId="77777777" w:rsidR="0045119D" w:rsidRPr="00D11482" w:rsidRDefault="00D43ABC" w:rsidP="0045119D">
      <w:pPr>
        <w:pStyle w:val="ListBullet"/>
        <w:spacing w:line="320" w:lineRule="atLeast"/>
      </w:pPr>
      <w:r>
        <w:t>plant breeder’s rights</w:t>
      </w:r>
    </w:p>
    <w:p w14:paraId="0D652246" w14:textId="77777777" w:rsidR="00897DB2" w:rsidRDefault="0045119D" w:rsidP="00897DB2">
      <w:pPr>
        <w:pStyle w:val="ListBullet"/>
      </w:pPr>
      <w:r>
        <w:t>c</w:t>
      </w:r>
      <w:r w:rsidRPr="00D11482">
        <w:t>opyrights</w:t>
      </w:r>
    </w:p>
    <w:p w14:paraId="0D652247" w14:textId="77777777" w:rsidR="00897DB2" w:rsidRDefault="0045119D" w:rsidP="00897DB2">
      <w:pPr>
        <w:pStyle w:val="ListBullet"/>
      </w:pPr>
      <w:r>
        <w:t>moral rights</w:t>
      </w:r>
    </w:p>
    <w:p w14:paraId="0D652248" w14:textId="77777777" w:rsidR="00897DB2" w:rsidRDefault="0045119D" w:rsidP="00897DB2">
      <w:pPr>
        <w:pStyle w:val="ListBullet"/>
      </w:pPr>
      <w:r>
        <w:t>performers’ rights</w:t>
      </w:r>
    </w:p>
    <w:p w14:paraId="0D652249" w14:textId="77777777" w:rsidR="00897DB2" w:rsidRDefault="00C2231F" w:rsidP="00897DB2">
      <w:pPr>
        <w:pStyle w:val="ListBullet"/>
      </w:pPr>
      <w:r>
        <w:t>circuit layout rights</w:t>
      </w:r>
      <w:r w:rsidR="007129A2">
        <w:t>.</w:t>
      </w:r>
    </w:p>
    <w:p w14:paraId="0D65224A" w14:textId="77777777" w:rsidR="00A90254" w:rsidRDefault="00A90254" w:rsidP="00386F1A">
      <w:pPr>
        <w:pStyle w:val="BodyText"/>
      </w:pPr>
      <w:r>
        <w:t xml:space="preserve">Each type </w:t>
      </w:r>
      <w:r w:rsidR="00386F1A">
        <w:t xml:space="preserve">of intellectual property </w:t>
      </w:r>
      <w:r w:rsidR="00C743DA">
        <w:t xml:space="preserve">confers </w:t>
      </w:r>
      <w:r>
        <w:t>different</w:t>
      </w:r>
      <w:r w:rsidR="00C743DA">
        <w:t xml:space="preserve"> </w:t>
      </w:r>
      <w:r>
        <w:t xml:space="preserve">legal rights to the intellectual property holder, </w:t>
      </w:r>
      <w:r w:rsidR="00C743DA">
        <w:t xml:space="preserve">for different durations and </w:t>
      </w:r>
      <w:r w:rsidR="000F1BFE">
        <w:t xml:space="preserve">different </w:t>
      </w:r>
      <w:r w:rsidRPr="00242819">
        <w:t>capacit</w:t>
      </w:r>
      <w:r w:rsidR="00C743DA">
        <w:t>ies</w:t>
      </w:r>
      <w:r w:rsidRPr="00242819">
        <w:t xml:space="preserve"> to derive pecuniary benefits from their </w:t>
      </w:r>
      <w:r>
        <w:t xml:space="preserve">inventions </w:t>
      </w:r>
      <w:r w:rsidRPr="00166C81">
        <w:t>and creations</w:t>
      </w:r>
      <w:r w:rsidR="00C743DA">
        <w:t xml:space="preserve"> </w:t>
      </w:r>
      <w:r w:rsidR="00584F25" w:rsidRPr="00584F25">
        <w:rPr>
          <w:szCs w:val="24"/>
        </w:rPr>
        <w:t>(PC 2013)</w:t>
      </w:r>
      <w:r w:rsidR="00C743DA">
        <w:t>.</w:t>
      </w:r>
    </w:p>
    <w:p w14:paraId="0D65224B" w14:textId="77777777" w:rsidR="007D5438" w:rsidRDefault="007D5438" w:rsidP="007D5438">
      <w:pPr>
        <w:pStyle w:val="Heading4"/>
      </w:pPr>
      <w:r>
        <w:t>Patent use in Australia</w:t>
      </w:r>
    </w:p>
    <w:p w14:paraId="0D65224C" w14:textId="77777777" w:rsidR="00AA6A29" w:rsidRDefault="00AA6A29" w:rsidP="00AA6A29">
      <w:pPr>
        <w:pStyle w:val="BodyText"/>
      </w:pPr>
      <w:r>
        <w:t xml:space="preserve">There were 28 605 </w:t>
      </w:r>
      <w:r w:rsidRPr="007D5438">
        <w:rPr>
          <w:i/>
        </w:rPr>
        <w:t>standard patent</w:t>
      </w:r>
      <w:r>
        <w:t xml:space="preserve"> applications in Australia in 2015, an increase of 10 per cent on the previous year. Patent applications ha</w:t>
      </w:r>
      <w:r w:rsidR="00BC6AB9">
        <w:t>ve</w:t>
      </w:r>
      <w:r>
        <w:t xml:space="preserve"> risen more</w:t>
      </w:r>
      <w:r>
        <w:noBreakHyphen/>
        <w:t>or</w:t>
      </w:r>
      <w:r>
        <w:noBreakHyphen/>
        <w:t xml:space="preserve">less steadily since 2006 </w:t>
      </w:r>
      <w:r w:rsidR="00542D53" w:rsidRPr="00542D53">
        <w:rPr>
          <w:szCs w:val="24"/>
        </w:rPr>
        <w:t>(IP Australia 2016, p. 8)</w:t>
      </w:r>
      <w:r>
        <w:t>.</w:t>
      </w:r>
    </w:p>
    <w:p w14:paraId="0D65224D" w14:textId="77777777" w:rsidR="00AA6A29" w:rsidRDefault="00AA6A29" w:rsidP="00AA6A29">
      <w:pPr>
        <w:pStyle w:val="BodyText"/>
      </w:pPr>
      <w:r>
        <w:t>Most Australian patent applications came from non</w:t>
      </w:r>
      <w:r>
        <w:noBreakHyphen/>
        <w:t>residents, with most being filed under the Patent Cooperation Treaty (PCT). Non</w:t>
      </w:r>
      <w:r>
        <w:noBreakHyphen/>
        <w:t>residents accounted for 92 per cent of all patent applications in 2015. US, Japanese, German and the UK companies accounted for 63 per cent of all applications in that year. Austr</w:t>
      </w:r>
      <w:r w:rsidR="0097670F">
        <w:t>alian residents accounted for 2</w:t>
      </w:r>
      <w:r>
        <w:t>291 patent application</w:t>
      </w:r>
      <w:r w:rsidR="00BC6AB9">
        <w:t>s</w:t>
      </w:r>
      <w:r>
        <w:t xml:space="preserve"> (eight per cent)</w:t>
      </w:r>
      <w:r w:rsidR="00316D90">
        <w:t xml:space="preserve"> </w:t>
      </w:r>
      <w:r w:rsidR="00316D90" w:rsidRPr="00542D53">
        <w:rPr>
          <w:szCs w:val="24"/>
        </w:rPr>
        <w:t>(IP Australia 2016)</w:t>
      </w:r>
      <w:r>
        <w:t>.</w:t>
      </w:r>
    </w:p>
    <w:p w14:paraId="0D65224E" w14:textId="77777777" w:rsidR="005A4EED" w:rsidRDefault="005A4EED" w:rsidP="00BB1341">
      <w:pPr>
        <w:pStyle w:val="BodyText"/>
      </w:pPr>
      <w:r w:rsidRPr="007D5438">
        <w:rPr>
          <w:i/>
        </w:rPr>
        <w:t>Provisional applications</w:t>
      </w:r>
      <w:r>
        <w:t xml:space="preserve"> allow applicants to claim an early priority date before filing a standard or innovation patent. Although the </w:t>
      </w:r>
      <w:r w:rsidR="00F514AE">
        <w:t>number granted has</w:t>
      </w:r>
      <w:r>
        <w:t xml:space="preserve"> increased slightly in the last three years, the use of provisional applications has declined substantially since 2006 (by </w:t>
      </w:r>
      <w:r w:rsidR="00BB1341">
        <w:t xml:space="preserve">three per cent </w:t>
      </w:r>
      <w:r>
        <w:t>per year)</w:t>
      </w:r>
      <w:r w:rsidR="00BB1341">
        <w:t xml:space="preserve">. </w:t>
      </w:r>
      <w:r w:rsidR="0097670F">
        <w:t>There were 5</w:t>
      </w:r>
      <w:r>
        <w:t xml:space="preserve">343 </w:t>
      </w:r>
      <w:r w:rsidR="00BB1341">
        <w:t xml:space="preserve">provisional applications </w:t>
      </w:r>
      <w:r>
        <w:t>filed in 2015.</w:t>
      </w:r>
    </w:p>
    <w:p w14:paraId="0D65224F" w14:textId="77777777" w:rsidR="007D5438" w:rsidRDefault="007D5438" w:rsidP="007D5438">
      <w:pPr>
        <w:pStyle w:val="BodyText"/>
      </w:pPr>
      <w:r w:rsidRPr="007D5438">
        <w:rPr>
          <w:i/>
        </w:rPr>
        <w:t>Innovation patent</w:t>
      </w:r>
      <w:r>
        <w:rPr>
          <w:i/>
        </w:rPr>
        <w:t>s</w:t>
      </w:r>
      <w:r>
        <w:t xml:space="preserve"> have a lower application fee, last up to eight years and do not require examination unless the patent n</w:t>
      </w:r>
      <w:r w:rsidR="0097670F">
        <w:t>eeds to be enforced. In 2015, 1</w:t>
      </w:r>
      <w:r>
        <w:t>828 innovation patent applications were filed</w:t>
      </w:r>
      <w:r w:rsidR="00CE5C69">
        <w:t xml:space="preserve"> in Australia</w:t>
      </w:r>
      <w:r>
        <w:t xml:space="preserve">. </w:t>
      </w:r>
      <w:r w:rsidR="00CE5C69">
        <w:t xml:space="preserve">Of these, </w:t>
      </w:r>
      <w:r>
        <w:t>Australian residents accounted for 61 per cent of filings. Most non</w:t>
      </w:r>
      <w:r w:rsidR="00316D90">
        <w:noBreakHyphen/>
      </w:r>
      <w:r>
        <w:t>resident applications c</w:t>
      </w:r>
      <w:r w:rsidR="00707A5A">
        <w:t>a</w:t>
      </w:r>
      <w:r>
        <w:t>me from China, the US and Taiwan. These three countries a</w:t>
      </w:r>
      <w:r w:rsidR="00CE5C69">
        <w:t>ccounted for 77 per cent of non</w:t>
      </w:r>
      <w:r>
        <w:t xml:space="preserve">resident applications </w:t>
      </w:r>
      <w:r w:rsidR="0087600F">
        <w:t>(</w:t>
      </w:r>
      <w:r>
        <w:t>30</w:t>
      </w:r>
      <w:r w:rsidR="00CE5C69">
        <w:t> </w:t>
      </w:r>
      <w:r>
        <w:t>per cent of all innovation patent applications</w:t>
      </w:r>
      <w:r w:rsidR="0087600F">
        <w:t>)</w:t>
      </w:r>
      <w:r>
        <w:t>.</w:t>
      </w:r>
    </w:p>
    <w:p w14:paraId="0D652250" w14:textId="2F020B36" w:rsidR="006D0201" w:rsidRDefault="006D0201" w:rsidP="007D5438">
      <w:pPr>
        <w:pStyle w:val="BodyText"/>
      </w:pPr>
      <w:r>
        <w:t>The innovation patent system has proved more harmful that helpful.</w:t>
      </w:r>
      <w:r w:rsidR="00D451C0">
        <w:t xml:space="preserve"> </w:t>
      </w:r>
      <w:r>
        <w:t>Its lower threshold has increased the prospect for gaming the system and the number of low value patents, reducing its credibility to attract finance.</w:t>
      </w:r>
      <w:r w:rsidR="00C7225D">
        <w:t xml:space="preserve"> </w:t>
      </w:r>
      <w:r>
        <w:t>The Commission recently recommended that the innovation patents system be abolished</w:t>
      </w:r>
      <w:r w:rsidR="00A313B3">
        <w:t xml:space="preserve"> </w:t>
      </w:r>
      <w:r w:rsidR="00A313B3" w:rsidRPr="00A313B3">
        <w:rPr>
          <w:szCs w:val="24"/>
        </w:rPr>
        <w:t>(PC 2016)</w:t>
      </w:r>
      <w:r>
        <w:t>.</w:t>
      </w:r>
    </w:p>
    <w:p w14:paraId="0D652251" w14:textId="77777777" w:rsidR="002F5746" w:rsidRDefault="002F5746" w:rsidP="007D5438">
      <w:pPr>
        <w:pStyle w:val="BodyText"/>
      </w:pPr>
      <w:r>
        <w:t>One</w:t>
      </w:r>
      <w:r w:rsidR="0097670F">
        <w:noBreakHyphen/>
      </w:r>
      <w:r>
        <w:t>third of all IP applications were from Australian small</w:t>
      </w:r>
      <w:r w:rsidR="0097670F">
        <w:noBreakHyphen/>
      </w:r>
      <w:r>
        <w:t>to</w:t>
      </w:r>
      <w:r w:rsidR="0097670F">
        <w:noBreakHyphen/>
      </w:r>
      <w:r>
        <w:t>medium enterprises</w:t>
      </w:r>
      <w:r w:rsidR="000F1BFE">
        <w:t>, mostly in the area of trade marks</w:t>
      </w:r>
      <w:r>
        <w:t xml:space="preserve"> (</w:t>
      </w:r>
      <w:r w:rsidR="00D3129E">
        <w:t>figure</w:t>
      </w:r>
      <w:r>
        <w:t> </w:t>
      </w:r>
      <w:r w:rsidR="006A42C5">
        <w:t>9</w:t>
      </w:r>
      <w:r>
        <w:t>).</w:t>
      </w:r>
    </w:p>
    <w:p w14:paraId="0D652252" w14:textId="77777777" w:rsidR="00FE32CF" w:rsidRDefault="00FE32CF" w:rsidP="00CC406B">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FE32CF" w14:paraId="0D652255" w14:textId="77777777" w:rsidTr="00B0510F">
        <w:trPr>
          <w:tblHeader/>
        </w:trPr>
        <w:tc>
          <w:tcPr>
            <w:tcW w:w="8771" w:type="dxa"/>
            <w:tcBorders>
              <w:top w:val="single" w:sz="6" w:space="0" w:color="78A22F"/>
              <w:left w:val="nil"/>
              <w:bottom w:val="nil"/>
              <w:right w:val="nil"/>
            </w:tcBorders>
            <w:shd w:val="clear" w:color="auto" w:fill="auto"/>
          </w:tcPr>
          <w:p w14:paraId="0D652253" w14:textId="77777777" w:rsidR="00FE32CF" w:rsidRDefault="00FE32CF" w:rsidP="00CC406B">
            <w:pPr>
              <w:pStyle w:val="FigureTitle"/>
            </w:pPr>
            <w:r w:rsidRPr="00784A05">
              <w:rPr>
                <w:b w:val="0"/>
              </w:rPr>
              <w:t xml:space="preserve">Figure </w:t>
            </w:r>
            <w:bookmarkStart w:id="21" w:name="OLE_LINK4"/>
            <w:r w:rsidR="00F97E1E">
              <w:rPr>
                <w:b w:val="0"/>
                <w:noProof/>
              </w:rPr>
              <w:t>9</w:t>
            </w:r>
            <w:bookmarkEnd w:id="21"/>
            <w:r>
              <w:tab/>
            </w:r>
            <w:r w:rsidR="002F5746">
              <w:t>IP rights applications received by applicant type, 2015</w:t>
            </w:r>
            <w:r w:rsidR="002F5746" w:rsidRPr="002F5746">
              <w:rPr>
                <w:rStyle w:val="NoteLabel"/>
              </w:rPr>
              <w:t>a</w:t>
            </w:r>
          </w:p>
          <w:p w14:paraId="0D652254" w14:textId="77777777" w:rsidR="00FE32CF" w:rsidRPr="00176D3F" w:rsidRDefault="002F5746" w:rsidP="00CC406B">
            <w:pPr>
              <w:pStyle w:val="Subtitle"/>
            </w:pPr>
            <w:r>
              <w:t>Per cent</w:t>
            </w:r>
          </w:p>
        </w:tc>
      </w:tr>
      <w:tr w:rsidR="00FE32CF" w14:paraId="0D652259"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FE32CF" w:rsidRPr="00B1465D" w14:paraId="0D652257" w14:textId="77777777" w:rsidTr="00CC406B">
              <w:trPr>
                <w:tblHeader/>
                <w:jc w:val="center"/>
              </w:trPr>
              <w:tc>
                <w:tcPr>
                  <w:tcW w:w="5000" w:type="pct"/>
                  <w:tcBorders>
                    <w:top w:val="nil"/>
                    <w:bottom w:val="nil"/>
                  </w:tcBorders>
                </w:tcPr>
                <w:p w14:paraId="0D652256" w14:textId="6F959D72" w:rsidR="00FE32CF" w:rsidRPr="00B1465D" w:rsidRDefault="00EC6998" w:rsidP="00CC406B">
                  <w:pPr>
                    <w:pStyle w:val="Figure"/>
                    <w:spacing w:before="60" w:after="60"/>
                    <w:rPr>
                      <w:rFonts w:ascii="Arial" w:hAnsi="Arial" w:cs="Arial"/>
                      <w:sz w:val="18"/>
                      <w:szCs w:val="18"/>
                    </w:rPr>
                  </w:pPr>
                  <w:r w:rsidRPr="00EC6998">
                    <w:rPr>
                      <w:rFonts w:ascii="Arial" w:hAnsi="Arial" w:cs="Arial"/>
                      <w:noProof/>
                      <w:sz w:val="18"/>
                      <w:szCs w:val="18"/>
                    </w:rPr>
                    <w:drawing>
                      <wp:inline distT="0" distB="0" distL="0" distR="0" wp14:anchorId="6E9A5D78" wp14:editId="00C7BCA3">
                        <wp:extent cx="5403850" cy="2266950"/>
                        <wp:effectExtent l="0" t="0" r="6350" b="0"/>
                        <wp:docPr id="14" name="Picture 14" descr="The figure reproduces a figure from the Australian Intellectual Property Report 2016 by IP Australia showing intellectual property rights applications received in 2015 by applicant type (expressed as percentages). The applications were distributed: non-residents (52 per cent); small and medium enterprises (33 per cent); Private applicant (13 per cent); and Large firms (2 per cent)."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3850" cy="2266950"/>
                                </a:xfrm>
                                <a:prstGeom prst="rect">
                                  <a:avLst/>
                                </a:prstGeom>
                                <a:noFill/>
                                <a:ln>
                                  <a:noFill/>
                                </a:ln>
                              </pic:spPr>
                            </pic:pic>
                          </a:graphicData>
                        </a:graphic>
                      </wp:inline>
                    </w:drawing>
                  </w:r>
                </w:p>
              </w:tc>
            </w:tr>
          </w:tbl>
          <w:p w14:paraId="0D652258" w14:textId="77777777" w:rsidR="00FE32CF" w:rsidRDefault="00FE32CF" w:rsidP="00CC406B">
            <w:pPr>
              <w:pStyle w:val="Figure"/>
            </w:pPr>
          </w:p>
        </w:tc>
      </w:tr>
      <w:tr w:rsidR="00FE32CF" w:rsidRPr="00176D3F" w14:paraId="0D65225B" w14:textId="77777777" w:rsidTr="00B0510F">
        <w:tc>
          <w:tcPr>
            <w:tcW w:w="8771" w:type="dxa"/>
            <w:tcBorders>
              <w:top w:val="nil"/>
              <w:left w:val="nil"/>
              <w:bottom w:val="nil"/>
              <w:right w:val="nil"/>
            </w:tcBorders>
            <w:shd w:val="clear" w:color="auto" w:fill="auto"/>
          </w:tcPr>
          <w:p w14:paraId="0D65225A" w14:textId="77777777" w:rsidR="00FE32CF" w:rsidRPr="00176D3F" w:rsidRDefault="00FE32CF" w:rsidP="002F5746">
            <w:pPr>
              <w:pStyle w:val="Note"/>
            </w:pPr>
            <w:r>
              <w:rPr>
                <w:rStyle w:val="NoteLabel"/>
              </w:rPr>
              <w:t>a</w:t>
            </w:r>
            <w:r>
              <w:t xml:space="preserve"> </w:t>
            </w:r>
            <w:r w:rsidR="002F5746">
              <w:t xml:space="preserve">Patents, </w:t>
            </w:r>
            <w:r w:rsidR="00625E7A">
              <w:t>trade mark</w:t>
            </w:r>
            <w:r w:rsidR="002F5746">
              <w:t>s, designs and plant breeder’s rights.</w:t>
            </w:r>
          </w:p>
        </w:tc>
      </w:tr>
      <w:tr w:rsidR="00FE32CF" w:rsidRPr="00176D3F" w14:paraId="0D65225D" w14:textId="77777777" w:rsidTr="00B0510F">
        <w:tc>
          <w:tcPr>
            <w:tcW w:w="8771" w:type="dxa"/>
            <w:tcBorders>
              <w:top w:val="nil"/>
              <w:left w:val="nil"/>
              <w:bottom w:val="nil"/>
              <w:right w:val="nil"/>
            </w:tcBorders>
            <w:shd w:val="clear" w:color="auto" w:fill="auto"/>
          </w:tcPr>
          <w:p w14:paraId="0D65225C" w14:textId="77777777" w:rsidR="00FE32CF" w:rsidRPr="00176D3F" w:rsidRDefault="0097670F" w:rsidP="00542D53">
            <w:pPr>
              <w:pStyle w:val="Source"/>
            </w:pPr>
            <w:r>
              <w:rPr>
                <w:i/>
              </w:rPr>
              <w:t>S</w:t>
            </w:r>
            <w:r w:rsidR="00FE32CF" w:rsidRPr="00784A05">
              <w:rPr>
                <w:i/>
              </w:rPr>
              <w:t>ource</w:t>
            </w:r>
            <w:r w:rsidR="00FE32CF" w:rsidRPr="00176D3F">
              <w:t xml:space="preserve">: </w:t>
            </w:r>
            <w:r w:rsidR="002F5746">
              <w:t xml:space="preserve">IP Australia </w:t>
            </w:r>
            <w:r w:rsidR="00542D53" w:rsidRPr="00542D53">
              <w:rPr>
                <w:rFonts w:cs="Arial"/>
                <w:szCs w:val="24"/>
              </w:rPr>
              <w:t>(2016, p. 26)</w:t>
            </w:r>
            <w:r w:rsidR="002F5746">
              <w:t>.</w:t>
            </w:r>
          </w:p>
        </w:tc>
      </w:tr>
      <w:tr w:rsidR="00FE32CF" w14:paraId="0D65225F" w14:textId="77777777" w:rsidTr="00B0510F">
        <w:tc>
          <w:tcPr>
            <w:tcW w:w="8771" w:type="dxa"/>
            <w:tcBorders>
              <w:top w:val="nil"/>
              <w:left w:val="nil"/>
              <w:bottom w:val="single" w:sz="6" w:space="0" w:color="78A22F"/>
              <w:right w:val="nil"/>
            </w:tcBorders>
            <w:shd w:val="clear" w:color="auto" w:fill="auto"/>
          </w:tcPr>
          <w:p w14:paraId="0D65225E" w14:textId="77777777" w:rsidR="00FE32CF" w:rsidRDefault="00FE32CF" w:rsidP="00CC406B">
            <w:pPr>
              <w:pStyle w:val="Figurespace"/>
            </w:pPr>
          </w:p>
        </w:tc>
      </w:tr>
      <w:tr w:rsidR="00FE32CF" w:rsidRPr="000863A5" w14:paraId="0D652261" w14:textId="77777777" w:rsidTr="00B0510F">
        <w:tc>
          <w:tcPr>
            <w:tcW w:w="8771" w:type="dxa"/>
            <w:tcBorders>
              <w:top w:val="single" w:sz="6" w:space="0" w:color="78A22F"/>
              <w:left w:val="nil"/>
              <w:bottom w:val="nil"/>
              <w:right w:val="nil"/>
            </w:tcBorders>
          </w:tcPr>
          <w:p w14:paraId="0D652260" w14:textId="77777777" w:rsidR="00FE32CF" w:rsidRPr="00626D32" w:rsidRDefault="00FE32CF" w:rsidP="00CC406B">
            <w:pPr>
              <w:pStyle w:val="BoxSpaceBelow"/>
            </w:pPr>
          </w:p>
        </w:tc>
      </w:tr>
    </w:tbl>
    <w:p w14:paraId="0D652262" w14:textId="77777777" w:rsidR="00B44FBB" w:rsidRDefault="00B44FBB" w:rsidP="001F65A7">
      <w:pPr>
        <w:pStyle w:val="Heading3"/>
      </w:pPr>
      <w:r>
        <w:t>Funding of higher education</w:t>
      </w:r>
    </w:p>
    <w:p w14:paraId="0D652263" w14:textId="77777777" w:rsidR="00B44FBB" w:rsidRDefault="00C47FDD" w:rsidP="00B44FBB">
      <w:pPr>
        <w:pStyle w:val="BodyText"/>
      </w:pPr>
      <w:r>
        <w:t xml:space="preserve">The </w:t>
      </w:r>
      <w:r w:rsidR="00B44FBB">
        <w:t>teaching</w:t>
      </w:r>
      <w:r w:rsidR="00094226">
        <w:noBreakHyphen/>
      </w:r>
      <w:r w:rsidR="00B44FBB">
        <w:t xml:space="preserve">side of higher education adds to the </w:t>
      </w:r>
      <w:r w:rsidR="00094226">
        <w:t xml:space="preserve">pool </w:t>
      </w:r>
      <w:r w:rsidR="00B44FBB">
        <w:t>of human capital</w:t>
      </w:r>
      <w:r>
        <w:t xml:space="preserve"> available to undertake future innovation, research, investment and the diffusion of knowledge</w:t>
      </w:r>
      <w:r w:rsidR="00B44FBB">
        <w:t xml:space="preserve">. This human capital is </w:t>
      </w:r>
      <w:r>
        <w:t xml:space="preserve">subsequently further developed by </w:t>
      </w:r>
      <w:r w:rsidR="00B44FBB">
        <w:t xml:space="preserve">engaging in </w:t>
      </w:r>
      <w:r>
        <w:t xml:space="preserve">innovation and </w:t>
      </w:r>
      <w:r w:rsidR="00B44FBB">
        <w:t>research</w:t>
      </w:r>
      <w:r>
        <w:t xml:space="preserve"> (such as through post</w:t>
      </w:r>
      <w:r w:rsidR="00316D90">
        <w:noBreakHyphen/>
      </w:r>
      <w:r>
        <w:t>doctoral research)</w:t>
      </w:r>
      <w:r w:rsidR="00B44FBB">
        <w:t>.</w:t>
      </w:r>
    </w:p>
    <w:p w14:paraId="0D652264" w14:textId="23C03CE9" w:rsidR="00236B61" w:rsidRDefault="00236B61" w:rsidP="00B44FBB">
      <w:pPr>
        <w:pStyle w:val="BodyText"/>
      </w:pPr>
      <w:r>
        <w:t>Under current funding arrangements, universit</w:t>
      </w:r>
      <w:r w:rsidR="0093153D">
        <w:t>y student</w:t>
      </w:r>
      <w:r>
        <w:t>s cross</w:t>
      </w:r>
      <w:r w:rsidR="0093153D">
        <w:noBreakHyphen/>
      </w:r>
      <w:r>
        <w:t xml:space="preserve">subsidise research though </w:t>
      </w:r>
      <w:r w:rsidR="0093153D">
        <w:t xml:space="preserve">tuition </w:t>
      </w:r>
      <w:r>
        <w:t>fees (in particular from international students</w:t>
      </w:r>
      <w:r w:rsidR="0093153D">
        <w:t xml:space="preserve"> and Commonwealth</w:t>
      </w:r>
      <w:r w:rsidR="0093153D">
        <w:noBreakHyphen/>
        <w:t>supported domestic students</w:t>
      </w:r>
      <w:r>
        <w:t>). This</w:t>
      </w:r>
      <w:r w:rsidR="0093153D">
        <w:t xml:space="preserve"> funding mechanism can distort university incentives</w:t>
      </w:r>
      <w:r>
        <w:t xml:space="preserve">, and </w:t>
      </w:r>
      <w:r w:rsidR="0093153D">
        <w:t>can affect</w:t>
      </w:r>
      <w:r>
        <w:t xml:space="preserve"> the quality of education provided (see chapter </w:t>
      </w:r>
      <w:r w:rsidR="00C10E24">
        <w:t>3</w:t>
      </w:r>
      <w:r>
        <w:t>, SP </w:t>
      </w:r>
      <w:r w:rsidR="00C10E24">
        <w:t>7</w:t>
      </w:r>
      <w:r>
        <w:t>).</w:t>
      </w:r>
    </w:p>
    <w:p w14:paraId="0D652265" w14:textId="77777777" w:rsidR="00C47FDD" w:rsidRDefault="00C47FDD" w:rsidP="001F65A7">
      <w:pPr>
        <w:pStyle w:val="Heading3"/>
      </w:pPr>
      <w:r>
        <w:t>Extension services</w:t>
      </w:r>
    </w:p>
    <w:p w14:paraId="0D652266" w14:textId="77777777" w:rsidR="00C47FDD" w:rsidRDefault="00C47FDD" w:rsidP="00C47FDD">
      <w:pPr>
        <w:pStyle w:val="BodyText"/>
      </w:pPr>
      <w:r>
        <w:t xml:space="preserve">Australian and state and territory </w:t>
      </w:r>
      <w:r w:rsidR="004212E1">
        <w:t xml:space="preserve">governments </w:t>
      </w:r>
      <w:r>
        <w:t xml:space="preserve">provide </w:t>
      </w:r>
      <w:r w:rsidR="004212E1">
        <w:t xml:space="preserve">some </w:t>
      </w:r>
      <w:r>
        <w:t xml:space="preserve">extension services to facilitate the dissemination of knowledge and innovation amongst </w:t>
      </w:r>
      <w:r w:rsidR="004212E1">
        <w:t xml:space="preserve">business. Historically, these services have been primarily focused on </w:t>
      </w:r>
      <w:r>
        <w:t>the agricultural sector</w:t>
      </w:r>
      <w:r w:rsidR="004212E1">
        <w:t>, but more recently funding has been directed towards small business</w:t>
      </w:r>
      <w:r>
        <w:t>.</w:t>
      </w:r>
    </w:p>
    <w:p w14:paraId="0D652267" w14:textId="77777777" w:rsidR="001B4F0D" w:rsidRDefault="001F620B">
      <w:pPr>
        <w:pStyle w:val="Heading3"/>
      </w:pPr>
      <w:r>
        <w:t>Other government grants</w:t>
      </w:r>
      <w:r w:rsidR="004B12F8">
        <w:t>,</w:t>
      </w:r>
      <w:r>
        <w:t xml:space="preserve"> expenditure</w:t>
      </w:r>
      <w:r w:rsidR="004B12F8">
        <w:t xml:space="preserve"> and </w:t>
      </w:r>
      <w:r w:rsidR="001B4F0D">
        <w:t>initiatives</w:t>
      </w:r>
    </w:p>
    <w:p w14:paraId="0D652268" w14:textId="77777777" w:rsidR="001F65A7" w:rsidRDefault="001F65A7" w:rsidP="001F65A7">
      <w:pPr>
        <w:pStyle w:val="Heading4"/>
      </w:pPr>
      <w:r>
        <w:t>Innovation and Science Australia</w:t>
      </w:r>
    </w:p>
    <w:p w14:paraId="0D652269" w14:textId="77777777" w:rsidR="001F65A7" w:rsidRDefault="001F65A7" w:rsidP="001F65A7">
      <w:pPr>
        <w:pStyle w:val="BodyText"/>
      </w:pPr>
      <w:r>
        <w:t xml:space="preserve">Innovation and Science Australia </w:t>
      </w:r>
      <w:r w:rsidR="00616DF9">
        <w:t xml:space="preserve">(ISA) </w:t>
      </w:r>
      <w:r>
        <w:t>is an</w:t>
      </w:r>
      <w:r w:rsidR="00344AC4">
        <w:t xml:space="preserve"> </w:t>
      </w:r>
      <w:r>
        <w:t>independent statutory board that provides guidance on innovation, science and research</w:t>
      </w:r>
      <w:r w:rsidR="00344AC4" w:rsidRPr="00344AC4">
        <w:t xml:space="preserve"> </w:t>
      </w:r>
      <w:r w:rsidR="00344AC4">
        <w:t>across the Australian Government</w:t>
      </w:r>
      <w:r>
        <w:t xml:space="preserve">. It is </w:t>
      </w:r>
      <w:r w:rsidR="009E0FA5">
        <w:t>chaired</w:t>
      </w:r>
      <w:r>
        <w:t xml:space="preserve"> by Bill Ferris, with Chief Scientist Dr Alan Finkel as Deputy Chair. The Board includes innovators, scientists and entrepreneurs with track records of success.</w:t>
      </w:r>
    </w:p>
    <w:p w14:paraId="0D65226A" w14:textId="77777777" w:rsidR="001F65A7" w:rsidRDefault="001F65A7" w:rsidP="001F65A7">
      <w:pPr>
        <w:pStyle w:val="BodyText"/>
      </w:pPr>
      <w:r>
        <w:t>ISA also promotes investment in industry, innovation, science and research in Australia, including showcasing successful innovators, entrepreneurs and researchers. It is charged with directly engaging international, business and community sectors to improve the overall performance of the national innovation and science system.</w:t>
      </w:r>
    </w:p>
    <w:p w14:paraId="0D65226B" w14:textId="77777777" w:rsidR="001F65A7" w:rsidRDefault="001F65A7" w:rsidP="001F65A7">
      <w:pPr>
        <w:pStyle w:val="Heading4"/>
      </w:pPr>
      <w:r>
        <w:t>Global Innovation Strategy</w:t>
      </w:r>
    </w:p>
    <w:p w14:paraId="0D65226C" w14:textId="77777777" w:rsidR="00E9037E" w:rsidRDefault="001F65A7" w:rsidP="00E9037E">
      <w:pPr>
        <w:pStyle w:val="BodyText"/>
      </w:pPr>
      <w:r>
        <w:t xml:space="preserve">The Global Innovation Strategy is a </w:t>
      </w:r>
      <w:r w:rsidR="00E9037E">
        <w:t xml:space="preserve">$36 million, four year </w:t>
      </w:r>
      <w:r>
        <w:t>plan to advance Australia’s international industry, science and research collaboration.</w:t>
      </w:r>
      <w:r w:rsidR="00E9037E">
        <w:t xml:space="preserve"> It aims to:</w:t>
      </w:r>
    </w:p>
    <w:p w14:paraId="0D65226D" w14:textId="77777777" w:rsidR="00E9037E" w:rsidRDefault="009C35C9" w:rsidP="004775C9">
      <w:pPr>
        <w:pStyle w:val="ListBullet"/>
      </w:pPr>
      <w:r>
        <w:t xml:space="preserve">establish </w:t>
      </w:r>
      <w:r w:rsidR="00E9037E">
        <w:t>five ‘</w:t>
      </w:r>
      <w:r>
        <w:t>landing pads</w:t>
      </w:r>
      <w:r w:rsidR="00E9037E">
        <w:t>’ in global innovation hotspots to suppo</w:t>
      </w:r>
      <w:r>
        <w:t>rt entrepreneurial Australians ($11.2 million)</w:t>
      </w:r>
    </w:p>
    <w:p w14:paraId="0D65226E" w14:textId="77777777" w:rsidR="00E9037E" w:rsidRDefault="009C35C9" w:rsidP="004775C9">
      <w:pPr>
        <w:pStyle w:val="ListBullet"/>
      </w:pPr>
      <w:r>
        <w:t xml:space="preserve">provide </w:t>
      </w:r>
      <w:r w:rsidR="00E9037E">
        <w:t xml:space="preserve">seed funding to support global </w:t>
      </w:r>
      <w:r w:rsidR="00344AC4">
        <w:t>small and medium</w:t>
      </w:r>
      <w:r w:rsidR="00344AC4">
        <w:noBreakHyphen/>
        <w:t>sized enterprises (</w:t>
      </w:r>
      <w:r w:rsidR="00E9037E">
        <w:t>SME</w:t>
      </w:r>
      <w:r w:rsidR="00344AC4">
        <w:t>)</w:t>
      </w:r>
      <w:r w:rsidR="003F7226">
        <w:noBreakHyphen/>
      </w:r>
      <w:r w:rsidR="00E9037E">
        <w:t>to</w:t>
      </w:r>
      <w:r w:rsidR="003F7226">
        <w:noBreakHyphen/>
      </w:r>
      <w:r w:rsidR="00E9037E">
        <w:t>researcher collaborations to enable viable projects to grow and test commercialisation thro</w:t>
      </w:r>
      <w:r>
        <w:t xml:space="preserve">ugh the </w:t>
      </w:r>
      <w:r w:rsidRPr="00695B6F">
        <w:rPr>
          <w:i/>
        </w:rPr>
        <w:t>Global Connections Fund</w:t>
      </w:r>
      <w:r>
        <w:t xml:space="preserve"> ($4.9 million)</w:t>
      </w:r>
    </w:p>
    <w:p w14:paraId="0D65226F" w14:textId="77777777" w:rsidR="00E9037E" w:rsidRDefault="009C35C9" w:rsidP="004775C9">
      <w:pPr>
        <w:pStyle w:val="ListBullet"/>
      </w:pPr>
      <w:r>
        <w:t xml:space="preserve">provide </w:t>
      </w:r>
      <w:r w:rsidR="00E9037E">
        <w:t>funding to assist Australian businesses and researchers to collaborate with global partners on strategically focused, leading</w:t>
      </w:r>
      <w:r w:rsidR="003F7226">
        <w:noBreakHyphen/>
      </w:r>
      <w:r w:rsidR="00E9037E">
        <w:t xml:space="preserve">edge research and development projects through the </w:t>
      </w:r>
      <w:r w:rsidR="00E9037E" w:rsidRPr="00695B6F">
        <w:rPr>
          <w:i/>
        </w:rPr>
        <w:t>Globa</w:t>
      </w:r>
      <w:r w:rsidRPr="00695B6F">
        <w:rPr>
          <w:i/>
        </w:rPr>
        <w:t>l Innovation Linkages</w:t>
      </w:r>
      <w:r w:rsidRPr="00EF120D">
        <w:t xml:space="preserve"> </w:t>
      </w:r>
      <w:r>
        <w:t>programme</w:t>
      </w:r>
      <w:r w:rsidR="003F7226">
        <w:t xml:space="preserve"> </w:t>
      </w:r>
      <w:r>
        <w:t>($16.5 million)</w:t>
      </w:r>
    </w:p>
    <w:p w14:paraId="0D652270" w14:textId="77777777" w:rsidR="001F620B" w:rsidRDefault="009C35C9" w:rsidP="004775C9">
      <w:pPr>
        <w:pStyle w:val="ListBullet"/>
      </w:pPr>
      <w:r>
        <w:t xml:space="preserve">build </w:t>
      </w:r>
      <w:r w:rsidR="00E9037E">
        <w:t>strong regional linkages in the Asia</w:t>
      </w:r>
      <w:r w:rsidR="003F7226">
        <w:noBreakHyphen/>
      </w:r>
      <w:r w:rsidR="00E9037E">
        <w:t xml:space="preserve">Pacific through the </w:t>
      </w:r>
      <w:r w:rsidR="00E9037E" w:rsidRPr="00695B6F">
        <w:rPr>
          <w:i/>
        </w:rPr>
        <w:t>Regional Collaborations Programme</w:t>
      </w:r>
      <w:r w:rsidR="00E9037E" w:rsidRPr="00EF120D">
        <w:t xml:space="preserve"> </w:t>
      </w:r>
      <w:r w:rsidR="00E9037E">
        <w:t>which support</w:t>
      </w:r>
      <w:r w:rsidR="00344AC4">
        <w:t>s</w:t>
      </w:r>
      <w:r w:rsidR="00E9037E">
        <w:t xml:space="preserve"> multi</w:t>
      </w:r>
      <w:r w:rsidR="003F7226">
        <w:noBreakHyphen/>
      </w:r>
      <w:r w:rsidR="00E9037E">
        <w:t>partner activities that facilitate greater science, research and industry collaboration in delivering innovative solutions to shared regional challenges</w:t>
      </w:r>
      <w:r>
        <w:t xml:space="preserve"> ($3.2 million)</w:t>
      </w:r>
      <w:r w:rsidR="00E9037E">
        <w:t>.</w:t>
      </w:r>
    </w:p>
    <w:p w14:paraId="0D652271" w14:textId="77777777" w:rsidR="005D1646" w:rsidRDefault="005D1646" w:rsidP="00FC1E9A">
      <w:pPr>
        <w:pStyle w:val="BodyText"/>
      </w:pPr>
      <w:r>
        <w:t>This strategy funds a number of programs.</w:t>
      </w:r>
    </w:p>
    <w:p w14:paraId="0D652272" w14:textId="77777777" w:rsidR="009C35C9" w:rsidRPr="004775C9" w:rsidRDefault="009C35C9" w:rsidP="004775C9">
      <w:pPr>
        <w:pStyle w:val="Heading5"/>
      </w:pPr>
      <w:r w:rsidRPr="004775C9">
        <w:t>Landing pads</w:t>
      </w:r>
    </w:p>
    <w:p w14:paraId="0D652273" w14:textId="77777777" w:rsidR="009C35C9" w:rsidRPr="004775C9" w:rsidRDefault="009C35C9">
      <w:pPr>
        <w:pStyle w:val="BodyText"/>
      </w:pPr>
      <w:r>
        <w:t>Landing pads provide market</w:t>
      </w:r>
      <w:r w:rsidR="003F7226">
        <w:noBreakHyphen/>
      </w:r>
      <w:r>
        <w:t xml:space="preserve">ready </w:t>
      </w:r>
      <w:r w:rsidR="00FD270E">
        <w:t>start</w:t>
      </w:r>
      <w:r w:rsidR="00DA338A">
        <w:noBreakHyphen/>
      </w:r>
      <w:r w:rsidR="00FD270E">
        <w:t>ups</w:t>
      </w:r>
      <w:r>
        <w:t xml:space="preserve"> with a short</w:t>
      </w:r>
      <w:r w:rsidR="003F7226">
        <w:noBreakHyphen/>
      </w:r>
      <w:r>
        <w:t xml:space="preserve">term (90 day) operational base where they can access entrepreneurial talent, mentors, investors and a wider connected network of innovation hubs in global innovation hotspots — </w:t>
      </w:r>
      <w:r w:rsidRPr="009C35C9">
        <w:t>Berlin, San Francisco, Shanghai, Singapore and Tel Aviv</w:t>
      </w:r>
      <w:r>
        <w:t>.</w:t>
      </w:r>
    </w:p>
    <w:p w14:paraId="0D652274" w14:textId="77777777" w:rsidR="009C35C9" w:rsidRDefault="009C35C9" w:rsidP="004775C9">
      <w:pPr>
        <w:pStyle w:val="Heading5"/>
      </w:pPr>
      <w:r w:rsidRPr="00913D66">
        <w:t>Global Connections Fund</w:t>
      </w:r>
    </w:p>
    <w:p w14:paraId="0D652275" w14:textId="77777777" w:rsidR="009C35C9" w:rsidRDefault="009C35C9">
      <w:pPr>
        <w:pStyle w:val="BodyText"/>
      </w:pPr>
      <w:r>
        <w:t xml:space="preserve">The </w:t>
      </w:r>
      <w:r w:rsidRPr="009C35C9">
        <w:t>Global Connections Fund supports global SME</w:t>
      </w:r>
      <w:r w:rsidR="003F7226">
        <w:noBreakHyphen/>
      </w:r>
      <w:r w:rsidRPr="009C35C9">
        <w:t>to</w:t>
      </w:r>
      <w:r w:rsidR="003F7226">
        <w:noBreakHyphen/>
      </w:r>
      <w:r w:rsidRPr="009C35C9">
        <w:t>researcher collaborations to enable viable projects to grow and test commercialisation in industries of strategic growth in Australia</w:t>
      </w:r>
      <w:r>
        <w:t xml:space="preserve">. </w:t>
      </w:r>
    </w:p>
    <w:p w14:paraId="0D652276" w14:textId="77777777" w:rsidR="009C35C9" w:rsidRDefault="009C35C9">
      <w:pPr>
        <w:pStyle w:val="BodyText"/>
      </w:pPr>
      <w:r>
        <w:t>The fund consists of two types of grants:</w:t>
      </w:r>
    </w:p>
    <w:p w14:paraId="0D652277" w14:textId="77777777" w:rsidR="009C35C9" w:rsidRDefault="009C35C9" w:rsidP="004775C9">
      <w:pPr>
        <w:pStyle w:val="ListBullet"/>
      </w:pPr>
      <w:r w:rsidRPr="00695B6F">
        <w:rPr>
          <w:i/>
        </w:rPr>
        <w:t>Bridging Grants</w:t>
      </w:r>
      <w:r>
        <w:t xml:space="preserve"> — larger grants of up to $50</w:t>
      </w:r>
      <w:r w:rsidR="00053DAB">
        <w:t> </w:t>
      </w:r>
      <w:r>
        <w:t>000 designed as seed funding capital to enable viable projects to grow in scope and scale, test commercialisation and proof</w:t>
      </w:r>
      <w:r w:rsidR="003F7226">
        <w:noBreakHyphen/>
      </w:r>
      <w:r>
        <w:t>of</w:t>
      </w:r>
      <w:r w:rsidR="003F7226">
        <w:noBreakHyphen/>
      </w:r>
      <w:r>
        <w:t>concept activities</w:t>
      </w:r>
    </w:p>
    <w:p w14:paraId="0D652278" w14:textId="77777777" w:rsidR="009C35C9" w:rsidRDefault="009C35C9" w:rsidP="004775C9">
      <w:pPr>
        <w:pStyle w:val="ListBullet"/>
      </w:pPr>
      <w:r w:rsidRPr="00695B6F">
        <w:rPr>
          <w:i/>
        </w:rPr>
        <w:t>Priming Grants</w:t>
      </w:r>
      <w:r>
        <w:t xml:space="preserve"> — small grants of around $7000 to enable Australian SMEs and Australian researchers to meet and collaborate with international partners to further develop their ideas.</w:t>
      </w:r>
    </w:p>
    <w:p w14:paraId="0D652279" w14:textId="77777777" w:rsidR="009C35C9" w:rsidRPr="004775C9" w:rsidRDefault="009C35C9">
      <w:pPr>
        <w:pStyle w:val="BodyText"/>
      </w:pPr>
      <w:r w:rsidRPr="004775C9">
        <w:t>The grants are administered by the Australian Academy of Technology and Engineering.</w:t>
      </w:r>
    </w:p>
    <w:p w14:paraId="0D65227A" w14:textId="77777777" w:rsidR="00D83CC8" w:rsidRDefault="00D83CC8" w:rsidP="004775C9">
      <w:pPr>
        <w:pStyle w:val="Heading5"/>
      </w:pPr>
      <w:r w:rsidRPr="00D83CC8">
        <w:t>Global Innovation Linkages programme</w:t>
      </w:r>
    </w:p>
    <w:p w14:paraId="0D65227B" w14:textId="77777777" w:rsidR="009C35C9" w:rsidRPr="009C35C9" w:rsidRDefault="009C35C9">
      <w:pPr>
        <w:pStyle w:val="BodyText"/>
      </w:pPr>
      <w:r>
        <w:rPr>
          <w:lang w:val="en"/>
        </w:rPr>
        <w:t>The programme supports groups (or consortia) of Australian industry and research organisations with grants</w:t>
      </w:r>
      <w:r w:rsidR="003B1887">
        <w:rPr>
          <w:lang w:val="en"/>
        </w:rPr>
        <w:t xml:space="preserve"> of</w:t>
      </w:r>
      <w:r>
        <w:rPr>
          <w:lang w:val="en"/>
        </w:rPr>
        <w:t xml:space="preserve"> up to $1 million over a maximum period of four years, to engage with international partners in key economies to undertake research and development projects.</w:t>
      </w:r>
    </w:p>
    <w:p w14:paraId="0D65227C" w14:textId="77777777" w:rsidR="00D83CC8" w:rsidRDefault="00D83CC8" w:rsidP="00D83CC8">
      <w:pPr>
        <w:pStyle w:val="Heading5"/>
      </w:pPr>
      <w:r>
        <w:t>Regional Collaborations Programme</w:t>
      </w:r>
    </w:p>
    <w:p w14:paraId="0D65227D" w14:textId="77777777" w:rsidR="00D83CC8" w:rsidRDefault="00D83CC8" w:rsidP="00D83CC8">
      <w:pPr>
        <w:pStyle w:val="BodyText"/>
      </w:pPr>
      <w:r>
        <w:t>Th</w:t>
      </w:r>
      <w:r w:rsidR="003B1887">
        <w:t xml:space="preserve">is </w:t>
      </w:r>
      <w:r>
        <w:t>programme</w:t>
      </w:r>
      <w:r w:rsidR="003B1887">
        <w:t xml:space="preserve">, administered by the Australian Academy of Science, </w:t>
      </w:r>
      <w:r>
        <w:t>aims to deliver solutions to shared regional challenges in the Asia</w:t>
      </w:r>
      <w:r w:rsidR="003F7226">
        <w:noBreakHyphen/>
      </w:r>
      <w:r>
        <w:t>Pacific region through multi</w:t>
      </w:r>
      <w:r w:rsidR="003F7226">
        <w:noBreakHyphen/>
      </w:r>
      <w:r>
        <w:t>partner research and collaboration activities.</w:t>
      </w:r>
    </w:p>
    <w:p w14:paraId="0D65227E" w14:textId="77777777" w:rsidR="0062262E" w:rsidRPr="004775C9" w:rsidRDefault="0062262E" w:rsidP="004775C9">
      <w:pPr>
        <w:pStyle w:val="Heading4"/>
      </w:pPr>
      <w:r w:rsidRPr="00913D66">
        <w:t>Entrepreneurs’ Programme</w:t>
      </w:r>
    </w:p>
    <w:p w14:paraId="0D65227F" w14:textId="2230D35C" w:rsidR="0062262E" w:rsidRDefault="0062262E" w:rsidP="0062262E">
      <w:pPr>
        <w:pStyle w:val="BodyText"/>
      </w:pPr>
      <w:r>
        <w:t xml:space="preserve">The </w:t>
      </w:r>
      <w:r w:rsidR="00741E2E" w:rsidRPr="00741E2E">
        <w:t>programme</w:t>
      </w:r>
      <w:r w:rsidR="00741E2E">
        <w:t xml:space="preserve"> </w:t>
      </w:r>
      <w:r>
        <w:t>is intended to drive business growth and competitiveness by supporting business improvement and promoting economic growth through research connections and commercialisation of novel products, processes and services.</w:t>
      </w:r>
    </w:p>
    <w:p w14:paraId="0D652280" w14:textId="77777777" w:rsidR="00616DF9" w:rsidRDefault="009C35C9" w:rsidP="00616DF9">
      <w:pPr>
        <w:pStyle w:val="Heading4"/>
      </w:pPr>
      <w:r>
        <w:t xml:space="preserve">Regional Collaborations Programme </w:t>
      </w:r>
      <w:r w:rsidR="00616DF9" w:rsidRPr="00616DF9">
        <w:t>Accelerating Commercialisation (AC)</w:t>
      </w:r>
    </w:p>
    <w:p w14:paraId="0D652281" w14:textId="77777777" w:rsidR="0062262E" w:rsidRDefault="0062262E" w:rsidP="004775C9">
      <w:pPr>
        <w:pStyle w:val="BodyText"/>
      </w:pPr>
      <w:r w:rsidRPr="0062262E">
        <w:t xml:space="preserve">Accelerating Commercialisation </w:t>
      </w:r>
      <w:r w:rsidR="00053DAB">
        <w:t xml:space="preserve">is part of </w:t>
      </w:r>
      <w:r w:rsidRPr="0062262E">
        <w:t>the Australian Government’s $482.2 million Entrepreneurs’ Infrastructure Programme.</w:t>
      </w:r>
      <w:r>
        <w:t xml:space="preserve"> It replace</w:t>
      </w:r>
      <w:r w:rsidR="00BC6AB9">
        <w:t>d</w:t>
      </w:r>
      <w:r>
        <w:t xml:space="preserve"> </w:t>
      </w:r>
      <w:r w:rsidRPr="0062262E">
        <w:t>Commercialisation Australia</w:t>
      </w:r>
      <w:r>
        <w:t xml:space="preserve"> in November 2014.</w:t>
      </w:r>
    </w:p>
    <w:p w14:paraId="0D652282" w14:textId="77777777" w:rsidR="0062262E" w:rsidRDefault="0062262E" w:rsidP="0062262E">
      <w:pPr>
        <w:pStyle w:val="BodyText"/>
      </w:pPr>
      <w:r>
        <w:t>The program</w:t>
      </w:r>
      <w:r w:rsidR="004B12F8">
        <w:t>me</w:t>
      </w:r>
      <w:r>
        <w:t xml:space="preserve"> </w:t>
      </w:r>
      <w:r w:rsidR="006B1363">
        <w:t xml:space="preserve">provides grants of up to $1 million </w:t>
      </w:r>
      <w:r>
        <w:t>to</w:t>
      </w:r>
      <w:r w:rsidR="006B1363" w:rsidRPr="006B1363">
        <w:t xml:space="preserve"> commercialise novel products, processes and services</w:t>
      </w:r>
      <w:r w:rsidR="006B1363">
        <w:t>.</w:t>
      </w:r>
      <w:r>
        <w:t xml:space="preserve"> </w:t>
      </w:r>
      <w:r w:rsidR="006B1363">
        <w:t xml:space="preserve">It aims to </w:t>
      </w:r>
      <w:r>
        <w:t>help Australian entrepreneurs, researchers, inventors, start</w:t>
      </w:r>
      <w:r w:rsidR="003F7226">
        <w:noBreakHyphen/>
      </w:r>
      <w:r>
        <w:t xml:space="preserve">ups, </w:t>
      </w:r>
      <w:r w:rsidR="003B1887">
        <w:t>c</w:t>
      </w:r>
      <w:r>
        <w:t xml:space="preserve">ommercialisation </w:t>
      </w:r>
      <w:r w:rsidR="003B1887">
        <w:t>o</w:t>
      </w:r>
      <w:r>
        <w:t xml:space="preserve">ffices and small and medium enterprises address the challenges associated with commercialising novel intellectual property in the form of new products, processes and/or services and </w:t>
      </w:r>
      <w:r w:rsidR="009E0FA5">
        <w:t xml:space="preserve">bringing them </w:t>
      </w:r>
      <w:r>
        <w:t>to market.</w:t>
      </w:r>
    </w:p>
    <w:p w14:paraId="0D652283" w14:textId="77777777" w:rsidR="00F55725" w:rsidRPr="00913D66" w:rsidRDefault="00F55725" w:rsidP="004775C9">
      <w:pPr>
        <w:pStyle w:val="BodyText"/>
      </w:pPr>
      <w:r>
        <w:t>The priority areas for the scheme are: advanced manufacturing; food and agribusiness; medical technologies and pharmaceuticals; mining equipment, technology and services; oil, gas and energy resources; and enabling technologies and services that support one or more of these industries.</w:t>
      </w:r>
    </w:p>
    <w:p w14:paraId="0D652284" w14:textId="77777777" w:rsidR="00EB7FF5" w:rsidRDefault="00F97E1E">
      <w:pPr>
        <w:pStyle w:val="Heading2"/>
      </w:pPr>
      <w:bookmarkStart w:id="22" w:name="begin"/>
      <w:bookmarkStart w:id="23" w:name="_Toc488850407"/>
      <w:bookmarkEnd w:id="22"/>
      <w:r>
        <w:rPr>
          <w:noProof/>
        </w:rPr>
        <w:t>3</w:t>
      </w:r>
      <w:r w:rsidR="00EB7FF5">
        <w:tab/>
        <w:t>Data</w:t>
      </w:r>
      <w:bookmarkEnd w:id="23"/>
    </w:p>
    <w:p w14:paraId="0D652285" w14:textId="77777777" w:rsidR="00FA6778" w:rsidRPr="00913D66" w:rsidRDefault="00FA6778" w:rsidP="004775C9">
      <w:pPr>
        <w:pStyle w:val="Heading3"/>
      </w:pPr>
      <w:r w:rsidRPr="00EB7FF5">
        <w:t>Business Longitudinal Analysis Data Environment</w:t>
      </w:r>
    </w:p>
    <w:p w14:paraId="0D652286" w14:textId="77777777" w:rsidR="00EB7FF5" w:rsidRDefault="00EB7FF5" w:rsidP="004775C9">
      <w:pPr>
        <w:pStyle w:val="BodyText"/>
      </w:pPr>
      <w:r>
        <w:t xml:space="preserve">The </w:t>
      </w:r>
      <w:r w:rsidR="004F04C3">
        <w:t xml:space="preserve">ABS </w:t>
      </w:r>
      <w:r w:rsidR="00012CB7" w:rsidRPr="00012CB7">
        <w:t xml:space="preserve">and </w:t>
      </w:r>
      <w:r w:rsidR="00BC6AB9">
        <w:t xml:space="preserve">DIIS </w:t>
      </w:r>
      <w:r w:rsidR="004F04C3">
        <w:t>ha</w:t>
      </w:r>
      <w:r w:rsidR="00012CB7">
        <w:t>ve</w:t>
      </w:r>
      <w:r w:rsidR="004F04C3">
        <w:t xml:space="preserve"> </w:t>
      </w:r>
      <w:r>
        <w:t>develop</w:t>
      </w:r>
      <w:r w:rsidR="004F04C3">
        <w:t>ed</w:t>
      </w:r>
      <w:r>
        <w:t xml:space="preserve"> the </w:t>
      </w:r>
      <w:r w:rsidRPr="00EB7FF5">
        <w:t>Business Longitudinal Analysis Data Environment (BLADE)</w:t>
      </w:r>
      <w:r>
        <w:t xml:space="preserve"> </w:t>
      </w:r>
      <w:r w:rsidRPr="00EB7FF5">
        <w:t xml:space="preserve">methodology </w:t>
      </w:r>
      <w:r>
        <w:t>to link</w:t>
      </w:r>
      <w:r w:rsidRPr="00EB7FF5">
        <w:t xml:space="preserve"> </w:t>
      </w:r>
      <w:r w:rsidR="00012CB7">
        <w:t xml:space="preserve">detailed </w:t>
      </w:r>
      <w:r w:rsidR="00012CB7" w:rsidRPr="00012CB7">
        <w:t xml:space="preserve">information on the characteristics and finances of Australian businesses </w:t>
      </w:r>
      <w:r w:rsidRPr="00EB7FF5">
        <w:t>through a common identifier (the ABN). Integrating administrative data with directly collected survey data increases the capacity of the research community to undertake firm</w:t>
      </w:r>
      <w:r w:rsidR="003F7226">
        <w:noBreakHyphen/>
      </w:r>
      <w:r w:rsidRPr="00EB7FF5">
        <w:t>level analysis and improves the evidence base for policy development and evaluation</w:t>
      </w:r>
      <w:r>
        <w:t>.</w:t>
      </w:r>
    </w:p>
    <w:p w14:paraId="0D652287" w14:textId="5ED5F033" w:rsidR="00EB7FF5" w:rsidRDefault="004F04C3" w:rsidP="004775C9">
      <w:pPr>
        <w:pStyle w:val="BodyText"/>
      </w:pPr>
      <w:r>
        <w:t>The g</w:t>
      </w:r>
      <w:r w:rsidR="00EB7FF5">
        <w:t xml:space="preserve">overnment administrative data </w:t>
      </w:r>
      <w:r w:rsidR="00741E2E">
        <w:t xml:space="preserve">covered </w:t>
      </w:r>
      <w:r w:rsidR="00EB7FF5">
        <w:t>include</w:t>
      </w:r>
      <w:r>
        <w:t>s</w:t>
      </w:r>
      <w:r w:rsidR="00EB7FF5">
        <w:t>:</w:t>
      </w:r>
    </w:p>
    <w:p w14:paraId="0D652288" w14:textId="77777777" w:rsidR="00EB7FF5" w:rsidRDefault="00EB7FF5" w:rsidP="004775C9">
      <w:pPr>
        <w:pStyle w:val="ListBullet"/>
      </w:pPr>
      <w:r>
        <w:t xml:space="preserve">Australian Taxation Office (ATO) </w:t>
      </w:r>
      <w:r w:rsidR="00F7718E">
        <w:t xml:space="preserve">data </w:t>
      </w:r>
      <w:r>
        <w:t>— Business Activity Statements (BAS</w:t>
      </w:r>
      <w:r w:rsidRPr="00913D66">
        <w:t>)</w:t>
      </w:r>
      <w:r w:rsidRPr="00053DAB">
        <w:t xml:space="preserve">, </w:t>
      </w:r>
      <w:r w:rsidR="00D90FF4">
        <w:t xml:space="preserve">Business Income Tax (BIT), and </w:t>
      </w:r>
      <w:r w:rsidRPr="004775C9">
        <w:t>pay as you go (PAYG)</w:t>
      </w:r>
    </w:p>
    <w:p w14:paraId="0D652289" w14:textId="77777777" w:rsidR="00EB7FF5" w:rsidRDefault="00EB7FF5" w:rsidP="004775C9">
      <w:pPr>
        <w:pStyle w:val="ListBullet"/>
      </w:pPr>
      <w:r>
        <w:t xml:space="preserve">DIIS </w:t>
      </w:r>
      <w:r w:rsidR="00F7718E">
        <w:t xml:space="preserve">data </w:t>
      </w:r>
      <w:r>
        <w:t>— programme data</w:t>
      </w:r>
    </w:p>
    <w:p w14:paraId="0D65228A" w14:textId="77777777" w:rsidR="00EB7FF5" w:rsidRDefault="00EB7FF5" w:rsidP="004775C9">
      <w:pPr>
        <w:pStyle w:val="ListBullet"/>
      </w:pPr>
      <w:r>
        <w:t>IP Australia data</w:t>
      </w:r>
      <w:r w:rsidR="002D565E">
        <w:t>.</w:t>
      </w:r>
    </w:p>
    <w:p w14:paraId="0D65228B" w14:textId="73EBA382" w:rsidR="002D565E" w:rsidRDefault="00EB7FF5" w:rsidP="004775C9">
      <w:pPr>
        <w:pStyle w:val="BodyText"/>
      </w:pPr>
      <w:r>
        <w:t>BLADE is managed by the ABS</w:t>
      </w:r>
      <w:r w:rsidR="002D565E">
        <w:t>. It has been used by the DIIS</w:t>
      </w:r>
      <w:r w:rsidR="002D565E" w:rsidRPr="002D565E">
        <w:t xml:space="preserve"> </w:t>
      </w:r>
      <w:r w:rsidR="002D565E">
        <w:t xml:space="preserve">in a number of studies. It </w:t>
      </w:r>
      <w:r>
        <w:t>is progressively being made available to researchers beyond DIIS</w:t>
      </w:r>
      <w:r w:rsidR="00AD2B82">
        <w:t>, and its value will grow with use as new variables are added, the data is cleaned, and metadata descriptions improved</w:t>
      </w:r>
      <w:r w:rsidR="002D565E">
        <w:t xml:space="preserve">. </w:t>
      </w:r>
      <w:r w:rsidR="00AD2B82">
        <w:t>BLADE</w:t>
      </w:r>
      <w:r w:rsidR="00AD2B82" w:rsidRPr="002D565E">
        <w:t xml:space="preserve"> </w:t>
      </w:r>
      <w:r w:rsidR="002D565E" w:rsidRPr="002D565E">
        <w:t xml:space="preserve">is </w:t>
      </w:r>
      <w:r w:rsidR="00053DAB">
        <w:t xml:space="preserve">suited to </w:t>
      </w:r>
      <w:r w:rsidR="002D565E" w:rsidRPr="002D565E">
        <w:t>analysing business performance and dynamics, business demography and characteristics</w:t>
      </w:r>
      <w:r w:rsidR="00AD2B82">
        <w:t xml:space="preserve">, and the prospect of linking it with employee data to create a longitudinal employer employee dataset is attractive. The range of policy relevant research produced in New Zealand, where such a data resource is available, illustrates the potential value of BLADE to helping build the much needed evidence base </w:t>
      </w:r>
      <w:r w:rsidR="00741E2E">
        <w:t>for industry and labour policy.</w:t>
      </w:r>
    </w:p>
    <w:p w14:paraId="0D65228C" w14:textId="20ED8C24" w:rsidR="002D565E" w:rsidRDefault="002D565E" w:rsidP="002D565E">
      <w:pPr>
        <w:pStyle w:val="BodyText"/>
      </w:pPr>
      <w:r>
        <w:t xml:space="preserve">With regard to innovation, </w:t>
      </w:r>
      <w:r w:rsidR="004F04C3">
        <w:t>BLADE can be</w:t>
      </w:r>
      <w:r w:rsidR="004F04C3" w:rsidRPr="004F04C3">
        <w:t xml:space="preserve"> </w:t>
      </w:r>
      <w:r w:rsidR="004F04C3">
        <w:t xml:space="preserve">used to </w:t>
      </w:r>
      <w:r w:rsidR="004F04C3" w:rsidRPr="004775C9">
        <w:t>analys</w:t>
      </w:r>
      <w:r w:rsidR="004F04C3">
        <w:t xml:space="preserve">e </w:t>
      </w:r>
      <w:r>
        <w:t xml:space="preserve">the impacts of </w:t>
      </w:r>
      <w:r w:rsidR="004F04C3">
        <w:t xml:space="preserve">innovation activities </w:t>
      </w:r>
      <w:r>
        <w:t>on firm</w:t>
      </w:r>
      <w:r>
        <w:noBreakHyphen/>
        <w:t>level performance and productivity</w:t>
      </w:r>
      <w:r w:rsidR="004F04C3">
        <w:t xml:space="preserve"> </w:t>
      </w:r>
      <w:r w:rsidR="004F04C3" w:rsidRPr="004775C9">
        <w:t>through the integration of additional data with ATO data.</w:t>
      </w:r>
      <w:r>
        <w:t xml:space="preserve"> It also has the potential to improve the evaluation of innovation programs run by the DIIS. This work should inform this question of what governments should and should not do to stimulate innovation in the next Productivity Review, in </w:t>
      </w:r>
      <w:r w:rsidR="00741E2E">
        <w:t xml:space="preserve">five </w:t>
      </w:r>
      <w:r>
        <w:t>years</w:t>
      </w:r>
      <w:r w:rsidR="003F7226">
        <w:noBreakHyphen/>
      </w:r>
      <w:r>
        <w:t>time.</w:t>
      </w:r>
    </w:p>
    <w:p w14:paraId="0D65228D" w14:textId="77777777" w:rsidR="001668C5" w:rsidRDefault="00F97E1E" w:rsidP="00CB65EF">
      <w:pPr>
        <w:pStyle w:val="Heading2"/>
      </w:pPr>
      <w:bookmarkStart w:id="24" w:name="_Toc488850408"/>
      <w:r>
        <w:rPr>
          <w:noProof/>
        </w:rPr>
        <w:t>4</w:t>
      </w:r>
      <w:r w:rsidR="00CB65EF">
        <w:tab/>
      </w:r>
      <w:r w:rsidR="00236B61">
        <w:t>Some relevant statistics</w:t>
      </w:r>
      <w:bookmarkEnd w:id="24"/>
      <w:r w:rsidR="00236B61" w:rsidDel="00236B61">
        <w:t xml:space="preserve"> </w:t>
      </w:r>
    </w:p>
    <w:p w14:paraId="0D65228E" w14:textId="77777777" w:rsidR="00236B61" w:rsidRPr="004803DA" w:rsidRDefault="00236B61" w:rsidP="001320C8">
      <w:pPr>
        <w:pStyle w:val="Heading3"/>
      </w:pPr>
      <w:r>
        <w:t>International rankings</w:t>
      </w:r>
    </w:p>
    <w:p w14:paraId="0D65228F" w14:textId="77777777" w:rsidR="001668C5" w:rsidRDefault="001668C5" w:rsidP="001668C5">
      <w:pPr>
        <w:pStyle w:val="BodyText"/>
        <w:rPr>
          <w:sz w:val="23"/>
          <w:szCs w:val="23"/>
        </w:rPr>
      </w:pPr>
      <w:r>
        <w:t>Australia ranked 19</w:t>
      </w:r>
      <w:r w:rsidRPr="00A95203">
        <w:rPr>
          <w:vertAlign w:val="superscript"/>
        </w:rPr>
        <w:t>th</w:t>
      </w:r>
      <w:r>
        <w:t xml:space="preserve"> out of 128 countries and economies in the 2016 </w:t>
      </w:r>
      <w:r w:rsidRPr="0088519A">
        <w:rPr>
          <w:i/>
        </w:rPr>
        <w:t>Global Innovation Index</w:t>
      </w:r>
      <w:r>
        <w:rPr>
          <w:sz w:val="23"/>
          <w:szCs w:val="23"/>
        </w:rPr>
        <w:t>, down from 17</w:t>
      </w:r>
      <w:r w:rsidRPr="001F4CEB">
        <w:rPr>
          <w:sz w:val="23"/>
          <w:szCs w:val="23"/>
          <w:vertAlign w:val="superscript"/>
        </w:rPr>
        <w:t>th</w:t>
      </w:r>
      <w:r>
        <w:rPr>
          <w:sz w:val="23"/>
          <w:szCs w:val="23"/>
        </w:rPr>
        <w:t xml:space="preserve"> in the 2015 Index</w:t>
      </w:r>
      <w:r w:rsidR="00122F5C">
        <w:rPr>
          <w:sz w:val="23"/>
          <w:szCs w:val="23"/>
        </w:rPr>
        <w:t xml:space="preserve"> </w:t>
      </w:r>
      <w:r w:rsidR="00122F5C" w:rsidRPr="00122F5C">
        <w:rPr>
          <w:sz w:val="23"/>
          <w:szCs w:val="24"/>
        </w:rPr>
        <w:t>(Cornell University, INSEAD and WIPO 2016)</w:t>
      </w:r>
      <w:r>
        <w:rPr>
          <w:sz w:val="23"/>
          <w:szCs w:val="23"/>
        </w:rPr>
        <w:t>. Australia ranked well in terms of the inputs to innovation, particularly its infrastructure (6</w:t>
      </w:r>
      <w:r w:rsidRPr="00960398">
        <w:rPr>
          <w:sz w:val="23"/>
          <w:szCs w:val="23"/>
          <w:vertAlign w:val="superscript"/>
        </w:rPr>
        <w:t>th</w:t>
      </w:r>
      <w:r>
        <w:rPr>
          <w:sz w:val="23"/>
          <w:szCs w:val="23"/>
        </w:rPr>
        <w:t>), human capital and research (9</w:t>
      </w:r>
      <w:r w:rsidRPr="00960398">
        <w:rPr>
          <w:sz w:val="23"/>
          <w:szCs w:val="23"/>
          <w:vertAlign w:val="superscript"/>
        </w:rPr>
        <w:t>th</w:t>
      </w:r>
      <w:r>
        <w:rPr>
          <w:sz w:val="23"/>
          <w:szCs w:val="23"/>
        </w:rPr>
        <w:t>), institutions (10</w:t>
      </w:r>
      <w:r w:rsidRPr="0088519A">
        <w:rPr>
          <w:sz w:val="23"/>
          <w:szCs w:val="23"/>
          <w:vertAlign w:val="superscript"/>
        </w:rPr>
        <w:t>th</w:t>
      </w:r>
      <w:r>
        <w:rPr>
          <w:sz w:val="23"/>
          <w:szCs w:val="23"/>
          <w:vertAlign w:val="superscript"/>
        </w:rPr>
        <w:t>)</w:t>
      </w:r>
      <w:r>
        <w:rPr>
          <w:sz w:val="23"/>
          <w:szCs w:val="23"/>
        </w:rPr>
        <w:t xml:space="preserve"> and market sophistication (10</w:t>
      </w:r>
      <w:r w:rsidRPr="0088519A">
        <w:rPr>
          <w:sz w:val="23"/>
          <w:szCs w:val="23"/>
          <w:vertAlign w:val="superscript"/>
        </w:rPr>
        <w:t>th</w:t>
      </w:r>
      <w:r>
        <w:rPr>
          <w:sz w:val="23"/>
          <w:szCs w:val="23"/>
        </w:rPr>
        <w:t>). Australia ranked poorly in terms of knowledge and technology outputs in general (32</w:t>
      </w:r>
      <w:r w:rsidRPr="00960398">
        <w:rPr>
          <w:sz w:val="23"/>
          <w:szCs w:val="23"/>
          <w:vertAlign w:val="superscript"/>
        </w:rPr>
        <w:t>nd</w:t>
      </w:r>
      <w:r>
        <w:rPr>
          <w:sz w:val="23"/>
          <w:szCs w:val="23"/>
        </w:rPr>
        <w:t>) and knowledge diffusion in particular (107</w:t>
      </w:r>
      <w:r w:rsidRPr="0088519A">
        <w:rPr>
          <w:sz w:val="23"/>
          <w:szCs w:val="23"/>
          <w:vertAlign w:val="superscript"/>
        </w:rPr>
        <w:t>th</w:t>
      </w:r>
      <w:r>
        <w:rPr>
          <w:sz w:val="23"/>
          <w:szCs w:val="23"/>
        </w:rPr>
        <w:t>).</w:t>
      </w:r>
    </w:p>
    <w:p w14:paraId="0D652290" w14:textId="77777777" w:rsidR="001668C5" w:rsidRPr="00EC48BE" w:rsidRDefault="001668C5" w:rsidP="001668C5">
      <w:pPr>
        <w:pStyle w:val="BodyText"/>
        <w:rPr>
          <w:sz w:val="23"/>
          <w:szCs w:val="23"/>
        </w:rPr>
      </w:pPr>
      <w:r w:rsidRPr="00EC48BE">
        <w:rPr>
          <w:sz w:val="23"/>
          <w:szCs w:val="23"/>
        </w:rPr>
        <w:t xml:space="preserve">The </w:t>
      </w:r>
      <w:r w:rsidRPr="00BF2BF2">
        <w:rPr>
          <w:i/>
          <w:sz w:val="23"/>
          <w:szCs w:val="23"/>
        </w:rPr>
        <w:t>Global Competitiveness Report 2015</w:t>
      </w:r>
      <w:r w:rsidR="0097670F">
        <w:rPr>
          <w:i/>
          <w:sz w:val="23"/>
          <w:szCs w:val="23"/>
        </w:rPr>
        <w:t>–</w:t>
      </w:r>
      <w:r w:rsidRPr="00BF2BF2">
        <w:rPr>
          <w:i/>
          <w:sz w:val="23"/>
          <w:szCs w:val="23"/>
        </w:rPr>
        <w:t>2016</w:t>
      </w:r>
      <w:r w:rsidRPr="00EC48BE">
        <w:rPr>
          <w:sz w:val="23"/>
          <w:szCs w:val="23"/>
        </w:rPr>
        <w:t xml:space="preserve"> ranked </w:t>
      </w:r>
      <w:r>
        <w:rPr>
          <w:sz w:val="23"/>
          <w:szCs w:val="23"/>
        </w:rPr>
        <w:t xml:space="preserve">Australia </w:t>
      </w:r>
      <w:r w:rsidRPr="00EC48BE">
        <w:rPr>
          <w:sz w:val="23"/>
          <w:szCs w:val="23"/>
        </w:rPr>
        <w:t xml:space="preserve">23rd </w:t>
      </w:r>
      <w:r>
        <w:rPr>
          <w:sz w:val="23"/>
          <w:szCs w:val="23"/>
        </w:rPr>
        <w:t xml:space="preserve">out </w:t>
      </w:r>
      <w:r w:rsidRPr="00EC48BE">
        <w:rPr>
          <w:sz w:val="23"/>
          <w:szCs w:val="23"/>
        </w:rPr>
        <w:t xml:space="preserve">of 140 world economies </w:t>
      </w:r>
      <w:r>
        <w:rPr>
          <w:sz w:val="23"/>
          <w:szCs w:val="23"/>
        </w:rPr>
        <w:t xml:space="preserve">in terms of </w:t>
      </w:r>
      <w:r w:rsidRPr="00EC48BE">
        <w:rPr>
          <w:sz w:val="23"/>
          <w:szCs w:val="23"/>
        </w:rPr>
        <w:t>innovation. Australia ranked:</w:t>
      </w:r>
    </w:p>
    <w:p w14:paraId="0D652291" w14:textId="77777777" w:rsidR="001668C5" w:rsidRPr="00EC48BE" w:rsidRDefault="001668C5" w:rsidP="00CB65EF">
      <w:pPr>
        <w:pStyle w:val="ListBullet"/>
      </w:pPr>
      <w:r w:rsidRPr="00EC48BE">
        <w:t>8</w:t>
      </w:r>
      <w:r w:rsidR="00BF2BF2" w:rsidRPr="00BF2BF2">
        <w:rPr>
          <w:vertAlign w:val="superscript"/>
        </w:rPr>
        <w:t>th</w:t>
      </w:r>
      <w:r w:rsidR="00BF2BF2">
        <w:t xml:space="preserve"> </w:t>
      </w:r>
      <w:r w:rsidRPr="00EC48BE">
        <w:t xml:space="preserve">for </w:t>
      </w:r>
      <w:r w:rsidR="00BF2BF2" w:rsidRPr="00EC48BE">
        <w:t xml:space="preserve">quality </w:t>
      </w:r>
      <w:r w:rsidRPr="00EC48BE">
        <w:t>of scientific research institutions</w:t>
      </w:r>
    </w:p>
    <w:p w14:paraId="0D652292" w14:textId="77777777" w:rsidR="001668C5" w:rsidRPr="00EC48BE" w:rsidRDefault="001668C5" w:rsidP="00CB65EF">
      <w:pPr>
        <w:pStyle w:val="ListBullet"/>
      </w:pPr>
      <w:r w:rsidRPr="00EC48BE">
        <w:t>17</w:t>
      </w:r>
      <w:r w:rsidR="00BF2BF2" w:rsidRPr="00BF2BF2">
        <w:rPr>
          <w:vertAlign w:val="superscript"/>
        </w:rPr>
        <w:t>th</w:t>
      </w:r>
      <w:r w:rsidR="00BF2BF2">
        <w:t xml:space="preserve"> </w:t>
      </w:r>
      <w:r w:rsidRPr="00EC48BE">
        <w:t xml:space="preserve">for </w:t>
      </w:r>
      <w:r w:rsidR="00BF2BF2" w:rsidRPr="00EC48BE">
        <w:t xml:space="preserve">availability </w:t>
      </w:r>
      <w:r w:rsidRPr="00EC48BE">
        <w:t>of scientists and engineers</w:t>
      </w:r>
    </w:p>
    <w:p w14:paraId="0D652293" w14:textId="77777777" w:rsidR="001668C5" w:rsidRPr="00EC48BE" w:rsidRDefault="001668C5" w:rsidP="00CB65EF">
      <w:pPr>
        <w:pStyle w:val="ListBullet"/>
      </w:pPr>
      <w:r w:rsidRPr="00EC48BE">
        <w:t>21</w:t>
      </w:r>
      <w:r w:rsidR="00BF2BF2" w:rsidRPr="00BF2BF2">
        <w:rPr>
          <w:vertAlign w:val="superscript"/>
        </w:rPr>
        <w:t>st</w:t>
      </w:r>
      <w:r w:rsidR="00BF2BF2">
        <w:t xml:space="preserve"> </w:t>
      </w:r>
      <w:r w:rsidRPr="00EC48BE">
        <w:t xml:space="preserve">for </w:t>
      </w:r>
      <w:r w:rsidR="00BF2BF2" w:rsidRPr="00EC48BE">
        <w:t>university</w:t>
      </w:r>
      <w:r w:rsidR="0097670F">
        <w:noBreakHyphen/>
      </w:r>
      <w:r w:rsidRPr="00EC48BE">
        <w:t>industry collaboration in R&amp;D</w:t>
      </w:r>
    </w:p>
    <w:p w14:paraId="0D652294" w14:textId="77777777" w:rsidR="001668C5" w:rsidRDefault="001668C5" w:rsidP="00CB65EF">
      <w:pPr>
        <w:pStyle w:val="ListBullet"/>
      </w:pPr>
      <w:r w:rsidRPr="00EC48BE">
        <w:t>21</w:t>
      </w:r>
      <w:r w:rsidR="00BF2BF2" w:rsidRPr="00BF2BF2">
        <w:rPr>
          <w:vertAlign w:val="superscript"/>
        </w:rPr>
        <w:t>st</w:t>
      </w:r>
      <w:r w:rsidR="00BF2BF2">
        <w:t xml:space="preserve"> </w:t>
      </w:r>
      <w:r w:rsidRPr="00EC48BE">
        <w:t xml:space="preserve">for PCT patents, </w:t>
      </w:r>
      <w:r>
        <w:t>applications/million population</w:t>
      </w:r>
    </w:p>
    <w:p w14:paraId="0D652295" w14:textId="77777777" w:rsidR="001668C5" w:rsidRPr="00EC48BE" w:rsidRDefault="001668C5" w:rsidP="00CB65EF">
      <w:pPr>
        <w:pStyle w:val="ListBullet"/>
      </w:pPr>
      <w:r w:rsidRPr="00EC48BE">
        <w:t>25</w:t>
      </w:r>
      <w:r w:rsidR="00BF2BF2" w:rsidRPr="00BF2BF2">
        <w:rPr>
          <w:vertAlign w:val="superscript"/>
        </w:rPr>
        <w:t>th</w:t>
      </w:r>
      <w:r w:rsidR="00BF2BF2">
        <w:t xml:space="preserve"> </w:t>
      </w:r>
      <w:r w:rsidRPr="00EC48BE">
        <w:t xml:space="preserve">for </w:t>
      </w:r>
      <w:r w:rsidR="00BF2BF2" w:rsidRPr="00EC48BE">
        <w:t xml:space="preserve">capacity </w:t>
      </w:r>
      <w:r w:rsidRPr="00EC48BE">
        <w:t>for innovation</w:t>
      </w:r>
    </w:p>
    <w:p w14:paraId="0D652296" w14:textId="77777777" w:rsidR="001668C5" w:rsidRPr="00EC48BE" w:rsidRDefault="001668C5" w:rsidP="00CB65EF">
      <w:pPr>
        <w:pStyle w:val="ListBullet"/>
      </w:pPr>
      <w:r w:rsidRPr="00EC48BE">
        <w:t>27</w:t>
      </w:r>
      <w:r w:rsidR="00BF2BF2" w:rsidRPr="00BF2BF2">
        <w:rPr>
          <w:vertAlign w:val="superscript"/>
        </w:rPr>
        <w:t>th</w:t>
      </w:r>
      <w:r w:rsidR="00BF2BF2">
        <w:t xml:space="preserve"> </w:t>
      </w:r>
      <w:r w:rsidRPr="00EC48BE">
        <w:t xml:space="preserve">for </w:t>
      </w:r>
      <w:r w:rsidR="00BF2BF2" w:rsidRPr="00EC48BE">
        <w:t xml:space="preserve">company </w:t>
      </w:r>
      <w:r w:rsidRPr="00EC48BE">
        <w:t>spending on R&amp;D</w:t>
      </w:r>
    </w:p>
    <w:p w14:paraId="0D652297" w14:textId="77777777" w:rsidR="001668C5" w:rsidRPr="00EC48BE" w:rsidRDefault="00342735" w:rsidP="00CB65EF">
      <w:pPr>
        <w:pStyle w:val="ListBullet"/>
      </w:pPr>
      <w:r>
        <w:t xml:space="preserve">but only </w:t>
      </w:r>
      <w:r w:rsidR="001668C5" w:rsidRPr="00EC48BE">
        <w:t>70</w:t>
      </w:r>
      <w:r w:rsidR="00BF2BF2" w:rsidRPr="00BF2BF2">
        <w:rPr>
          <w:vertAlign w:val="superscript"/>
        </w:rPr>
        <w:t>th</w:t>
      </w:r>
      <w:r w:rsidR="00BF2BF2">
        <w:t xml:space="preserve"> </w:t>
      </w:r>
      <w:r w:rsidR="001668C5" w:rsidRPr="00EC48BE">
        <w:t xml:space="preserve">for </w:t>
      </w:r>
      <w:r w:rsidR="00BF2BF2" w:rsidRPr="00EC48BE">
        <w:t xml:space="preserve">government </w:t>
      </w:r>
      <w:r w:rsidR="001668C5" w:rsidRPr="00EC48BE">
        <w:t>procurement of advanced tech</w:t>
      </w:r>
      <w:r w:rsidR="006C5353">
        <w:t>nology</w:t>
      </w:r>
      <w:r w:rsidR="001668C5" w:rsidRPr="00EC48BE">
        <w:t xml:space="preserve"> products</w:t>
      </w:r>
      <w:r w:rsidR="001668C5">
        <w:t>.</w:t>
      </w:r>
    </w:p>
    <w:p w14:paraId="0D652298" w14:textId="77777777" w:rsidR="006C5353" w:rsidRDefault="00BF2BF2" w:rsidP="00BF2BF2">
      <w:pPr>
        <w:pStyle w:val="BodyText"/>
      </w:pPr>
      <w:r w:rsidRPr="0088519A">
        <w:t xml:space="preserve">The 2015 </w:t>
      </w:r>
      <w:r w:rsidRPr="00EE4BEB">
        <w:rPr>
          <w:i/>
        </w:rPr>
        <w:t xml:space="preserve">Global </w:t>
      </w:r>
      <w:r w:rsidR="00FD270E" w:rsidRPr="00EE4BEB">
        <w:rPr>
          <w:i/>
        </w:rPr>
        <w:t>Start</w:t>
      </w:r>
      <w:r w:rsidR="00DA338A">
        <w:rPr>
          <w:i/>
        </w:rPr>
        <w:noBreakHyphen/>
      </w:r>
      <w:r w:rsidR="00FD270E" w:rsidRPr="00EE4BEB">
        <w:rPr>
          <w:i/>
        </w:rPr>
        <w:t>up</w:t>
      </w:r>
      <w:r w:rsidRPr="00EE4BEB">
        <w:rPr>
          <w:i/>
        </w:rPr>
        <w:t xml:space="preserve"> Ecosystem Ranking</w:t>
      </w:r>
      <w:r>
        <w:t xml:space="preserve"> </w:t>
      </w:r>
      <w:r w:rsidRPr="0088519A">
        <w:t>report ranked Sydney as 16</w:t>
      </w:r>
      <w:r w:rsidR="006C5353" w:rsidRPr="006C5353">
        <w:rPr>
          <w:vertAlign w:val="superscript"/>
        </w:rPr>
        <w:t>th</w:t>
      </w:r>
      <w:r w:rsidR="006C5353">
        <w:t xml:space="preserve"> </w:t>
      </w:r>
      <w:r>
        <w:t xml:space="preserve">best city </w:t>
      </w:r>
      <w:r w:rsidR="006C5353">
        <w:t xml:space="preserve">in </w:t>
      </w:r>
      <w:r w:rsidRPr="0088519A">
        <w:t>the world</w:t>
      </w:r>
      <w:r>
        <w:t xml:space="preserve"> in terms of </w:t>
      </w:r>
      <w:r w:rsidR="006C5353">
        <w:t>‘</w:t>
      </w:r>
      <w:r w:rsidR="00053DAB">
        <w:t>start</w:t>
      </w:r>
      <w:r w:rsidR="00053DAB">
        <w:noBreakHyphen/>
      </w:r>
      <w:r w:rsidR="00FD270E" w:rsidRPr="00EE4BEB">
        <w:t>up</w:t>
      </w:r>
      <w:r w:rsidRPr="00EE4BEB">
        <w:t xml:space="preserve"> ecosystem</w:t>
      </w:r>
      <w:r w:rsidR="006C5353">
        <w:t>’</w:t>
      </w:r>
      <w:r>
        <w:t xml:space="preserve"> </w:t>
      </w:r>
      <w:r w:rsidR="00584F25" w:rsidRPr="00584F25">
        <w:rPr>
          <w:szCs w:val="24"/>
        </w:rPr>
        <w:t>(Schwab 2015)</w:t>
      </w:r>
      <w:r>
        <w:t>. Across the five criteri</w:t>
      </w:r>
      <w:r w:rsidR="006C5353">
        <w:t>a, Sydney ranked:</w:t>
      </w:r>
    </w:p>
    <w:p w14:paraId="0D652299" w14:textId="77777777" w:rsidR="006C5353" w:rsidRDefault="00BF2BF2" w:rsidP="006C5353">
      <w:pPr>
        <w:pStyle w:val="ListBullet"/>
      </w:pPr>
      <w:r>
        <w:t>6</w:t>
      </w:r>
      <w:r w:rsidRPr="00E03F2B">
        <w:rPr>
          <w:vertAlign w:val="superscript"/>
        </w:rPr>
        <w:t>th</w:t>
      </w:r>
      <w:r>
        <w:t xml:space="preserve"> on </w:t>
      </w:r>
      <w:r w:rsidRPr="0088519A">
        <w:t>talent</w:t>
      </w:r>
    </w:p>
    <w:p w14:paraId="0D65229A" w14:textId="77777777" w:rsidR="006C5353" w:rsidRDefault="00BF2BF2" w:rsidP="006C5353">
      <w:pPr>
        <w:pStyle w:val="ListBullet"/>
      </w:pPr>
      <w:r>
        <w:t>10</w:t>
      </w:r>
      <w:r w:rsidRPr="00E03F2B">
        <w:rPr>
          <w:vertAlign w:val="superscript"/>
        </w:rPr>
        <w:t>th</w:t>
      </w:r>
      <w:r>
        <w:t xml:space="preserve"> on </w:t>
      </w:r>
      <w:r w:rsidR="00FD270E" w:rsidRPr="0088519A">
        <w:t>start</w:t>
      </w:r>
      <w:r w:rsidR="00053DAB">
        <w:noBreakHyphen/>
      </w:r>
      <w:r w:rsidR="00FD270E" w:rsidRPr="0088519A">
        <w:t>up</w:t>
      </w:r>
      <w:r w:rsidRPr="0088519A">
        <w:t xml:space="preserve"> experience</w:t>
      </w:r>
    </w:p>
    <w:p w14:paraId="0D65229B" w14:textId="77777777" w:rsidR="006C5353" w:rsidRDefault="00BF2BF2" w:rsidP="006C5353">
      <w:pPr>
        <w:pStyle w:val="ListBullet"/>
      </w:pPr>
      <w:r>
        <w:t>16</w:t>
      </w:r>
      <w:r w:rsidRPr="00E03F2B">
        <w:rPr>
          <w:vertAlign w:val="superscript"/>
        </w:rPr>
        <w:t>th</w:t>
      </w:r>
      <w:r>
        <w:t xml:space="preserve"> on </w:t>
      </w:r>
      <w:r w:rsidRPr="0088519A">
        <w:t>funding</w:t>
      </w:r>
    </w:p>
    <w:p w14:paraId="0D65229C" w14:textId="77777777" w:rsidR="006C5353" w:rsidRDefault="00BF2BF2" w:rsidP="006C5353">
      <w:pPr>
        <w:pStyle w:val="ListBullet"/>
      </w:pPr>
      <w:r>
        <w:t>17</w:t>
      </w:r>
      <w:r w:rsidRPr="00E03F2B">
        <w:rPr>
          <w:vertAlign w:val="superscript"/>
        </w:rPr>
        <w:t>th</w:t>
      </w:r>
      <w:r>
        <w:t xml:space="preserve"> on </w:t>
      </w:r>
      <w:r w:rsidRPr="0088519A">
        <w:t>market reach</w:t>
      </w:r>
    </w:p>
    <w:p w14:paraId="0D65229D" w14:textId="77777777" w:rsidR="00BF2BF2" w:rsidRDefault="00BF2BF2" w:rsidP="006C5353">
      <w:pPr>
        <w:pStyle w:val="ListBullet"/>
      </w:pPr>
      <w:r>
        <w:t>20</w:t>
      </w:r>
      <w:r w:rsidRPr="00E03F2B">
        <w:rPr>
          <w:vertAlign w:val="superscript"/>
        </w:rPr>
        <w:t>th</w:t>
      </w:r>
      <w:r>
        <w:t xml:space="preserve"> on </w:t>
      </w:r>
      <w:r w:rsidRPr="0088519A">
        <w:t>performance.</w:t>
      </w:r>
    </w:p>
    <w:p w14:paraId="0D65229E" w14:textId="77777777" w:rsidR="002F5746" w:rsidRDefault="00236B61" w:rsidP="001320C8">
      <w:pPr>
        <w:pStyle w:val="Heading3"/>
      </w:pPr>
      <w:r>
        <w:t>Who does what in innovation</w:t>
      </w:r>
      <w:r w:rsidR="00342735">
        <w:t>?</w:t>
      </w:r>
    </w:p>
    <w:p w14:paraId="0D65229F" w14:textId="77777777" w:rsidR="008C4371" w:rsidRDefault="008C4371" w:rsidP="008C4371">
      <w:pPr>
        <w:pStyle w:val="BodyText"/>
      </w:pPr>
      <w:r>
        <w:t>A common perception is that intellectual property rights benefit large Australian firms that have the financial resources to fund the research and to defend their legal rights in court.</w:t>
      </w:r>
    </w:p>
    <w:p w14:paraId="0D6522A0" w14:textId="77777777" w:rsidR="008C4371" w:rsidRPr="008C4371" w:rsidRDefault="008C4371" w:rsidP="008C4371">
      <w:pPr>
        <w:pStyle w:val="BodyText"/>
      </w:pPr>
      <w:r>
        <w:t>The actual situation is not as straightforward as this suggests:</w:t>
      </w:r>
    </w:p>
    <w:p w14:paraId="0D6522A1" w14:textId="77777777" w:rsidR="002F5746" w:rsidRDefault="008C4371" w:rsidP="0087174E">
      <w:pPr>
        <w:pStyle w:val="ListBullet"/>
      </w:pPr>
      <w:r>
        <w:t xml:space="preserve">investment </w:t>
      </w:r>
      <w:r w:rsidR="002F5746">
        <w:t>in intellectual property accounted for 10.4 per cent of all Australian private investment in fixed capital in 2014</w:t>
      </w:r>
      <w:r w:rsidR="002F5746">
        <w:noBreakHyphen/>
        <w:t xml:space="preserve">15 — R&amp;D accounted for 4.9 per cent and computer software 3.9 per cent (ABS 5206.0 reported in </w:t>
      </w:r>
      <w:r w:rsidR="00707A5A">
        <w:t>IP Australia </w:t>
      </w:r>
      <w:r w:rsidR="0077082E" w:rsidRPr="0077082E">
        <w:rPr>
          <w:szCs w:val="24"/>
        </w:rPr>
        <w:t>(2016, p. 25)</w:t>
      </w:r>
      <w:r w:rsidR="002F5746">
        <w:t>)</w:t>
      </w:r>
    </w:p>
    <w:p w14:paraId="0D6522A2" w14:textId="77777777" w:rsidR="00676AD6" w:rsidRDefault="0077082E" w:rsidP="0087174E">
      <w:pPr>
        <w:pStyle w:val="ListBullet"/>
      </w:pPr>
      <w:r>
        <w:t>5</w:t>
      </w:r>
      <w:r w:rsidR="00676AD6">
        <w:t xml:space="preserve">3 per cent of patent applications in 2015 were by </w:t>
      </w:r>
      <w:r>
        <w:t xml:space="preserve">Australian </w:t>
      </w:r>
      <w:r w:rsidR="00676AD6">
        <w:t>SMEs</w:t>
      </w:r>
      <w:r>
        <w:t>, up from 43 per cent in 2006</w:t>
      </w:r>
      <w:r w:rsidRPr="0077082E">
        <w:t xml:space="preserve"> </w:t>
      </w:r>
      <w:r w:rsidRPr="0077082E">
        <w:rPr>
          <w:szCs w:val="24"/>
        </w:rPr>
        <w:t>(IP Australia 2016, p. 26)</w:t>
      </w:r>
    </w:p>
    <w:p w14:paraId="0D6522A3" w14:textId="33F536D7" w:rsidR="00676AD6" w:rsidRDefault="008C4371" w:rsidP="0087174E">
      <w:pPr>
        <w:pStyle w:val="ListBullet"/>
      </w:pPr>
      <w:r>
        <w:t>firms</w:t>
      </w:r>
      <w:r w:rsidR="00676AD6">
        <w:t xml:space="preserve"> </w:t>
      </w:r>
      <w:r w:rsidR="00707A5A">
        <w:t xml:space="preserve">aged </w:t>
      </w:r>
      <w:r w:rsidR="00676AD6">
        <w:t xml:space="preserve">over 10 years old file proportionately more intellectual property applications than do firms that are </w:t>
      </w:r>
      <w:r w:rsidR="00707A5A">
        <w:t>younger</w:t>
      </w:r>
      <w:r w:rsidR="00741E2E" w:rsidRPr="0077082E">
        <w:t xml:space="preserve"> </w:t>
      </w:r>
      <w:r w:rsidR="00741E2E" w:rsidRPr="0077082E">
        <w:rPr>
          <w:szCs w:val="24"/>
        </w:rPr>
        <w:t>(IP Australia 2016, p. 2</w:t>
      </w:r>
      <w:r w:rsidR="00741E2E">
        <w:rPr>
          <w:szCs w:val="24"/>
        </w:rPr>
        <w:t>7</w:t>
      </w:r>
      <w:r w:rsidR="00741E2E" w:rsidRPr="0077082E">
        <w:rPr>
          <w:szCs w:val="24"/>
        </w:rPr>
        <w:t>)</w:t>
      </w:r>
    </w:p>
    <w:p w14:paraId="0D6522A4" w14:textId="500F85F5" w:rsidR="00676AD6" w:rsidRDefault="008C4371" w:rsidP="0087174E">
      <w:pPr>
        <w:pStyle w:val="ListBullet"/>
      </w:pPr>
      <w:r>
        <w:t>older</w:t>
      </w:r>
      <w:r w:rsidR="00676AD6">
        <w:t xml:space="preserve"> firms tend to file around three times the number of patents of younger firms</w:t>
      </w:r>
      <w:r w:rsidR="00C7225D">
        <w:t xml:space="preserve"> </w:t>
      </w:r>
      <w:r w:rsidR="00741E2E" w:rsidRPr="0077082E">
        <w:rPr>
          <w:szCs w:val="24"/>
        </w:rPr>
        <w:t>(IP Australia 2016, p. 2</w:t>
      </w:r>
      <w:r w:rsidR="00741E2E">
        <w:rPr>
          <w:szCs w:val="24"/>
        </w:rPr>
        <w:t>8</w:t>
      </w:r>
      <w:r w:rsidR="00741E2E" w:rsidRPr="0077082E">
        <w:rPr>
          <w:szCs w:val="24"/>
        </w:rPr>
        <w:t>)</w:t>
      </w:r>
    </w:p>
    <w:p w14:paraId="0D6522A5" w14:textId="77777777" w:rsidR="006C5353" w:rsidRDefault="008C4371" w:rsidP="006C5353">
      <w:pPr>
        <w:pStyle w:val="ListBullet"/>
      </w:pPr>
      <w:r>
        <w:t>there</w:t>
      </w:r>
      <w:r w:rsidR="006C5353">
        <w:t xml:space="preserve"> were 732 </w:t>
      </w:r>
      <w:r w:rsidR="006C5353" w:rsidRPr="00453DD9">
        <w:t>licences, options and agreements</w:t>
      </w:r>
      <w:r w:rsidR="0097670F">
        <w:t xml:space="preserve"> executed and 2</w:t>
      </w:r>
      <w:r w:rsidR="006C5353">
        <w:t xml:space="preserve">236 active in 2014. </w:t>
      </w:r>
      <w:r w:rsidR="00A07BCD">
        <w:t xml:space="preserve">Australian </w:t>
      </w:r>
      <w:r w:rsidR="00FB2D59">
        <w:t>u</w:t>
      </w:r>
      <w:r w:rsidR="006C5353">
        <w:t xml:space="preserve">niversities account for most </w:t>
      </w:r>
      <w:r w:rsidR="006C5353" w:rsidRPr="00453DD9">
        <w:t>licences, options and agreements</w:t>
      </w:r>
      <w:r w:rsidR="006C5353">
        <w:t xml:space="preserve"> in Australia.</w:t>
      </w:r>
      <w:r w:rsidR="006C5353" w:rsidRPr="002A779A">
        <w:rPr>
          <w:rStyle w:val="FootnoteReference"/>
        </w:rPr>
        <w:footnoteReference w:id="6"/>
      </w:r>
      <w:r w:rsidR="006C5353">
        <w:t xml:space="preserve"> These agreements generated $136 million in licence income </w:t>
      </w:r>
      <w:r w:rsidR="00A07BCD">
        <w:t xml:space="preserve">for their Australian owners </w:t>
      </w:r>
      <w:r w:rsidR="00A07BCD" w:rsidRPr="00A07BCD">
        <w:rPr>
          <w:szCs w:val="24"/>
        </w:rPr>
        <w:t>(DIIS 2015, p. 8)</w:t>
      </w:r>
    </w:p>
    <w:p w14:paraId="0D6522A6" w14:textId="77777777" w:rsidR="006C5353" w:rsidRDefault="008C4371" w:rsidP="006C5353">
      <w:pPr>
        <w:pStyle w:val="ListBullet"/>
      </w:pPr>
      <w:r>
        <w:t xml:space="preserve">there </w:t>
      </w:r>
      <w:r w:rsidR="006C5353">
        <w:t>were 15 463</w:t>
      </w:r>
      <w:r w:rsidR="006C5353" w:rsidRPr="007E5A82">
        <w:t xml:space="preserve"> </w:t>
      </w:r>
      <w:r w:rsidR="006C5353">
        <w:t xml:space="preserve">research </w:t>
      </w:r>
      <w:r w:rsidR="006C5353" w:rsidRPr="007E5A82">
        <w:t>contracts, consultancies and collaborations</w:t>
      </w:r>
      <w:r w:rsidR="0097670F">
        <w:t xml:space="preserve"> in 2014, valued at $1</w:t>
      </w:r>
      <w:r w:rsidR="00236B61">
        <w:t>.</w:t>
      </w:r>
      <w:r w:rsidR="006C5353">
        <w:t xml:space="preserve">8 </w:t>
      </w:r>
      <w:r w:rsidR="00236B61">
        <w:t>b</w:t>
      </w:r>
      <w:r w:rsidR="006C5353">
        <w:t>illion</w:t>
      </w:r>
      <w:r w:rsidR="00324769">
        <w:t xml:space="preserve"> </w:t>
      </w:r>
      <w:r w:rsidR="007304AC" w:rsidRPr="007304AC">
        <w:rPr>
          <w:szCs w:val="24"/>
        </w:rPr>
        <w:t>(DIIS 2015, pp. 10–11)</w:t>
      </w:r>
    </w:p>
    <w:p w14:paraId="0D6522A7" w14:textId="77777777" w:rsidR="00A07BCD" w:rsidRDefault="008C4371" w:rsidP="006C5353">
      <w:pPr>
        <w:pStyle w:val="ListBullet"/>
      </w:pPr>
      <w:r>
        <w:t xml:space="preserve">firms </w:t>
      </w:r>
      <w:r w:rsidR="00053DAB">
        <w:t xml:space="preserve">that </w:t>
      </w:r>
      <w:r>
        <w:t xml:space="preserve">take out </w:t>
      </w:r>
      <w:r w:rsidR="00053DAB">
        <w:t>intellectual property rights have high</w:t>
      </w:r>
      <w:r w:rsidR="00233A9F">
        <w:t>er</w:t>
      </w:r>
      <w:r w:rsidR="00053DAB">
        <w:t xml:space="preserve"> ten</w:t>
      </w:r>
      <w:r w:rsidR="00053DAB">
        <w:noBreakHyphen/>
        <w:t xml:space="preserve">year survival rates </w:t>
      </w:r>
      <w:r>
        <w:t>than those that do not — the 10</w:t>
      </w:r>
      <w:r w:rsidR="00DA338A">
        <w:noBreakHyphen/>
      </w:r>
      <w:r>
        <w:t xml:space="preserve">year survival rate for firms that take out IP rights is in the range from high 70 to low 80 per cent, depending on the right, compared to an average of 65 per cent across all firms in the Australian Business Register </w:t>
      </w:r>
      <w:r w:rsidR="00053DAB">
        <w:t>(figure </w:t>
      </w:r>
      <w:r w:rsidR="006A42C5">
        <w:t>10</w:t>
      </w:r>
      <w:r w:rsidR="00053DAB">
        <w:t>)</w:t>
      </w:r>
      <w:r>
        <w:t>.</w:t>
      </w:r>
    </w:p>
    <w:p w14:paraId="0D6522A8" w14:textId="77777777" w:rsidR="00A07BCD" w:rsidRDefault="007304AC" w:rsidP="00233A9F">
      <w:pPr>
        <w:pStyle w:val="ListBullet"/>
      </w:pPr>
      <w:r>
        <w:t>firms</w:t>
      </w:r>
      <w:r w:rsidR="00A07BCD">
        <w:t xml:space="preserve"> that have taken out IP rights are less likely to have cancelled their Australian Business Number or GST registration than those that do not (25 per cent compared to 35 per cent, respectively)</w:t>
      </w:r>
      <w:r w:rsidR="008C4371">
        <w:t xml:space="preserve">, which </w:t>
      </w:r>
      <w:r w:rsidR="004B3852">
        <w:t xml:space="preserve">aligns with the finding </w:t>
      </w:r>
      <w:r w:rsidR="008C4371">
        <w:t>that firms with IP rights tend to live longer than firms without</w:t>
      </w:r>
      <w:r w:rsidR="00A07BCD">
        <w:t xml:space="preserve"> </w:t>
      </w:r>
      <w:r w:rsidR="00A07BCD" w:rsidRPr="008C4371">
        <w:rPr>
          <w:szCs w:val="24"/>
        </w:rPr>
        <w:t>(DIIS 2015, p. 28)</w:t>
      </w:r>
      <w:r w:rsidR="00A07BCD">
        <w:t>.</w:t>
      </w:r>
    </w:p>
    <w:p w14:paraId="0D6522A9" w14:textId="77777777" w:rsidR="00676AD6" w:rsidRDefault="00676AD6" w:rsidP="00CC406B">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676AD6" w14:paraId="0D6522AC" w14:textId="77777777" w:rsidTr="00B0510F">
        <w:trPr>
          <w:tblHeader/>
        </w:trPr>
        <w:tc>
          <w:tcPr>
            <w:tcW w:w="8771" w:type="dxa"/>
            <w:tcBorders>
              <w:top w:val="single" w:sz="6" w:space="0" w:color="78A22F"/>
              <w:left w:val="nil"/>
              <w:bottom w:val="nil"/>
              <w:right w:val="nil"/>
            </w:tcBorders>
            <w:shd w:val="clear" w:color="auto" w:fill="auto"/>
          </w:tcPr>
          <w:p w14:paraId="0D6522AA" w14:textId="77777777" w:rsidR="00676AD6" w:rsidRDefault="00676AD6" w:rsidP="00CC406B">
            <w:pPr>
              <w:pStyle w:val="FigureTitle"/>
            </w:pPr>
            <w:r w:rsidRPr="00784A05">
              <w:rPr>
                <w:b w:val="0"/>
              </w:rPr>
              <w:t xml:space="preserve">Figure </w:t>
            </w:r>
            <w:bookmarkStart w:id="25" w:name="OLE_LINK9"/>
            <w:r w:rsidR="00F97E1E">
              <w:rPr>
                <w:b w:val="0"/>
                <w:noProof/>
              </w:rPr>
              <w:t>10</w:t>
            </w:r>
            <w:bookmarkEnd w:id="25"/>
            <w:r>
              <w:tab/>
              <w:t>Firm survival rate by intellectual property right</w:t>
            </w:r>
            <w:r w:rsidR="00CF3D02" w:rsidRPr="00CF3D02">
              <w:rPr>
                <w:rStyle w:val="NoteLabel"/>
              </w:rPr>
              <w:t>a</w:t>
            </w:r>
          </w:p>
          <w:p w14:paraId="0D6522AB" w14:textId="77777777" w:rsidR="00676AD6" w:rsidRPr="00176D3F" w:rsidRDefault="00676AD6" w:rsidP="00CC406B">
            <w:pPr>
              <w:pStyle w:val="Subtitle"/>
            </w:pPr>
            <w:r>
              <w:t>Per cent of firms surviving</w:t>
            </w:r>
          </w:p>
        </w:tc>
      </w:tr>
      <w:tr w:rsidR="00676AD6" w14:paraId="0D6522B0" w14:textId="77777777" w:rsidTr="00B0510F">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676AD6" w:rsidRPr="00B1465D" w14:paraId="0D6522AE" w14:textId="77777777" w:rsidTr="00CC406B">
              <w:trPr>
                <w:tblHeader/>
                <w:jc w:val="center"/>
              </w:trPr>
              <w:tc>
                <w:tcPr>
                  <w:tcW w:w="5000" w:type="pct"/>
                  <w:tcBorders>
                    <w:top w:val="nil"/>
                    <w:bottom w:val="nil"/>
                  </w:tcBorders>
                </w:tcPr>
                <w:p w14:paraId="0D6522AD" w14:textId="5E6F2DB9" w:rsidR="00676AD6" w:rsidRPr="00B1465D" w:rsidRDefault="00B72418" w:rsidP="00CC406B">
                  <w:pPr>
                    <w:pStyle w:val="Figure"/>
                    <w:spacing w:before="60" w:after="60"/>
                    <w:rPr>
                      <w:rFonts w:ascii="Arial" w:hAnsi="Arial" w:cs="Arial"/>
                      <w:sz w:val="18"/>
                      <w:szCs w:val="18"/>
                    </w:rPr>
                  </w:pPr>
                  <w:r w:rsidRPr="00B72418">
                    <w:rPr>
                      <w:rFonts w:ascii="Arial" w:hAnsi="Arial" w:cs="Arial"/>
                      <w:noProof/>
                      <w:sz w:val="18"/>
                      <w:szCs w:val="18"/>
                    </w:rPr>
                    <w:drawing>
                      <wp:inline distT="0" distB="0" distL="0" distR="0" wp14:anchorId="3A760A09" wp14:editId="1E1F807A">
                        <wp:extent cx="5403850" cy="2876550"/>
                        <wp:effectExtent l="0" t="0" r="6350" b="0"/>
                        <wp:docPr id="9" name="Picture 9" descr="The figure reproduces a figure from the Australian Intellectual Property Report 2016 by IP Australia showing firm survival rate by intellectual property right (expressed as the percentage of firms surviving at each year of age from 0 to 11 years). The survival rates are shown as lines for: Plant breeder’s rights; Patents; Designs; Trade marks; and All firms in the Australian Business Register. The survival rates for all of the groups shown decline with time starting from 100 per cent. Approximately 64 per cent of all firms in the Australian business register survived 11 years. Firms with patents; designs and trade marks have appreciably higher survival rates than did all firms in the Australian business register. The survival rates for each of these groups was similar over time (with approximately 78 per cent surviving 11 years). Plant breeder’s rights holders had the highest survival rates at each year of age (with approximately 83 per cent surviving 11 years)." title="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3850" cy="2876550"/>
                                </a:xfrm>
                                <a:prstGeom prst="rect">
                                  <a:avLst/>
                                </a:prstGeom>
                                <a:noFill/>
                                <a:ln>
                                  <a:noFill/>
                                </a:ln>
                              </pic:spPr>
                            </pic:pic>
                          </a:graphicData>
                        </a:graphic>
                      </wp:inline>
                    </w:drawing>
                  </w:r>
                </w:p>
              </w:tc>
            </w:tr>
          </w:tbl>
          <w:p w14:paraId="0D6522AF" w14:textId="77777777" w:rsidR="00676AD6" w:rsidRDefault="00676AD6" w:rsidP="00CC406B">
            <w:pPr>
              <w:pStyle w:val="Figure"/>
            </w:pPr>
          </w:p>
        </w:tc>
      </w:tr>
      <w:tr w:rsidR="00CF3D02" w:rsidRPr="00176D3F" w14:paraId="0D6522B2" w14:textId="77777777" w:rsidTr="00B0510F">
        <w:tc>
          <w:tcPr>
            <w:tcW w:w="8771" w:type="dxa"/>
            <w:tcBorders>
              <w:top w:val="nil"/>
              <w:left w:val="nil"/>
              <w:bottom w:val="nil"/>
              <w:right w:val="nil"/>
            </w:tcBorders>
            <w:shd w:val="clear" w:color="auto" w:fill="auto"/>
          </w:tcPr>
          <w:p w14:paraId="0D6522B1" w14:textId="77777777" w:rsidR="00CF3D02" w:rsidRPr="00784A05" w:rsidRDefault="00CF3D02" w:rsidP="00CF3D02">
            <w:pPr>
              <w:pStyle w:val="Note"/>
            </w:pPr>
            <w:r w:rsidRPr="00CF3D02">
              <w:rPr>
                <w:rStyle w:val="NoteLabel"/>
              </w:rPr>
              <w:t>a</w:t>
            </w:r>
            <w:r>
              <w:t> ABR: Australian Business Register. PBR: plant breeders rights.</w:t>
            </w:r>
          </w:p>
        </w:tc>
      </w:tr>
      <w:tr w:rsidR="00676AD6" w:rsidRPr="00176D3F" w14:paraId="0D6522B4" w14:textId="77777777" w:rsidTr="00B0510F">
        <w:tc>
          <w:tcPr>
            <w:tcW w:w="8771" w:type="dxa"/>
            <w:tcBorders>
              <w:top w:val="nil"/>
              <w:left w:val="nil"/>
              <w:bottom w:val="nil"/>
              <w:right w:val="nil"/>
            </w:tcBorders>
            <w:shd w:val="clear" w:color="auto" w:fill="auto"/>
          </w:tcPr>
          <w:p w14:paraId="0D6522B3" w14:textId="77777777" w:rsidR="00676AD6" w:rsidRPr="00176D3F" w:rsidRDefault="0029031B" w:rsidP="00542D53">
            <w:pPr>
              <w:pStyle w:val="Source"/>
            </w:pPr>
            <w:r w:rsidRPr="00784A05">
              <w:rPr>
                <w:i/>
              </w:rPr>
              <w:t>Source</w:t>
            </w:r>
            <w:r w:rsidR="00676AD6" w:rsidRPr="00176D3F">
              <w:t xml:space="preserve">: </w:t>
            </w:r>
            <w:r w:rsidR="00676AD6">
              <w:t xml:space="preserve">IP Australia </w:t>
            </w:r>
            <w:r w:rsidR="00542D53" w:rsidRPr="00542D53">
              <w:rPr>
                <w:rFonts w:cs="Arial"/>
                <w:szCs w:val="24"/>
              </w:rPr>
              <w:t>(2016, p. 29)</w:t>
            </w:r>
            <w:r w:rsidR="00676AD6">
              <w:t>.</w:t>
            </w:r>
          </w:p>
        </w:tc>
      </w:tr>
      <w:tr w:rsidR="00676AD6" w14:paraId="0D6522B6" w14:textId="77777777" w:rsidTr="00B0510F">
        <w:tc>
          <w:tcPr>
            <w:tcW w:w="8771" w:type="dxa"/>
            <w:tcBorders>
              <w:top w:val="nil"/>
              <w:left w:val="nil"/>
              <w:bottom w:val="single" w:sz="6" w:space="0" w:color="78A22F"/>
              <w:right w:val="nil"/>
            </w:tcBorders>
            <w:shd w:val="clear" w:color="auto" w:fill="auto"/>
          </w:tcPr>
          <w:p w14:paraId="0D6522B5" w14:textId="77777777" w:rsidR="00676AD6" w:rsidRDefault="00676AD6" w:rsidP="00CC406B">
            <w:pPr>
              <w:pStyle w:val="Figurespace"/>
            </w:pPr>
          </w:p>
        </w:tc>
      </w:tr>
      <w:tr w:rsidR="00676AD6" w:rsidRPr="000863A5" w14:paraId="0D6522B8" w14:textId="77777777" w:rsidTr="00B0510F">
        <w:tc>
          <w:tcPr>
            <w:tcW w:w="8771" w:type="dxa"/>
            <w:tcBorders>
              <w:top w:val="single" w:sz="6" w:space="0" w:color="78A22F"/>
              <w:left w:val="nil"/>
              <w:bottom w:val="nil"/>
              <w:right w:val="nil"/>
            </w:tcBorders>
          </w:tcPr>
          <w:p w14:paraId="0D6522B7" w14:textId="77777777" w:rsidR="00676AD6" w:rsidRPr="00626D32" w:rsidRDefault="00676AD6" w:rsidP="00CC406B">
            <w:pPr>
              <w:pStyle w:val="BoxSpaceBelow"/>
            </w:pPr>
          </w:p>
        </w:tc>
      </w:tr>
    </w:tbl>
    <w:p w14:paraId="0D6522B9" w14:textId="77777777" w:rsidR="00CB65EF" w:rsidRDefault="00F97E1E" w:rsidP="00CB65EF">
      <w:pPr>
        <w:pStyle w:val="Heading2"/>
      </w:pPr>
      <w:bookmarkStart w:id="26" w:name="_Toc488850409"/>
      <w:r>
        <w:rPr>
          <w:noProof/>
        </w:rPr>
        <w:t>5</w:t>
      </w:r>
      <w:r w:rsidR="00CB65EF">
        <w:tab/>
      </w:r>
      <w:r w:rsidR="00227FC3">
        <w:t>Selected studies</w:t>
      </w:r>
      <w:bookmarkEnd w:id="26"/>
    </w:p>
    <w:p w14:paraId="0D6522BA" w14:textId="77777777" w:rsidR="00227FC3" w:rsidRDefault="00227FC3" w:rsidP="00227FC3">
      <w:pPr>
        <w:pStyle w:val="Heading4"/>
      </w:pPr>
      <w:r w:rsidRPr="007F0D93">
        <w:t>Public Support for Science and Innovation</w:t>
      </w:r>
    </w:p>
    <w:p w14:paraId="0D6522BB" w14:textId="77777777" w:rsidR="0070470E" w:rsidRDefault="00227FC3" w:rsidP="0070470E">
      <w:pPr>
        <w:pStyle w:val="BodyText"/>
      </w:pPr>
      <w:r>
        <w:t>In its</w:t>
      </w:r>
      <w:r w:rsidR="0070470E">
        <w:t xml:space="preserve"> </w:t>
      </w:r>
      <w:r w:rsidR="0070470E" w:rsidRPr="004775C9">
        <w:rPr>
          <w:i/>
        </w:rPr>
        <w:t>Public Support for Science and Innovation</w:t>
      </w:r>
      <w:r w:rsidR="0070470E">
        <w:t xml:space="preserve"> report </w:t>
      </w:r>
      <w:r w:rsidR="0070470E" w:rsidRPr="007F0D93">
        <w:t>(PC 2007)</w:t>
      </w:r>
      <w:r>
        <w:t xml:space="preserve">, the Productivity Commission found that </w:t>
      </w:r>
      <w:r w:rsidR="00551FE2">
        <w:t xml:space="preserve">there </w:t>
      </w:r>
      <w:r>
        <w:t>were</w:t>
      </w:r>
      <w:r w:rsidR="0070470E">
        <w:t>:</w:t>
      </w:r>
    </w:p>
    <w:p w14:paraId="0D6522BC" w14:textId="77777777" w:rsidR="00227FC3" w:rsidRDefault="0070470E" w:rsidP="004775C9">
      <w:pPr>
        <w:pStyle w:val="Quote"/>
      </w:pPr>
      <w:r>
        <w:t xml:space="preserve">… </w:t>
      </w:r>
      <w:r w:rsidR="00227FC3">
        <w:t>widespread and important economic, social and environmental benefits generated by Australia’s … public funding support of science and innovation.</w:t>
      </w:r>
    </w:p>
    <w:p w14:paraId="0D6522BD" w14:textId="77777777" w:rsidR="00227FC3" w:rsidRDefault="00227FC3" w:rsidP="004775C9">
      <w:pPr>
        <w:pStyle w:val="QuoteBullet"/>
      </w:pPr>
      <w:r>
        <w:t>On the basis of multiple strands of evidence, the benefits of public spending are</w:t>
      </w:r>
      <w:r w:rsidR="0070470E">
        <w:t xml:space="preserve"> </w:t>
      </w:r>
      <w:r>
        <w:t>likely to exceed the costs.</w:t>
      </w:r>
    </w:p>
    <w:p w14:paraId="0D6522BE" w14:textId="77777777" w:rsidR="00227FC3" w:rsidRPr="00913D66" w:rsidRDefault="00227FC3" w:rsidP="004775C9">
      <w:pPr>
        <w:pStyle w:val="QuoteBullet"/>
      </w:pPr>
      <w:r>
        <w:t>But, given a host of measurement and methodological issues, it is not possible to</w:t>
      </w:r>
      <w:r w:rsidR="0070470E">
        <w:t xml:space="preserve"> </w:t>
      </w:r>
      <w:r>
        <w:t>provide anything</w:t>
      </w:r>
      <w:r w:rsidR="0070470E">
        <w:t xml:space="preserve"> other than broad estimates of the overall return to government contributions.</w:t>
      </w:r>
    </w:p>
    <w:p w14:paraId="0D6522BF" w14:textId="77777777" w:rsidR="0070470E" w:rsidRDefault="0070470E" w:rsidP="00227FC3">
      <w:pPr>
        <w:pStyle w:val="BodyText"/>
      </w:pPr>
      <w:r w:rsidRPr="0070470E">
        <w:t xml:space="preserve">The report identified that </w:t>
      </w:r>
      <w:r>
        <w:t>m</w:t>
      </w:r>
      <w:r w:rsidRPr="004775C9">
        <w:t xml:space="preserve">ajor improvements </w:t>
      </w:r>
      <w:r>
        <w:t>we</w:t>
      </w:r>
      <w:r w:rsidRPr="004775C9">
        <w:t xml:space="preserve">re needed </w:t>
      </w:r>
      <w:r>
        <w:t xml:space="preserve">across the sector, including </w:t>
      </w:r>
      <w:r w:rsidRPr="004775C9">
        <w:t>some key institutional and program areas.</w:t>
      </w:r>
    </w:p>
    <w:p w14:paraId="0D6522C0" w14:textId="77777777" w:rsidR="0070470E" w:rsidRDefault="0070470E" w:rsidP="0070470E">
      <w:pPr>
        <w:pStyle w:val="BodyText"/>
      </w:pPr>
      <w:r w:rsidRPr="0070470E">
        <w:t>The Commission’s analysis suggest</w:t>
      </w:r>
      <w:r>
        <w:t>ed</w:t>
      </w:r>
      <w:r w:rsidRPr="0070470E">
        <w:t xml:space="preserve"> </w:t>
      </w:r>
      <w:r w:rsidR="00EB2366">
        <w:t>that many investments that produce</w:t>
      </w:r>
      <w:r w:rsidRPr="0070470E">
        <w:t xml:space="preserve"> spillover</w:t>
      </w:r>
      <w:r w:rsidR="00EB2366">
        <w:t>s have sufficient private returns for firms to invest without support’</w:t>
      </w:r>
      <w:r w:rsidR="00695B6F">
        <w:t>.</w:t>
      </w:r>
      <w:r w:rsidRPr="0070470E">
        <w:t xml:space="preserve"> </w:t>
      </w:r>
      <w:r w:rsidR="00FF27D2">
        <w:t>However, although it is difficult to estimate with any precision, the overall return to total and business R&amp;D was found to be high</w:t>
      </w:r>
      <w:r w:rsidR="00695B6F">
        <w:t xml:space="preserve"> </w:t>
      </w:r>
      <w:r w:rsidR="00695B6F" w:rsidRPr="00EB2366">
        <w:rPr>
          <w:szCs w:val="24"/>
        </w:rPr>
        <w:t>(PC 2007, p. XIX)</w:t>
      </w:r>
      <w:r w:rsidR="00695B6F" w:rsidRPr="0070470E">
        <w:t>.</w:t>
      </w:r>
    </w:p>
    <w:p w14:paraId="0D6522C1" w14:textId="77777777" w:rsidR="00B0185D" w:rsidRDefault="00B0185D" w:rsidP="004775C9">
      <w:pPr>
        <w:pStyle w:val="Heading4"/>
      </w:pPr>
      <w:r w:rsidRPr="00B0185D">
        <w:t>Review of the R&amp;D Tax Incentive</w:t>
      </w:r>
    </w:p>
    <w:p w14:paraId="0D6522C2" w14:textId="77777777" w:rsidR="005818C4" w:rsidRDefault="004A74A4">
      <w:pPr>
        <w:pStyle w:val="BodyText"/>
      </w:pPr>
      <w:r w:rsidRPr="004A74A4">
        <w:t>The R&amp;D Tax Incentive</w:t>
      </w:r>
      <w:r>
        <w:t xml:space="preserve"> </w:t>
      </w:r>
      <w:r w:rsidR="0080184A">
        <w:t xml:space="preserve">seeks to </w:t>
      </w:r>
      <w:r w:rsidRPr="004A74A4">
        <w:t>encourage industry</w:t>
      </w:r>
      <w:r w:rsidR="005818C4">
        <w:t xml:space="preserve"> to</w:t>
      </w:r>
      <w:r w:rsidRPr="004A74A4">
        <w:t xml:space="preserve"> invest</w:t>
      </w:r>
      <w:r w:rsidR="00A3717B">
        <w:t xml:space="preserve"> in </w:t>
      </w:r>
      <w:r w:rsidRPr="004A74A4">
        <w:t>R&amp;D activities that might otherwise not be conducted</w:t>
      </w:r>
      <w:r w:rsidR="0080184A">
        <w:t xml:space="preserve"> through the</w:t>
      </w:r>
      <w:r w:rsidR="00A3717B" w:rsidRPr="00A3717B">
        <w:t xml:space="preserve"> </w:t>
      </w:r>
      <w:r w:rsidR="00A3717B">
        <w:t xml:space="preserve">provision of </w:t>
      </w:r>
      <w:r w:rsidR="005818C4">
        <w:t>refundable and non</w:t>
      </w:r>
      <w:r w:rsidR="003F7226">
        <w:noBreakHyphen/>
      </w:r>
      <w:r w:rsidR="005818C4">
        <w:t xml:space="preserve">refundable </w:t>
      </w:r>
      <w:r w:rsidR="00A3717B" w:rsidRPr="0080184A">
        <w:t>tax offset</w:t>
      </w:r>
      <w:r w:rsidR="00A3717B">
        <w:t>s</w:t>
      </w:r>
      <w:r w:rsidR="00E23730">
        <w:t xml:space="preserve"> ($0.9 billion and $2.3 billion, respectively</w:t>
      </w:r>
      <w:r w:rsidR="00E73BF0">
        <w:t>,</w:t>
      </w:r>
      <w:r w:rsidR="00E23730">
        <w:t xml:space="preserve"> in 2015</w:t>
      </w:r>
      <w:r w:rsidR="00E23730">
        <w:noBreakHyphen/>
        <w:t>16</w:t>
      </w:r>
      <w:r w:rsidR="00E73BF0">
        <w:t xml:space="preserve"> </w:t>
      </w:r>
      <w:r w:rsidR="00E73BF0" w:rsidRPr="00E73BF0">
        <w:rPr>
          <w:szCs w:val="24"/>
        </w:rPr>
        <w:t>(DIIS 2016)</w:t>
      </w:r>
      <w:r w:rsidR="00E23730">
        <w:t>)</w:t>
      </w:r>
      <w:r w:rsidRPr="004A74A4">
        <w:t xml:space="preserve">. </w:t>
      </w:r>
      <w:r w:rsidR="005818C4">
        <w:t xml:space="preserve">It </w:t>
      </w:r>
      <w:r w:rsidR="005818C4" w:rsidRPr="004A74A4">
        <w:t>replaced the R&amp;D Tax Concession in 2011</w:t>
      </w:r>
      <w:r w:rsidR="005818C4">
        <w:t>.</w:t>
      </w:r>
    </w:p>
    <w:p w14:paraId="0D6522C3" w14:textId="77777777" w:rsidR="00A3717B" w:rsidRDefault="00A3717B">
      <w:pPr>
        <w:pStyle w:val="BodyText"/>
      </w:pPr>
      <w:r>
        <w:t xml:space="preserve">The rationale for </w:t>
      </w:r>
      <w:r w:rsidR="005818C4">
        <w:t xml:space="preserve">the incentive is to </w:t>
      </w:r>
      <w:r>
        <w:t>encourag</w:t>
      </w:r>
      <w:r w:rsidR="005818C4">
        <w:t>e</w:t>
      </w:r>
      <w:r>
        <w:t xml:space="preserve"> additional R&amp;D that, </w:t>
      </w:r>
      <w:r w:rsidR="004A74A4" w:rsidRPr="004A74A4">
        <w:t xml:space="preserve">while </w:t>
      </w:r>
      <w:r>
        <w:t xml:space="preserve">it </w:t>
      </w:r>
      <w:r w:rsidR="004A74A4" w:rsidRPr="004A74A4">
        <w:t xml:space="preserve">may not be viable </w:t>
      </w:r>
      <w:r>
        <w:t xml:space="preserve">for </w:t>
      </w:r>
      <w:r w:rsidR="004A74A4" w:rsidRPr="004A74A4">
        <w:t>an individual company</w:t>
      </w:r>
      <w:r>
        <w:t xml:space="preserve"> to ordinarily undertake this R&amp;D</w:t>
      </w:r>
      <w:r w:rsidR="004A74A4" w:rsidRPr="004A74A4">
        <w:t>, the outcomes of the R&amp;D may have a wider benefit to Australian society.</w:t>
      </w:r>
      <w:r w:rsidR="005818C4">
        <w:t xml:space="preserve"> </w:t>
      </w:r>
    </w:p>
    <w:p w14:paraId="0D6522C4" w14:textId="77777777" w:rsidR="004A74A4" w:rsidRDefault="004A74A4">
      <w:pPr>
        <w:pStyle w:val="BodyText"/>
        <w:rPr>
          <w:lang w:val="en"/>
        </w:rPr>
      </w:pPr>
      <w:r>
        <w:rPr>
          <w:lang w:val="en"/>
        </w:rPr>
        <w:t xml:space="preserve">The </w:t>
      </w:r>
      <w:r w:rsidR="00A515D3">
        <w:rPr>
          <w:lang w:val="en"/>
        </w:rPr>
        <w:t xml:space="preserve">2016 </w:t>
      </w:r>
      <w:r>
        <w:rPr>
          <w:lang w:val="en"/>
        </w:rPr>
        <w:t>Ferris</w:t>
      </w:r>
      <w:r w:rsidR="00A515D3">
        <w:rPr>
          <w:lang w:val="en"/>
        </w:rPr>
        <w:t>, Finkel and Fraser</w:t>
      </w:r>
      <w:r>
        <w:rPr>
          <w:lang w:val="en"/>
        </w:rPr>
        <w:t xml:space="preserve"> Review w</w:t>
      </w:r>
      <w:r w:rsidR="00A515D3">
        <w:rPr>
          <w:lang w:val="en"/>
        </w:rPr>
        <w:t>as</w:t>
      </w:r>
      <w:r>
        <w:rPr>
          <w:lang w:val="en"/>
        </w:rPr>
        <w:t xml:space="preserve"> asked to </w:t>
      </w:r>
      <w:r w:rsidR="00F16D48" w:rsidRPr="00F16D48">
        <w:rPr>
          <w:lang w:val="en"/>
        </w:rPr>
        <w:t>identif</w:t>
      </w:r>
      <w:r>
        <w:rPr>
          <w:lang w:val="en"/>
        </w:rPr>
        <w:t>y</w:t>
      </w:r>
      <w:r w:rsidR="00F16D48" w:rsidRPr="00F16D48">
        <w:rPr>
          <w:lang w:val="en"/>
        </w:rPr>
        <w:t xml:space="preserve"> opportunities to improve the effectiveness and integrity of the R&amp;D Tax Incentive</w:t>
      </w:r>
      <w:r w:rsidRPr="00F16D48">
        <w:rPr>
          <w:lang w:val="en"/>
        </w:rPr>
        <w:t>, including by sharpening its focus on encouraging additional R&amp;D spending</w:t>
      </w:r>
      <w:r>
        <w:rPr>
          <w:lang w:val="en"/>
        </w:rPr>
        <w:t xml:space="preserve">. The review was completed in April 2016 </w:t>
      </w:r>
      <w:r w:rsidRPr="004A74A4">
        <w:rPr>
          <w:szCs w:val="24"/>
        </w:rPr>
        <w:t>(Ferris, Finkel and Fraser 2016)</w:t>
      </w:r>
      <w:r>
        <w:rPr>
          <w:lang w:val="en"/>
        </w:rPr>
        <w:t>.</w:t>
      </w:r>
    </w:p>
    <w:p w14:paraId="0D6522C5" w14:textId="77777777" w:rsidR="00B0185D" w:rsidRPr="004A74A4" w:rsidRDefault="004A74A4" w:rsidP="00B0185D">
      <w:pPr>
        <w:pStyle w:val="BodyText"/>
      </w:pPr>
      <w:r w:rsidRPr="004A74A4">
        <w:t xml:space="preserve">The Review found that </w:t>
      </w:r>
      <w:r w:rsidR="00B0185D" w:rsidRPr="004A74A4">
        <w:t xml:space="preserve">R&amp;D activities </w:t>
      </w:r>
      <w:r w:rsidRPr="004A74A4">
        <w:t>we</w:t>
      </w:r>
      <w:r w:rsidR="00B0185D" w:rsidRPr="004A74A4">
        <w:t xml:space="preserve">re a key driving force of productivity and economic growth. The R&amp;D Tax Incentive </w:t>
      </w:r>
      <w:r w:rsidRPr="004A74A4">
        <w:t>wa</w:t>
      </w:r>
      <w:r w:rsidR="00B0185D" w:rsidRPr="004A74A4">
        <w:t xml:space="preserve">s part of a mix of innovation policies </w:t>
      </w:r>
      <w:r w:rsidRPr="004A74A4">
        <w:t xml:space="preserve">that sought </w:t>
      </w:r>
      <w:r w:rsidR="00B0185D" w:rsidRPr="004A74A4">
        <w:t>to improve the quality and quantity of R&amp;D investments in Australia, and account</w:t>
      </w:r>
      <w:r w:rsidRPr="004A74A4">
        <w:t>ed</w:t>
      </w:r>
      <w:r w:rsidR="00B0185D" w:rsidRPr="004A74A4">
        <w:t xml:space="preserve"> for around one</w:t>
      </w:r>
      <w:r w:rsidRPr="004A74A4">
        <w:noBreakHyphen/>
      </w:r>
      <w:r w:rsidR="00B0185D" w:rsidRPr="004A74A4">
        <w:t>third of government support for innovation.</w:t>
      </w:r>
    </w:p>
    <w:p w14:paraId="0D6522C6" w14:textId="77777777" w:rsidR="004A74A4" w:rsidRDefault="00570EF1">
      <w:pPr>
        <w:pStyle w:val="BodyText"/>
      </w:pPr>
      <w:r>
        <w:t>However, t</w:t>
      </w:r>
      <w:r w:rsidR="00B0185D">
        <w:t xml:space="preserve">he </w:t>
      </w:r>
      <w:r w:rsidR="004A74A4">
        <w:t xml:space="preserve">Review </w:t>
      </w:r>
      <w:r w:rsidR="00B0185D">
        <w:t xml:space="preserve">found that the </w:t>
      </w:r>
      <w:r w:rsidR="004A74A4" w:rsidRPr="00D677D2">
        <w:t xml:space="preserve">R&amp;D Tax Incentive </w:t>
      </w:r>
      <w:r w:rsidR="00B0185D">
        <w:t>f</w:t>
      </w:r>
      <w:r w:rsidR="004A74A4">
        <w:t>e</w:t>
      </w:r>
      <w:r w:rsidR="00B0185D">
        <w:t xml:space="preserve">ll short of meeting its stated objectives of </w:t>
      </w:r>
      <w:r w:rsidR="004A74A4">
        <w:t>encouraging additional R&amp;D (</w:t>
      </w:r>
      <w:r w:rsidR="00B0185D">
        <w:t>additionality</w:t>
      </w:r>
      <w:r w:rsidR="004A74A4">
        <w:t>)</w:t>
      </w:r>
      <w:r w:rsidR="00B0185D">
        <w:t xml:space="preserve"> and </w:t>
      </w:r>
      <w:r w:rsidR="004A74A4">
        <w:t xml:space="preserve">producing </w:t>
      </w:r>
      <w:r w:rsidR="00B0185D">
        <w:t>spillovers</w:t>
      </w:r>
      <w:r>
        <w:t xml:space="preserve"> and </w:t>
      </w:r>
      <w:r w:rsidR="00B0185D">
        <w:t>ma</w:t>
      </w:r>
      <w:r w:rsidR="004A74A4">
        <w:t>d</w:t>
      </w:r>
      <w:r w:rsidR="00B0185D">
        <w:t>e six recommendations to be considered as a package of measures to improve the overall effectiveness and integrity of the programme while encouraging additional R&amp;D</w:t>
      </w:r>
      <w:r w:rsidR="004A74A4">
        <w:t>:</w:t>
      </w:r>
    </w:p>
    <w:p w14:paraId="0D6522C7" w14:textId="77777777" w:rsidR="004A74A4" w:rsidRDefault="0081043E" w:rsidP="00CD38BB">
      <w:pPr>
        <w:pStyle w:val="Quote"/>
        <w:numPr>
          <w:ilvl w:val="0"/>
          <w:numId w:val="33"/>
        </w:numPr>
      </w:pPr>
      <w:r w:rsidRPr="004A74A4">
        <w:t xml:space="preserve">retain </w:t>
      </w:r>
      <w:r w:rsidR="004A74A4" w:rsidRPr="004A74A4">
        <w:t>the current definition of eligible activities and expenses under the law, but develop new guidance, including plain English summaries, case studies and public rulings, to give greater clarity to the scope of eligible activities and expenses</w:t>
      </w:r>
    </w:p>
    <w:p w14:paraId="0D6522C8" w14:textId="77777777" w:rsidR="004A74A4" w:rsidRDefault="0081043E" w:rsidP="00CD38BB">
      <w:pPr>
        <w:pStyle w:val="Quote"/>
        <w:numPr>
          <w:ilvl w:val="0"/>
          <w:numId w:val="33"/>
        </w:numPr>
      </w:pPr>
      <w:r w:rsidRPr="004A74A4">
        <w:t xml:space="preserve">introduce </w:t>
      </w:r>
      <w:r w:rsidR="004A74A4" w:rsidRPr="004A74A4">
        <w:t>a collaboration premium of up to 20</w:t>
      </w:r>
      <w:r w:rsidR="005818C4">
        <w:t> </w:t>
      </w:r>
      <w:r w:rsidR="004A74A4" w:rsidRPr="004A74A4">
        <w:t>per</w:t>
      </w:r>
      <w:r w:rsidR="005818C4">
        <w:t xml:space="preserve"> </w:t>
      </w:r>
      <w:r w:rsidR="004A74A4" w:rsidRPr="004A74A4">
        <w:t>cent for the non</w:t>
      </w:r>
      <w:r w:rsidR="003F7226">
        <w:noBreakHyphen/>
      </w:r>
      <w:r w:rsidR="004A74A4" w:rsidRPr="004A74A4">
        <w:t>refundable tax offset to provide additional support for the collaborative element of R&amp;D expenditures undertaken with publicly</w:t>
      </w:r>
      <w:r w:rsidR="003F7226">
        <w:noBreakHyphen/>
      </w:r>
      <w:r w:rsidR="004A74A4" w:rsidRPr="004A74A4">
        <w:t>funded research organisations. The premium would also apply to the cost of employing new STEM PhD or equivalent graduates in their first three years of employment. If an R&amp;D intensity threshold is introduced (see Recommendation 4), companies falling below the threshold should still be able to access both elements of the collaboration premium</w:t>
      </w:r>
    </w:p>
    <w:p w14:paraId="0D6522C9" w14:textId="77777777" w:rsidR="004A74A4" w:rsidRDefault="0081043E" w:rsidP="00CD38BB">
      <w:pPr>
        <w:pStyle w:val="Quote"/>
        <w:numPr>
          <w:ilvl w:val="0"/>
          <w:numId w:val="33"/>
        </w:numPr>
      </w:pPr>
      <w:r w:rsidRPr="004A74A4">
        <w:t xml:space="preserve">introduce </w:t>
      </w:r>
      <w:r w:rsidR="004A74A4" w:rsidRPr="004A74A4">
        <w:t>a cap in the order of $2 million on the annual cash refund payable under the R&amp;D Tax Incentive, with remaining offsets to be treated as a non</w:t>
      </w:r>
      <w:r w:rsidR="003F7226">
        <w:noBreakHyphen/>
      </w:r>
      <w:r w:rsidR="004A74A4" w:rsidRPr="004A74A4">
        <w:t>refundable tax offset carried forward for use against future taxable income</w:t>
      </w:r>
    </w:p>
    <w:p w14:paraId="0D6522CA" w14:textId="77777777" w:rsidR="004A74A4" w:rsidRDefault="0081043E" w:rsidP="00CD38BB">
      <w:pPr>
        <w:pStyle w:val="Quote"/>
        <w:numPr>
          <w:ilvl w:val="0"/>
          <w:numId w:val="33"/>
        </w:numPr>
      </w:pPr>
      <w:r w:rsidRPr="004A74A4">
        <w:t xml:space="preserve">introduce </w:t>
      </w:r>
      <w:r w:rsidR="004A74A4" w:rsidRPr="004A74A4">
        <w:t>an intensity threshold in the order of 1 to 2</w:t>
      </w:r>
      <w:r w:rsidR="00FD270E">
        <w:t> </w:t>
      </w:r>
      <w:r w:rsidR="004A74A4" w:rsidRPr="004A74A4">
        <w:t>per</w:t>
      </w:r>
      <w:r w:rsidR="00FD270E">
        <w:t xml:space="preserve"> </w:t>
      </w:r>
      <w:r w:rsidR="004A74A4" w:rsidRPr="004A74A4">
        <w:t>cent for recipients of the non</w:t>
      </w:r>
      <w:r w:rsidR="003F7226">
        <w:noBreakHyphen/>
      </w:r>
      <w:r w:rsidR="004A74A4" w:rsidRPr="004A74A4">
        <w:t>refundable component of the R&amp;D Tax Incentive, such that only R&amp;D expenditure in excess of the threshold attracts a benefit</w:t>
      </w:r>
    </w:p>
    <w:p w14:paraId="0D6522CB" w14:textId="77777777" w:rsidR="004A74A4" w:rsidRDefault="0081043E" w:rsidP="00CD38BB">
      <w:pPr>
        <w:pStyle w:val="Quote"/>
        <w:numPr>
          <w:ilvl w:val="0"/>
          <w:numId w:val="33"/>
        </w:numPr>
      </w:pPr>
      <w:r w:rsidRPr="004A74A4">
        <w:t xml:space="preserve">if </w:t>
      </w:r>
      <w:r w:rsidR="004A74A4" w:rsidRPr="004A74A4">
        <w:t>an R&amp;D intensity threshold is introduced, increase the expenditure threshold to $200</w:t>
      </w:r>
      <w:r w:rsidR="00054209">
        <w:t> </w:t>
      </w:r>
      <w:r w:rsidR="004A74A4" w:rsidRPr="004A74A4">
        <w:t>million so that large R&amp;D</w:t>
      </w:r>
      <w:r w:rsidR="003F7226">
        <w:noBreakHyphen/>
      </w:r>
      <w:r w:rsidR="004A74A4" w:rsidRPr="004A74A4">
        <w:t>intensive companies retain an incentive to increase R&amp;D in Australia</w:t>
      </w:r>
    </w:p>
    <w:p w14:paraId="0D6522CC" w14:textId="77777777" w:rsidR="004A74A4" w:rsidRDefault="0081043E" w:rsidP="00CD38BB">
      <w:pPr>
        <w:pStyle w:val="Quote"/>
        <w:numPr>
          <w:ilvl w:val="0"/>
          <w:numId w:val="33"/>
        </w:numPr>
      </w:pPr>
      <w:r w:rsidRPr="004A74A4">
        <w:t xml:space="preserve">that </w:t>
      </w:r>
      <w:r w:rsidR="004A74A4" w:rsidRPr="004A74A4">
        <w:t>the Government investigate options for improving the administration of the R&amp;D Tax Incentive (</w:t>
      </w:r>
      <w:r w:rsidR="00726B69">
        <w:t>such as</w:t>
      </w:r>
      <w:r w:rsidR="004A74A4" w:rsidRPr="004A74A4">
        <w:t xml:space="preserve"> adopting a single application process; developing a single programme database; reviewing the two</w:t>
      </w:r>
      <w:r w:rsidR="003F7226">
        <w:noBreakHyphen/>
      </w:r>
      <w:r w:rsidR="004A74A4" w:rsidRPr="004A74A4">
        <w:t>agency delivery model; and streamlining compliance review and findings processes) and additional resourcing that may be required to implement such enhancements. To improve transparency, the Government should also publish the names of companies claiming the R&amp;D Tax Incentive and the amounts of R&amp;D expenditure claimed</w:t>
      </w:r>
      <w:r w:rsidR="00726B69">
        <w:t>.</w:t>
      </w:r>
    </w:p>
    <w:p w14:paraId="0D6522CD" w14:textId="77777777" w:rsidR="005818C4" w:rsidRDefault="005818C4">
      <w:pPr>
        <w:pStyle w:val="BodyText"/>
      </w:pPr>
      <w:r>
        <w:t xml:space="preserve">The review found that the areas of improvement identified would be likely to generate greater benefit for the Australian economy. In particular, although collaboration </w:t>
      </w:r>
      <w:r w:rsidR="00CD38BB">
        <w:t>wa</w:t>
      </w:r>
      <w:r>
        <w:t xml:space="preserve">s not a focus for the programme, the panel </w:t>
      </w:r>
      <w:r w:rsidR="00F64AA0">
        <w:t>suggested</w:t>
      </w:r>
      <w:r>
        <w:t xml:space="preserve"> the modest existing levels of collaboration between industry and research institutions represent</w:t>
      </w:r>
      <w:r w:rsidR="00CD38BB">
        <w:t>ed</w:t>
      </w:r>
      <w:r>
        <w:t xml:space="preserve"> a lost opportunity and </w:t>
      </w:r>
      <w:r w:rsidR="00CD38BB">
        <w:t xml:space="preserve">that </w:t>
      </w:r>
      <w:r>
        <w:t xml:space="preserve">providing a higher tax offset </w:t>
      </w:r>
      <w:r w:rsidR="00F64AA0">
        <w:t xml:space="preserve">could </w:t>
      </w:r>
      <w:r>
        <w:t>encourage greater levels of collaboration.</w:t>
      </w:r>
    </w:p>
    <w:p w14:paraId="0D6522CE" w14:textId="77777777" w:rsidR="00227FC3" w:rsidRDefault="00F97E1E" w:rsidP="00227FC3">
      <w:pPr>
        <w:pStyle w:val="Heading2"/>
      </w:pPr>
      <w:bookmarkStart w:id="27" w:name="_Toc488850410"/>
      <w:r>
        <w:rPr>
          <w:noProof/>
        </w:rPr>
        <w:t>6</w:t>
      </w:r>
      <w:r w:rsidR="00227FC3">
        <w:tab/>
      </w:r>
      <w:r w:rsidR="0085658B">
        <w:t>Some key policy issues</w:t>
      </w:r>
      <w:bookmarkEnd w:id="27"/>
    </w:p>
    <w:p w14:paraId="0D6522CF" w14:textId="6A39F735" w:rsidR="00CB65EF" w:rsidRDefault="00CB65EF" w:rsidP="00CB65EF">
      <w:pPr>
        <w:pStyle w:val="BodyText"/>
      </w:pPr>
      <w:r>
        <w:t>Australia is assessed as having good innovation infrastructure, public</w:t>
      </w:r>
      <w:r>
        <w:noBreakHyphen/>
        <w:t>sector organisations and human capital by international standards. Despite these strengths, Australia does not perform as well in terms of commercialising its ideas and innovations</w:t>
      </w:r>
      <w:r w:rsidR="003F0A77">
        <w:t xml:space="preserve"> and in terms of diffusion</w:t>
      </w:r>
      <w:r w:rsidR="00F64AA0">
        <w:t xml:space="preserve"> as other countries</w:t>
      </w:r>
      <w:r>
        <w:t>.</w:t>
      </w:r>
      <w:r w:rsidR="003F0A77">
        <w:t xml:space="preserve"> Recent government </w:t>
      </w:r>
      <w:r w:rsidR="00726B69">
        <w:t xml:space="preserve">initiatives </w:t>
      </w:r>
      <w:r w:rsidR="003F0A77">
        <w:t>are placing greater emphasis on targeting the so called ‘valley of death’</w:t>
      </w:r>
      <w:r w:rsidR="005B1A5E">
        <w:t xml:space="preserve"> </w:t>
      </w:r>
      <w:r w:rsidR="005B1A5E">
        <w:rPr>
          <w:lang w:val="en"/>
        </w:rPr>
        <w:t>where conceptual ideas need</w:t>
      </w:r>
      <w:r w:rsidR="00313404">
        <w:rPr>
          <w:lang w:val="en"/>
        </w:rPr>
        <w:t xml:space="preserve"> to be turned into</w:t>
      </w:r>
      <w:r w:rsidR="005B1A5E">
        <w:rPr>
          <w:lang w:val="en"/>
        </w:rPr>
        <w:t xml:space="preserve"> working prototypes in order to demonstrate that they work,</w:t>
      </w:r>
      <w:r w:rsidR="00054209">
        <w:rPr>
          <w:lang w:val="en"/>
        </w:rPr>
        <w:t xml:space="preserve"> </w:t>
      </w:r>
      <w:r w:rsidR="001B6D9E">
        <w:rPr>
          <w:lang w:val="en"/>
        </w:rPr>
        <w:t xml:space="preserve">and </w:t>
      </w:r>
      <w:r w:rsidR="00313404">
        <w:rPr>
          <w:lang w:val="en"/>
        </w:rPr>
        <w:t>the costs of</w:t>
      </w:r>
      <w:r w:rsidR="005B1A5E">
        <w:rPr>
          <w:lang w:val="en"/>
        </w:rPr>
        <w:t xml:space="preserve"> </w:t>
      </w:r>
      <w:r w:rsidR="001B6D9E">
        <w:rPr>
          <w:lang w:val="en"/>
        </w:rPr>
        <w:t xml:space="preserve">scaling up </w:t>
      </w:r>
      <w:r w:rsidR="005B1A5E">
        <w:rPr>
          <w:lang w:val="en"/>
        </w:rPr>
        <w:t>production</w:t>
      </w:r>
      <w:r w:rsidR="001B6D9E">
        <w:rPr>
          <w:lang w:val="en"/>
        </w:rPr>
        <w:t xml:space="preserve"> assessed</w:t>
      </w:r>
      <w:r w:rsidR="005B1A5E">
        <w:rPr>
          <w:lang w:val="en"/>
        </w:rPr>
        <w:t xml:space="preserve">, </w:t>
      </w:r>
      <w:r w:rsidR="001B6D9E">
        <w:rPr>
          <w:lang w:val="en"/>
        </w:rPr>
        <w:t xml:space="preserve">including the costs of </w:t>
      </w:r>
      <w:r w:rsidR="005B1A5E">
        <w:rPr>
          <w:lang w:val="en"/>
        </w:rPr>
        <w:t>the equipment and processes needed for manufacture</w:t>
      </w:r>
      <w:r w:rsidR="003F0A77">
        <w:t>.</w:t>
      </w:r>
      <w:r w:rsidR="001B6D9E">
        <w:t xml:space="preserve"> Developing a business case that can convince potential investors that the risks are manageable and the prospects for an above</w:t>
      </w:r>
      <w:r w:rsidR="00D451C0">
        <w:noBreakHyphen/>
      </w:r>
      <w:r w:rsidR="001B6D9E">
        <w:t>market return are good is an essential step in successful commercialisation, and one often neglected</w:t>
      </w:r>
      <w:r w:rsidR="004973A3">
        <w:t xml:space="preserve"> by Australian want to be start</w:t>
      </w:r>
      <w:r w:rsidR="00054209">
        <w:noBreakHyphen/>
      </w:r>
      <w:r w:rsidR="004973A3">
        <w:t>ups.</w:t>
      </w:r>
    </w:p>
    <w:p w14:paraId="0D6522D0" w14:textId="77777777" w:rsidR="00BD60DB" w:rsidRDefault="00BD60DB" w:rsidP="004775C9">
      <w:pPr>
        <w:pStyle w:val="BodyText"/>
      </w:pPr>
      <w:r>
        <w:t>The lack of private sector innovation in Australia is likely to reflect the confluence of many factors. Possible explanations include</w:t>
      </w:r>
      <w:r w:rsidRPr="00BD60DB">
        <w:t xml:space="preserve"> </w:t>
      </w:r>
      <w:r>
        <w:t>that Australia:</w:t>
      </w:r>
    </w:p>
    <w:p w14:paraId="0D6522D1" w14:textId="77777777" w:rsidR="00BD60DB" w:rsidRDefault="00BD60DB" w:rsidP="004775C9">
      <w:pPr>
        <w:pStyle w:val="ListBullet"/>
      </w:pPr>
      <w:r>
        <w:t>has been able to develop a relatively good standard of living through primary production (agriculture and mining)</w:t>
      </w:r>
      <w:r w:rsidR="00726B69">
        <w:t xml:space="preserve"> without the significant innovation (although in these sectors investment in R&amp;D is acknowledged to be relatively high)</w:t>
      </w:r>
    </w:p>
    <w:p w14:paraId="0D6522D2" w14:textId="77777777" w:rsidR="00BD60DB" w:rsidRDefault="00BD60DB" w:rsidP="004775C9">
      <w:pPr>
        <w:pStyle w:val="ListBullet"/>
      </w:pPr>
      <w:r>
        <w:t>has a relatively small domestic market</w:t>
      </w:r>
    </w:p>
    <w:p w14:paraId="0D6522D3" w14:textId="77777777" w:rsidR="00BD60DB" w:rsidRDefault="00BD60DB" w:rsidP="004775C9">
      <w:pPr>
        <w:pStyle w:val="ListBullet"/>
      </w:pPr>
      <w:r>
        <w:t>lacks proximity to many larger markets (and incurs higher transport costs)</w:t>
      </w:r>
    </w:p>
    <w:p w14:paraId="0D6522D4" w14:textId="77777777" w:rsidR="00BD60DB" w:rsidRDefault="00BD60DB" w:rsidP="004775C9">
      <w:pPr>
        <w:pStyle w:val="ListBullet"/>
      </w:pPr>
      <w:r>
        <w:t>has relatively small venture capital markets compared to other countries.</w:t>
      </w:r>
    </w:p>
    <w:p w14:paraId="0D6522D5" w14:textId="77777777" w:rsidR="00BD60DB" w:rsidRDefault="00BD60DB" w:rsidP="004775C9">
      <w:pPr>
        <w:pStyle w:val="BodyText"/>
      </w:pPr>
      <w:r>
        <w:t>Identifying the</w:t>
      </w:r>
      <w:r w:rsidR="00DF4B71">
        <w:t xml:space="preserve"> actual underlying causes</w:t>
      </w:r>
      <w:r>
        <w:t xml:space="preserve"> </w:t>
      </w:r>
      <w:r w:rsidR="00DF4B71">
        <w:t xml:space="preserve">and the </w:t>
      </w:r>
      <w:r>
        <w:t>appropriate policy remedies requires analysis</w:t>
      </w:r>
      <w:r w:rsidR="00DF4B71">
        <w:t xml:space="preserve">. </w:t>
      </w:r>
      <w:r w:rsidR="004E1134">
        <w:t>An issue</w:t>
      </w:r>
      <w:r w:rsidR="004973A3">
        <w:t xml:space="preserve"> worthy of further investigation,</w:t>
      </w:r>
      <w:r w:rsidR="00665254">
        <w:t xml:space="preserve"> is how </w:t>
      </w:r>
      <w:r>
        <w:t xml:space="preserve">other countries </w:t>
      </w:r>
      <w:r w:rsidR="00726B69">
        <w:t>with a</w:t>
      </w:r>
      <w:r>
        <w:t xml:space="preserve"> better track record at innovation, R&amp;D and commercialisation (such as Israel and Singapore)</w:t>
      </w:r>
      <w:r w:rsidR="00665254">
        <w:t xml:space="preserve"> </w:t>
      </w:r>
      <w:r w:rsidR="00726B69">
        <w:t>have managed to overcome</w:t>
      </w:r>
      <w:r w:rsidR="00665254">
        <w:t xml:space="preserve"> similar issues</w:t>
      </w:r>
      <w:r>
        <w:t>.</w:t>
      </w:r>
      <w:r w:rsidR="004973A3">
        <w:t xml:space="preserve"> </w:t>
      </w:r>
      <w:r w:rsidR="004E1134">
        <w:t xml:space="preserve">More </w:t>
      </w:r>
      <w:r w:rsidR="004973A3">
        <w:t xml:space="preserve">work is </w:t>
      </w:r>
      <w:r w:rsidR="004E1134">
        <w:t xml:space="preserve">also </w:t>
      </w:r>
      <w:r w:rsidR="004973A3">
        <w:t>needed to better understand the challenges for entrepreneurs in developing a viable business case for their product.</w:t>
      </w:r>
    </w:p>
    <w:p w14:paraId="0D6522D6" w14:textId="77777777" w:rsidR="00665254" w:rsidRDefault="00665254" w:rsidP="004775C9">
      <w:pPr>
        <w:pStyle w:val="BodyText"/>
      </w:pPr>
      <w:r>
        <w:t>Notwithstanding th</w:t>
      </w:r>
      <w:r w:rsidR="004973A3">
        <w:t xml:space="preserve">e need for </w:t>
      </w:r>
      <w:r w:rsidR="004E1134">
        <w:t>more work in this area</w:t>
      </w:r>
      <w:r>
        <w:t>, some higher</w:t>
      </w:r>
      <w:r w:rsidR="00DA338A">
        <w:noBreakHyphen/>
      </w:r>
      <w:r>
        <w:t>level policy</w:t>
      </w:r>
      <w:r>
        <w:noBreakHyphen/>
        <w:t>relevant observations can be made.</w:t>
      </w:r>
    </w:p>
    <w:p w14:paraId="0D6522D7" w14:textId="77777777" w:rsidR="00A541FC" w:rsidRDefault="00A541FC" w:rsidP="004775C9">
      <w:pPr>
        <w:pStyle w:val="Heading4"/>
      </w:pPr>
      <w:r>
        <w:t>Need for programme consolidation</w:t>
      </w:r>
    </w:p>
    <w:p w14:paraId="0D6522D8" w14:textId="77777777" w:rsidR="00A541FC" w:rsidRPr="00A541FC" w:rsidRDefault="00A541FC">
      <w:pPr>
        <w:pStyle w:val="BodyText"/>
      </w:pPr>
      <w:r>
        <w:t xml:space="preserve">A recent review of the Australian economy by the OECD </w:t>
      </w:r>
      <w:r w:rsidR="00BD0BEA" w:rsidRPr="00BD0BEA">
        <w:t>(2017)</w:t>
      </w:r>
      <w:r w:rsidR="00BD0BEA">
        <w:t xml:space="preserve"> </w:t>
      </w:r>
      <w:r>
        <w:t xml:space="preserve">recommended consolidating the 150 Commonwealth programmes. Many of these schemes are small in terms of the funds involved — with 74 collectively accounting for under </w:t>
      </w:r>
      <w:r w:rsidR="0081043E">
        <w:t>two</w:t>
      </w:r>
      <w:r>
        <w:t> per cent of Australian Government expenditure of just under $10 billion in 2015</w:t>
      </w:r>
      <w:r>
        <w:noBreakHyphen/>
        <w:t>16 (with an average expenditure of $2.6 million)</w:t>
      </w:r>
      <w:r w:rsidR="0081043E">
        <w:t>.</w:t>
      </w:r>
      <w:r>
        <w:t xml:space="preserve"> While trials are to be applauded, they are not a valid test if they fail simply due to insufficient scale</w:t>
      </w:r>
      <w:r w:rsidR="003F7226">
        <w:t>.</w:t>
      </w:r>
    </w:p>
    <w:p w14:paraId="0D6522D9" w14:textId="77777777" w:rsidR="0085658B" w:rsidRDefault="0085658B" w:rsidP="004775C9">
      <w:pPr>
        <w:pStyle w:val="Heading4"/>
      </w:pPr>
      <w:r>
        <w:t xml:space="preserve">Need for </w:t>
      </w:r>
      <w:r w:rsidRPr="007F0D93">
        <w:t xml:space="preserve">rigorous </w:t>
      </w:r>
      <w:r>
        <w:t xml:space="preserve">programme </w:t>
      </w:r>
      <w:r w:rsidRPr="007F0D93">
        <w:t>evaluations</w:t>
      </w:r>
    </w:p>
    <w:p w14:paraId="0D6522DA" w14:textId="77777777" w:rsidR="0085658B" w:rsidRDefault="0085658B" w:rsidP="0085658B">
      <w:pPr>
        <w:pStyle w:val="BodyText"/>
      </w:pPr>
      <w:r w:rsidRPr="007F0D93">
        <w:t>Beyond investing in basic research and skills, the jury is out on whether there are specific government policies that can successfully promote innovation and whether this would be material to Australian economic growth. The Commission has previously argued that the government should conduct rigorous evaluations of all government innovation programmes to verify that they are achieving ‘additionality’ and are cost effective (PC 2007).</w:t>
      </w:r>
    </w:p>
    <w:p w14:paraId="0D6522DB" w14:textId="77777777" w:rsidR="00F571AF" w:rsidRDefault="00F571AF" w:rsidP="00F571AF">
      <w:pPr>
        <w:pStyle w:val="BodyText"/>
      </w:pPr>
      <w:r>
        <w:t>The Australian National Audit Office is currently undertaking a performance audit to assess the effectiveness of the design process and monitoring arrangements for the National Innovation and Science Agenda. The audit is scheduled for completion in September 2017.</w:t>
      </w:r>
    </w:p>
    <w:p w14:paraId="0D6522DC" w14:textId="77777777" w:rsidR="00F571AF" w:rsidRPr="005B3829" w:rsidRDefault="00F571AF" w:rsidP="00F571AF">
      <w:pPr>
        <w:pStyle w:val="BodyText"/>
      </w:pPr>
      <w:r>
        <w:t>Such evaluations should not just cover the probity of the processes followed and the expenditure involved but also whether the programmes are meeting their intended objectives in the most efficient and cost</w:t>
      </w:r>
      <w:r w:rsidR="00DA338A">
        <w:noBreakHyphen/>
      </w:r>
      <w:r>
        <w:t>effective manner.</w:t>
      </w:r>
      <w:r w:rsidR="00C53596">
        <w:t xml:space="preserve"> Having a longitudinal business data set (BLADE) should provide greater scope for more rigorous evaluations than could be undertaken in the past.</w:t>
      </w:r>
    </w:p>
    <w:p w14:paraId="0D6522DD" w14:textId="77777777" w:rsidR="0081043E" w:rsidRDefault="0081043E" w:rsidP="004775C9">
      <w:pPr>
        <w:pStyle w:val="Heading4"/>
      </w:pPr>
      <w:r>
        <w:t xml:space="preserve">Need to target </w:t>
      </w:r>
      <w:r w:rsidR="008E0438">
        <w:t>innovation activity that would not otherwise occur</w:t>
      </w:r>
    </w:p>
    <w:p w14:paraId="0D6522DE" w14:textId="77777777" w:rsidR="0081043E" w:rsidRDefault="0081043E" w:rsidP="004775C9">
      <w:pPr>
        <w:pStyle w:val="BodyText"/>
      </w:pPr>
      <w:r>
        <w:t>The rationale for much innovation policy is to target R&amp;</w:t>
      </w:r>
      <w:r w:rsidR="00E23B24">
        <w:t>D</w:t>
      </w:r>
      <w:r>
        <w:t xml:space="preserve"> that would not otherwise occur.</w:t>
      </w:r>
    </w:p>
    <w:p w14:paraId="0D6522DF" w14:textId="77777777" w:rsidR="0081043E" w:rsidRDefault="00C53596" w:rsidP="004775C9">
      <w:pPr>
        <w:pStyle w:val="BodyText"/>
      </w:pPr>
      <w:r>
        <w:t>As outlined above, t</w:t>
      </w:r>
      <w:r w:rsidR="0081043E">
        <w:t>he Ferris</w:t>
      </w:r>
      <w:r w:rsidR="00CD38BB">
        <w:t>, Finkel and</w:t>
      </w:r>
      <w:r w:rsidR="0081043E">
        <w:t xml:space="preserve"> </w:t>
      </w:r>
      <w:r w:rsidR="00CD38BB">
        <w:t xml:space="preserve">Fraser </w:t>
      </w:r>
      <w:r w:rsidR="0081043E">
        <w:t xml:space="preserve">Review (2016) found that the </w:t>
      </w:r>
      <w:r w:rsidR="0081043E" w:rsidRPr="00D677D2">
        <w:t>R&amp;D Tax Incentive</w:t>
      </w:r>
      <w:r w:rsidR="0081043E">
        <w:t xml:space="preserve"> fell short of meeting its stated objectives of encouraging additional R&amp;D (additionality) and producing spillovers.</w:t>
      </w:r>
    </w:p>
    <w:p w14:paraId="0D6522E0" w14:textId="77777777" w:rsidR="0081043E" w:rsidRDefault="0081043E" w:rsidP="004775C9">
      <w:pPr>
        <w:pStyle w:val="BodyText"/>
      </w:pPr>
      <w:r>
        <w:t xml:space="preserve">These observations apply </w:t>
      </w:r>
      <w:r w:rsidR="008E0438">
        <w:t xml:space="preserve">not just to the </w:t>
      </w:r>
      <w:r w:rsidR="008E0438" w:rsidRPr="00D677D2">
        <w:t>R&amp;D Tax Incentive</w:t>
      </w:r>
      <w:r w:rsidR="008E0438">
        <w:t xml:space="preserve"> but </w:t>
      </w:r>
      <w:r>
        <w:t xml:space="preserve">to innovation </w:t>
      </w:r>
      <w:r w:rsidR="008E0438">
        <w:t xml:space="preserve">and R&amp;D </w:t>
      </w:r>
      <w:r>
        <w:t>policy more widely.</w:t>
      </w:r>
      <w:r w:rsidR="008E0438">
        <w:t xml:space="preserve"> Targeting such activity that would otherwise occur delivers no additional benefits for taxpayer funds or the wider community.</w:t>
      </w:r>
    </w:p>
    <w:p w14:paraId="0D6522E1" w14:textId="77777777" w:rsidR="00BE0D77" w:rsidRDefault="00BE0D77" w:rsidP="004775C9">
      <w:pPr>
        <w:pStyle w:val="Heading4"/>
      </w:pPr>
      <w:r>
        <w:t>Other OECD recommendations</w:t>
      </w:r>
    </w:p>
    <w:p w14:paraId="0D6522E2" w14:textId="77777777" w:rsidR="00F3324F" w:rsidRPr="00F3324F" w:rsidRDefault="00F3324F">
      <w:pPr>
        <w:pStyle w:val="BodyText"/>
      </w:pPr>
      <w:r>
        <w:t>In its recent assessment of the performance of the</w:t>
      </w:r>
      <w:r w:rsidR="00A9398C">
        <w:t xml:space="preserve"> </w:t>
      </w:r>
      <w:r>
        <w:t>Australian economy, the OECD made some recommendations aimed at boosting the outcomes from R&amp;D:</w:t>
      </w:r>
    </w:p>
    <w:p w14:paraId="0D6522E3" w14:textId="77777777" w:rsidR="001A2C9B" w:rsidRDefault="00F3324F" w:rsidP="004775C9">
      <w:pPr>
        <w:pStyle w:val="ListBullet"/>
      </w:pPr>
      <w:r w:rsidRPr="00BE0D77">
        <w:t xml:space="preserve">put </w:t>
      </w:r>
      <w:r w:rsidR="00BE0D77" w:rsidRPr="00BE0D77">
        <w:t>a greater weight, as envisaged, on collaboration in university funding</w:t>
      </w:r>
    </w:p>
    <w:p w14:paraId="0D6522E4" w14:textId="77777777" w:rsidR="00BE0D77" w:rsidRDefault="00F3324F" w:rsidP="004775C9">
      <w:pPr>
        <w:pStyle w:val="ListBullet"/>
      </w:pPr>
      <w:r>
        <w:t>d</w:t>
      </w:r>
      <w:r w:rsidRPr="00BE0D77">
        <w:t xml:space="preserve">evelop </w:t>
      </w:r>
      <w:r w:rsidR="00BE0D77" w:rsidRPr="00BE0D77">
        <w:t>a more coordinated approach to industry placements for</w:t>
      </w:r>
      <w:r w:rsidR="00BE0D77">
        <w:t xml:space="preserve"> </w:t>
      </w:r>
      <w:r w:rsidR="00BE0D77" w:rsidRPr="00BE0D77">
        <w:t>research students to strengthen the linkages between research and</w:t>
      </w:r>
      <w:r w:rsidR="00BE0D77">
        <w:t xml:space="preserve"> </w:t>
      </w:r>
      <w:r w:rsidR="00BE0D77" w:rsidRPr="00BE0D77">
        <w:t>business sectors</w:t>
      </w:r>
    </w:p>
    <w:p w14:paraId="0D6522E5" w14:textId="77777777" w:rsidR="00BE0D77" w:rsidRPr="00BE0D77" w:rsidRDefault="00F3324F" w:rsidP="004775C9">
      <w:pPr>
        <w:pStyle w:val="ListBullet"/>
      </w:pPr>
      <w:r>
        <w:t xml:space="preserve">assess </w:t>
      </w:r>
      <w:r w:rsidR="001A2C9B">
        <w:t xml:space="preserve">research outcomes and impacts in the same way across </w:t>
      </w:r>
      <w:r w:rsidR="00BE0D77" w:rsidRPr="00BE0D77">
        <w:t>public</w:t>
      </w:r>
      <w:r w:rsidR="003F7226">
        <w:noBreakHyphen/>
      </w:r>
      <w:r w:rsidR="00BE0D77" w:rsidRPr="00BE0D77">
        <w:t>sector research</w:t>
      </w:r>
      <w:r w:rsidR="00BE0D77">
        <w:t xml:space="preserve"> </w:t>
      </w:r>
      <w:r w:rsidR="00BE0D77" w:rsidRPr="00BE0D77">
        <w:t>organisations</w:t>
      </w:r>
    </w:p>
    <w:p w14:paraId="0D6522E6" w14:textId="77777777" w:rsidR="00BE0D77" w:rsidRDefault="00F3324F" w:rsidP="004775C9">
      <w:pPr>
        <w:pStyle w:val="ListBullet"/>
      </w:pPr>
      <w:r w:rsidRPr="00BE0D77">
        <w:t xml:space="preserve">develop </w:t>
      </w:r>
      <w:r w:rsidR="00BE0D77" w:rsidRPr="00BE0D77">
        <w:t xml:space="preserve">a more integrated, </w:t>
      </w:r>
      <w:r w:rsidR="00CD38BB">
        <w:t>‘</w:t>
      </w:r>
      <w:r w:rsidR="00BE0D77" w:rsidRPr="00BE0D77">
        <w:t>whole</w:t>
      </w:r>
      <w:r w:rsidR="003F7226">
        <w:noBreakHyphen/>
      </w:r>
      <w:r w:rsidR="00BE0D77" w:rsidRPr="00BE0D77">
        <w:t>of</w:t>
      </w:r>
      <w:r w:rsidR="003F7226">
        <w:noBreakHyphen/>
      </w:r>
      <w:r w:rsidR="00BE0D77" w:rsidRPr="00BE0D77">
        <w:t>government</w:t>
      </w:r>
      <w:r w:rsidR="00CD38BB">
        <w:t>’</w:t>
      </w:r>
      <w:r w:rsidR="00BE0D77" w:rsidRPr="00BE0D77">
        <w:t xml:space="preserve"> approach to science,</w:t>
      </w:r>
      <w:r w:rsidR="001A2C9B">
        <w:t xml:space="preserve"> </w:t>
      </w:r>
      <w:r w:rsidR="00BE0D77" w:rsidRPr="00BE0D77">
        <w:t>research and innovation and consolidate innovation support programmes</w:t>
      </w:r>
    </w:p>
    <w:p w14:paraId="0D6522E7" w14:textId="77777777" w:rsidR="001A2C9B" w:rsidRPr="00BE0D77" w:rsidRDefault="00F3324F" w:rsidP="004775C9">
      <w:pPr>
        <w:pStyle w:val="ListBullet"/>
      </w:pPr>
      <w:r>
        <w:t xml:space="preserve">make </w:t>
      </w:r>
      <w:r w:rsidR="001A2C9B">
        <w:t>the R&amp;D Tax Incentive more effective</w:t>
      </w:r>
      <w:r>
        <w:t xml:space="preserve"> </w:t>
      </w:r>
      <w:r w:rsidRPr="00D677D2">
        <w:rPr>
          <w:szCs w:val="24"/>
        </w:rPr>
        <w:t>(OECD 2017)</w:t>
      </w:r>
      <w:r>
        <w:t>.</w:t>
      </w:r>
    </w:p>
    <w:p w14:paraId="0D6522E8" w14:textId="77777777" w:rsidR="00A9398C" w:rsidRDefault="00A9398C" w:rsidP="00FE0B4F">
      <w:pPr>
        <w:pStyle w:val="Heading1"/>
        <w:spacing w:before="0"/>
        <w:sectPr w:rsidR="00A9398C" w:rsidSect="008123DA">
          <w:type w:val="oddPage"/>
          <w:pgSz w:w="11907" w:h="16840" w:code="9"/>
          <w:pgMar w:top="1985" w:right="1304" w:bottom="1247" w:left="1814" w:header="1701" w:footer="397" w:gutter="0"/>
          <w:pgNumType w:start="1" w:chapSep="period"/>
          <w:cols w:space="720"/>
        </w:sectPr>
      </w:pPr>
    </w:p>
    <w:p w14:paraId="0D6522E9" w14:textId="4CA2EC9D" w:rsidR="00FE0B4F" w:rsidRDefault="00FE0B4F" w:rsidP="00FE0B4F">
      <w:pPr>
        <w:pStyle w:val="Heading1"/>
        <w:spacing w:before="0"/>
      </w:pPr>
      <w:bookmarkStart w:id="28" w:name="_Toc488850411"/>
      <w:r>
        <w:t>A</w:t>
      </w:r>
      <w:r>
        <w:tab/>
        <w:t>Research institutions</w:t>
      </w:r>
      <w:bookmarkEnd w:id="28"/>
    </w:p>
    <w:p w14:paraId="0D6522EA" w14:textId="77777777" w:rsidR="00FE0B4F" w:rsidRDefault="00FE0B4F" w:rsidP="00FE0B4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E0B4F" w14:paraId="0D6522ED" w14:textId="77777777" w:rsidTr="00B0510F">
        <w:tc>
          <w:tcPr>
            <w:tcW w:w="8789" w:type="dxa"/>
            <w:tcBorders>
              <w:top w:val="single" w:sz="6" w:space="0" w:color="78A22F"/>
              <w:left w:val="nil"/>
              <w:bottom w:val="nil"/>
              <w:right w:val="nil"/>
            </w:tcBorders>
            <w:shd w:val="clear" w:color="auto" w:fill="auto"/>
          </w:tcPr>
          <w:p w14:paraId="0D6522EB" w14:textId="77777777" w:rsidR="00FE0B4F" w:rsidRDefault="00FE0B4F" w:rsidP="00684CA8">
            <w:pPr>
              <w:pStyle w:val="TableTitle"/>
            </w:pPr>
            <w:r>
              <w:rPr>
                <w:b w:val="0"/>
              </w:rPr>
              <w:t>Table A.</w:t>
            </w:r>
            <w:r w:rsidR="00F97E1E">
              <w:rPr>
                <w:b w:val="0"/>
                <w:noProof/>
              </w:rPr>
              <w:t>1</w:t>
            </w:r>
            <w:r>
              <w:tab/>
            </w:r>
            <w:r w:rsidRPr="000327A4">
              <w:t xml:space="preserve">Australian Government </w:t>
            </w:r>
            <w:r>
              <w:t>research agencies, 2015</w:t>
            </w:r>
            <w:r>
              <w:noBreakHyphen/>
              <w:t>16</w:t>
            </w:r>
          </w:p>
          <w:p w14:paraId="0D6522EC" w14:textId="77777777" w:rsidR="00FE0B4F" w:rsidRPr="00784A05" w:rsidRDefault="00FE0B4F" w:rsidP="00684CA8">
            <w:pPr>
              <w:pStyle w:val="Subtitle"/>
            </w:pPr>
            <w:r>
              <w:t>$ million; Estimated actual</w:t>
            </w:r>
          </w:p>
        </w:tc>
      </w:tr>
      <w:tr w:rsidR="00FE0B4F" w14:paraId="0D652337" w14:textId="77777777" w:rsidTr="00B0510F">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377"/>
              <w:gridCol w:w="1277"/>
              <w:gridCol w:w="1851"/>
            </w:tblGrid>
            <w:tr w:rsidR="00FE0B4F" w14:paraId="0D6522F1" w14:textId="77777777" w:rsidTr="00684CA8">
              <w:trPr>
                <w:tblHeader/>
              </w:trPr>
              <w:tc>
                <w:tcPr>
                  <w:tcW w:w="3161" w:type="pct"/>
                  <w:tcBorders>
                    <w:top w:val="single" w:sz="6" w:space="0" w:color="BFBFBF"/>
                    <w:bottom w:val="single" w:sz="6" w:space="0" w:color="BFBFBF"/>
                  </w:tcBorders>
                </w:tcPr>
                <w:p w14:paraId="0D6522EE" w14:textId="77777777" w:rsidR="00FE0B4F" w:rsidRPr="00FB0579" w:rsidRDefault="00FE0B4F" w:rsidP="00684CA8">
                  <w:pPr>
                    <w:pStyle w:val="TableColumnHeading"/>
                    <w:jc w:val="left"/>
                  </w:pPr>
                  <w:r>
                    <w:t>Agency</w:t>
                  </w:r>
                </w:p>
              </w:tc>
              <w:tc>
                <w:tcPr>
                  <w:tcW w:w="751" w:type="pct"/>
                  <w:tcBorders>
                    <w:top w:val="single" w:sz="6" w:space="0" w:color="BFBFBF"/>
                    <w:bottom w:val="single" w:sz="6" w:space="0" w:color="BFBFBF"/>
                  </w:tcBorders>
                </w:tcPr>
                <w:p w14:paraId="0D6522EF" w14:textId="77777777" w:rsidR="00FE0B4F" w:rsidRPr="00FB0579" w:rsidRDefault="00FE0B4F" w:rsidP="00684CA8">
                  <w:pPr>
                    <w:pStyle w:val="TableColumnHeading"/>
                    <w:jc w:val="left"/>
                  </w:pPr>
                  <w:r>
                    <w:t>Abbreviation</w:t>
                  </w:r>
                </w:p>
              </w:tc>
              <w:tc>
                <w:tcPr>
                  <w:tcW w:w="1088" w:type="pct"/>
                  <w:tcBorders>
                    <w:top w:val="single" w:sz="6" w:space="0" w:color="BFBFBF"/>
                    <w:bottom w:val="single" w:sz="6" w:space="0" w:color="BFBFBF"/>
                  </w:tcBorders>
                </w:tcPr>
                <w:p w14:paraId="0D6522F0" w14:textId="77777777" w:rsidR="00FE0B4F" w:rsidRPr="00FB0579" w:rsidRDefault="00FE0B4F" w:rsidP="00684CA8">
                  <w:pPr>
                    <w:pStyle w:val="TableColumnHeading"/>
                  </w:pPr>
                  <w:r>
                    <w:t>Budgetary outlay</w:t>
                  </w:r>
                </w:p>
              </w:tc>
            </w:tr>
            <w:tr w:rsidR="00FE0B4F" w14:paraId="0D6522F5" w14:textId="77777777" w:rsidTr="00684CA8">
              <w:tc>
                <w:tcPr>
                  <w:tcW w:w="3161" w:type="pct"/>
                  <w:tcBorders>
                    <w:top w:val="single" w:sz="6" w:space="0" w:color="BFBFBF"/>
                  </w:tcBorders>
                </w:tcPr>
                <w:p w14:paraId="0D6522F2" w14:textId="77777777" w:rsidR="00FE0B4F" w:rsidRPr="00FB0579" w:rsidRDefault="00FE0B4F" w:rsidP="00684CA8">
                  <w:pPr>
                    <w:pStyle w:val="TableBodyText"/>
                    <w:spacing w:before="120"/>
                    <w:jc w:val="left"/>
                  </w:pPr>
                  <w:r w:rsidRPr="00FB0579">
                    <w:t>Antarctic Division</w:t>
                  </w:r>
                </w:p>
              </w:tc>
              <w:tc>
                <w:tcPr>
                  <w:tcW w:w="751" w:type="pct"/>
                  <w:tcBorders>
                    <w:top w:val="single" w:sz="6" w:space="0" w:color="BFBFBF"/>
                  </w:tcBorders>
                </w:tcPr>
                <w:p w14:paraId="0D6522F3" w14:textId="77777777" w:rsidR="00FE0B4F" w:rsidRPr="00FB0579" w:rsidRDefault="00FE0B4F" w:rsidP="00684CA8">
                  <w:pPr>
                    <w:pStyle w:val="TableBodyText"/>
                    <w:spacing w:before="120"/>
                    <w:jc w:val="left"/>
                  </w:pPr>
                </w:p>
              </w:tc>
              <w:tc>
                <w:tcPr>
                  <w:tcW w:w="1088" w:type="pct"/>
                  <w:tcBorders>
                    <w:top w:val="single" w:sz="6" w:space="0" w:color="BFBFBF"/>
                  </w:tcBorders>
                  <w:vAlign w:val="center"/>
                </w:tcPr>
                <w:p w14:paraId="0D6522F4" w14:textId="77777777" w:rsidR="00FE0B4F" w:rsidRDefault="00FE0B4F" w:rsidP="00684CA8">
                  <w:pPr>
                    <w:pStyle w:val="TableBodyText"/>
                    <w:spacing w:before="120"/>
                  </w:pPr>
                  <w:r>
                    <w:t>93.</w:t>
                  </w:r>
                  <w:r w:rsidR="00272067">
                    <w:t>9</w:t>
                  </w:r>
                </w:p>
              </w:tc>
            </w:tr>
            <w:tr w:rsidR="00FE0B4F" w14:paraId="0D6522F9" w14:textId="77777777" w:rsidTr="00684CA8">
              <w:tc>
                <w:tcPr>
                  <w:tcW w:w="3161" w:type="pct"/>
                </w:tcPr>
                <w:p w14:paraId="0D6522F6" w14:textId="77777777" w:rsidR="00FE0B4F" w:rsidRPr="00FB0579" w:rsidRDefault="00FE0B4F" w:rsidP="00684CA8">
                  <w:pPr>
                    <w:pStyle w:val="TableBodyText"/>
                    <w:jc w:val="left"/>
                  </w:pPr>
                  <w:r w:rsidRPr="00FB0579">
                    <w:t>Australian Astronomical Observatory</w:t>
                  </w:r>
                </w:p>
              </w:tc>
              <w:tc>
                <w:tcPr>
                  <w:tcW w:w="751" w:type="pct"/>
                </w:tcPr>
                <w:p w14:paraId="0D6522F7" w14:textId="77777777" w:rsidR="00FE0B4F" w:rsidRPr="00FB0579" w:rsidRDefault="00FE0B4F" w:rsidP="00684CA8">
                  <w:pPr>
                    <w:pStyle w:val="TableBodyText"/>
                    <w:jc w:val="left"/>
                  </w:pPr>
                  <w:r w:rsidRPr="00FB0579">
                    <w:t>AAO</w:t>
                  </w:r>
                </w:p>
              </w:tc>
              <w:tc>
                <w:tcPr>
                  <w:tcW w:w="1088" w:type="pct"/>
                  <w:vAlign w:val="center"/>
                </w:tcPr>
                <w:p w14:paraId="0D6522F8" w14:textId="77777777" w:rsidR="00FE0B4F" w:rsidRDefault="00FE0B4F" w:rsidP="004775C9">
                  <w:pPr>
                    <w:pStyle w:val="TableBodyText"/>
                  </w:pPr>
                  <w:r>
                    <w:t>11.</w:t>
                  </w:r>
                  <w:r w:rsidR="00272067">
                    <w:t>9</w:t>
                  </w:r>
                </w:p>
              </w:tc>
            </w:tr>
            <w:tr w:rsidR="00FE0B4F" w14:paraId="0D6522FD" w14:textId="77777777" w:rsidTr="00684CA8">
              <w:tc>
                <w:tcPr>
                  <w:tcW w:w="3161" w:type="pct"/>
                </w:tcPr>
                <w:p w14:paraId="0D6522FA" w14:textId="77777777" w:rsidR="00FE0B4F" w:rsidRPr="00FB0579" w:rsidRDefault="00FE0B4F" w:rsidP="00684CA8">
                  <w:pPr>
                    <w:pStyle w:val="TableBodyText"/>
                    <w:jc w:val="left"/>
                  </w:pPr>
                  <w:r w:rsidRPr="00FB0579">
                    <w:t>Australian Centre for International Agricultural Research</w:t>
                  </w:r>
                </w:p>
              </w:tc>
              <w:tc>
                <w:tcPr>
                  <w:tcW w:w="751" w:type="pct"/>
                </w:tcPr>
                <w:p w14:paraId="0D6522FB" w14:textId="77777777" w:rsidR="00FE0B4F" w:rsidRPr="00FB0579" w:rsidRDefault="00FE0B4F" w:rsidP="00684CA8">
                  <w:pPr>
                    <w:pStyle w:val="TableBodyText"/>
                    <w:jc w:val="left"/>
                  </w:pPr>
                  <w:r w:rsidRPr="00FB0579">
                    <w:t>ACIAR</w:t>
                  </w:r>
                </w:p>
              </w:tc>
              <w:tc>
                <w:tcPr>
                  <w:tcW w:w="1088" w:type="pct"/>
                  <w:vAlign w:val="center"/>
                </w:tcPr>
                <w:p w14:paraId="0D6522FC" w14:textId="77777777" w:rsidR="00FE0B4F" w:rsidRDefault="00FE0B4F" w:rsidP="004775C9">
                  <w:pPr>
                    <w:pStyle w:val="TableBodyText"/>
                  </w:pPr>
                  <w:r>
                    <w:t>94.1</w:t>
                  </w:r>
                </w:p>
              </w:tc>
            </w:tr>
            <w:tr w:rsidR="00FE0B4F" w14:paraId="0D652301" w14:textId="77777777" w:rsidTr="00684CA8">
              <w:tc>
                <w:tcPr>
                  <w:tcW w:w="3161" w:type="pct"/>
                </w:tcPr>
                <w:p w14:paraId="0D6522FE" w14:textId="77777777" w:rsidR="00FE0B4F" w:rsidRPr="00FB0579" w:rsidRDefault="00FE0B4F" w:rsidP="00684CA8">
                  <w:pPr>
                    <w:pStyle w:val="TableBodyText"/>
                    <w:jc w:val="left"/>
                  </w:pPr>
                  <w:r w:rsidRPr="00FB0579">
                    <w:t>Australian Institute of Aboriginal and Torres Strait Islander Studies</w:t>
                  </w:r>
                </w:p>
              </w:tc>
              <w:tc>
                <w:tcPr>
                  <w:tcW w:w="751" w:type="pct"/>
                </w:tcPr>
                <w:p w14:paraId="0D6522FF" w14:textId="77777777" w:rsidR="00FE0B4F" w:rsidRPr="00FB0579" w:rsidRDefault="00FE0B4F" w:rsidP="00684CA8">
                  <w:pPr>
                    <w:pStyle w:val="TableBodyText"/>
                    <w:jc w:val="left"/>
                  </w:pPr>
                  <w:r w:rsidRPr="00FB0579">
                    <w:t>AIATSIS</w:t>
                  </w:r>
                </w:p>
              </w:tc>
              <w:tc>
                <w:tcPr>
                  <w:tcW w:w="1088" w:type="pct"/>
                  <w:vAlign w:val="center"/>
                </w:tcPr>
                <w:p w14:paraId="0D652300" w14:textId="77777777" w:rsidR="00FE0B4F" w:rsidRDefault="00FE0B4F" w:rsidP="004775C9">
                  <w:pPr>
                    <w:pStyle w:val="TableBodyText"/>
                  </w:pPr>
                  <w:r>
                    <w:t>0.8</w:t>
                  </w:r>
                </w:p>
              </w:tc>
            </w:tr>
            <w:tr w:rsidR="00FE0B4F" w14:paraId="0D652305" w14:textId="77777777" w:rsidTr="00684CA8">
              <w:tc>
                <w:tcPr>
                  <w:tcW w:w="3161" w:type="pct"/>
                </w:tcPr>
                <w:p w14:paraId="0D652302" w14:textId="77777777" w:rsidR="00FE0B4F" w:rsidRPr="00FB0579" w:rsidRDefault="00FE0B4F" w:rsidP="00684CA8">
                  <w:pPr>
                    <w:pStyle w:val="TableBodyText"/>
                    <w:jc w:val="left"/>
                  </w:pPr>
                  <w:r w:rsidRPr="00FB0579">
                    <w:t>Australian Institute of Criminology Research Program</w:t>
                  </w:r>
                </w:p>
              </w:tc>
              <w:tc>
                <w:tcPr>
                  <w:tcW w:w="751" w:type="pct"/>
                </w:tcPr>
                <w:p w14:paraId="0D652303" w14:textId="77777777" w:rsidR="00FE0B4F" w:rsidRPr="00FB0579" w:rsidRDefault="00FE0B4F" w:rsidP="00684CA8">
                  <w:pPr>
                    <w:pStyle w:val="TableBodyText"/>
                    <w:jc w:val="left"/>
                  </w:pPr>
                </w:p>
              </w:tc>
              <w:tc>
                <w:tcPr>
                  <w:tcW w:w="1088" w:type="pct"/>
                  <w:vAlign w:val="center"/>
                </w:tcPr>
                <w:p w14:paraId="0D652304" w14:textId="77777777" w:rsidR="00FE0B4F" w:rsidRDefault="00272067" w:rsidP="00684CA8">
                  <w:pPr>
                    <w:pStyle w:val="TableBodyText"/>
                  </w:pPr>
                  <w:r>
                    <w:t>3.0</w:t>
                  </w:r>
                </w:p>
              </w:tc>
            </w:tr>
            <w:tr w:rsidR="00FE0B4F" w14:paraId="0D652309" w14:textId="77777777" w:rsidTr="00684CA8">
              <w:tc>
                <w:tcPr>
                  <w:tcW w:w="3161" w:type="pct"/>
                </w:tcPr>
                <w:p w14:paraId="0D652306" w14:textId="77777777" w:rsidR="00FE0B4F" w:rsidRPr="00FB0579" w:rsidRDefault="00FE0B4F" w:rsidP="00684CA8">
                  <w:pPr>
                    <w:pStyle w:val="TableBodyText"/>
                    <w:jc w:val="left"/>
                  </w:pPr>
                  <w:r w:rsidRPr="00FB0579">
                    <w:t>Australian Institute of Marine Science</w:t>
                  </w:r>
                </w:p>
              </w:tc>
              <w:tc>
                <w:tcPr>
                  <w:tcW w:w="751" w:type="pct"/>
                </w:tcPr>
                <w:p w14:paraId="0D652307" w14:textId="77777777" w:rsidR="00FE0B4F" w:rsidRPr="00FB0579" w:rsidRDefault="00FE0B4F" w:rsidP="00684CA8">
                  <w:pPr>
                    <w:pStyle w:val="TableBodyText"/>
                    <w:jc w:val="left"/>
                  </w:pPr>
                  <w:r w:rsidRPr="00FB0579">
                    <w:t>AIMS</w:t>
                  </w:r>
                </w:p>
              </w:tc>
              <w:tc>
                <w:tcPr>
                  <w:tcW w:w="1088" w:type="pct"/>
                  <w:vAlign w:val="center"/>
                </w:tcPr>
                <w:p w14:paraId="0D652308" w14:textId="77777777" w:rsidR="00FE0B4F" w:rsidRDefault="00FE0B4F" w:rsidP="00684CA8">
                  <w:pPr>
                    <w:pStyle w:val="TableBodyText"/>
                  </w:pPr>
                  <w:r>
                    <w:t>40.</w:t>
                  </w:r>
                  <w:r w:rsidR="00272067">
                    <w:t>5</w:t>
                  </w:r>
                </w:p>
              </w:tc>
            </w:tr>
            <w:tr w:rsidR="00FE0B4F" w14:paraId="0D65230D" w14:textId="77777777" w:rsidTr="00684CA8">
              <w:tc>
                <w:tcPr>
                  <w:tcW w:w="3161" w:type="pct"/>
                </w:tcPr>
                <w:p w14:paraId="0D65230A" w14:textId="77777777" w:rsidR="00FE0B4F" w:rsidRPr="00FB0579" w:rsidRDefault="00FE0B4F" w:rsidP="00684CA8">
                  <w:pPr>
                    <w:pStyle w:val="TableBodyText"/>
                    <w:jc w:val="left"/>
                  </w:pPr>
                  <w:r w:rsidRPr="00FB0579">
                    <w:t>Australian National Maritime Museum</w:t>
                  </w:r>
                </w:p>
              </w:tc>
              <w:tc>
                <w:tcPr>
                  <w:tcW w:w="751" w:type="pct"/>
                </w:tcPr>
                <w:p w14:paraId="0D65230B" w14:textId="77777777" w:rsidR="00FE0B4F" w:rsidRPr="00FB0579" w:rsidRDefault="00FE0B4F" w:rsidP="00684CA8">
                  <w:pPr>
                    <w:pStyle w:val="TableBodyText"/>
                    <w:jc w:val="left"/>
                  </w:pPr>
                  <w:r w:rsidRPr="00FB0579">
                    <w:t>ANMM</w:t>
                  </w:r>
                </w:p>
              </w:tc>
              <w:tc>
                <w:tcPr>
                  <w:tcW w:w="1088" w:type="pct"/>
                  <w:vAlign w:val="center"/>
                </w:tcPr>
                <w:p w14:paraId="0D65230C" w14:textId="77777777" w:rsidR="00FE0B4F" w:rsidRDefault="00FE0B4F" w:rsidP="00684CA8">
                  <w:pPr>
                    <w:pStyle w:val="TableBodyText"/>
                  </w:pPr>
                  <w:r>
                    <w:t>0.2</w:t>
                  </w:r>
                </w:p>
              </w:tc>
            </w:tr>
            <w:tr w:rsidR="00FE0B4F" w14:paraId="0D652311" w14:textId="77777777" w:rsidTr="00684CA8">
              <w:tc>
                <w:tcPr>
                  <w:tcW w:w="3161" w:type="pct"/>
                </w:tcPr>
                <w:p w14:paraId="0D65230E" w14:textId="77777777" w:rsidR="00FE0B4F" w:rsidRPr="00FB0579" w:rsidRDefault="00FE0B4F" w:rsidP="00684CA8">
                  <w:pPr>
                    <w:pStyle w:val="TableBodyText"/>
                    <w:jc w:val="left"/>
                  </w:pPr>
                  <w:r w:rsidRPr="00FB0579">
                    <w:t>Australian Nuclear Science &amp; Technology Organisation</w:t>
                  </w:r>
                </w:p>
              </w:tc>
              <w:tc>
                <w:tcPr>
                  <w:tcW w:w="751" w:type="pct"/>
                </w:tcPr>
                <w:p w14:paraId="0D65230F" w14:textId="77777777" w:rsidR="00FE0B4F" w:rsidRPr="00FB0579" w:rsidRDefault="00FE0B4F" w:rsidP="00684CA8">
                  <w:pPr>
                    <w:pStyle w:val="TableBodyText"/>
                    <w:jc w:val="left"/>
                  </w:pPr>
                  <w:r w:rsidRPr="00FB0579">
                    <w:t>ANSTO</w:t>
                  </w:r>
                </w:p>
              </w:tc>
              <w:tc>
                <w:tcPr>
                  <w:tcW w:w="1088" w:type="pct"/>
                  <w:vAlign w:val="center"/>
                </w:tcPr>
                <w:p w14:paraId="0D652310" w14:textId="77777777" w:rsidR="00FE0B4F" w:rsidRDefault="00FE0B4F" w:rsidP="00684CA8">
                  <w:pPr>
                    <w:pStyle w:val="TableBodyText"/>
                  </w:pPr>
                  <w:r>
                    <w:t>192.6</w:t>
                  </w:r>
                </w:p>
              </w:tc>
            </w:tr>
            <w:tr w:rsidR="00FE0B4F" w14:paraId="0D652315" w14:textId="77777777" w:rsidTr="00684CA8">
              <w:tc>
                <w:tcPr>
                  <w:tcW w:w="3161" w:type="pct"/>
                </w:tcPr>
                <w:p w14:paraId="0D652312" w14:textId="77777777" w:rsidR="00FE0B4F" w:rsidRPr="00FB0579" w:rsidRDefault="00FE0B4F" w:rsidP="00684CA8">
                  <w:pPr>
                    <w:pStyle w:val="TableBodyText"/>
                    <w:jc w:val="left"/>
                  </w:pPr>
                  <w:r w:rsidRPr="00FB0579">
                    <w:t>Bureau of Meteorology Research Activities</w:t>
                  </w:r>
                </w:p>
              </w:tc>
              <w:tc>
                <w:tcPr>
                  <w:tcW w:w="751" w:type="pct"/>
                </w:tcPr>
                <w:p w14:paraId="0D652313" w14:textId="77777777" w:rsidR="00FE0B4F" w:rsidRPr="00FB0579" w:rsidRDefault="00FE0B4F" w:rsidP="00684CA8">
                  <w:pPr>
                    <w:pStyle w:val="TableBodyText"/>
                    <w:jc w:val="left"/>
                  </w:pPr>
                  <w:r w:rsidRPr="00FB0579">
                    <w:t>BoM</w:t>
                  </w:r>
                </w:p>
              </w:tc>
              <w:tc>
                <w:tcPr>
                  <w:tcW w:w="1088" w:type="pct"/>
                  <w:vAlign w:val="center"/>
                </w:tcPr>
                <w:p w14:paraId="0D652314" w14:textId="77777777" w:rsidR="00FE0B4F" w:rsidRDefault="00FE0B4F" w:rsidP="00684CA8">
                  <w:pPr>
                    <w:pStyle w:val="TableBodyText"/>
                  </w:pPr>
                  <w:r>
                    <w:t>24.3</w:t>
                  </w:r>
                </w:p>
              </w:tc>
            </w:tr>
            <w:tr w:rsidR="00FE0B4F" w14:paraId="0D652319" w14:textId="77777777" w:rsidTr="00684CA8">
              <w:tc>
                <w:tcPr>
                  <w:tcW w:w="3161" w:type="pct"/>
                </w:tcPr>
                <w:p w14:paraId="0D652316" w14:textId="77777777" w:rsidR="00FE0B4F" w:rsidRPr="00FB0579" w:rsidRDefault="00FE0B4F" w:rsidP="00684CA8">
                  <w:pPr>
                    <w:pStyle w:val="TableBodyText"/>
                    <w:jc w:val="left"/>
                  </w:pPr>
                  <w:r w:rsidRPr="00FB0579">
                    <w:t>Commonwealth Scientific and Industrial Research Organisation</w:t>
                  </w:r>
                </w:p>
              </w:tc>
              <w:tc>
                <w:tcPr>
                  <w:tcW w:w="751" w:type="pct"/>
                </w:tcPr>
                <w:p w14:paraId="0D652317" w14:textId="77777777" w:rsidR="00FE0B4F" w:rsidRPr="00FB0579" w:rsidRDefault="00FE0B4F" w:rsidP="00684CA8">
                  <w:pPr>
                    <w:pStyle w:val="TableBodyText"/>
                    <w:jc w:val="left"/>
                  </w:pPr>
                  <w:r w:rsidRPr="00FB0579">
                    <w:t>CSIRO</w:t>
                  </w:r>
                </w:p>
              </w:tc>
              <w:tc>
                <w:tcPr>
                  <w:tcW w:w="1088" w:type="pct"/>
                  <w:vAlign w:val="center"/>
                </w:tcPr>
                <w:p w14:paraId="0D652318" w14:textId="77777777" w:rsidR="00FE0B4F" w:rsidRDefault="00FE0B4F" w:rsidP="00684CA8">
                  <w:pPr>
                    <w:pStyle w:val="TableBodyText"/>
                  </w:pPr>
                  <w:r>
                    <w:t>750.2</w:t>
                  </w:r>
                </w:p>
              </w:tc>
            </w:tr>
            <w:tr w:rsidR="00FE0B4F" w14:paraId="0D65231D" w14:textId="77777777" w:rsidTr="00684CA8">
              <w:tc>
                <w:tcPr>
                  <w:tcW w:w="3161" w:type="pct"/>
                </w:tcPr>
                <w:p w14:paraId="0D65231A" w14:textId="77777777" w:rsidR="00FE0B4F" w:rsidRPr="00FB0579" w:rsidRDefault="00FE0B4F" w:rsidP="00684CA8">
                  <w:pPr>
                    <w:pStyle w:val="TableBodyText"/>
                    <w:jc w:val="left"/>
                  </w:pPr>
                  <w:r w:rsidRPr="00FB0579">
                    <w:t>Defence Science and Technology</w:t>
                  </w:r>
                </w:p>
              </w:tc>
              <w:tc>
                <w:tcPr>
                  <w:tcW w:w="751" w:type="pct"/>
                </w:tcPr>
                <w:p w14:paraId="0D65231B" w14:textId="77777777" w:rsidR="00FE0B4F" w:rsidRPr="00FB0579" w:rsidRDefault="00FE0B4F" w:rsidP="00684CA8">
                  <w:pPr>
                    <w:pStyle w:val="TableBodyText"/>
                    <w:jc w:val="left"/>
                  </w:pPr>
                  <w:r w:rsidRPr="00FB0579">
                    <w:t>DST Group</w:t>
                  </w:r>
                </w:p>
              </w:tc>
              <w:tc>
                <w:tcPr>
                  <w:tcW w:w="1088" w:type="pct"/>
                  <w:vAlign w:val="center"/>
                </w:tcPr>
                <w:p w14:paraId="0D65231C" w14:textId="77777777" w:rsidR="00FE0B4F" w:rsidRDefault="00FE0B4F" w:rsidP="00684CA8">
                  <w:pPr>
                    <w:pStyle w:val="TableBodyText"/>
                  </w:pPr>
                  <w:r>
                    <w:t>464.3</w:t>
                  </w:r>
                </w:p>
              </w:tc>
            </w:tr>
            <w:tr w:rsidR="00FE0B4F" w14:paraId="0D652321" w14:textId="77777777" w:rsidTr="00684CA8">
              <w:tc>
                <w:tcPr>
                  <w:tcW w:w="3161" w:type="pct"/>
                </w:tcPr>
                <w:p w14:paraId="0D65231E" w14:textId="77777777" w:rsidR="00FE0B4F" w:rsidRPr="00FB0579" w:rsidRDefault="00FE0B4F" w:rsidP="00684CA8">
                  <w:pPr>
                    <w:pStyle w:val="TableBodyText"/>
                    <w:jc w:val="left"/>
                  </w:pPr>
                  <w:r w:rsidRPr="00FB0579">
                    <w:t>Geoscience Australia</w:t>
                  </w:r>
                </w:p>
              </w:tc>
              <w:tc>
                <w:tcPr>
                  <w:tcW w:w="751" w:type="pct"/>
                </w:tcPr>
                <w:p w14:paraId="0D65231F" w14:textId="77777777" w:rsidR="00FE0B4F" w:rsidRPr="00FB0579" w:rsidRDefault="00FE0B4F" w:rsidP="00684CA8">
                  <w:pPr>
                    <w:pStyle w:val="TableBodyText"/>
                    <w:jc w:val="left"/>
                  </w:pPr>
                </w:p>
              </w:tc>
              <w:tc>
                <w:tcPr>
                  <w:tcW w:w="1088" w:type="pct"/>
                  <w:vAlign w:val="center"/>
                </w:tcPr>
                <w:p w14:paraId="0D652320" w14:textId="77777777" w:rsidR="00FE0B4F" w:rsidRDefault="00FE0B4F" w:rsidP="00684CA8">
                  <w:pPr>
                    <w:pStyle w:val="TableBodyText"/>
                  </w:pPr>
                  <w:r>
                    <w:t>121.</w:t>
                  </w:r>
                  <w:r w:rsidR="00272067">
                    <w:t>3</w:t>
                  </w:r>
                </w:p>
              </w:tc>
            </w:tr>
            <w:tr w:rsidR="00FE0B4F" w14:paraId="0D652325" w14:textId="77777777" w:rsidTr="00684CA8">
              <w:tc>
                <w:tcPr>
                  <w:tcW w:w="3161" w:type="pct"/>
                </w:tcPr>
                <w:p w14:paraId="0D652322" w14:textId="77777777" w:rsidR="00FE0B4F" w:rsidRPr="00FB0579" w:rsidRDefault="00FE0B4F" w:rsidP="00684CA8">
                  <w:pPr>
                    <w:pStyle w:val="TableBodyText"/>
                    <w:jc w:val="left"/>
                  </w:pPr>
                  <w:r w:rsidRPr="00FB0579">
                    <w:t>Great Barrier Reef Marine Park Authority</w:t>
                  </w:r>
                </w:p>
              </w:tc>
              <w:tc>
                <w:tcPr>
                  <w:tcW w:w="751" w:type="pct"/>
                </w:tcPr>
                <w:p w14:paraId="0D652323" w14:textId="77777777" w:rsidR="00FE0B4F" w:rsidRPr="00FB0579" w:rsidRDefault="00FE0B4F" w:rsidP="00684CA8">
                  <w:pPr>
                    <w:pStyle w:val="TableBodyText"/>
                    <w:jc w:val="left"/>
                  </w:pPr>
                  <w:r w:rsidRPr="00FB0579">
                    <w:t>GBRMPA</w:t>
                  </w:r>
                </w:p>
              </w:tc>
              <w:tc>
                <w:tcPr>
                  <w:tcW w:w="1088" w:type="pct"/>
                  <w:vAlign w:val="center"/>
                </w:tcPr>
                <w:p w14:paraId="0D652324" w14:textId="77777777" w:rsidR="00FE0B4F" w:rsidRDefault="00FE0B4F" w:rsidP="00684CA8">
                  <w:pPr>
                    <w:pStyle w:val="TableBodyText"/>
                  </w:pPr>
                  <w:r>
                    <w:t>1.0</w:t>
                  </w:r>
                </w:p>
              </w:tc>
            </w:tr>
            <w:tr w:rsidR="00FE0B4F" w14:paraId="0D652329" w14:textId="77777777" w:rsidTr="00684CA8">
              <w:tc>
                <w:tcPr>
                  <w:tcW w:w="3161" w:type="pct"/>
                </w:tcPr>
                <w:p w14:paraId="0D652326" w14:textId="77777777" w:rsidR="00FE0B4F" w:rsidRPr="00FB0579" w:rsidRDefault="00FE0B4F" w:rsidP="00684CA8">
                  <w:pPr>
                    <w:pStyle w:val="TableBodyText"/>
                    <w:jc w:val="left"/>
                  </w:pPr>
                  <w:r w:rsidRPr="00FB0579">
                    <w:t>National Measurement Institute</w:t>
                  </w:r>
                </w:p>
              </w:tc>
              <w:tc>
                <w:tcPr>
                  <w:tcW w:w="751" w:type="pct"/>
                </w:tcPr>
                <w:p w14:paraId="0D652327" w14:textId="77777777" w:rsidR="00FE0B4F" w:rsidRPr="00FB0579" w:rsidRDefault="00FE0B4F" w:rsidP="00684CA8">
                  <w:pPr>
                    <w:pStyle w:val="TableBodyText"/>
                    <w:jc w:val="left"/>
                  </w:pPr>
                  <w:r w:rsidRPr="00FB0579">
                    <w:t>NMI</w:t>
                  </w:r>
                </w:p>
              </w:tc>
              <w:tc>
                <w:tcPr>
                  <w:tcW w:w="1088" w:type="pct"/>
                  <w:vAlign w:val="center"/>
                </w:tcPr>
                <w:p w14:paraId="0D652328" w14:textId="77777777" w:rsidR="00FE0B4F" w:rsidRDefault="00FE0B4F" w:rsidP="00684CA8">
                  <w:pPr>
                    <w:pStyle w:val="TableBodyText"/>
                  </w:pPr>
                  <w:r>
                    <w:t>7.5</w:t>
                  </w:r>
                </w:p>
              </w:tc>
            </w:tr>
            <w:tr w:rsidR="00FE0B4F" w14:paraId="0D65232D" w14:textId="77777777" w:rsidTr="00684CA8">
              <w:tc>
                <w:tcPr>
                  <w:tcW w:w="3161" w:type="pct"/>
                </w:tcPr>
                <w:p w14:paraId="0D65232A" w14:textId="77777777" w:rsidR="00FE0B4F" w:rsidRPr="00FB0579" w:rsidRDefault="00FE0B4F" w:rsidP="00684CA8">
                  <w:pPr>
                    <w:pStyle w:val="TableBodyText"/>
                    <w:jc w:val="left"/>
                  </w:pPr>
                  <w:r w:rsidRPr="00FB0579">
                    <w:t>National Acoustic Laboratories</w:t>
                  </w:r>
                </w:p>
              </w:tc>
              <w:tc>
                <w:tcPr>
                  <w:tcW w:w="751" w:type="pct"/>
                </w:tcPr>
                <w:p w14:paraId="0D65232B" w14:textId="77777777" w:rsidR="00FE0B4F" w:rsidRPr="00FB0579" w:rsidRDefault="00FE0B4F" w:rsidP="00684CA8">
                  <w:pPr>
                    <w:pStyle w:val="TableBodyText"/>
                    <w:jc w:val="left"/>
                  </w:pPr>
                  <w:r w:rsidRPr="00FB0579">
                    <w:t>NAL</w:t>
                  </w:r>
                </w:p>
              </w:tc>
              <w:tc>
                <w:tcPr>
                  <w:tcW w:w="1088" w:type="pct"/>
                  <w:vAlign w:val="center"/>
                </w:tcPr>
                <w:p w14:paraId="0D65232C" w14:textId="77777777" w:rsidR="00FE0B4F" w:rsidRDefault="00FE0B4F" w:rsidP="00684CA8">
                  <w:pPr>
                    <w:pStyle w:val="TableBodyText"/>
                  </w:pPr>
                  <w:r>
                    <w:t>4.3</w:t>
                  </w:r>
                </w:p>
              </w:tc>
            </w:tr>
            <w:tr w:rsidR="00FE0B4F" w14:paraId="0D652331" w14:textId="77777777" w:rsidTr="00684CA8">
              <w:tc>
                <w:tcPr>
                  <w:tcW w:w="3161" w:type="pct"/>
                </w:tcPr>
                <w:p w14:paraId="0D65232E" w14:textId="77777777" w:rsidR="00FE0B4F" w:rsidRPr="00FB0579" w:rsidRDefault="00FE0B4F" w:rsidP="00684CA8">
                  <w:pPr>
                    <w:pStyle w:val="TableBodyText"/>
                    <w:jc w:val="left"/>
                  </w:pPr>
                  <w:r w:rsidRPr="00FB0579">
                    <w:t>Supervising Scientist</w:t>
                  </w:r>
                </w:p>
              </w:tc>
              <w:tc>
                <w:tcPr>
                  <w:tcW w:w="751" w:type="pct"/>
                </w:tcPr>
                <w:p w14:paraId="0D65232F" w14:textId="77777777" w:rsidR="00FE0B4F" w:rsidRPr="00FB0579" w:rsidRDefault="00FE0B4F" w:rsidP="00684CA8">
                  <w:pPr>
                    <w:pStyle w:val="TableBodyText"/>
                    <w:jc w:val="left"/>
                  </w:pPr>
                </w:p>
              </w:tc>
              <w:tc>
                <w:tcPr>
                  <w:tcW w:w="1088" w:type="pct"/>
                  <w:vAlign w:val="center"/>
                </w:tcPr>
                <w:p w14:paraId="0D652330" w14:textId="77777777" w:rsidR="00FE0B4F" w:rsidRDefault="00FE0B4F" w:rsidP="00684CA8">
                  <w:pPr>
                    <w:pStyle w:val="TableBodyText"/>
                  </w:pPr>
                  <w:r>
                    <w:t>1</w:t>
                  </w:r>
                  <w:r w:rsidR="00272067">
                    <w:t>4.0</w:t>
                  </w:r>
                </w:p>
              </w:tc>
            </w:tr>
            <w:tr w:rsidR="00FE0B4F" w14:paraId="0D652335" w14:textId="77777777" w:rsidTr="00684CA8">
              <w:tc>
                <w:tcPr>
                  <w:tcW w:w="3161" w:type="pct"/>
                  <w:tcBorders>
                    <w:bottom w:val="single" w:sz="4" w:space="0" w:color="BFBFBF"/>
                  </w:tcBorders>
                </w:tcPr>
                <w:p w14:paraId="0D652332" w14:textId="77777777" w:rsidR="00FE0B4F" w:rsidRPr="00FB0579" w:rsidRDefault="00FE0B4F" w:rsidP="00684CA8">
                  <w:pPr>
                    <w:pStyle w:val="TableBodyText"/>
                    <w:spacing w:before="120"/>
                    <w:jc w:val="left"/>
                    <w:rPr>
                      <w:b/>
                    </w:rPr>
                  </w:pPr>
                  <w:r w:rsidRPr="00FB0579">
                    <w:rPr>
                      <w:b/>
                    </w:rPr>
                    <w:t>Total</w:t>
                  </w:r>
                </w:p>
              </w:tc>
              <w:tc>
                <w:tcPr>
                  <w:tcW w:w="751" w:type="pct"/>
                  <w:tcBorders>
                    <w:bottom w:val="single" w:sz="4" w:space="0" w:color="BFBFBF"/>
                  </w:tcBorders>
                </w:tcPr>
                <w:p w14:paraId="0D652333" w14:textId="77777777" w:rsidR="00FE0B4F" w:rsidRPr="00FB0579" w:rsidRDefault="00FE0B4F" w:rsidP="00684CA8">
                  <w:pPr>
                    <w:pStyle w:val="TableBodyText"/>
                    <w:spacing w:before="120"/>
                    <w:jc w:val="left"/>
                    <w:rPr>
                      <w:b/>
                    </w:rPr>
                  </w:pPr>
                </w:p>
              </w:tc>
              <w:tc>
                <w:tcPr>
                  <w:tcW w:w="1088" w:type="pct"/>
                  <w:tcBorders>
                    <w:bottom w:val="single" w:sz="4" w:space="0" w:color="BFBFBF"/>
                  </w:tcBorders>
                  <w:vAlign w:val="center"/>
                </w:tcPr>
                <w:p w14:paraId="0D652334" w14:textId="77777777" w:rsidR="00FE0B4F" w:rsidRPr="00FB0579" w:rsidRDefault="007129A2" w:rsidP="00684CA8">
                  <w:pPr>
                    <w:pStyle w:val="TableBodyText"/>
                    <w:spacing w:before="120"/>
                    <w:rPr>
                      <w:b/>
                    </w:rPr>
                  </w:pPr>
                  <w:r>
                    <w:rPr>
                      <w:b/>
                    </w:rPr>
                    <w:t>1 835</w:t>
                  </w:r>
                  <w:r w:rsidR="00FE0B4F" w:rsidRPr="00FB0579">
                    <w:rPr>
                      <w:b/>
                    </w:rPr>
                    <w:t>.</w:t>
                  </w:r>
                  <w:r w:rsidR="00272067">
                    <w:rPr>
                      <w:b/>
                    </w:rPr>
                    <w:t>9</w:t>
                  </w:r>
                </w:p>
              </w:tc>
            </w:tr>
          </w:tbl>
          <w:p w14:paraId="0D652336" w14:textId="77777777" w:rsidR="00FE0B4F" w:rsidRDefault="00FE0B4F" w:rsidP="00684CA8">
            <w:pPr>
              <w:pStyle w:val="TableBodyText"/>
              <w:jc w:val="left"/>
            </w:pPr>
          </w:p>
        </w:tc>
      </w:tr>
      <w:tr w:rsidR="00FE0B4F" w14:paraId="0D652339" w14:textId="77777777" w:rsidTr="00B0510F">
        <w:tc>
          <w:tcPr>
            <w:tcW w:w="8789" w:type="dxa"/>
            <w:tcBorders>
              <w:top w:val="nil"/>
              <w:left w:val="nil"/>
              <w:bottom w:val="nil"/>
              <w:right w:val="nil"/>
            </w:tcBorders>
            <w:shd w:val="clear" w:color="auto" w:fill="auto"/>
          </w:tcPr>
          <w:p w14:paraId="0D652338" w14:textId="77777777" w:rsidR="00FE0B4F" w:rsidRDefault="00FE0B4F">
            <w:pPr>
              <w:pStyle w:val="Source"/>
            </w:pPr>
            <w:r>
              <w:rPr>
                <w:i/>
              </w:rPr>
              <w:t>Source</w:t>
            </w:r>
            <w:r w:rsidRPr="00167F06">
              <w:t xml:space="preserve">: </w:t>
            </w:r>
            <w:r>
              <w:t>D</w:t>
            </w:r>
            <w:r w:rsidR="000E6CE0">
              <w:t>IIS</w:t>
            </w:r>
            <w:r>
              <w:t> </w:t>
            </w:r>
            <w:r w:rsidR="000B4AAC" w:rsidRPr="000B4AAC">
              <w:rPr>
                <w:rFonts w:cs="Arial"/>
              </w:rPr>
              <w:t>(2016)</w:t>
            </w:r>
            <w:r w:rsidRPr="00136A30">
              <w:t>.</w:t>
            </w:r>
          </w:p>
        </w:tc>
      </w:tr>
      <w:tr w:rsidR="00FE0B4F" w14:paraId="0D65233B" w14:textId="77777777" w:rsidTr="00B0510F">
        <w:tc>
          <w:tcPr>
            <w:tcW w:w="8789" w:type="dxa"/>
            <w:tcBorders>
              <w:top w:val="nil"/>
              <w:left w:val="nil"/>
              <w:bottom w:val="single" w:sz="6" w:space="0" w:color="78A22F"/>
              <w:right w:val="nil"/>
            </w:tcBorders>
            <w:shd w:val="clear" w:color="auto" w:fill="auto"/>
          </w:tcPr>
          <w:p w14:paraId="0D65233A" w14:textId="77777777" w:rsidR="00FE0B4F" w:rsidRDefault="00FE0B4F" w:rsidP="00684CA8">
            <w:pPr>
              <w:pStyle w:val="Box"/>
              <w:spacing w:before="0" w:line="120" w:lineRule="exact"/>
            </w:pPr>
          </w:p>
        </w:tc>
      </w:tr>
      <w:tr w:rsidR="00FE0B4F" w:rsidRPr="000863A5" w14:paraId="0D65233D" w14:textId="77777777" w:rsidTr="00B0510F">
        <w:tc>
          <w:tcPr>
            <w:tcW w:w="8789" w:type="dxa"/>
            <w:tcBorders>
              <w:top w:val="single" w:sz="6" w:space="0" w:color="78A22F"/>
              <w:left w:val="nil"/>
              <w:bottom w:val="nil"/>
              <w:right w:val="nil"/>
            </w:tcBorders>
          </w:tcPr>
          <w:p w14:paraId="0D65233C" w14:textId="77777777" w:rsidR="00FE0B4F" w:rsidRPr="00626D32" w:rsidRDefault="00FE0B4F" w:rsidP="00684CA8">
            <w:pPr>
              <w:pStyle w:val="BoxSpaceBelow"/>
            </w:pPr>
          </w:p>
        </w:tc>
      </w:tr>
    </w:tbl>
    <w:p w14:paraId="0D65233E" w14:textId="77777777" w:rsidR="00FE0B4F" w:rsidRDefault="00FE0B4F" w:rsidP="00FE0B4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E0B4F" w14:paraId="0D652341" w14:textId="77777777" w:rsidTr="00B0510F">
        <w:tc>
          <w:tcPr>
            <w:tcW w:w="8789" w:type="dxa"/>
            <w:tcBorders>
              <w:top w:val="single" w:sz="6" w:space="0" w:color="78A22F"/>
              <w:left w:val="nil"/>
              <w:bottom w:val="nil"/>
              <w:right w:val="nil"/>
            </w:tcBorders>
            <w:shd w:val="clear" w:color="auto" w:fill="auto"/>
          </w:tcPr>
          <w:p w14:paraId="0D65233F" w14:textId="77777777" w:rsidR="00FE0B4F" w:rsidRDefault="00FE0B4F" w:rsidP="00684CA8">
            <w:pPr>
              <w:pStyle w:val="TableTitle"/>
            </w:pPr>
            <w:r>
              <w:rPr>
                <w:b w:val="0"/>
              </w:rPr>
              <w:t>Table A.</w:t>
            </w:r>
            <w:r w:rsidR="00F97E1E">
              <w:rPr>
                <w:b w:val="0"/>
                <w:noProof/>
              </w:rPr>
              <w:t>2</w:t>
            </w:r>
            <w:r>
              <w:tab/>
              <w:t xml:space="preserve">Research block grants by </w:t>
            </w:r>
            <w:r w:rsidR="0093153D">
              <w:t>higher education provider</w:t>
            </w:r>
            <w:r>
              <w:t>, 2016</w:t>
            </w:r>
          </w:p>
          <w:p w14:paraId="0D652340" w14:textId="77777777" w:rsidR="00FE0B4F" w:rsidRPr="001D22BF" w:rsidRDefault="00FE0B4F" w:rsidP="00684CA8">
            <w:pPr>
              <w:pStyle w:val="Subtitle"/>
            </w:pPr>
            <w:r w:rsidRPr="001D22BF">
              <w:t>$ million</w:t>
            </w:r>
            <w:r w:rsidR="00F91DED">
              <w:t>; Estimated actual</w:t>
            </w:r>
          </w:p>
        </w:tc>
      </w:tr>
      <w:tr w:rsidR="00FE0B4F" w14:paraId="0D6523C7" w14:textId="77777777" w:rsidTr="00B0510F">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326"/>
              <w:gridCol w:w="2179"/>
            </w:tblGrid>
            <w:tr w:rsidR="00FE0B4F" w14:paraId="0D652344" w14:textId="77777777" w:rsidTr="00684CA8">
              <w:trPr>
                <w:tblHeader/>
              </w:trPr>
              <w:tc>
                <w:tcPr>
                  <w:tcW w:w="3719" w:type="pct"/>
                  <w:tcBorders>
                    <w:top w:val="single" w:sz="6" w:space="0" w:color="BFBFBF"/>
                    <w:bottom w:val="single" w:sz="6" w:space="0" w:color="BFBFBF"/>
                  </w:tcBorders>
                </w:tcPr>
                <w:p w14:paraId="0D652342" w14:textId="77777777" w:rsidR="00FE0B4F" w:rsidRPr="001D22BF" w:rsidRDefault="0093153D" w:rsidP="00684CA8">
                  <w:pPr>
                    <w:pStyle w:val="TableColumnHeading"/>
                    <w:jc w:val="left"/>
                    <w:rPr>
                      <w:szCs w:val="18"/>
                    </w:rPr>
                  </w:pPr>
                  <w:r>
                    <w:rPr>
                      <w:szCs w:val="18"/>
                    </w:rPr>
                    <w:t>Higher education provider</w:t>
                  </w:r>
                </w:p>
              </w:tc>
              <w:tc>
                <w:tcPr>
                  <w:tcW w:w="1281" w:type="pct"/>
                  <w:tcBorders>
                    <w:top w:val="single" w:sz="6" w:space="0" w:color="BFBFBF"/>
                    <w:bottom w:val="single" w:sz="6" w:space="0" w:color="BFBFBF"/>
                  </w:tcBorders>
                </w:tcPr>
                <w:p w14:paraId="0D652343" w14:textId="77777777" w:rsidR="00FE0B4F" w:rsidRPr="001D22BF" w:rsidRDefault="00FE0B4F" w:rsidP="00684CA8">
                  <w:pPr>
                    <w:pStyle w:val="TableColumnHeading"/>
                    <w:rPr>
                      <w:szCs w:val="18"/>
                    </w:rPr>
                  </w:pPr>
                  <w:r w:rsidRPr="001D22BF">
                    <w:rPr>
                      <w:szCs w:val="18"/>
                    </w:rPr>
                    <w:t>Budgetary outlay</w:t>
                  </w:r>
                </w:p>
              </w:tc>
            </w:tr>
            <w:tr w:rsidR="00FE0B4F" w14:paraId="0D652347" w14:textId="77777777" w:rsidTr="00684CA8">
              <w:tc>
                <w:tcPr>
                  <w:tcW w:w="3719" w:type="pct"/>
                  <w:tcBorders>
                    <w:top w:val="single" w:sz="6" w:space="0" w:color="BFBFBF"/>
                  </w:tcBorders>
                </w:tcPr>
                <w:p w14:paraId="0D652345" w14:textId="77777777" w:rsidR="00FE0B4F" w:rsidRPr="001D22BF" w:rsidRDefault="00FE0B4F" w:rsidP="00684CA8">
                  <w:pPr>
                    <w:pStyle w:val="TableBodyText"/>
                    <w:jc w:val="left"/>
                    <w:rPr>
                      <w:szCs w:val="18"/>
                    </w:rPr>
                  </w:pPr>
                  <w:r w:rsidRPr="001D22BF">
                    <w:rPr>
                      <w:szCs w:val="18"/>
                    </w:rPr>
                    <w:t>Australian Catholic University</w:t>
                  </w:r>
                </w:p>
              </w:tc>
              <w:tc>
                <w:tcPr>
                  <w:tcW w:w="1281" w:type="pct"/>
                  <w:tcBorders>
                    <w:top w:val="single" w:sz="6" w:space="0" w:color="BFBFBF"/>
                  </w:tcBorders>
                </w:tcPr>
                <w:p w14:paraId="0D652346" w14:textId="77777777" w:rsidR="00FE0B4F" w:rsidRPr="001D22BF" w:rsidRDefault="00FE0B4F" w:rsidP="004775C9">
                  <w:pPr>
                    <w:pStyle w:val="TableBodyText"/>
                    <w:rPr>
                      <w:szCs w:val="18"/>
                    </w:rPr>
                  </w:pPr>
                  <w:r w:rsidRPr="001D22BF">
                    <w:rPr>
                      <w:szCs w:val="18"/>
                    </w:rPr>
                    <w:t>6</w:t>
                  </w:r>
                  <w:r>
                    <w:rPr>
                      <w:szCs w:val="18"/>
                    </w:rPr>
                    <w:t>.</w:t>
                  </w:r>
                  <w:r w:rsidRPr="001D22BF">
                    <w:rPr>
                      <w:szCs w:val="18"/>
                    </w:rPr>
                    <w:t>9</w:t>
                  </w:r>
                </w:p>
              </w:tc>
            </w:tr>
            <w:tr w:rsidR="00FE0B4F" w14:paraId="0D65234A" w14:textId="77777777" w:rsidTr="00684CA8">
              <w:tc>
                <w:tcPr>
                  <w:tcW w:w="3719" w:type="pct"/>
                </w:tcPr>
                <w:p w14:paraId="0D652348" w14:textId="77777777" w:rsidR="00FE0B4F" w:rsidRPr="001D22BF" w:rsidRDefault="00FE0B4F" w:rsidP="00684CA8">
                  <w:pPr>
                    <w:pStyle w:val="TableBodyText"/>
                    <w:jc w:val="left"/>
                    <w:rPr>
                      <w:szCs w:val="18"/>
                    </w:rPr>
                  </w:pPr>
                  <w:r w:rsidRPr="001D22BF">
                    <w:rPr>
                      <w:szCs w:val="18"/>
                    </w:rPr>
                    <w:t>Batchelor Institute of Indigenous Tertiary Education</w:t>
                  </w:r>
                </w:p>
              </w:tc>
              <w:tc>
                <w:tcPr>
                  <w:tcW w:w="1281" w:type="pct"/>
                </w:tcPr>
                <w:p w14:paraId="0D652349" w14:textId="77777777" w:rsidR="00FE0B4F" w:rsidRPr="001D22BF" w:rsidRDefault="00FE0B4F" w:rsidP="00684CA8">
                  <w:pPr>
                    <w:pStyle w:val="TableBodyText"/>
                    <w:rPr>
                      <w:szCs w:val="18"/>
                    </w:rPr>
                  </w:pPr>
                  <w:r>
                    <w:rPr>
                      <w:szCs w:val="18"/>
                    </w:rPr>
                    <w:t>0.</w:t>
                  </w:r>
                  <w:r w:rsidR="00F91DED">
                    <w:rPr>
                      <w:szCs w:val="18"/>
                    </w:rPr>
                    <w:t>4</w:t>
                  </w:r>
                </w:p>
              </w:tc>
            </w:tr>
            <w:tr w:rsidR="00FE0B4F" w14:paraId="0D65234D" w14:textId="77777777" w:rsidTr="00684CA8">
              <w:tc>
                <w:tcPr>
                  <w:tcW w:w="3719" w:type="pct"/>
                </w:tcPr>
                <w:p w14:paraId="0D65234B" w14:textId="77777777" w:rsidR="00FE0B4F" w:rsidRPr="001D22BF" w:rsidRDefault="00FE0B4F" w:rsidP="00684CA8">
                  <w:pPr>
                    <w:pStyle w:val="TableBodyText"/>
                    <w:jc w:val="left"/>
                    <w:rPr>
                      <w:szCs w:val="18"/>
                    </w:rPr>
                  </w:pPr>
                  <w:r w:rsidRPr="001D22BF">
                    <w:rPr>
                      <w:szCs w:val="18"/>
                    </w:rPr>
                    <w:t>Bond University</w:t>
                  </w:r>
                </w:p>
              </w:tc>
              <w:tc>
                <w:tcPr>
                  <w:tcW w:w="1281" w:type="pct"/>
                </w:tcPr>
                <w:p w14:paraId="0D65234C" w14:textId="77777777" w:rsidR="00FE0B4F" w:rsidRPr="001D22BF" w:rsidRDefault="00FE0B4F" w:rsidP="004775C9">
                  <w:pPr>
                    <w:pStyle w:val="TableBodyText"/>
                    <w:rPr>
                      <w:szCs w:val="18"/>
                    </w:rPr>
                  </w:pPr>
                  <w:r w:rsidRPr="001D22BF">
                    <w:rPr>
                      <w:szCs w:val="18"/>
                    </w:rPr>
                    <w:t>3</w:t>
                  </w:r>
                  <w:r>
                    <w:rPr>
                      <w:szCs w:val="18"/>
                    </w:rPr>
                    <w:t>.</w:t>
                  </w:r>
                  <w:r w:rsidRPr="001D22BF">
                    <w:rPr>
                      <w:szCs w:val="18"/>
                    </w:rPr>
                    <w:t>8</w:t>
                  </w:r>
                </w:p>
              </w:tc>
            </w:tr>
            <w:tr w:rsidR="00FE0B4F" w14:paraId="0D652350" w14:textId="77777777" w:rsidTr="00684CA8">
              <w:tc>
                <w:tcPr>
                  <w:tcW w:w="3719" w:type="pct"/>
                </w:tcPr>
                <w:p w14:paraId="0D65234E" w14:textId="77777777" w:rsidR="00FE0B4F" w:rsidRPr="001D22BF" w:rsidRDefault="00FE0B4F" w:rsidP="00684CA8">
                  <w:pPr>
                    <w:pStyle w:val="TableBodyText"/>
                    <w:jc w:val="left"/>
                    <w:rPr>
                      <w:szCs w:val="18"/>
                    </w:rPr>
                  </w:pPr>
                  <w:r w:rsidRPr="001D22BF">
                    <w:rPr>
                      <w:szCs w:val="18"/>
                    </w:rPr>
                    <w:t>Central Queensland University</w:t>
                  </w:r>
                </w:p>
              </w:tc>
              <w:tc>
                <w:tcPr>
                  <w:tcW w:w="1281" w:type="pct"/>
                </w:tcPr>
                <w:p w14:paraId="0D65234F" w14:textId="77777777" w:rsidR="00FE0B4F" w:rsidRPr="001D22BF" w:rsidRDefault="00F91DED" w:rsidP="00684CA8">
                  <w:pPr>
                    <w:pStyle w:val="TableBodyText"/>
                    <w:rPr>
                      <w:szCs w:val="18"/>
                    </w:rPr>
                  </w:pPr>
                  <w:r>
                    <w:rPr>
                      <w:szCs w:val="18"/>
                    </w:rPr>
                    <w:t>6.0</w:t>
                  </w:r>
                </w:p>
              </w:tc>
            </w:tr>
            <w:tr w:rsidR="00FE0B4F" w14:paraId="0D652353" w14:textId="77777777" w:rsidTr="00684CA8">
              <w:tc>
                <w:tcPr>
                  <w:tcW w:w="3719" w:type="pct"/>
                </w:tcPr>
                <w:p w14:paraId="0D652351" w14:textId="77777777" w:rsidR="00FE0B4F" w:rsidRPr="001D22BF" w:rsidRDefault="00FE0B4F" w:rsidP="00684CA8">
                  <w:pPr>
                    <w:pStyle w:val="TableBodyText"/>
                    <w:jc w:val="left"/>
                    <w:rPr>
                      <w:szCs w:val="18"/>
                    </w:rPr>
                  </w:pPr>
                  <w:r w:rsidRPr="001D22BF">
                    <w:rPr>
                      <w:szCs w:val="18"/>
                    </w:rPr>
                    <w:t>Charles Darwin University</w:t>
                  </w:r>
                </w:p>
              </w:tc>
              <w:tc>
                <w:tcPr>
                  <w:tcW w:w="1281" w:type="pct"/>
                </w:tcPr>
                <w:p w14:paraId="0D652352" w14:textId="77777777" w:rsidR="00FE0B4F" w:rsidRPr="001D22BF" w:rsidRDefault="00FE0B4F" w:rsidP="00684CA8">
                  <w:pPr>
                    <w:pStyle w:val="TableBodyText"/>
                    <w:rPr>
                      <w:szCs w:val="18"/>
                    </w:rPr>
                  </w:pPr>
                  <w:r w:rsidRPr="001D22BF">
                    <w:rPr>
                      <w:szCs w:val="18"/>
                    </w:rPr>
                    <w:t>14</w:t>
                  </w:r>
                  <w:r>
                    <w:rPr>
                      <w:szCs w:val="18"/>
                    </w:rPr>
                    <w:t>.</w:t>
                  </w:r>
                  <w:r w:rsidR="00F91DED">
                    <w:rPr>
                      <w:szCs w:val="18"/>
                    </w:rPr>
                    <w:t>6</w:t>
                  </w:r>
                </w:p>
              </w:tc>
            </w:tr>
            <w:tr w:rsidR="00FE0B4F" w14:paraId="0D652356" w14:textId="77777777" w:rsidTr="00684CA8">
              <w:tc>
                <w:tcPr>
                  <w:tcW w:w="3719" w:type="pct"/>
                </w:tcPr>
                <w:p w14:paraId="0D652354" w14:textId="77777777" w:rsidR="00FE0B4F" w:rsidRPr="001D22BF" w:rsidRDefault="00FE0B4F" w:rsidP="00684CA8">
                  <w:pPr>
                    <w:pStyle w:val="TableBodyText"/>
                    <w:jc w:val="left"/>
                    <w:rPr>
                      <w:szCs w:val="18"/>
                    </w:rPr>
                  </w:pPr>
                  <w:r w:rsidRPr="001D22BF">
                    <w:rPr>
                      <w:szCs w:val="18"/>
                    </w:rPr>
                    <w:t>Charles Sturt University</w:t>
                  </w:r>
                </w:p>
              </w:tc>
              <w:tc>
                <w:tcPr>
                  <w:tcW w:w="1281" w:type="pct"/>
                </w:tcPr>
                <w:p w14:paraId="0D652355" w14:textId="77777777" w:rsidR="00FE0B4F" w:rsidRPr="001D22BF" w:rsidRDefault="00FE0B4F" w:rsidP="00684CA8">
                  <w:pPr>
                    <w:pStyle w:val="TableBodyText"/>
                    <w:rPr>
                      <w:szCs w:val="18"/>
                    </w:rPr>
                  </w:pPr>
                  <w:r w:rsidRPr="001D22BF">
                    <w:rPr>
                      <w:szCs w:val="18"/>
                    </w:rPr>
                    <w:t>9</w:t>
                  </w:r>
                  <w:r>
                    <w:rPr>
                      <w:szCs w:val="18"/>
                    </w:rPr>
                    <w:t>.7</w:t>
                  </w:r>
                </w:p>
              </w:tc>
            </w:tr>
            <w:tr w:rsidR="00FE0B4F" w14:paraId="0D652359" w14:textId="77777777" w:rsidTr="00684CA8">
              <w:tc>
                <w:tcPr>
                  <w:tcW w:w="3719" w:type="pct"/>
                </w:tcPr>
                <w:p w14:paraId="0D652357" w14:textId="77777777" w:rsidR="00FE0B4F" w:rsidRPr="001D22BF" w:rsidRDefault="00FE0B4F" w:rsidP="00684CA8">
                  <w:pPr>
                    <w:pStyle w:val="TableBodyText"/>
                    <w:jc w:val="left"/>
                    <w:rPr>
                      <w:szCs w:val="18"/>
                    </w:rPr>
                  </w:pPr>
                  <w:r w:rsidRPr="001D22BF">
                    <w:rPr>
                      <w:szCs w:val="18"/>
                    </w:rPr>
                    <w:t>Curtin University of Technology</w:t>
                  </w:r>
                </w:p>
              </w:tc>
              <w:tc>
                <w:tcPr>
                  <w:tcW w:w="1281" w:type="pct"/>
                </w:tcPr>
                <w:p w14:paraId="0D652358" w14:textId="77777777" w:rsidR="00FE0B4F" w:rsidRPr="001D22BF" w:rsidRDefault="00FE0B4F" w:rsidP="00684CA8">
                  <w:pPr>
                    <w:pStyle w:val="TableBodyText"/>
                    <w:rPr>
                      <w:szCs w:val="18"/>
                    </w:rPr>
                  </w:pPr>
                  <w:r w:rsidRPr="001D22BF">
                    <w:rPr>
                      <w:szCs w:val="18"/>
                    </w:rPr>
                    <w:t>41</w:t>
                  </w:r>
                  <w:r>
                    <w:rPr>
                      <w:szCs w:val="18"/>
                    </w:rPr>
                    <w:t>.</w:t>
                  </w:r>
                  <w:r w:rsidR="00F91DED">
                    <w:rPr>
                      <w:szCs w:val="18"/>
                    </w:rPr>
                    <w:t>3</w:t>
                  </w:r>
                </w:p>
              </w:tc>
            </w:tr>
            <w:tr w:rsidR="00FE0B4F" w14:paraId="0D65235C" w14:textId="77777777" w:rsidTr="00684CA8">
              <w:tc>
                <w:tcPr>
                  <w:tcW w:w="3719" w:type="pct"/>
                </w:tcPr>
                <w:p w14:paraId="0D65235A" w14:textId="77777777" w:rsidR="00FE0B4F" w:rsidRPr="001D22BF" w:rsidRDefault="00FE0B4F" w:rsidP="00684CA8">
                  <w:pPr>
                    <w:pStyle w:val="TableBodyText"/>
                    <w:jc w:val="left"/>
                    <w:rPr>
                      <w:szCs w:val="18"/>
                    </w:rPr>
                  </w:pPr>
                  <w:r w:rsidRPr="001D22BF">
                    <w:rPr>
                      <w:szCs w:val="18"/>
                    </w:rPr>
                    <w:t>Deakin University</w:t>
                  </w:r>
                </w:p>
              </w:tc>
              <w:tc>
                <w:tcPr>
                  <w:tcW w:w="1281" w:type="pct"/>
                </w:tcPr>
                <w:p w14:paraId="0D65235B" w14:textId="77777777" w:rsidR="00FE0B4F" w:rsidRPr="001D22BF" w:rsidRDefault="00FE0B4F" w:rsidP="00684CA8">
                  <w:pPr>
                    <w:pStyle w:val="TableBodyText"/>
                    <w:rPr>
                      <w:szCs w:val="18"/>
                    </w:rPr>
                  </w:pPr>
                  <w:r w:rsidRPr="001D22BF">
                    <w:rPr>
                      <w:szCs w:val="18"/>
                    </w:rPr>
                    <w:t>29</w:t>
                  </w:r>
                  <w:r>
                    <w:rPr>
                      <w:szCs w:val="18"/>
                    </w:rPr>
                    <w:t>.1</w:t>
                  </w:r>
                </w:p>
              </w:tc>
            </w:tr>
            <w:tr w:rsidR="00FE0B4F" w14:paraId="0D65235F" w14:textId="77777777" w:rsidTr="00684CA8">
              <w:tc>
                <w:tcPr>
                  <w:tcW w:w="3719" w:type="pct"/>
                </w:tcPr>
                <w:p w14:paraId="0D65235D" w14:textId="77777777" w:rsidR="00FE0B4F" w:rsidRPr="001D22BF" w:rsidRDefault="00FE0B4F" w:rsidP="00684CA8">
                  <w:pPr>
                    <w:pStyle w:val="TableBodyText"/>
                    <w:jc w:val="left"/>
                    <w:rPr>
                      <w:szCs w:val="18"/>
                    </w:rPr>
                  </w:pPr>
                  <w:r w:rsidRPr="001D22BF">
                    <w:rPr>
                      <w:szCs w:val="18"/>
                    </w:rPr>
                    <w:t>Edith Cowan University</w:t>
                  </w:r>
                </w:p>
              </w:tc>
              <w:tc>
                <w:tcPr>
                  <w:tcW w:w="1281" w:type="pct"/>
                </w:tcPr>
                <w:p w14:paraId="0D65235E" w14:textId="77777777" w:rsidR="00FE0B4F" w:rsidRPr="001D22BF" w:rsidRDefault="00FE0B4F" w:rsidP="00684CA8">
                  <w:pPr>
                    <w:pStyle w:val="TableBodyText"/>
                    <w:rPr>
                      <w:szCs w:val="18"/>
                    </w:rPr>
                  </w:pPr>
                  <w:r w:rsidRPr="001D22BF">
                    <w:rPr>
                      <w:szCs w:val="18"/>
                    </w:rPr>
                    <w:t>11</w:t>
                  </w:r>
                  <w:r>
                    <w:rPr>
                      <w:szCs w:val="18"/>
                    </w:rPr>
                    <w:t>.</w:t>
                  </w:r>
                  <w:r w:rsidR="00F91DED">
                    <w:rPr>
                      <w:szCs w:val="18"/>
                    </w:rPr>
                    <w:t>5</w:t>
                  </w:r>
                </w:p>
              </w:tc>
            </w:tr>
            <w:tr w:rsidR="00FE0B4F" w14:paraId="0D652362" w14:textId="77777777" w:rsidTr="00684CA8">
              <w:tc>
                <w:tcPr>
                  <w:tcW w:w="3719" w:type="pct"/>
                </w:tcPr>
                <w:p w14:paraId="0D652360" w14:textId="77777777" w:rsidR="00FE0B4F" w:rsidRPr="001D22BF" w:rsidRDefault="00FE0B4F" w:rsidP="00684CA8">
                  <w:pPr>
                    <w:pStyle w:val="TableBodyText"/>
                    <w:jc w:val="left"/>
                    <w:rPr>
                      <w:szCs w:val="18"/>
                    </w:rPr>
                  </w:pPr>
                  <w:r w:rsidRPr="001D22BF">
                    <w:rPr>
                      <w:szCs w:val="18"/>
                    </w:rPr>
                    <w:t>Federation University Australia</w:t>
                  </w:r>
                </w:p>
              </w:tc>
              <w:tc>
                <w:tcPr>
                  <w:tcW w:w="1281" w:type="pct"/>
                </w:tcPr>
                <w:p w14:paraId="0D652361" w14:textId="77777777" w:rsidR="00FE0B4F" w:rsidRPr="001D22BF" w:rsidRDefault="00F91DED" w:rsidP="00684CA8">
                  <w:pPr>
                    <w:pStyle w:val="TableBodyText"/>
                    <w:rPr>
                      <w:szCs w:val="18"/>
                    </w:rPr>
                  </w:pPr>
                  <w:r>
                    <w:rPr>
                      <w:szCs w:val="18"/>
                    </w:rPr>
                    <w:t>4.0</w:t>
                  </w:r>
                </w:p>
              </w:tc>
            </w:tr>
            <w:tr w:rsidR="00FE0B4F" w14:paraId="0D652365" w14:textId="77777777" w:rsidTr="00684CA8">
              <w:tc>
                <w:tcPr>
                  <w:tcW w:w="3719" w:type="pct"/>
                </w:tcPr>
                <w:p w14:paraId="0D652363" w14:textId="77777777" w:rsidR="00FE0B4F" w:rsidRPr="001D22BF" w:rsidRDefault="00FE0B4F" w:rsidP="00684CA8">
                  <w:pPr>
                    <w:pStyle w:val="TableBodyText"/>
                    <w:jc w:val="left"/>
                    <w:rPr>
                      <w:szCs w:val="18"/>
                    </w:rPr>
                  </w:pPr>
                  <w:r w:rsidRPr="001D22BF">
                    <w:rPr>
                      <w:szCs w:val="18"/>
                    </w:rPr>
                    <w:t>Griffith University</w:t>
                  </w:r>
                </w:p>
              </w:tc>
              <w:tc>
                <w:tcPr>
                  <w:tcW w:w="1281" w:type="pct"/>
                </w:tcPr>
                <w:p w14:paraId="0D652364" w14:textId="77777777" w:rsidR="00FE0B4F" w:rsidRPr="001D22BF" w:rsidRDefault="00FE0B4F" w:rsidP="00684CA8">
                  <w:pPr>
                    <w:pStyle w:val="TableBodyText"/>
                    <w:rPr>
                      <w:szCs w:val="18"/>
                    </w:rPr>
                  </w:pPr>
                  <w:r w:rsidRPr="001D22BF">
                    <w:rPr>
                      <w:szCs w:val="18"/>
                    </w:rPr>
                    <w:t>38</w:t>
                  </w:r>
                  <w:r>
                    <w:rPr>
                      <w:szCs w:val="18"/>
                    </w:rPr>
                    <w:t>.</w:t>
                  </w:r>
                  <w:r w:rsidR="00F91DED">
                    <w:rPr>
                      <w:szCs w:val="18"/>
                    </w:rPr>
                    <w:t>1</w:t>
                  </w:r>
                </w:p>
              </w:tc>
            </w:tr>
            <w:tr w:rsidR="00FE0B4F" w14:paraId="0D652368" w14:textId="77777777" w:rsidTr="00684CA8">
              <w:tc>
                <w:tcPr>
                  <w:tcW w:w="3719" w:type="pct"/>
                </w:tcPr>
                <w:p w14:paraId="0D652366" w14:textId="77777777" w:rsidR="00FE0B4F" w:rsidRPr="001D22BF" w:rsidRDefault="00FE0B4F" w:rsidP="00684CA8">
                  <w:pPr>
                    <w:pStyle w:val="TableBodyText"/>
                    <w:jc w:val="left"/>
                    <w:rPr>
                      <w:szCs w:val="18"/>
                    </w:rPr>
                  </w:pPr>
                  <w:r w:rsidRPr="001D22BF">
                    <w:rPr>
                      <w:szCs w:val="18"/>
                    </w:rPr>
                    <w:t>James Cook University</w:t>
                  </w:r>
                </w:p>
              </w:tc>
              <w:tc>
                <w:tcPr>
                  <w:tcW w:w="1281" w:type="pct"/>
                </w:tcPr>
                <w:p w14:paraId="0D652367" w14:textId="77777777" w:rsidR="00FE0B4F" w:rsidRPr="001D22BF" w:rsidRDefault="00FE0B4F" w:rsidP="00684CA8">
                  <w:pPr>
                    <w:pStyle w:val="TableBodyText"/>
                    <w:rPr>
                      <w:szCs w:val="18"/>
                    </w:rPr>
                  </w:pPr>
                  <w:r w:rsidRPr="001D22BF">
                    <w:rPr>
                      <w:szCs w:val="18"/>
                    </w:rPr>
                    <w:t>25</w:t>
                  </w:r>
                  <w:r>
                    <w:rPr>
                      <w:szCs w:val="18"/>
                    </w:rPr>
                    <w:t>.8</w:t>
                  </w:r>
                </w:p>
              </w:tc>
            </w:tr>
            <w:tr w:rsidR="00FE0B4F" w14:paraId="0D65236B" w14:textId="77777777" w:rsidTr="00684CA8">
              <w:tc>
                <w:tcPr>
                  <w:tcW w:w="3719" w:type="pct"/>
                </w:tcPr>
                <w:p w14:paraId="0D652369" w14:textId="77777777" w:rsidR="00FE0B4F" w:rsidRPr="001D22BF" w:rsidRDefault="00FE0B4F" w:rsidP="00684CA8">
                  <w:pPr>
                    <w:pStyle w:val="TableBodyText"/>
                    <w:jc w:val="left"/>
                    <w:rPr>
                      <w:szCs w:val="18"/>
                    </w:rPr>
                  </w:pPr>
                  <w:r w:rsidRPr="001D22BF">
                    <w:rPr>
                      <w:szCs w:val="18"/>
                    </w:rPr>
                    <w:t>La Trobe University</w:t>
                  </w:r>
                </w:p>
              </w:tc>
              <w:tc>
                <w:tcPr>
                  <w:tcW w:w="1281" w:type="pct"/>
                </w:tcPr>
                <w:p w14:paraId="0D65236A" w14:textId="77777777" w:rsidR="00FE0B4F" w:rsidRPr="001D22BF" w:rsidRDefault="00FE0B4F" w:rsidP="00684CA8">
                  <w:pPr>
                    <w:pStyle w:val="TableBodyText"/>
                    <w:rPr>
                      <w:szCs w:val="18"/>
                    </w:rPr>
                  </w:pPr>
                  <w:r w:rsidRPr="001D22BF">
                    <w:rPr>
                      <w:szCs w:val="18"/>
                    </w:rPr>
                    <w:t>29</w:t>
                  </w:r>
                  <w:r>
                    <w:rPr>
                      <w:szCs w:val="18"/>
                    </w:rPr>
                    <w:t>.</w:t>
                  </w:r>
                  <w:r w:rsidRPr="001D22BF">
                    <w:rPr>
                      <w:szCs w:val="18"/>
                    </w:rPr>
                    <w:t>4</w:t>
                  </w:r>
                </w:p>
              </w:tc>
            </w:tr>
            <w:tr w:rsidR="00FE0B4F" w14:paraId="0D65236E" w14:textId="77777777" w:rsidTr="00684CA8">
              <w:tc>
                <w:tcPr>
                  <w:tcW w:w="3719" w:type="pct"/>
                </w:tcPr>
                <w:p w14:paraId="0D65236C" w14:textId="77777777" w:rsidR="00FE0B4F" w:rsidRPr="001D22BF" w:rsidRDefault="00FE0B4F" w:rsidP="00684CA8">
                  <w:pPr>
                    <w:pStyle w:val="TableBodyText"/>
                    <w:jc w:val="left"/>
                    <w:rPr>
                      <w:szCs w:val="18"/>
                    </w:rPr>
                  </w:pPr>
                  <w:r w:rsidRPr="001D22BF">
                    <w:rPr>
                      <w:szCs w:val="18"/>
                    </w:rPr>
                    <w:t>Macquarie University</w:t>
                  </w:r>
                </w:p>
              </w:tc>
              <w:tc>
                <w:tcPr>
                  <w:tcW w:w="1281" w:type="pct"/>
                </w:tcPr>
                <w:p w14:paraId="0D65236D" w14:textId="77777777" w:rsidR="00FE0B4F" w:rsidRPr="001D22BF" w:rsidRDefault="00FE0B4F" w:rsidP="00684CA8">
                  <w:pPr>
                    <w:pStyle w:val="TableBodyText"/>
                    <w:rPr>
                      <w:szCs w:val="18"/>
                    </w:rPr>
                  </w:pPr>
                  <w:r w:rsidRPr="001D22BF">
                    <w:rPr>
                      <w:szCs w:val="18"/>
                    </w:rPr>
                    <w:t>39</w:t>
                  </w:r>
                  <w:r>
                    <w:rPr>
                      <w:szCs w:val="18"/>
                    </w:rPr>
                    <w:t>.</w:t>
                  </w:r>
                  <w:r w:rsidRPr="001D22BF">
                    <w:rPr>
                      <w:szCs w:val="18"/>
                    </w:rPr>
                    <w:t>5</w:t>
                  </w:r>
                </w:p>
              </w:tc>
            </w:tr>
            <w:tr w:rsidR="00FE0B4F" w14:paraId="0D652371" w14:textId="77777777" w:rsidTr="00684CA8">
              <w:tc>
                <w:tcPr>
                  <w:tcW w:w="3719" w:type="pct"/>
                </w:tcPr>
                <w:p w14:paraId="0D65236F" w14:textId="77777777" w:rsidR="00FE0B4F" w:rsidRPr="001D22BF" w:rsidRDefault="00FE0B4F" w:rsidP="00684CA8">
                  <w:pPr>
                    <w:pStyle w:val="TableBodyText"/>
                    <w:jc w:val="left"/>
                    <w:rPr>
                      <w:szCs w:val="18"/>
                    </w:rPr>
                  </w:pPr>
                  <w:r w:rsidRPr="001D22BF">
                    <w:rPr>
                      <w:szCs w:val="18"/>
                    </w:rPr>
                    <w:t>MCD University of Divinity</w:t>
                  </w:r>
                </w:p>
              </w:tc>
              <w:tc>
                <w:tcPr>
                  <w:tcW w:w="1281" w:type="pct"/>
                </w:tcPr>
                <w:p w14:paraId="0D652370" w14:textId="77777777" w:rsidR="00FE0B4F" w:rsidRPr="001D22BF" w:rsidRDefault="00FE0B4F" w:rsidP="00684CA8">
                  <w:pPr>
                    <w:pStyle w:val="TableBodyText"/>
                    <w:rPr>
                      <w:szCs w:val="18"/>
                    </w:rPr>
                  </w:pPr>
                  <w:r w:rsidRPr="001D22BF">
                    <w:rPr>
                      <w:szCs w:val="18"/>
                    </w:rPr>
                    <w:t>1</w:t>
                  </w:r>
                  <w:r>
                    <w:rPr>
                      <w:szCs w:val="18"/>
                    </w:rPr>
                    <w:t>.</w:t>
                  </w:r>
                  <w:r w:rsidRPr="001D22BF">
                    <w:rPr>
                      <w:szCs w:val="18"/>
                    </w:rPr>
                    <w:t>5</w:t>
                  </w:r>
                </w:p>
              </w:tc>
            </w:tr>
            <w:tr w:rsidR="00FE0B4F" w14:paraId="0D652374" w14:textId="77777777" w:rsidTr="00684CA8">
              <w:tc>
                <w:tcPr>
                  <w:tcW w:w="3719" w:type="pct"/>
                </w:tcPr>
                <w:p w14:paraId="0D652372" w14:textId="77777777" w:rsidR="00FE0B4F" w:rsidRPr="001D22BF" w:rsidRDefault="00FE0B4F" w:rsidP="00684CA8">
                  <w:pPr>
                    <w:pStyle w:val="TableBodyText"/>
                    <w:jc w:val="left"/>
                    <w:rPr>
                      <w:szCs w:val="18"/>
                    </w:rPr>
                  </w:pPr>
                  <w:r w:rsidRPr="001D22BF">
                    <w:rPr>
                      <w:szCs w:val="18"/>
                    </w:rPr>
                    <w:t>Monash University</w:t>
                  </w:r>
                </w:p>
              </w:tc>
              <w:tc>
                <w:tcPr>
                  <w:tcW w:w="1281" w:type="pct"/>
                </w:tcPr>
                <w:p w14:paraId="0D652373" w14:textId="77777777" w:rsidR="00FE0B4F" w:rsidRPr="001D22BF" w:rsidRDefault="00FE0B4F" w:rsidP="00684CA8">
                  <w:pPr>
                    <w:pStyle w:val="TableBodyText"/>
                    <w:rPr>
                      <w:szCs w:val="18"/>
                    </w:rPr>
                  </w:pPr>
                  <w:r w:rsidRPr="001D22BF">
                    <w:rPr>
                      <w:szCs w:val="18"/>
                    </w:rPr>
                    <w:t>155</w:t>
                  </w:r>
                  <w:r>
                    <w:rPr>
                      <w:szCs w:val="18"/>
                    </w:rPr>
                    <w:t>.</w:t>
                  </w:r>
                  <w:r w:rsidRPr="001D22BF">
                    <w:rPr>
                      <w:szCs w:val="18"/>
                    </w:rPr>
                    <w:t>1</w:t>
                  </w:r>
                </w:p>
              </w:tc>
            </w:tr>
            <w:tr w:rsidR="00FE0B4F" w14:paraId="0D652377" w14:textId="77777777" w:rsidTr="00684CA8">
              <w:tc>
                <w:tcPr>
                  <w:tcW w:w="3719" w:type="pct"/>
                </w:tcPr>
                <w:p w14:paraId="0D652375" w14:textId="77777777" w:rsidR="00FE0B4F" w:rsidRPr="001D22BF" w:rsidRDefault="00FE0B4F" w:rsidP="00684CA8">
                  <w:pPr>
                    <w:pStyle w:val="TableBodyText"/>
                    <w:jc w:val="left"/>
                    <w:rPr>
                      <w:szCs w:val="18"/>
                    </w:rPr>
                  </w:pPr>
                  <w:r w:rsidRPr="001D22BF">
                    <w:rPr>
                      <w:szCs w:val="18"/>
                    </w:rPr>
                    <w:t>Murdoch University</w:t>
                  </w:r>
                </w:p>
              </w:tc>
              <w:tc>
                <w:tcPr>
                  <w:tcW w:w="1281" w:type="pct"/>
                </w:tcPr>
                <w:p w14:paraId="0D652376" w14:textId="77777777" w:rsidR="00FE0B4F" w:rsidRPr="001D22BF" w:rsidRDefault="00FE0B4F" w:rsidP="00684CA8">
                  <w:pPr>
                    <w:pStyle w:val="TableBodyText"/>
                    <w:rPr>
                      <w:szCs w:val="18"/>
                    </w:rPr>
                  </w:pPr>
                  <w:r w:rsidRPr="001D22BF">
                    <w:rPr>
                      <w:szCs w:val="18"/>
                    </w:rPr>
                    <w:t>18</w:t>
                  </w:r>
                  <w:r>
                    <w:rPr>
                      <w:szCs w:val="18"/>
                    </w:rPr>
                    <w:t>.</w:t>
                  </w:r>
                  <w:r w:rsidRPr="001D22BF">
                    <w:rPr>
                      <w:szCs w:val="18"/>
                    </w:rPr>
                    <w:t>6</w:t>
                  </w:r>
                </w:p>
              </w:tc>
            </w:tr>
            <w:tr w:rsidR="00FE0B4F" w14:paraId="0D65237A" w14:textId="77777777" w:rsidTr="00684CA8">
              <w:tc>
                <w:tcPr>
                  <w:tcW w:w="3719" w:type="pct"/>
                </w:tcPr>
                <w:p w14:paraId="0D652378" w14:textId="77777777" w:rsidR="00FE0B4F" w:rsidRPr="001D22BF" w:rsidRDefault="00FE0B4F" w:rsidP="00684CA8">
                  <w:pPr>
                    <w:pStyle w:val="TableBodyText"/>
                    <w:jc w:val="left"/>
                    <w:rPr>
                      <w:szCs w:val="18"/>
                    </w:rPr>
                  </w:pPr>
                  <w:r w:rsidRPr="001D22BF">
                    <w:rPr>
                      <w:szCs w:val="18"/>
                    </w:rPr>
                    <w:t>Queensland University of Technology</w:t>
                  </w:r>
                </w:p>
              </w:tc>
              <w:tc>
                <w:tcPr>
                  <w:tcW w:w="1281" w:type="pct"/>
                </w:tcPr>
                <w:p w14:paraId="0D652379" w14:textId="77777777" w:rsidR="00FE0B4F" w:rsidRPr="001D22BF" w:rsidRDefault="00FE0B4F" w:rsidP="00684CA8">
                  <w:pPr>
                    <w:pStyle w:val="TableBodyText"/>
                    <w:rPr>
                      <w:szCs w:val="18"/>
                    </w:rPr>
                  </w:pPr>
                  <w:r w:rsidRPr="001D22BF">
                    <w:rPr>
                      <w:szCs w:val="18"/>
                    </w:rPr>
                    <w:t>50</w:t>
                  </w:r>
                  <w:r>
                    <w:rPr>
                      <w:szCs w:val="18"/>
                    </w:rPr>
                    <w:t>.</w:t>
                  </w:r>
                  <w:r w:rsidR="00F91DED">
                    <w:rPr>
                      <w:szCs w:val="18"/>
                    </w:rPr>
                    <w:t>2</w:t>
                  </w:r>
                </w:p>
              </w:tc>
            </w:tr>
            <w:tr w:rsidR="00FE0B4F" w14:paraId="0D65237D" w14:textId="77777777" w:rsidTr="00684CA8">
              <w:tc>
                <w:tcPr>
                  <w:tcW w:w="3719" w:type="pct"/>
                </w:tcPr>
                <w:p w14:paraId="0D65237B" w14:textId="77777777" w:rsidR="00FE0B4F" w:rsidRPr="001D22BF" w:rsidRDefault="00FE0B4F" w:rsidP="00684CA8">
                  <w:pPr>
                    <w:pStyle w:val="TableBodyText"/>
                    <w:jc w:val="left"/>
                    <w:rPr>
                      <w:szCs w:val="18"/>
                    </w:rPr>
                  </w:pPr>
                  <w:r w:rsidRPr="001D22BF">
                    <w:rPr>
                      <w:szCs w:val="18"/>
                    </w:rPr>
                    <w:t>Royal Melbourne Institute of Technology</w:t>
                  </w:r>
                </w:p>
              </w:tc>
              <w:tc>
                <w:tcPr>
                  <w:tcW w:w="1281" w:type="pct"/>
                </w:tcPr>
                <w:p w14:paraId="0D65237C" w14:textId="77777777" w:rsidR="00FE0B4F" w:rsidRPr="001D22BF" w:rsidRDefault="00FE0B4F" w:rsidP="00684CA8">
                  <w:pPr>
                    <w:pStyle w:val="TableBodyText"/>
                    <w:rPr>
                      <w:szCs w:val="18"/>
                    </w:rPr>
                  </w:pPr>
                  <w:r w:rsidRPr="001D22BF">
                    <w:rPr>
                      <w:szCs w:val="18"/>
                    </w:rPr>
                    <w:t>34</w:t>
                  </w:r>
                  <w:r>
                    <w:rPr>
                      <w:szCs w:val="18"/>
                    </w:rPr>
                    <w:t>.</w:t>
                  </w:r>
                  <w:r w:rsidRPr="001D22BF">
                    <w:rPr>
                      <w:szCs w:val="18"/>
                    </w:rPr>
                    <w:t>1</w:t>
                  </w:r>
                </w:p>
              </w:tc>
            </w:tr>
            <w:tr w:rsidR="00FE0B4F" w14:paraId="0D652380" w14:textId="77777777" w:rsidTr="00684CA8">
              <w:tc>
                <w:tcPr>
                  <w:tcW w:w="3719" w:type="pct"/>
                </w:tcPr>
                <w:p w14:paraId="0D65237E" w14:textId="77777777" w:rsidR="00FE0B4F" w:rsidRPr="001D22BF" w:rsidRDefault="00FE0B4F" w:rsidP="00684CA8">
                  <w:pPr>
                    <w:pStyle w:val="TableBodyText"/>
                    <w:jc w:val="left"/>
                    <w:rPr>
                      <w:szCs w:val="18"/>
                    </w:rPr>
                  </w:pPr>
                  <w:r w:rsidRPr="001D22BF">
                    <w:rPr>
                      <w:szCs w:val="18"/>
                    </w:rPr>
                    <w:t>Southern Cross University</w:t>
                  </w:r>
                </w:p>
              </w:tc>
              <w:tc>
                <w:tcPr>
                  <w:tcW w:w="1281" w:type="pct"/>
                </w:tcPr>
                <w:p w14:paraId="0D65237F" w14:textId="77777777" w:rsidR="00FE0B4F" w:rsidRPr="001D22BF" w:rsidRDefault="00FE0B4F" w:rsidP="00684CA8">
                  <w:pPr>
                    <w:pStyle w:val="TableBodyText"/>
                    <w:rPr>
                      <w:szCs w:val="18"/>
                    </w:rPr>
                  </w:pPr>
                  <w:r w:rsidRPr="001D22BF">
                    <w:rPr>
                      <w:szCs w:val="18"/>
                    </w:rPr>
                    <w:t>7</w:t>
                  </w:r>
                  <w:r>
                    <w:rPr>
                      <w:szCs w:val="18"/>
                    </w:rPr>
                    <w:t>.</w:t>
                  </w:r>
                  <w:r w:rsidR="00F91DED">
                    <w:rPr>
                      <w:szCs w:val="18"/>
                    </w:rPr>
                    <w:t>9</w:t>
                  </w:r>
                </w:p>
              </w:tc>
            </w:tr>
            <w:tr w:rsidR="00FE0B4F" w14:paraId="0D652383" w14:textId="77777777" w:rsidTr="00684CA8">
              <w:tc>
                <w:tcPr>
                  <w:tcW w:w="3719" w:type="pct"/>
                </w:tcPr>
                <w:p w14:paraId="0D652381" w14:textId="77777777" w:rsidR="00FE0B4F" w:rsidRPr="001D22BF" w:rsidRDefault="00FE0B4F" w:rsidP="00684CA8">
                  <w:pPr>
                    <w:pStyle w:val="TableBodyText"/>
                    <w:jc w:val="left"/>
                    <w:rPr>
                      <w:szCs w:val="18"/>
                    </w:rPr>
                  </w:pPr>
                  <w:r w:rsidRPr="001D22BF">
                    <w:rPr>
                      <w:szCs w:val="18"/>
                    </w:rPr>
                    <w:t>Swinburne University of Technology</w:t>
                  </w:r>
                </w:p>
              </w:tc>
              <w:tc>
                <w:tcPr>
                  <w:tcW w:w="1281" w:type="pct"/>
                </w:tcPr>
                <w:p w14:paraId="0D652382" w14:textId="77777777" w:rsidR="00FE0B4F" w:rsidRPr="001D22BF" w:rsidRDefault="00FE0B4F" w:rsidP="00684CA8">
                  <w:pPr>
                    <w:pStyle w:val="TableBodyText"/>
                    <w:rPr>
                      <w:szCs w:val="18"/>
                    </w:rPr>
                  </w:pPr>
                  <w:r w:rsidRPr="001D22BF">
                    <w:rPr>
                      <w:szCs w:val="18"/>
                    </w:rPr>
                    <w:t>18</w:t>
                  </w:r>
                  <w:r>
                    <w:rPr>
                      <w:szCs w:val="18"/>
                    </w:rPr>
                    <w:t>.</w:t>
                  </w:r>
                  <w:r w:rsidR="00F91DED">
                    <w:rPr>
                      <w:szCs w:val="18"/>
                    </w:rPr>
                    <w:t>4</w:t>
                  </w:r>
                </w:p>
              </w:tc>
            </w:tr>
            <w:tr w:rsidR="00FE0B4F" w14:paraId="0D652386" w14:textId="77777777" w:rsidTr="00684CA8">
              <w:tc>
                <w:tcPr>
                  <w:tcW w:w="3719" w:type="pct"/>
                </w:tcPr>
                <w:p w14:paraId="0D652384" w14:textId="77777777" w:rsidR="00FE0B4F" w:rsidRPr="001D22BF" w:rsidRDefault="00FE0B4F" w:rsidP="00684CA8">
                  <w:pPr>
                    <w:pStyle w:val="TableBodyText"/>
                    <w:jc w:val="left"/>
                    <w:rPr>
                      <w:szCs w:val="18"/>
                    </w:rPr>
                  </w:pPr>
                  <w:r w:rsidRPr="001D22BF">
                    <w:rPr>
                      <w:szCs w:val="18"/>
                    </w:rPr>
                    <w:t>The Australian National University</w:t>
                  </w:r>
                </w:p>
              </w:tc>
              <w:tc>
                <w:tcPr>
                  <w:tcW w:w="1281" w:type="pct"/>
                </w:tcPr>
                <w:p w14:paraId="0D652385" w14:textId="77777777" w:rsidR="00FE0B4F" w:rsidRPr="001D22BF" w:rsidRDefault="00FE0B4F" w:rsidP="00684CA8">
                  <w:pPr>
                    <w:pStyle w:val="TableBodyText"/>
                    <w:rPr>
                      <w:szCs w:val="18"/>
                    </w:rPr>
                  </w:pPr>
                  <w:r w:rsidRPr="001D22BF">
                    <w:rPr>
                      <w:szCs w:val="18"/>
                    </w:rPr>
                    <w:t>105</w:t>
                  </w:r>
                  <w:r>
                    <w:rPr>
                      <w:szCs w:val="18"/>
                    </w:rPr>
                    <w:t>.</w:t>
                  </w:r>
                  <w:r w:rsidR="00F91DED">
                    <w:rPr>
                      <w:szCs w:val="18"/>
                    </w:rPr>
                    <w:t>2</w:t>
                  </w:r>
                </w:p>
              </w:tc>
            </w:tr>
            <w:tr w:rsidR="00FE0B4F" w14:paraId="0D652389" w14:textId="77777777" w:rsidTr="00684CA8">
              <w:tc>
                <w:tcPr>
                  <w:tcW w:w="3719" w:type="pct"/>
                </w:tcPr>
                <w:p w14:paraId="0D652387" w14:textId="77777777" w:rsidR="00FE0B4F" w:rsidRPr="001D22BF" w:rsidRDefault="00FE0B4F" w:rsidP="00684CA8">
                  <w:pPr>
                    <w:pStyle w:val="TableBodyText"/>
                    <w:jc w:val="left"/>
                    <w:rPr>
                      <w:szCs w:val="18"/>
                    </w:rPr>
                  </w:pPr>
                  <w:r w:rsidRPr="001D22BF">
                    <w:rPr>
                      <w:szCs w:val="18"/>
                    </w:rPr>
                    <w:t>The Flinders University of South Australia</w:t>
                  </w:r>
                </w:p>
              </w:tc>
              <w:tc>
                <w:tcPr>
                  <w:tcW w:w="1281" w:type="pct"/>
                </w:tcPr>
                <w:p w14:paraId="0D652388" w14:textId="77777777" w:rsidR="00FE0B4F" w:rsidRPr="001D22BF" w:rsidRDefault="00FE0B4F" w:rsidP="00684CA8">
                  <w:pPr>
                    <w:pStyle w:val="TableBodyText"/>
                    <w:rPr>
                      <w:szCs w:val="18"/>
                    </w:rPr>
                  </w:pPr>
                  <w:r w:rsidRPr="001D22BF">
                    <w:rPr>
                      <w:szCs w:val="18"/>
                    </w:rPr>
                    <w:t>27</w:t>
                  </w:r>
                  <w:r>
                    <w:rPr>
                      <w:szCs w:val="18"/>
                    </w:rPr>
                    <w:t>.</w:t>
                  </w:r>
                  <w:r w:rsidR="00F91DED">
                    <w:rPr>
                      <w:szCs w:val="18"/>
                    </w:rPr>
                    <w:t>7</w:t>
                  </w:r>
                </w:p>
              </w:tc>
            </w:tr>
            <w:tr w:rsidR="00FE0B4F" w14:paraId="0D65238C" w14:textId="77777777" w:rsidTr="00684CA8">
              <w:tc>
                <w:tcPr>
                  <w:tcW w:w="3719" w:type="pct"/>
                </w:tcPr>
                <w:p w14:paraId="0D65238A" w14:textId="77777777" w:rsidR="00FE0B4F" w:rsidRPr="001D22BF" w:rsidRDefault="00FE0B4F" w:rsidP="00684CA8">
                  <w:pPr>
                    <w:pStyle w:val="TableBodyText"/>
                    <w:jc w:val="left"/>
                    <w:rPr>
                      <w:szCs w:val="18"/>
                    </w:rPr>
                  </w:pPr>
                  <w:r w:rsidRPr="001D22BF">
                    <w:rPr>
                      <w:szCs w:val="18"/>
                    </w:rPr>
                    <w:t>The University of Adelaide</w:t>
                  </w:r>
                </w:p>
              </w:tc>
              <w:tc>
                <w:tcPr>
                  <w:tcW w:w="1281" w:type="pct"/>
                </w:tcPr>
                <w:p w14:paraId="0D65238B" w14:textId="77777777" w:rsidR="00FE0B4F" w:rsidRPr="001D22BF" w:rsidRDefault="00FE0B4F" w:rsidP="00684CA8">
                  <w:pPr>
                    <w:pStyle w:val="TableBodyText"/>
                    <w:rPr>
                      <w:szCs w:val="18"/>
                    </w:rPr>
                  </w:pPr>
                  <w:r w:rsidRPr="001D22BF">
                    <w:rPr>
                      <w:szCs w:val="18"/>
                    </w:rPr>
                    <w:t>87</w:t>
                  </w:r>
                  <w:r>
                    <w:rPr>
                      <w:szCs w:val="18"/>
                    </w:rPr>
                    <w:t>.3</w:t>
                  </w:r>
                </w:p>
              </w:tc>
            </w:tr>
            <w:tr w:rsidR="00FE0B4F" w14:paraId="0D65238F" w14:textId="77777777" w:rsidTr="00684CA8">
              <w:tc>
                <w:tcPr>
                  <w:tcW w:w="3719" w:type="pct"/>
                </w:tcPr>
                <w:p w14:paraId="0D65238D" w14:textId="77777777" w:rsidR="00FE0B4F" w:rsidRPr="001D22BF" w:rsidRDefault="00FE0B4F" w:rsidP="00684CA8">
                  <w:pPr>
                    <w:pStyle w:val="TableBodyText"/>
                    <w:jc w:val="left"/>
                    <w:rPr>
                      <w:szCs w:val="18"/>
                    </w:rPr>
                  </w:pPr>
                  <w:r w:rsidRPr="001D22BF">
                    <w:rPr>
                      <w:szCs w:val="18"/>
                    </w:rPr>
                    <w:t>The University of Melbourne</w:t>
                  </w:r>
                </w:p>
              </w:tc>
              <w:tc>
                <w:tcPr>
                  <w:tcW w:w="1281" w:type="pct"/>
                </w:tcPr>
                <w:p w14:paraId="0D65238E" w14:textId="77777777" w:rsidR="00FE0B4F" w:rsidRPr="001D22BF" w:rsidRDefault="00FE0B4F" w:rsidP="00684CA8">
                  <w:pPr>
                    <w:pStyle w:val="TableBodyText"/>
                    <w:rPr>
                      <w:szCs w:val="18"/>
                    </w:rPr>
                  </w:pPr>
                  <w:r w:rsidRPr="001D22BF">
                    <w:rPr>
                      <w:szCs w:val="18"/>
                    </w:rPr>
                    <w:t>18</w:t>
                  </w:r>
                  <w:r w:rsidR="00F91DED">
                    <w:rPr>
                      <w:szCs w:val="18"/>
                    </w:rPr>
                    <w:t>5.0</w:t>
                  </w:r>
                </w:p>
              </w:tc>
            </w:tr>
            <w:tr w:rsidR="00FE0B4F" w14:paraId="0D652392" w14:textId="77777777" w:rsidTr="00684CA8">
              <w:tc>
                <w:tcPr>
                  <w:tcW w:w="3719" w:type="pct"/>
                </w:tcPr>
                <w:p w14:paraId="0D652390" w14:textId="77777777" w:rsidR="00FE0B4F" w:rsidRPr="001D22BF" w:rsidRDefault="00FE0B4F" w:rsidP="00684CA8">
                  <w:pPr>
                    <w:pStyle w:val="TableBodyText"/>
                    <w:jc w:val="left"/>
                    <w:rPr>
                      <w:szCs w:val="18"/>
                    </w:rPr>
                  </w:pPr>
                  <w:r w:rsidRPr="001D22BF">
                    <w:rPr>
                      <w:szCs w:val="18"/>
                    </w:rPr>
                    <w:t>The University of Notre Dame Australia</w:t>
                  </w:r>
                </w:p>
              </w:tc>
              <w:tc>
                <w:tcPr>
                  <w:tcW w:w="1281" w:type="pct"/>
                </w:tcPr>
                <w:p w14:paraId="0D652391" w14:textId="77777777" w:rsidR="00FE0B4F" w:rsidRPr="001D22BF" w:rsidRDefault="00FE0B4F" w:rsidP="00684CA8">
                  <w:pPr>
                    <w:pStyle w:val="TableBodyText"/>
                    <w:rPr>
                      <w:szCs w:val="18"/>
                    </w:rPr>
                  </w:pPr>
                  <w:r w:rsidRPr="001D22BF">
                    <w:rPr>
                      <w:szCs w:val="18"/>
                    </w:rPr>
                    <w:t>1</w:t>
                  </w:r>
                  <w:r>
                    <w:rPr>
                      <w:szCs w:val="18"/>
                    </w:rPr>
                    <w:t>.</w:t>
                  </w:r>
                  <w:r w:rsidRPr="001D22BF">
                    <w:rPr>
                      <w:szCs w:val="18"/>
                    </w:rPr>
                    <w:t>5</w:t>
                  </w:r>
                </w:p>
              </w:tc>
            </w:tr>
            <w:tr w:rsidR="00FE0B4F" w14:paraId="0D652395" w14:textId="77777777" w:rsidTr="00684CA8">
              <w:tc>
                <w:tcPr>
                  <w:tcW w:w="3719" w:type="pct"/>
                </w:tcPr>
                <w:p w14:paraId="0D652393" w14:textId="77777777" w:rsidR="00FE0B4F" w:rsidRPr="001D22BF" w:rsidRDefault="00FE0B4F" w:rsidP="00684CA8">
                  <w:pPr>
                    <w:pStyle w:val="TableBodyText"/>
                    <w:jc w:val="left"/>
                    <w:rPr>
                      <w:szCs w:val="18"/>
                    </w:rPr>
                  </w:pPr>
                  <w:r w:rsidRPr="001D22BF">
                    <w:rPr>
                      <w:szCs w:val="18"/>
                    </w:rPr>
                    <w:t>The University of Queensland</w:t>
                  </w:r>
                </w:p>
              </w:tc>
              <w:tc>
                <w:tcPr>
                  <w:tcW w:w="1281" w:type="pct"/>
                </w:tcPr>
                <w:p w14:paraId="0D652394" w14:textId="77777777" w:rsidR="00FE0B4F" w:rsidRPr="001D22BF" w:rsidRDefault="00FE0B4F" w:rsidP="00684CA8">
                  <w:pPr>
                    <w:pStyle w:val="TableBodyText"/>
                    <w:rPr>
                      <w:szCs w:val="18"/>
                    </w:rPr>
                  </w:pPr>
                  <w:r w:rsidRPr="001D22BF">
                    <w:rPr>
                      <w:szCs w:val="18"/>
                    </w:rPr>
                    <w:t>176</w:t>
                  </w:r>
                  <w:r>
                    <w:rPr>
                      <w:szCs w:val="18"/>
                    </w:rPr>
                    <w:t>.</w:t>
                  </w:r>
                  <w:r w:rsidR="00F91DED">
                    <w:rPr>
                      <w:szCs w:val="18"/>
                    </w:rPr>
                    <w:t>6</w:t>
                  </w:r>
                </w:p>
              </w:tc>
            </w:tr>
            <w:tr w:rsidR="00FE0B4F" w14:paraId="0D652398" w14:textId="77777777" w:rsidTr="00684CA8">
              <w:tc>
                <w:tcPr>
                  <w:tcW w:w="3719" w:type="pct"/>
                </w:tcPr>
                <w:p w14:paraId="0D652396" w14:textId="77777777" w:rsidR="00FE0B4F" w:rsidRPr="001D22BF" w:rsidRDefault="00FE0B4F" w:rsidP="00684CA8">
                  <w:pPr>
                    <w:pStyle w:val="TableBodyText"/>
                    <w:jc w:val="left"/>
                    <w:rPr>
                      <w:szCs w:val="18"/>
                    </w:rPr>
                  </w:pPr>
                  <w:r w:rsidRPr="001D22BF">
                    <w:rPr>
                      <w:szCs w:val="18"/>
                    </w:rPr>
                    <w:t>The University of Sydney</w:t>
                  </w:r>
                </w:p>
              </w:tc>
              <w:tc>
                <w:tcPr>
                  <w:tcW w:w="1281" w:type="pct"/>
                </w:tcPr>
                <w:p w14:paraId="0D652397" w14:textId="77777777" w:rsidR="00FE0B4F" w:rsidRPr="001D22BF" w:rsidRDefault="00FE0B4F" w:rsidP="00684CA8">
                  <w:pPr>
                    <w:pStyle w:val="TableBodyText"/>
                    <w:rPr>
                      <w:szCs w:val="18"/>
                    </w:rPr>
                  </w:pPr>
                  <w:r w:rsidRPr="001D22BF">
                    <w:rPr>
                      <w:szCs w:val="18"/>
                    </w:rPr>
                    <w:t>180</w:t>
                  </w:r>
                  <w:r>
                    <w:rPr>
                      <w:szCs w:val="18"/>
                    </w:rPr>
                    <w:t>.</w:t>
                  </w:r>
                  <w:r w:rsidR="00F91DED">
                    <w:rPr>
                      <w:szCs w:val="18"/>
                    </w:rPr>
                    <w:t>9</w:t>
                  </w:r>
                </w:p>
              </w:tc>
            </w:tr>
            <w:tr w:rsidR="00FE0B4F" w14:paraId="0D65239B" w14:textId="77777777" w:rsidTr="00684CA8">
              <w:tc>
                <w:tcPr>
                  <w:tcW w:w="3719" w:type="pct"/>
                </w:tcPr>
                <w:p w14:paraId="0D652399" w14:textId="77777777" w:rsidR="00FE0B4F" w:rsidRPr="001D22BF" w:rsidRDefault="00FE0B4F" w:rsidP="00684CA8">
                  <w:pPr>
                    <w:pStyle w:val="TableBodyText"/>
                    <w:jc w:val="left"/>
                    <w:rPr>
                      <w:szCs w:val="18"/>
                    </w:rPr>
                  </w:pPr>
                  <w:r w:rsidRPr="001D22BF">
                    <w:rPr>
                      <w:szCs w:val="18"/>
                    </w:rPr>
                    <w:t>The University of Western Australia</w:t>
                  </w:r>
                </w:p>
              </w:tc>
              <w:tc>
                <w:tcPr>
                  <w:tcW w:w="1281" w:type="pct"/>
                </w:tcPr>
                <w:p w14:paraId="0D65239A" w14:textId="77777777" w:rsidR="00FE0B4F" w:rsidRPr="001D22BF" w:rsidRDefault="00FE0B4F" w:rsidP="00684CA8">
                  <w:pPr>
                    <w:pStyle w:val="TableBodyText"/>
                    <w:rPr>
                      <w:szCs w:val="18"/>
                    </w:rPr>
                  </w:pPr>
                  <w:r w:rsidRPr="001D22BF">
                    <w:rPr>
                      <w:szCs w:val="18"/>
                    </w:rPr>
                    <w:t>91</w:t>
                  </w:r>
                  <w:r>
                    <w:rPr>
                      <w:szCs w:val="18"/>
                    </w:rPr>
                    <w:t>.</w:t>
                  </w:r>
                  <w:r w:rsidR="00F91DED">
                    <w:rPr>
                      <w:szCs w:val="18"/>
                    </w:rPr>
                    <w:t>3</w:t>
                  </w:r>
                </w:p>
              </w:tc>
            </w:tr>
            <w:tr w:rsidR="00FE0B4F" w14:paraId="0D65239E" w14:textId="77777777" w:rsidTr="00684CA8">
              <w:tc>
                <w:tcPr>
                  <w:tcW w:w="3719" w:type="pct"/>
                </w:tcPr>
                <w:p w14:paraId="0D65239C" w14:textId="77777777" w:rsidR="00FE0B4F" w:rsidRPr="001D22BF" w:rsidRDefault="00FE0B4F" w:rsidP="00684CA8">
                  <w:pPr>
                    <w:pStyle w:val="TableBodyText"/>
                    <w:jc w:val="left"/>
                    <w:rPr>
                      <w:szCs w:val="18"/>
                    </w:rPr>
                  </w:pPr>
                  <w:r w:rsidRPr="001D22BF">
                    <w:rPr>
                      <w:szCs w:val="18"/>
                    </w:rPr>
                    <w:t>Torrens University Australia</w:t>
                  </w:r>
                </w:p>
              </w:tc>
              <w:tc>
                <w:tcPr>
                  <w:tcW w:w="1281" w:type="pct"/>
                </w:tcPr>
                <w:p w14:paraId="0D65239D" w14:textId="77777777" w:rsidR="00FE0B4F" w:rsidRPr="001D22BF" w:rsidRDefault="00FE0B4F" w:rsidP="00684CA8">
                  <w:pPr>
                    <w:pStyle w:val="TableBodyText"/>
                    <w:rPr>
                      <w:szCs w:val="18"/>
                    </w:rPr>
                  </w:pPr>
                  <w:r w:rsidRPr="001D22BF">
                    <w:rPr>
                      <w:szCs w:val="18"/>
                    </w:rPr>
                    <w:t>49</w:t>
                  </w:r>
                  <w:r>
                    <w:rPr>
                      <w:szCs w:val="18"/>
                    </w:rPr>
                    <w:t>.</w:t>
                  </w:r>
                  <w:r w:rsidRPr="001D22BF">
                    <w:rPr>
                      <w:szCs w:val="18"/>
                    </w:rPr>
                    <w:t>5</w:t>
                  </w:r>
                </w:p>
              </w:tc>
            </w:tr>
            <w:tr w:rsidR="00FE0B4F" w14:paraId="0D6523A1" w14:textId="77777777" w:rsidTr="00684CA8">
              <w:tc>
                <w:tcPr>
                  <w:tcW w:w="3719" w:type="pct"/>
                </w:tcPr>
                <w:p w14:paraId="0D65239F" w14:textId="77777777" w:rsidR="00FE0B4F" w:rsidRPr="001D22BF" w:rsidRDefault="00FE0B4F" w:rsidP="00684CA8">
                  <w:pPr>
                    <w:pStyle w:val="TableBodyText"/>
                    <w:jc w:val="left"/>
                    <w:rPr>
                      <w:szCs w:val="18"/>
                    </w:rPr>
                  </w:pPr>
                  <w:r w:rsidRPr="001D22BF">
                    <w:rPr>
                      <w:szCs w:val="18"/>
                    </w:rPr>
                    <w:t>University of Canberra</w:t>
                  </w:r>
                </w:p>
              </w:tc>
              <w:tc>
                <w:tcPr>
                  <w:tcW w:w="1281" w:type="pct"/>
                </w:tcPr>
                <w:p w14:paraId="0D6523A0" w14:textId="77777777" w:rsidR="00FE0B4F" w:rsidRPr="001D22BF" w:rsidRDefault="00FE0B4F" w:rsidP="00684CA8">
                  <w:pPr>
                    <w:pStyle w:val="TableBodyText"/>
                    <w:rPr>
                      <w:szCs w:val="18"/>
                    </w:rPr>
                  </w:pPr>
                  <w:r w:rsidRPr="001D22BF">
                    <w:rPr>
                      <w:szCs w:val="18"/>
                    </w:rPr>
                    <w:t>9</w:t>
                  </w:r>
                  <w:r>
                    <w:rPr>
                      <w:szCs w:val="18"/>
                    </w:rPr>
                    <w:t>.</w:t>
                  </w:r>
                  <w:r w:rsidR="00F91DED">
                    <w:rPr>
                      <w:szCs w:val="18"/>
                    </w:rPr>
                    <w:t>3</w:t>
                  </w:r>
                </w:p>
              </w:tc>
            </w:tr>
            <w:tr w:rsidR="00FE0B4F" w14:paraId="0D6523A4" w14:textId="77777777" w:rsidTr="00684CA8">
              <w:tc>
                <w:tcPr>
                  <w:tcW w:w="3719" w:type="pct"/>
                </w:tcPr>
                <w:p w14:paraId="0D6523A2" w14:textId="77777777" w:rsidR="00FE0B4F" w:rsidRPr="001D22BF" w:rsidRDefault="00FE0B4F" w:rsidP="00684CA8">
                  <w:pPr>
                    <w:pStyle w:val="TableBodyText"/>
                    <w:jc w:val="left"/>
                    <w:rPr>
                      <w:szCs w:val="18"/>
                    </w:rPr>
                  </w:pPr>
                  <w:r w:rsidRPr="001D22BF">
                    <w:rPr>
                      <w:szCs w:val="18"/>
                    </w:rPr>
                    <w:t>University of New England</w:t>
                  </w:r>
                </w:p>
              </w:tc>
              <w:tc>
                <w:tcPr>
                  <w:tcW w:w="1281" w:type="pct"/>
                </w:tcPr>
                <w:p w14:paraId="0D6523A3" w14:textId="77777777" w:rsidR="00FE0B4F" w:rsidRPr="001D22BF" w:rsidRDefault="00FE0B4F" w:rsidP="00684CA8">
                  <w:pPr>
                    <w:pStyle w:val="TableBodyText"/>
                    <w:rPr>
                      <w:szCs w:val="18"/>
                    </w:rPr>
                  </w:pPr>
                  <w:r w:rsidRPr="001D22BF">
                    <w:rPr>
                      <w:szCs w:val="18"/>
                    </w:rPr>
                    <w:t>15</w:t>
                  </w:r>
                  <w:r>
                    <w:rPr>
                      <w:szCs w:val="18"/>
                    </w:rPr>
                    <w:t>.</w:t>
                  </w:r>
                  <w:r w:rsidR="00F91DED">
                    <w:rPr>
                      <w:szCs w:val="18"/>
                    </w:rPr>
                    <w:t>8</w:t>
                  </w:r>
                </w:p>
              </w:tc>
            </w:tr>
            <w:tr w:rsidR="00FE0B4F" w14:paraId="0D6523A7" w14:textId="77777777" w:rsidTr="00684CA8">
              <w:tc>
                <w:tcPr>
                  <w:tcW w:w="3719" w:type="pct"/>
                </w:tcPr>
                <w:p w14:paraId="0D6523A5" w14:textId="77777777" w:rsidR="00FE0B4F" w:rsidRPr="001D22BF" w:rsidRDefault="00FE0B4F" w:rsidP="00684CA8">
                  <w:pPr>
                    <w:pStyle w:val="TableBodyText"/>
                    <w:jc w:val="left"/>
                    <w:rPr>
                      <w:szCs w:val="18"/>
                    </w:rPr>
                  </w:pPr>
                  <w:r w:rsidRPr="001D22BF">
                    <w:rPr>
                      <w:szCs w:val="18"/>
                    </w:rPr>
                    <w:t>University of New South Wales</w:t>
                  </w:r>
                </w:p>
              </w:tc>
              <w:tc>
                <w:tcPr>
                  <w:tcW w:w="1281" w:type="pct"/>
                </w:tcPr>
                <w:p w14:paraId="0D6523A6" w14:textId="77777777" w:rsidR="00FE0B4F" w:rsidRPr="001D22BF" w:rsidRDefault="00FE0B4F" w:rsidP="00684CA8">
                  <w:pPr>
                    <w:pStyle w:val="TableBodyText"/>
                    <w:rPr>
                      <w:szCs w:val="18"/>
                    </w:rPr>
                  </w:pPr>
                  <w:r w:rsidRPr="001D22BF">
                    <w:rPr>
                      <w:szCs w:val="18"/>
                    </w:rPr>
                    <w:t>16</w:t>
                  </w:r>
                  <w:r w:rsidR="00F91DED">
                    <w:rPr>
                      <w:szCs w:val="18"/>
                    </w:rPr>
                    <w:t>4.0</w:t>
                  </w:r>
                </w:p>
              </w:tc>
            </w:tr>
            <w:tr w:rsidR="00FE0B4F" w14:paraId="0D6523AA" w14:textId="77777777" w:rsidTr="00684CA8">
              <w:tc>
                <w:tcPr>
                  <w:tcW w:w="3719" w:type="pct"/>
                </w:tcPr>
                <w:p w14:paraId="0D6523A8" w14:textId="77777777" w:rsidR="00FE0B4F" w:rsidRPr="001D22BF" w:rsidRDefault="00FE0B4F" w:rsidP="00684CA8">
                  <w:pPr>
                    <w:pStyle w:val="TableBodyText"/>
                    <w:jc w:val="left"/>
                    <w:rPr>
                      <w:szCs w:val="18"/>
                    </w:rPr>
                  </w:pPr>
                  <w:r w:rsidRPr="001D22BF">
                    <w:rPr>
                      <w:szCs w:val="18"/>
                    </w:rPr>
                    <w:t>University of Newcastle</w:t>
                  </w:r>
                </w:p>
              </w:tc>
              <w:tc>
                <w:tcPr>
                  <w:tcW w:w="1281" w:type="pct"/>
                </w:tcPr>
                <w:p w14:paraId="0D6523A9" w14:textId="77777777" w:rsidR="00FE0B4F" w:rsidRPr="001D22BF" w:rsidRDefault="00FE0B4F" w:rsidP="00684CA8">
                  <w:pPr>
                    <w:pStyle w:val="TableBodyText"/>
                    <w:rPr>
                      <w:szCs w:val="18"/>
                    </w:rPr>
                  </w:pPr>
                  <w:r w:rsidRPr="001D22BF">
                    <w:rPr>
                      <w:szCs w:val="18"/>
                    </w:rPr>
                    <w:t>41</w:t>
                  </w:r>
                  <w:r>
                    <w:rPr>
                      <w:szCs w:val="18"/>
                    </w:rPr>
                    <w:t>.</w:t>
                  </w:r>
                  <w:r w:rsidRPr="001D22BF">
                    <w:rPr>
                      <w:szCs w:val="18"/>
                    </w:rPr>
                    <w:t>3</w:t>
                  </w:r>
                </w:p>
              </w:tc>
            </w:tr>
            <w:tr w:rsidR="00FE0B4F" w14:paraId="0D6523AD" w14:textId="77777777" w:rsidTr="00684CA8">
              <w:tc>
                <w:tcPr>
                  <w:tcW w:w="3719" w:type="pct"/>
                </w:tcPr>
                <w:p w14:paraId="0D6523AB" w14:textId="77777777" w:rsidR="00FE0B4F" w:rsidRPr="001D22BF" w:rsidRDefault="00FE0B4F" w:rsidP="00684CA8">
                  <w:pPr>
                    <w:pStyle w:val="TableBodyText"/>
                    <w:jc w:val="left"/>
                    <w:rPr>
                      <w:szCs w:val="18"/>
                    </w:rPr>
                  </w:pPr>
                  <w:r w:rsidRPr="001D22BF">
                    <w:rPr>
                      <w:szCs w:val="18"/>
                    </w:rPr>
                    <w:t>University of South Australia</w:t>
                  </w:r>
                </w:p>
              </w:tc>
              <w:tc>
                <w:tcPr>
                  <w:tcW w:w="1281" w:type="pct"/>
                </w:tcPr>
                <w:p w14:paraId="0D6523AC" w14:textId="77777777" w:rsidR="00FE0B4F" w:rsidRPr="001D22BF" w:rsidRDefault="00FE0B4F" w:rsidP="00684CA8">
                  <w:pPr>
                    <w:pStyle w:val="TableBodyText"/>
                    <w:rPr>
                      <w:szCs w:val="18"/>
                    </w:rPr>
                  </w:pPr>
                  <w:r w:rsidRPr="001D22BF">
                    <w:rPr>
                      <w:szCs w:val="18"/>
                    </w:rPr>
                    <w:t>34</w:t>
                  </w:r>
                  <w:r>
                    <w:rPr>
                      <w:szCs w:val="18"/>
                    </w:rPr>
                    <w:t>.</w:t>
                  </w:r>
                  <w:r w:rsidRPr="001D22BF">
                    <w:rPr>
                      <w:szCs w:val="18"/>
                    </w:rPr>
                    <w:t>7</w:t>
                  </w:r>
                </w:p>
              </w:tc>
            </w:tr>
            <w:tr w:rsidR="00FE0B4F" w14:paraId="0D6523B0" w14:textId="77777777" w:rsidTr="00684CA8">
              <w:tc>
                <w:tcPr>
                  <w:tcW w:w="3719" w:type="pct"/>
                </w:tcPr>
                <w:p w14:paraId="0D6523AE" w14:textId="77777777" w:rsidR="00FE0B4F" w:rsidRPr="001D22BF" w:rsidRDefault="00FE0B4F" w:rsidP="00684CA8">
                  <w:pPr>
                    <w:pStyle w:val="TableBodyText"/>
                    <w:jc w:val="left"/>
                    <w:rPr>
                      <w:szCs w:val="18"/>
                    </w:rPr>
                  </w:pPr>
                  <w:r w:rsidRPr="001D22BF">
                    <w:rPr>
                      <w:szCs w:val="18"/>
                    </w:rPr>
                    <w:t>University of Southern Queensland</w:t>
                  </w:r>
                </w:p>
              </w:tc>
              <w:tc>
                <w:tcPr>
                  <w:tcW w:w="1281" w:type="pct"/>
                </w:tcPr>
                <w:p w14:paraId="0D6523AF" w14:textId="77777777" w:rsidR="00FE0B4F" w:rsidRPr="001D22BF" w:rsidRDefault="00FE0B4F" w:rsidP="00684CA8">
                  <w:pPr>
                    <w:pStyle w:val="TableBodyText"/>
                    <w:rPr>
                      <w:szCs w:val="18"/>
                    </w:rPr>
                  </w:pPr>
                  <w:r w:rsidRPr="001D22BF">
                    <w:rPr>
                      <w:szCs w:val="18"/>
                    </w:rPr>
                    <w:t>8</w:t>
                  </w:r>
                  <w:r>
                    <w:rPr>
                      <w:szCs w:val="18"/>
                    </w:rPr>
                    <w:t>.</w:t>
                  </w:r>
                  <w:r w:rsidR="00F91DED">
                    <w:rPr>
                      <w:szCs w:val="18"/>
                    </w:rPr>
                    <w:t>3</w:t>
                  </w:r>
                </w:p>
              </w:tc>
            </w:tr>
            <w:tr w:rsidR="00FE0B4F" w14:paraId="0D6523B3" w14:textId="77777777" w:rsidTr="00684CA8">
              <w:tc>
                <w:tcPr>
                  <w:tcW w:w="3719" w:type="pct"/>
                </w:tcPr>
                <w:p w14:paraId="0D6523B1" w14:textId="77777777" w:rsidR="00FE0B4F" w:rsidRPr="001D22BF" w:rsidRDefault="00FE0B4F" w:rsidP="00684CA8">
                  <w:pPr>
                    <w:pStyle w:val="TableBodyText"/>
                    <w:jc w:val="left"/>
                    <w:rPr>
                      <w:szCs w:val="18"/>
                    </w:rPr>
                  </w:pPr>
                  <w:r w:rsidRPr="001D22BF">
                    <w:rPr>
                      <w:szCs w:val="18"/>
                    </w:rPr>
                    <w:t>University of Tasmania</w:t>
                  </w:r>
                </w:p>
              </w:tc>
              <w:tc>
                <w:tcPr>
                  <w:tcW w:w="1281" w:type="pct"/>
                </w:tcPr>
                <w:p w14:paraId="0D6523B2" w14:textId="77777777" w:rsidR="00FE0B4F" w:rsidRPr="001D22BF" w:rsidRDefault="00FE0B4F" w:rsidP="00684CA8">
                  <w:pPr>
                    <w:pStyle w:val="TableBodyText"/>
                    <w:rPr>
                      <w:szCs w:val="18"/>
                    </w:rPr>
                  </w:pPr>
                  <w:r w:rsidRPr="001D22BF">
                    <w:rPr>
                      <w:szCs w:val="18"/>
                    </w:rPr>
                    <w:t>43</w:t>
                  </w:r>
                  <w:r>
                    <w:rPr>
                      <w:szCs w:val="18"/>
                    </w:rPr>
                    <w:t>.</w:t>
                  </w:r>
                  <w:r w:rsidR="00F91DED">
                    <w:rPr>
                      <w:szCs w:val="18"/>
                    </w:rPr>
                    <w:t>2</w:t>
                  </w:r>
                </w:p>
              </w:tc>
            </w:tr>
            <w:tr w:rsidR="00FE0B4F" w14:paraId="0D6523B6" w14:textId="77777777" w:rsidTr="00684CA8">
              <w:tc>
                <w:tcPr>
                  <w:tcW w:w="3719" w:type="pct"/>
                </w:tcPr>
                <w:p w14:paraId="0D6523B4" w14:textId="77777777" w:rsidR="00FE0B4F" w:rsidRPr="001D22BF" w:rsidRDefault="00FE0B4F" w:rsidP="00684CA8">
                  <w:pPr>
                    <w:pStyle w:val="TableBodyText"/>
                    <w:jc w:val="left"/>
                    <w:rPr>
                      <w:szCs w:val="18"/>
                    </w:rPr>
                  </w:pPr>
                  <w:r w:rsidRPr="001D22BF">
                    <w:rPr>
                      <w:szCs w:val="18"/>
                    </w:rPr>
                    <w:t>University of Technology, Sydney</w:t>
                  </w:r>
                </w:p>
              </w:tc>
              <w:tc>
                <w:tcPr>
                  <w:tcW w:w="1281" w:type="pct"/>
                </w:tcPr>
                <w:p w14:paraId="0D6523B5" w14:textId="77777777" w:rsidR="00FE0B4F" w:rsidRPr="001D22BF" w:rsidRDefault="00FE0B4F" w:rsidP="00684CA8">
                  <w:pPr>
                    <w:pStyle w:val="TableBodyText"/>
                    <w:rPr>
                      <w:szCs w:val="18"/>
                    </w:rPr>
                  </w:pPr>
                  <w:r w:rsidRPr="001D22BF">
                    <w:rPr>
                      <w:szCs w:val="18"/>
                    </w:rPr>
                    <w:t>27</w:t>
                  </w:r>
                  <w:r>
                    <w:rPr>
                      <w:szCs w:val="18"/>
                    </w:rPr>
                    <w:t>.</w:t>
                  </w:r>
                  <w:r w:rsidRPr="001D22BF">
                    <w:rPr>
                      <w:szCs w:val="18"/>
                    </w:rPr>
                    <w:t>0</w:t>
                  </w:r>
                </w:p>
              </w:tc>
            </w:tr>
            <w:tr w:rsidR="00FE0B4F" w14:paraId="0D6523B9" w14:textId="77777777" w:rsidTr="00684CA8">
              <w:tc>
                <w:tcPr>
                  <w:tcW w:w="3719" w:type="pct"/>
                </w:tcPr>
                <w:p w14:paraId="0D6523B7" w14:textId="77777777" w:rsidR="00FE0B4F" w:rsidRPr="001D22BF" w:rsidRDefault="00FE0B4F" w:rsidP="00684CA8">
                  <w:pPr>
                    <w:pStyle w:val="TableBodyText"/>
                    <w:jc w:val="left"/>
                    <w:rPr>
                      <w:szCs w:val="18"/>
                    </w:rPr>
                  </w:pPr>
                  <w:r w:rsidRPr="001D22BF">
                    <w:rPr>
                      <w:szCs w:val="18"/>
                    </w:rPr>
                    <w:t>University of the Sunshine Coast</w:t>
                  </w:r>
                </w:p>
              </w:tc>
              <w:tc>
                <w:tcPr>
                  <w:tcW w:w="1281" w:type="pct"/>
                </w:tcPr>
                <w:p w14:paraId="0D6523B8" w14:textId="77777777" w:rsidR="00FE0B4F" w:rsidRPr="001D22BF" w:rsidRDefault="00FE0B4F" w:rsidP="00684CA8">
                  <w:pPr>
                    <w:pStyle w:val="TableBodyText"/>
                    <w:rPr>
                      <w:szCs w:val="18"/>
                    </w:rPr>
                  </w:pPr>
                  <w:r w:rsidRPr="001D22BF">
                    <w:rPr>
                      <w:szCs w:val="18"/>
                    </w:rPr>
                    <w:t>4</w:t>
                  </w:r>
                  <w:r>
                    <w:rPr>
                      <w:szCs w:val="18"/>
                    </w:rPr>
                    <w:t>.</w:t>
                  </w:r>
                  <w:r w:rsidR="00F91DED">
                    <w:rPr>
                      <w:szCs w:val="18"/>
                    </w:rPr>
                    <w:t>8</w:t>
                  </w:r>
                </w:p>
              </w:tc>
            </w:tr>
            <w:tr w:rsidR="00FE0B4F" w14:paraId="0D6523BC" w14:textId="77777777" w:rsidTr="00684CA8">
              <w:tc>
                <w:tcPr>
                  <w:tcW w:w="3719" w:type="pct"/>
                </w:tcPr>
                <w:p w14:paraId="0D6523BA" w14:textId="77777777" w:rsidR="00FE0B4F" w:rsidRPr="001D22BF" w:rsidRDefault="00FE0B4F" w:rsidP="00684CA8">
                  <w:pPr>
                    <w:pStyle w:val="TableBodyText"/>
                    <w:jc w:val="left"/>
                    <w:rPr>
                      <w:szCs w:val="18"/>
                    </w:rPr>
                  </w:pPr>
                  <w:r w:rsidRPr="001D22BF">
                    <w:rPr>
                      <w:szCs w:val="18"/>
                    </w:rPr>
                    <w:t>University of Western Sydney</w:t>
                  </w:r>
                </w:p>
              </w:tc>
              <w:tc>
                <w:tcPr>
                  <w:tcW w:w="1281" w:type="pct"/>
                </w:tcPr>
                <w:p w14:paraId="0D6523BB" w14:textId="77777777" w:rsidR="00FE0B4F" w:rsidRPr="001D22BF" w:rsidRDefault="00FE0B4F" w:rsidP="00684CA8">
                  <w:pPr>
                    <w:pStyle w:val="TableBodyText"/>
                    <w:rPr>
                      <w:szCs w:val="18"/>
                    </w:rPr>
                  </w:pPr>
                  <w:r w:rsidRPr="001D22BF">
                    <w:rPr>
                      <w:szCs w:val="18"/>
                    </w:rPr>
                    <w:t>18</w:t>
                  </w:r>
                  <w:r>
                    <w:rPr>
                      <w:szCs w:val="18"/>
                    </w:rPr>
                    <w:t>.</w:t>
                  </w:r>
                  <w:r w:rsidR="00272067">
                    <w:rPr>
                      <w:szCs w:val="18"/>
                    </w:rPr>
                    <w:t>2</w:t>
                  </w:r>
                </w:p>
              </w:tc>
            </w:tr>
            <w:tr w:rsidR="00FE0B4F" w14:paraId="0D6523BF" w14:textId="77777777" w:rsidTr="00684CA8">
              <w:tc>
                <w:tcPr>
                  <w:tcW w:w="3719" w:type="pct"/>
                </w:tcPr>
                <w:p w14:paraId="0D6523BD" w14:textId="77777777" w:rsidR="00FE0B4F" w:rsidRPr="001D22BF" w:rsidRDefault="00FE0B4F" w:rsidP="00684CA8">
                  <w:pPr>
                    <w:pStyle w:val="TableBodyText"/>
                    <w:jc w:val="left"/>
                    <w:rPr>
                      <w:szCs w:val="18"/>
                    </w:rPr>
                  </w:pPr>
                  <w:r w:rsidRPr="001D22BF">
                    <w:rPr>
                      <w:szCs w:val="18"/>
                    </w:rPr>
                    <w:t>University of Wollongong</w:t>
                  </w:r>
                </w:p>
              </w:tc>
              <w:tc>
                <w:tcPr>
                  <w:tcW w:w="1281" w:type="pct"/>
                </w:tcPr>
                <w:p w14:paraId="0D6523BE" w14:textId="77777777" w:rsidR="00FE0B4F" w:rsidRPr="001D22BF" w:rsidRDefault="00FE0B4F" w:rsidP="00684CA8">
                  <w:pPr>
                    <w:pStyle w:val="TableBodyText"/>
                    <w:rPr>
                      <w:szCs w:val="18"/>
                    </w:rPr>
                  </w:pPr>
                  <w:r w:rsidRPr="001D22BF">
                    <w:rPr>
                      <w:szCs w:val="18"/>
                    </w:rPr>
                    <w:t>36</w:t>
                  </w:r>
                  <w:r>
                    <w:rPr>
                      <w:szCs w:val="18"/>
                    </w:rPr>
                    <w:t>.</w:t>
                  </w:r>
                  <w:r w:rsidRPr="001D22BF">
                    <w:rPr>
                      <w:szCs w:val="18"/>
                    </w:rPr>
                    <w:t>1</w:t>
                  </w:r>
                </w:p>
              </w:tc>
            </w:tr>
            <w:tr w:rsidR="00FE0B4F" w14:paraId="0D6523C2" w14:textId="77777777" w:rsidTr="00684CA8">
              <w:tc>
                <w:tcPr>
                  <w:tcW w:w="3719" w:type="pct"/>
                </w:tcPr>
                <w:p w14:paraId="0D6523C0" w14:textId="77777777" w:rsidR="00FE0B4F" w:rsidRPr="001D22BF" w:rsidRDefault="00FE0B4F" w:rsidP="00684CA8">
                  <w:pPr>
                    <w:pStyle w:val="TableBodyText"/>
                    <w:jc w:val="left"/>
                    <w:rPr>
                      <w:szCs w:val="18"/>
                    </w:rPr>
                  </w:pPr>
                  <w:r w:rsidRPr="001D22BF">
                    <w:rPr>
                      <w:szCs w:val="18"/>
                    </w:rPr>
                    <w:t>Victoria University</w:t>
                  </w:r>
                </w:p>
              </w:tc>
              <w:tc>
                <w:tcPr>
                  <w:tcW w:w="1281" w:type="pct"/>
                </w:tcPr>
                <w:p w14:paraId="0D6523C1" w14:textId="77777777" w:rsidR="00FE0B4F" w:rsidRPr="001D22BF" w:rsidRDefault="00FE0B4F" w:rsidP="00684CA8">
                  <w:pPr>
                    <w:pStyle w:val="TableBodyText"/>
                    <w:rPr>
                      <w:szCs w:val="18"/>
                    </w:rPr>
                  </w:pPr>
                  <w:r w:rsidRPr="001D22BF">
                    <w:rPr>
                      <w:szCs w:val="18"/>
                    </w:rPr>
                    <w:t>11</w:t>
                  </w:r>
                  <w:r>
                    <w:rPr>
                      <w:szCs w:val="18"/>
                    </w:rPr>
                    <w:t>.</w:t>
                  </w:r>
                  <w:r w:rsidRPr="001D22BF">
                    <w:rPr>
                      <w:szCs w:val="18"/>
                    </w:rPr>
                    <w:t>4</w:t>
                  </w:r>
                </w:p>
              </w:tc>
            </w:tr>
            <w:tr w:rsidR="00FE0B4F" w14:paraId="0D6523C5" w14:textId="77777777" w:rsidTr="00684CA8">
              <w:tc>
                <w:tcPr>
                  <w:tcW w:w="3719" w:type="pct"/>
                  <w:tcBorders>
                    <w:bottom w:val="single" w:sz="4" w:space="0" w:color="BFBFBF"/>
                  </w:tcBorders>
                </w:tcPr>
                <w:p w14:paraId="0D6523C3" w14:textId="77777777" w:rsidR="00FE0B4F" w:rsidRPr="001D22BF" w:rsidRDefault="00FE0B4F" w:rsidP="00684CA8">
                  <w:pPr>
                    <w:pStyle w:val="TableBodyText"/>
                    <w:jc w:val="left"/>
                    <w:rPr>
                      <w:b/>
                      <w:szCs w:val="18"/>
                    </w:rPr>
                  </w:pPr>
                  <w:r w:rsidRPr="001D22BF">
                    <w:rPr>
                      <w:b/>
                      <w:szCs w:val="18"/>
                    </w:rPr>
                    <w:t>Total</w:t>
                  </w:r>
                </w:p>
              </w:tc>
              <w:tc>
                <w:tcPr>
                  <w:tcW w:w="1281" w:type="pct"/>
                  <w:tcBorders>
                    <w:bottom w:val="single" w:sz="4" w:space="0" w:color="BFBFBF"/>
                  </w:tcBorders>
                </w:tcPr>
                <w:p w14:paraId="0D6523C4" w14:textId="77777777" w:rsidR="00FE0B4F" w:rsidRPr="001D22BF" w:rsidRDefault="00FE0B4F" w:rsidP="00684CA8">
                  <w:pPr>
                    <w:pStyle w:val="TableBodyText"/>
                    <w:rPr>
                      <w:b/>
                      <w:szCs w:val="18"/>
                    </w:rPr>
                  </w:pPr>
                  <w:r w:rsidRPr="001D22BF">
                    <w:rPr>
                      <w:b/>
                      <w:szCs w:val="18"/>
                    </w:rPr>
                    <w:t>1 814</w:t>
                  </w:r>
                  <w:r>
                    <w:rPr>
                      <w:b/>
                      <w:szCs w:val="18"/>
                    </w:rPr>
                    <w:t>.</w:t>
                  </w:r>
                  <w:r w:rsidRPr="001D22BF">
                    <w:rPr>
                      <w:b/>
                      <w:szCs w:val="18"/>
                    </w:rPr>
                    <w:t>4</w:t>
                  </w:r>
                </w:p>
              </w:tc>
            </w:tr>
          </w:tbl>
          <w:p w14:paraId="0D6523C6" w14:textId="77777777" w:rsidR="00FE0B4F" w:rsidRDefault="00FE0B4F" w:rsidP="00684CA8">
            <w:pPr>
              <w:pStyle w:val="TableBodyText"/>
              <w:jc w:val="left"/>
            </w:pPr>
          </w:p>
        </w:tc>
      </w:tr>
      <w:tr w:rsidR="00FE0B4F" w14:paraId="0D6523C9" w14:textId="77777777" w:rsidTr="00B0510F">
        <w:tc>
          <w:tcPr>
            <w:tcW w:w="8789" w:type="dxa"/>
            <w:tcBorders>
              <w:top w:val="nil"/>
              <w:left w:val="nil"/>
              <w:bottom w:val="single" w:sz="4" w:space="0" w:color="78A22F"/>
              <w:right w:val="nil"/>
            </w:tcBorders>
            <w:shd w:val="clear" w:color="auto" w:fill="auto"/>
          </w:tcPr>
          <w:p w14:paraId="0D6523C8" w14:textId="77777777" w:rsidR="00FE0B4F" w:rsidRDefault="00FE0B4F">
            <w:pPr>
              <w:pStyle w:val="Source"/>
              <w:spacing w:after="40"/>
            </w:pPr>
            <w:r>
              <w:rPr>
                <w:i/>
              </w:rPr>
              <w:t>Source</w:t>
            </w:r>
            <w:r w:rsidRPr="00167F06">
              <w:t xml:space="preserve">: </w:t>
            </w:r>
            <w:r>
              <w:t>D</w:t>
            </w:r>
            <w:r w:rsidR="000E6CE0">
              <w:t>IIS</w:t>
            </w:r>
            <w:r>
              <w:t> </w:t>
            </w:r>
            <w:r w:rsidR="000B4AAC" w:rsidRPr="000B4AAC">
              <w:rPr>
                <w:rFonts w:cs="Arial"/>
              </w:rPr>
              <w:t>(2016)</w:t>
            </w:r>
            <w:r w:rsidRPr="00136A30">
              <w:t>.</w:t>
            </w:r>
          </w:p>
        </w:tc>
      </w:tr>
    </w:tbl>
    <w:p w14:paraId="0D6523CA" w14:textId="77777777" w:rsidR="00FE0B4F" w:rsidRDefault="00FE0B4F" w:rsidP="00FE0B4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E0B4F" w14:paraId="0D6523CD" w14:textId="77777777" w:rsidTr="00B0510F">
        <w:tc>
          <w:tcPr>
            <w:tcW w:w="8789" w:type="dxa"/>
            <w:tcBorders>
              <w:top w:val="single" w:sz="6" w:space="0" w:color="78A22F"/>
              <w:left w:val="nil"/>
              <w:bottom w:val="nil"/>
              <w:right w:val="nil"/>
            </w:tcBorders>
            <w:shd w:val="clear" w:color="auto" w:fill="auto"/>
          </w:tcPr>
          <w:p w14:paraId="0D6523CB" w14:textId="77777777" w:rsidR="00293EA2" w:rsidRDefault="00FE0B4F" w:rsidP="00684CA8">
            <w:pPr>
              <w:pStyle w:val="TableTitle"/>
            </w:pPr>
            <w:r>
              <w:rPr>
                <w:b w:val="0"/>
              </w:rPr>
              <w:t>Table A.</w:t>
            </w:r>
            <w:r w:rsidR="00F97E1E">
              <w:rPr>
                <w:b w:val="0"/>
                <w:noProof/>
              </w:rPr>
              <w:t>3</w:t>
            </w:r>
            <w:r>
              <w:tab/>
            </w:r>
            <w:r w:rsidRPr="00FF0E73">
              <w:t>Rural Research and Development Corporations</w:t>
            </w:r>
            <w:r w:rsidR="00293EA2">
              <w:t>, 2015</w:t>
            </w:r>
            <w:r w:rsidR="00293EA2">
              <w:noBreakHyphen/>
              <w:t>16</w:t>
            </w:r>
          </w:p>
          <w:p w14:paraId="0D6523CC" w14:textId="77777777" w:rsidR="00FE0B4F" w:rsidRPr="004775C9" w:rsidRDefault="00293EA2" w:rsidP="004775C9">
            <w:pPr>
              <w:pStyle w:val="Subtitle"/>
            </w:pPr>
            <w:r w:rsidRPr="001D22BF">
              <w:t>$ million</w:t>
            </w:r>
            <w:r>
              <w:t>; Estimated actual</w:t>
            </w:r>
          </w:p>
        </w:tc>
      </w:tr>
      <w:tr w:rsidR="00FE0B4F" w14:paraId="0D652424" w14:textId="77777777" w:rsidTr="00B0510F">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25"/>
              <w:gridCol w:w="4547"/>
              <w:gridCol w:w="993"/>
              <w:gridCol w:w="1140"/>
            </w:tblGrid>
            <w:tr w:rsidR="00293EA2" w14:paraId="0D6523D2" w14:textId="77777777" w:rsidTr="004775C9">
              <w:trPr>
                <w:tblHeader/>
              </w:trPr>
              <w:tc>
                <w:tcPr>
                  <w:tcW w:w="1073" w:type="pct"/>
                  <w:tcBorders>
                    <w:top w:val="single" w:sz="6" w:space="0" w:color="BFBFBF"/>
                    <w:bottom w:val="single" w:sz="6" w:space="0" w:color="BFBFBF"/>
                  </w:tcBorders>
                  <w:shd w:val="clear" w:color="auto" w:fill="auto"/>
                  <w:tcMar>
                    <w:top w:w="28" w:type="dxa"/>
                  </w:tcMar>
                  <w:vAlign w:val="bottom"/>
                </w:tcPr>
                <w:p w14:paraId="0D6523CE" w14:textId="77777777" w:rsidR="00293EA2" w:rsidRDefault="00293EA2" w:rsidP="00684CA8">
                  <w:pPr>
                    <w:pStyle w:val="TableColumnHeading"/>
                    <w:jc w:val="left"/>
                  </w:pPr>
                  <w:r>
                    <w:t>Ownership</w:t>
                  </w:r>
                </w:p>
              </w:tc>
              <w:tc>
                <w:tcPr>
                  <w:tcW w:w="2672" w:type="pct"/>
                  <w:tcBorders>
                    <w:top w:val="single" w:sz="6" w:space="0" w:color="BFBFBF"/>
                    <w:bottom w:val="single" w:sz="6" w:space="0" w:color="BFBFBF"/>
                  </w:tcBorders>
                  <w:vAlign w:val="bottom"/>
                </w:tcPr>
                <w:p w14:paraId="0D6523CF" w14:textId="77777777" w:rsidR="00293EA2" w:rsidRDefault="00293EA2" w:rsidP="00684CA8">
                  <w:pPr>
                    <w:pStyle w:val="TableColumnHeading"/>
                    <w:jc w:val="left"/>
                  </w:pPr>
                  <w:r w:rsidRPr="00AA5809">
                    <w:t>Cooperative Research Centre</w:t>
                  </w:r>
                </w:p>
              </w:tc>
              <w:tc>
                <w:tcPr>
                  <w:tcW w:w="584" w:type="pct"/>
                  <w:tcBorders>
                    <w:top w:val="single" w:sz="6" w:space="0" w:color="BFBFBF"/>
                    <w:bottom w:val="single" w:sz="6" w:space="0" w:color="BFBFBF"/>
                  </w:tcBorders>
                  <w:shd w:val="clear" w:color="auto" w:fill="auto"/>
                  <w:tcMar>
                    <w:top w:w="28" w:type="dxa"/>
                  </w:tcMar>
                  <w:vAlign w:val="bottom"/>
                </w:tcPr>
                <w:p w14:paraId="0D6523D0" w14:textId="77777777" w:rsidR="00293EA2" w:rsidRDefault="00293EA2" w:rsidP="00684CA8">
                  <w:pPr>
                    <w:pStyle w:val="TableColumnHeading"/>
                    <w:jc w:val="left"/>
                  </w:pPr>
                  <w:r>
                    <w:t>State</w:t>
                  </w:r>
                  <w:r w:rsidRPr="00176342">
                    <w:rPr>
                      <w:rStyle w:val="NoteLabel"/>
                    </w:rPr>
                    <w:t>a</w:t>
                  </w:r>
                </w:p>
              </w:tc>
              <w:tc>
                <w:tcPr>
                  <w:tcW w:w="670" w:type="pct"/>
                  <w:tcBorders>
                    <w:top w:val="single" w:sz="6" w:space="0" w:color="BFBFBF"/>
                    <w:bottom w:val="single" w:sz="6" w:space="0" w:color="BFBFBF"/>
                  </w:tcBorders>
                </w:tcPr>
                <w:p w14:paraId="0D6523D1" w14:textId="77777777" w:rsidR="00293EA2" w:rsidRDefault="00293EA2" w:rsidP="004775C9">
                  <w:pPr>
                    <w:pStyle w:val="TableColumnHeading"/>
                  </w:pPr>
                  <w:r w:rsidRPr="001D22BF">
                    <w:rPr>
                      <w:szCs w:val="18"/>
                    </w:rPr>
                    <w:t>Budgetary outlay</w:t>
                  </w:r>
                </w:p>
              </w:tc>
            </w:tr>
            <w:tr w:rsidR="00293EA2" w14:paraId="0D6523D7" w14:textId="77777777" w:rsidTr="004775C9">
              <w:tc>
                <w:tcPr>
                  <w:tcW w:w="1073" w:type="pct"/>
                  <w:tcBorders>
                    <w:top w:val="single" w:sz="6" w:space="0" w:color="BFBFBF"/>
                  </w:tcBorders>
                </w:tcPr>
                <w:p w14:paraId="0D6523D3" w14:textId="77777777" w:rsidR="00293EA2" w:rsidRPr="00D90687" w:rsidRDefault="00293EA2" w:rsidP="00684CA8">
                  <w:pPr>
                    <w:pStyle w:val="TableBodyText"/>
                    <w:spacing w:before="120"/>
                    <w:jc w:val="left"/>
                  </w:pPr>
                  <w:r w:rsidRPr="00FD1D79">
                    <w:t>Government owned</w:t>
                  </w:r>
                </w:p>
              </w:tc>
              <w:tc>
                <w:tcPr>
                  <w:tcW w:w="2672" w:type="pct"/>
                  <w:tcBorders>
                    <w:top w:val="single" w:sz="6" w:space="0" w:color="BFBFBF"/>
                  </w:tcBorders>
                </w:tcPr>
                <w:p w14:paraId="0D6523D4" w14:textId="77777777" w:rsidR="00293EA2" w:rsidRPr="00FD1D79" w:rsidRDefault="00293EA2" w:rsidP="00684CA8">
                  <w:pPr>
                    <w:pStyle w:val="TableBodyText"/>
                    <w:spacing w:before="120"/>
                    <w:jc w:val="left"/>
                  </w:pPr>
                  <w:r w:rsidRPr="00FD1D79">
                    <w:t>Cotton Research and Development Corporation</w:t>
                  </w:r>
                </w:p>
              </w:tc>
              <w:tc>
                <w:tcPr>
                  <w:tcW w:w="584" w:type="pct"/>
                  <w:tcBorders>
                    <w:top w:val="single" w:sz="6" w:space="0" w:color="BFBFBF"/>
                  </w:tcBorders>
                </w:tcPr>
                <w:p w14:paraId="0D6523D5" w14:textId="77777777" w:rsidR="00293EA2" w:rsidRPr="00D90687" w:rsidRDefault="00293EA2" w:rsidP="00684CA8">
                  <w:pPr>
                    <w:pStyle w:val="TableBodyText"/>
                    <w:spacing w:before="120"/>
                    <w:jc w:val="left"/>
                  </w:pPr>
                  <w:r>
                    <w:t>NSW</w:t>
                  </w:r>
                </w:p>
              </w:tc>
              <w:tc>
                <w:tcPr>
                  <w:tcW w:w="670" w:type="pct"/>
                  <w:tcBorders>
                    <w:top w:val="single" w:sz="6" w:space="0" w:color="BFBFBF"/>
                  </w:tcBorders>
                </w:tcPr>
                <w:p w14:paraId="0D6523D6" w14:textId="77777777" w:rsidR="00293EA2" w:rsidRPr="004775C9" w:rsidRDefault="00295A43" w:rsidP="004775C9">
                  <w:pPr>
                    <w:pStyle w:val="TableBodyText"/>
                    <w:spacing w:before="120"/>
                    <w:rPr>
                      <w:rStyle w:val="NoteLabel"/>
                    </w:rPr>
                  </w:pPr>
                  <w:r>
                    <w:rPr>
                      <w:rStyle w:val="NoteLabel"/>
                    </w:rPr>
                    <w:t>b</w:t>
                  </w:r>
                </w:p>
              </w:tc>
            </w:tr>
            <w:tr w:rsidR="00293EA2" w14:paraId="0D6523DC" w14:textId="77777777" w:rsidTr="004775C9">
              <w:tc>
                <w:tcPr>
                  <w:tcW w:w="1073" w:type="pct"/>
                </w:tcPr>
                <w:p w14:paraId="0D6523D8" w14:textId="77777777" w:rsidR="00293EA2" w:rsidRPr="00FD1D79" w:rsidRDefault="00293EA2" w:rsidP="00684CA8">
                  <w:pPr>
                    <w:pStyle w:val="TableBodyText"/>
                    <w:jc w:val="left"/>
                  </w:pPr>
                </w:p>
              </w:tc>
              <w:tc>
                <w:tcPr>
                  <w:tcW w:w="2672" w:type="pct"/>
                </w:tcPr>
                <w:p w14:paraId="0D6523D9" w14:textId="77777777" w:rsidR="00293EA2" w:rsidRPr="00FD1D79" w:rsidRDefault="00293EA2" w:rsidP="00684CA8">
                  <w:pPr>
                    <w:pStyle w:val="TableBodyText"/>
                    <w:jc w:val="left"/>
                  </w:pPr>
                  <w:r w:rsidRPr="00FD1D79">
                    <w:t>Fisheries Research and Development Corporation</w:t>
                  </w:r>
                </w:p>
              </w:tc>
              <w:tc>
                <w:tcPr>
                  <w:tcW w:w="584" w:type="pct"/>
                </w:tcPr>
                <w:p w14:paraId="0D6523DA" w14:textId="77777777" w:rsidR="00293EA2" w:rsidRPr="00D90687" w:rsidRDefault="00293EA2" w:rsidP="00684CA8">
                  <w:pPr>
                    <w:pStyle w:val="TableBodyText"/>
                    <w:jc w:val="left"/>
                  </w:pPr>
                  <w:r>
                    <w:t>ACT</w:t>
                  </w:r>
                </w:p>
              </w:tc>
              <w:tc>
                <w:tcPr>
                  <w:tcW w:w="670" w:type="pct"/>
                </w:tcPr>
                <w:p w14:paraId="0D6523DB" w14:textId="77777777" w:rsidR="00293EA2" w:rsidRDefault="00295A43" w:rsidP="007129A2">
                  <w:pPr>
                    <w:pStyle w:val="TableBodyText"/>
                  </w:pPr>
                  <w:r>
                    <w:t>19.</w:t>
                  </w:r>
                  <w:r w:rsidR="007129A2">
                    <w:t>2</w:t>
                  </w:r>
                </w:p>
              </w:tc>
            </w:tr>
            <w:tr w:rsidR="00293EA2" w14:paraId="0D6523E1" w14:textId="77777777" w:rsidTr="004775C9">
              <w:tc>
                <w:tcPr>
                  <w:tcW w:w="1073" w:type="pct"/>
                </w:tcPr>
                <w:p w14:paraId="0D6523DD" w14:textId="77777777" w:rsidR="00293EA2" w:rsidRPr="00FD1D79" w:rsidRDefault="00293EA2" w:rsidP="00684CA8">
                  <w:pPr>
                    <w:pStyle w:val="TableBodyText"/>
                    <w:jc w:val="left"/>
                  </w:pPr>
                </w:p>
              </w:tc>
              <w:tc>
                <w:tcPr>
                  <w:tcW w:w="2672" w:type="pct"/>
                </w:tcPr>
                <w:p w14:paraId="0D6523DE" w14:textId="77777777" w:rsidR="00293EA2" w:rsidRPr="00FD1D79" w:rsidRDefault="00293EA2" w:rsidP="00684CA8">
                  <w:pPr>
                    <w:pStyle w:val="TableBodyText"/>
                    <w:jc w:val="left"/>
                  </w:pPr>
                  <w:r w:rsidRPr="00FD1D79">
                    <w:t>Grains Research and Development Corporation</w:t>
                  </w:r>
                </w:p>
              </w:tc>
              <w:tc>
                <w:tcPr>
                  <w:tcW w:w="584" w:type="pct"/>
                </w:tcPr>
                <w:p w14:paraId="0D6523DF" w14:textId="77777777" w:rsidR="00293EA2" w:rsidRPr="00D90687" w:rsidRDefault="00293EA2" w:rsidP="00684CA8">
                  <w:pPr>
                    <w:pStyle w:val="TableBodyText"/>
                    <w:jc w:val="left"/>
                  </w:pPr>
                  <w:r>
                    <w:t>ACT</w:t>
                  </w:r>
                </w:p>
              </w:tc>
              <w:tc>
                <w:tcPr>
                  <w:tcW w:w="670" w:type="pct"/>
                </w:tcPr>
                <w:p w14:paraId="0D6523E0" w14:textId="77777777" w:rsidR="00293EA2" w:rsidRDefault="00295A43" w:rsidP="004775C9">
                  <w:pPr>
                    <w:pStyle w:val="TableBodyText"/>
                  </w:pPr>
                  <w:r>
                    <w:t>68.2</w:t>
                  </w:r>
                </w:p>
              </w:tc>
            </w:tr>
            <w:tr w:rsidR="00293EA2" w14:paraId="0D6523E6" w14:textId="77777777" w:rsidTr="004775C9">
              <w:tc>
                <w:tcPr>
                  <w:tcW w:w="1073" w:type="pct"/>
                </w:tcPr>
                <w:p w14:paraId="0D6523E2" w14:textId="77777777" w:rsidR="00293EA2" w:rsidRPr="00FD1D79" w:rsidRDefault="00293EA2" w:rsidP="00684CA8">
                  <w:pPr>
                    <w:pStyle w:val="TableBodyText"/>
                    <w:jc w:val="left"/>
                  </w:pPr>
                </w:p>
              </w:tc>
              <w:tc>
                <w:tcPr>
                  <w:tcW w:w="2672" w:type="pct"/>
                </w:tcPr>
                <w:p w14:paraId="0D6523E3" w14:textId="77777777" w:rsidR="00293EA2" w:rsidRPr="00FD1D79" w:rsidRDefault="00293EA2" w:rsidP="00684CA8">
                  <w:pPr>
                    <w:pStyle w:val="TableBodyText"/>
                    <w:jc w:val="left"/>
                  </w:pPr>
                  <w:r w:rsidRPr="00FD1D79">
                    <w:t xml:space="preserve">Grape &amp; Wine Research &amp; Development Corporation </w:t>
                  </w:r>
                </w:p>
              </w:tc>
              <w:tc>
                <w:tcPr>
                  <w:tcW w:w="584" w:type="pct"/>
                </w:tcPr>
                <w:p w14:paraId="0D6523E4" w14:textId="77777777" w:rsidR="00293EA2" w:rsidRPr="00D90687" w:rsidRDefault="00293EA2" w:rsidP="00684CA8">
                  <w:pPr>
                    <w:pStyle w:val="TableBodyText"/>
                    <w:jc w:val="left"/>
                  </w:pPr>
                  <w:r>
                    <w:t>SA</w:t>
                  </w:r>
                </w:p>
              </w:tc>
              <w:tc>
                <w:tcPr>
                  <w:tcW w:w="670" w:type="pct"/>
                </w:tcPr>
                <w:p w14:paraId="0D6523E5" w14:textId="77777777" w:rsidR="00293EA2" w:rsidRDefault="00295A43" w:rsidP="004775C9">
                  <w:pPr>
                    <w:pStyle w:val="TableBodyText"/>
                  </w:pPr>
                  <w:r>
                    <w:rPr>
                      <w:rStyle w:val="NoteLabel"/>
                    </w:rPr>
                    <w:t>b</w:t>
                  </w:r>
                </w:p>
              </w:tc>
            </w:tr>
            <w:tr w:rsidR="00293EA2" w14:paraId="0D6523EB" w14:textId="77777777" w:rsidTr="004775C9">
              <w:tc>
                <w:tcPr>
                  <w:tcW w:w="1073" w:type="pct"/>
                </w:tcPr>
                <w:p w14:paraId="0D6523E7" w14:textId="77777777" w:rsidR="00293EA2" w:rsidRPr="00FD1D79" w:rsidRDefault="00293EA2" w:rsidP="00684CA8">
                  <w:pPr>
                    <w:pStyle w:val="TableBodyText"/>
                    <w:jc w:val="left"/>
                  </w:pPr>
                </w:p>
              </w:tc>
              <w:tc>
                <w:tcPr>
                  <w:tcW w:w="2672" w:type="pct"/>
                </w:tcPr>
                <w:p w14:paraId="0D6523E8" w14:textId="77777777" w:rsidR="00293EA2" w:rsidRPr="00FD1D79" w:rsidRDefault="00293EA2" w:rsidP="00684CA8">
                  <w:pPr>
                    <w:pStyle w:val="TableBodyText"/>
                    <w:jc w:val="left"/>
                  </w:pPr>
                  <w:r w:rsidRPr="00FD1D79">
                    <w:t>Rural Industries Research and Development Corporation</w:t>
                  </w:r>
                </w:p>
              </w:tc>
              <w:tc>
                <w:tcPr>
                  <w:tcW w:w="584" w:type="pct"/>
                </w:tcPr>
                <w:p w14:paraId="0D6523E9" w14:textId="77777777" w:rsidR="00293EA2" w:rsidRPr="00D90687" w:rsidRDefault="00293EA2" w:rsidP="00684CA8">
                  <w:pPr>
                    <w:pStyle w:val="TableBodyText"/>
                    <w:jc w:val="left"/>
                  </w:pPr>
                  <w:r>
                    <w:t>NSW</w:t>
                  </w:r>
                </w:p>
              </w:tc>
              <w:tc>
                <w:tcPr>
                  <w:tcW w:w="670" w:type="pct"/>
                </w:tcPr>
                <w:p w14:paraId="0D6523EA" w14:textId="77777777" w:rsidR="00293EA2" w:rsidRDefault="00295A43" w:rsidP="004775C9">
                  <w:pPr>
                    <w:pStyle w:val="TableBodyText"/>
                  </w:pPr>
                  <w:r>
                    <w:t>12.4</w:t>
                  </w:r>
                </w:p>
              </w:tc>
            </w:tr>
            <w:tr w:rsidR="00293EA2" w14:paraId="0D6523F0" w14:textId="77777777" w:rsidTr="004775C9">
              <w:tc>
                <w:tcPr>
                  <w:tcW w:w="1073" w:type="pct"/>
                </w:tcPr>
                <w:p w14:paraId="0D6523EC" w14:textId="77777777" w:rsidR="00293EA2" w:rsidRPr="00FD1D79" w:rsidRDefault="00293EA2" w:rsidP="00684CA8">
                  <w:pPr>
                    <w:pStyle w:val="TableBodyText"/>
                    <w:spacing w:before="120"/>
                    <w:jc w:val="left"/>
                  </w:pPr>
                  <w:r w:rsidRPr="00FD1D79">
                    <w:t>Industry</w:t>
                  </w:r>
                  <w:r>
                    <w:noBreakHyphen/>
                  </w:r>
                  <w:r w:rsidRPr="00FD1D79">
                    <w:t>owned</w:t>
                  </w:r>
                </w:p>
              </w:tc>
              <w:tc>
                <w:tcPr>
                  <w:tcW w:w="2672" w:type="pct"/>
                </w:tcPr>
                <w:p w14:paraId="0D6523ED" w14:textId="77777777" w:rsidR="00293EA2" w:rsidRPr="00FD1D79" w:rsidRDefault="00293EA2" w:rsidP="00684CA8">
                  <w:pPr>
                    <w:pStyle w:val="TableBodyText"/>
                    <w:spacing w:before="120"/>
                    <w:jc w:val="left"/>
                  </w:pPr>
                  <w:r w:rsidRPr="00FD1D79">
                    <w:t>Australian Egg Corporation Limited</w:t>
                  </w:r>
                </w:p>
              </w:tc>
              <w:tc>
                <w:tcPr>
                  <w:tcW w:w="584" w:type="pct"/>
                </w:tcPr>
                <w:p w14:paraId="0D6523EE" w14:textId="77777777" w:rsidR="00293EA2" w:rsidRPr="00D90687" w:rsidRDefault="00293EA2" w:rsidP="00684CA8">
                  <w:pPr>
                    <w:pStyle w:val="TableBodyText"/>
                    <w:spacing w:before="120"/>
                    <w:jc w:val="left"/>
                  </w:pPr>
                  <w:r>
                    <w:t>NSW</w:t>
                  </w:r>
                </w:p>
              </w:tc>
              <w:tc>
                <w:tcPr>
                  <w:tcW w:w="670" w:type="pct"/>
                </w:tcPr>
                <w:p w14:paraId="0D6523EF" w14:textId="77777777" w:rsidR="00293EA2" w:rsidRDefault="00295A43" w:rsidP="004775C9">
                  <w:pPr>
                    <w:pStyle w:val="TableBodyText"/>
                    <w:spacing w:before="120"/>
                  </w:pPr>
                  <w:r>
                    <w:t>1.8</w:t>
                  </w:r>
                </w:p>
              </w:tc>
            </w:tr>
            <w:tr w:rsidR="00293EA2" w14:paraId="0D6523F5" w14:textId="77777777" w:rsidTr="004775C9">
              <w:tc>
                <w:tcPr>
                  <w:tcW w:w="1073" w:type="pct"/>
                </w:tcPr>
                <w:p w14:paraId="0D6523F1" w14:textId="77777777" w:rsidR="00293EA2" w:rsidRPr="00D90687" w:rsidRDefault="00293EA2" w:rsidP="00684CA8">
                  <w:pPr>
                    <w:pStyle w:val="TableBodyText"/>
                    <w:jc w:val="left"/>
                  </w:pPr>
                </w:p>
              </w:tc>
              <w:tc>
                <w:tcPr>
                  <w:tcW w:w="2672" w:type="pct"/>
                </w:tcPr>
                <w:p w14:paraId="0D6523F2" w14:textId="77777777" w:rsidR="00293EA2" w:rsidRPr="00FD1D79" w:rsidRDefault="00293EA2" w:rsidP="00684CA8">
                  <w:pPr>
                    <w:pStyle w:val="TableBodyText"/>
                    <w:jc w:val="left"/>
                  </w:pPr>
                  <w:r w:rsidRPr="00FD1D79">
                    <w:t xml:space="preserve">Australian Livestock Export Corporation Limited </w:t>
                  </w:r>
                </w:p>
              </w:tc>
              <w:tc>
                <w:tcPr>
                  <w:tcW w:w="584" w:type="pct"/>
                </w:tcPr>
                <w:p w14:paraId="0D6523F3" w14:textId="77777777" w:rsidR="00293EA2" w:rsidRPr="00D90687" w:rsidRDefault="00293EA2" w:rsidP="00684CA8">
                  <w:pPr>
                    <w:pStyle w:val="TableBodyText"/>
                    <w:jc w:val="left"/>
                  </w:pPr>
                  <w:r>
                    <w:t>NSW</w:t>
                  </w:r>
                </w:p>
              </w:tc>
              <w:tc>
                <w:tcPr>
                  <w:tcW w:w="670" w:type="pct"/>
                </w:tcPr>
                <w:p w14:paraId="0D6523F4" w14:textId="77777777" w:rsidR="00293EA2" w:rsidRPr="004775C9" w:rsidRDefault="00295A43" w:rsidP="004775C9">
                  <w:pPr>
                    <w:pStyle w:val="TableBodyText"/>
                    <w:rPr>
                      <w:rStyle w:val="NoteLabel"/>
                    </w:rPr>
                  </w:pPr>
                  <w:r w:rsidRPr="004775C9">
                    <w:rPr>
                      <w:rStyle w:val="NoteLabel"/>
                    </w:rPr>
                    <w:t>c</w:t>
                  </w:r>
                </w:p>
              </w:tc>
            </w:tr>
            <w:tr w:rsidR="00293EA2" w14:paraId="0D6523FA" w14:textId="77777777" w:rsidTr="004775C9">
              <w:tc>
                <w:tcPr>
                  <w:tcW w:w="1073" w:type="pct"/>
                </w:tcPr>
                <w:p w14:paraId="0D6523F6" w14:textId="77777777" w:rsidR="00293EA2" w:rsidRPr="00D90687" w:rsidRDefault="00293EA2" w:rsidP="00684CA8">
                  <w:pPr>
                    <w:pStyle w:val="TableBodyText"/>
                    <w:jc w:val="left"/>
                  </w:pPr>
                </w:p>
              </w:tc>
              <w:tc>
                <w:tcPr>
                  <w:tcW w:w="2672" w:type="pct"/>
                </w:tcPr>
                <w:p w14:paraId="0D6523F7" w14:textId="77777777" w:rsidR="00293EA2" w:rsidRPr="00FD1D79" w:rsidRDefault="00293EA2" w:rsidP="00684CA8">
                  <w:pPr>
                    <w:pStyle w:val="TableBodyText"/>
                    <w:jc w:val="left"/>
                  </w:pPr>
                  <w:r w:rsidRPr="00FD1D79">
                    <w:t>Australian Meat Processor Corporation</w:t>
                  </w:r>
                </w:p>
              </w:tc>
              <w:tc>
                <w:tcPr>
                  <w:tcW w:w="584" w:type="pct"/>
                </w:tcPr>
                <w:p w14:paraId="0D6523F8" w14:textId="77777777" w:rsidR="00293EA2" w:rsidRPr="00D90687" w:rsidRDefault="00293EA2" w:rsidP="00684CA8">
                  <w:pPr>
                    <w:pStyle w:val="TableBodyText"/>
                    <w:jc w:val="left"/>
                  </w:pPr>
                  <w:r>
                    <w:t>NSW</w:t>
                  </w:r>
                </w:p>
              </w:tc>
              <w:tc>
                <w:tcPr>
                  <w:tcW w:w="670" w:type="pct"/>
                </w:tcPr>
                <w:p w14:paraId="0D6523F9" w14:textId="77777777" w:rsidR="00293EA2" w:rsidRDefault="00295A43" w:rsidP="004775C9">
                  <w:pPr>
                    <w:pStyle w:val="TableBodyText"/>
                  </w:pPr>
                  <w:r w:rsidRPr="005B3829">
                    <w:rPr>
                      <w:rStyle w:val="NoteLabel"/>
                    </w:rPr>
                    <w:t>c</w:t>
                  </w:r>
                </w:p>
              </w:tc>
            </w:tr>
            <w:tr w:rsidR="00293EA2" w14:paraId="0D6523FF" w14:textId="77777777" w:rsidTr="004775C9">
              <w:tc>
                <w:tcPr>
                  <w:tcW w:w="1073" w:type="pct"/>
                </w:tcPr>
                <w:p w14:paraId="0D6523FB" w14:textId="77777777" w:rsidR="00293EA2" w:rsidRPr="00D90687" w:rsidRDefault="00293EA2" w:rsidP="00684CA8">
                  <w:pPr>
                    <w:pStyle w:val="TableBodyText"/>
                    <w:jc w:val="left"/>
                  </w:pPr>
                </w:p>
              </w:tc>
              <w:tc>
                <w:tcPr>
                  <w:tcW w:w="2672" w:type="pct"/>
                </w:tcPr>
                <w:p w14:paraId="0D6523FC" w14:textId="77777777" w:rsidR="00293EA2" w:rsidRPr="00FD1D79" w:rsidRDefault="00293EA2" w:rsidP="00684CA8">
                  <w:pPr>
                    <w:pStyle w:val="TableBodyText"/>
                    <w:jc w:val="left"/>
                  </w:pPr>
                  <w:r w:rsidRPr="00FD1D79">
                    <w:t>Australian Pork Limited</w:t>
                  </w:r>
                </w:p>
              </w:tc>
              <w:tc>
                <w:tcPr>
                  <w:tcW w:w="584" w:type="pct"/>
                </w:tcPr>
                <w:p w14:paraId="0D6523FD" w14:textId="77777777" w:rsidR="00293EA2" w:rsidRPr="00D90687" w:rsidRDefault="00293EA2" w:rsidP="00684CA8">
                  <w:pPr>
                    <w:pStyle w:val="TableBodyText"/>
                    <w:jc w:val="left"/>
                  </w:pPr>
                  <w:r>
                    <w:t>ACT</w:t>
                  </w:r>
                </w:p>
              </w:tc>
              <w:tc>
                <w:tcPr>
                  <w:tcW w:w="670" w:type="pct"/>
                </w:tcPr>
                <w:p w14:paraId="0D6523FE" w14:textId="77777777" w:rsidR="00293EA2" w:rsidRDefault="00295A43" w:rsidP="004775C9">
                  <w:pPr>
                    <w:pStyle w:val="TableBodyText"/>
                  </w:pPr>
                  <w:r w:rsidRPr="005B3829">
                    <w:rPr>
                      <w:rStyle w:val="NoteLabel"/>
                    </w:rPr>
                    <w:t>c</w:t>
                  </w:r>
                </w:p>
              </w:tc>
            </w:tr>
            <w:tr w:rsidR="00293EA2" w14:paraId="0D652404" w14:textId="77777777" w:rsidTr="004775C9">
              <w:tc>
                <w:tcPr>
                  <w:tcW w:w="1073" w:type="pct"/>
                </w:tcPr>
                <w:p w14:paraId="0D652400" w14:textId="77777777" w:rsidR="00293EA2" w:rsidRPr="00D90687" w:rsidRDefault="00293EA2" w:rsidP="00684CA8">
                  <w:pPr>
                    <w:pStyle w:val="TableBodyText"/>
                    <w:jc w:val="left"/>
                  </w:pPr>
                </w:p>
              </w:tc>
              <w:tc>
                <w:tcPr>
                  <w:tcW w:w="2672" w:type="pct"/>
                </w:tcPr>
                <w:p w14:paraId="0D652401" w14:textId="77777777" w:rsidR="00293EA2" w:rsidRPr="00FD1D79" w:rsidRDefault="00293EA2" w:rsidP="00684CA8">
                  <w:pPr>
                    <w:pStyle w:val="TableBodyText"/>
                    <w:jc w:val="left"/>
                  </w:pPr>
                  <w:r w:rsidRPr="00FD1D79">
                    <w:t>Australian Wool Innovation Limited</w:t>
                  </w:r>
                </w:p>
              </w:tc>
              <w:tc>
                <w:tcPr>
                  <w:tcW w:w="584" w:type="pct"/>
                </w:tcPr>
                <w:p w14:paraId="0D652402" w14:textId="77777777" w:rsidR="00293EA2" w:rsidRPr="00D90687" w:rsidRDefault="00293EA2" w:rsidP="00684CA8">
                  <w:pPr>
                    <w:pStyle w:val="TableBodyText"/>
                    <w:jc w:val="left"/>
                  </w:pPr>
                  <w:r w:rsidRPr="00D90687">
                    <w:t>NSW</w:t>
                  </w:r>
                </w:p>
              </w:tc>
              <w:tc>
                <w:tcPr>
                  <w:tcW w:w="670" w:type="pct"/>
                </w:tcPr>
                <w:p w14:paraId="0D652403" w14:textId="77777777" w:rsidR="00293EA2" w:rsidRPr="00D90687" w:rsidRDefault="00295A43" w:rsidP="004775C9">
                  <w:pPr>
                    <w:pStyle w:val="TableBodyText"/>
                  </w:pPr>
                  <w:r>
                    <w:t>12.5</w:t>
                  </w:r>
                </w:p>
              </w:tc>
            </w:tr>
            <w:tr w:rsidR="00293EA2" w14:paraId="0D652409" w14:textId="77777777" w:rsidTr="004775C9">
              <w:tc>
                <w:tcPr>
                  <w:tcW w:w="1073" w:type="pct"/>
                </w:tcPr>
                <w:p w14:paraId="0D652405" w14:textId="77777777" w:rsidR="00293EA2" w:rsidRPr="00D90687" w:rsidRDefault="00293EA2" w:rsidP="00684CA8">
                  <w:pPr>
                    <w:pStyle w:val="TableBodyText"/>
                    <w:jc w:val="left"/>
                  </w:pPr>
                </w:p>
              </w:tc>
              <w:tc>
                <w:tcPr>
                  <w:tcW w:w="2672" w:type="pct"/>
                </w:tcPr>
                <w:p w14:paraId="0D652406" w14:textId="77777777" w:rsidR="00293EA2" w:rsidRPr="00FD1D79" w:rsidRDefault="00293EA2" w:rsidP="00684CA8">
                  <w:pPr>
                    <w:pStyle w:val="TableBodyText"/>
                    <w:jc w:val="left"/>
                  </w:pPr>
                  <w:r w:rsidRPr="00FD1D79">
                    <w:t>Dairy Australia Limited</w:t>
                  </w:r>
                </w:p>
              </w:tc>
              <w:tc>
                <w:tcPr>
                  <w:tcW w:w="584" w:type="pct"/>
                </w:tcPr>
                <w:p w14:paraId="0D652407" w14:textId="77777777" w:rsidR="00293EA2" w:rsidRPr="00D90687" w:rsidRDefault="00293EA2" w:rsidP="00684CA8">
                  <w:pPr>
                    <w:pStyle w:val="TableBodyText"/>
                    <w:jc w:val="left"/>
                  </w:pPr>
                  <w:r w:rsidRPr="00D90687">
                    <w:t>VIC</w:t>
                  </w:r>
                </w:p>
              </w:tc>
              <w:tc>
                <w:tcPr>
                  <w:tcW w:w="670" w:type="pct"/>
                </w:tcPr>
                <w:p w14:paraId="0D652408" w14:textId="77777777" w:rsidR="00293EA2" w:rsidRPr="00D90687" w:rsidRDefault="00295A43" w:rsidP="004775C9">
                  <w:pPr>
                    <w:pStyle w:val="TableBodyText"/>
                  </w:pPr>
                  <w:r>
                    <w:t>23.6</w:t>
                  </w:r>
                </w:p>
              </w:tc>
            </w:tr>
            <w:tr w:rsidR="00293EA2" w14:paraId="0D65240E" w14:textId="77777777" w:rsidTr="004775C9">
              <w:tc>
                <w:tcPr>
                  <w:tcW w:w="1073" w:type="pct"/>
                </w:tcPr>
                <w:p w14:paraId="0D65240A" w14:textId="77777777" w:rsidR="00293EA2" w:rsidRPr="00D90687" w:rsidRDefault="00293EA2" w:rsidP="00684CA8">
                  <w:pPr>
                    <w:pStyle w:val="TableBodyText"/>
                    <w:jc w:val="left"/>
                  </w:pPr>
                </w:p>
              </w:tc>
              <w:tc>
                <w:tcPr>
                  <w:tcW w:w="2672" w:type="pct"/>
                </w:tcPr>
                <w:p w14:paraId="0D65240B" w14:textId="77777777" w:rsidR="00293EA2" w:rsidRPr="00FD1D79" w:rsidRDefault="00293EA2" w:rsidP="00684CA8">
                  <w:pPr>
                    <w:pStyle w:val="TableBodyText"/>
                    <w:jc w:val="left"/>
                  </w:pPr>
                  <w:r w:rsidRPr="00FD1D79">
                    <w:t xml:space="preserve">Forest and Wood Products Australia Limited </w:t>
                  </w:r>
                </w:p>
              </w:tc>
              <w:tc>
                <w:tcPr>
                  <w:tcW w:w="584" w:type="pct"/>
                </w:tcPr>
                <w:p w14:paraId="0D65240C" w14:textId="77777777" w:rsidR="00293EA2" w:rsidRPr="00D90687" w:rsidRDefault="00293EA2" w:rsidP="00684CA8">
                  <w:pPr>
                    <w:pStyle w:val="TableBodyText"/>
                    <w:jc w:val="left"/>
                  </w:pPr>
                  <w:r>
                    <w:t>VIC</w:t>
                  </w:r>
                </w:p>
              </w:tc>
              <w:tc>
                <w:tcPr>
                  <w:tcW w:w="670" w:type="pct"/>
                </w:tcPr>
                <w:p w14:paraId="0D65240D" w14:textId="77777777" w:rsidR="00293EA2" w:rsidRDefault="00295A43" w:rsidP="004775C9">
                  <w:pPr>
                    <w:pStyle w:val="TableBodyText"/>
                  </w:pPr>
                  <w:r>
                    <w:t>4.3</w:t>
                  </w:r>
                </w:p>
              </w:tc>
            </w:tr>
            <w:tr w:rsidR="00293EA2" w14:paraId="0D652413" w14:textId="77777777" w:rsidTr="004775C9">
              <w:tc>
                <w:tcPr>
                  <w:tcW w:w="1073" w:type="pct"/>
                </w:tcPr>
                <w:p w14:paraId="0D65240F" w14:textId="77777777" w:rsidR="00293EA2" w:rsidRPr="00D90687" w:rsidRDefault="00293EA2" w:rsidP="00684CA8">
                  <w:pPr>
                    <w:pStyle w:val="TableBodyText"/>
                    <w:jc w:val="left"/>
                  </w:pPr>
                </w:p>
              </w:tc>
              <w:tc>
                <w:tcPr>
                  <w:tcW w:w="2672" w:type="pct"/>
                </w:tcPr>
                <w:p w14:paraId="0D652410" w14:textId="77777777" w:rsidR="00293EA2" w:rsidRPr="00FD1D79" w:rsidRDefault="00293EA2" w:rsidP="00684CA8">
                  <w:pPr>
                    <w:pStyle w:val="TableBodyText"/>
                    <w:jc w:val="left"/>
                  </w:pPr>
                  <w:r w:rsidRPr="00FD1D79">
                    <w:t>Horticulture Innovation Australia Limited</w:t>
                  </w:r>
                </w:p>
              </w:tc>
              <w:tc>
                <w:tcPr>
                  <w:tcW w:w="584" w:type="pct"/>
                </w:tcPr>
                <w:p w14:paraId="0D652411" w14:textId="77777777" w:rsidR="00293EA2" w:rsidRPr="00D90687" w:rsidRDefault="00293EA2" w:rsidP="00684CA8">
                  <w:pPr>
                    <w:pStyle w:val="TableBodyText"/>
                    <w:jc w:val="left"/>
                  </w:pPr>
                  <w:r>
                    <w:t>NSW</w:t>
                  </w:r>
                </w:p>
              </w:tc>
              <w:tc>
                <w:tcPr>
                  <w:tcW w:w="670" w:type="pct"/>
                </w:tcPr>
                <w:p w14:paraId="0D652412" w14:textId="77777777" w:rsidR="00293EA2" w:rsidRDefault="00295A43" w:rsidP="004775C9">
                  <w:pPr>
                    <w:pStyle w:val="TableBodyText"/>
                  </w:pPr>
                  <w:r>
                    <w:t>43.8</w:t>
                  </w:r>
                </w:p>
              </w:tc>
            </w:tr>
            <w:tr w:rsidR="00293EA2" w14:paraId="0D652418" w14:textId="77777777" w:rsidTr="004775C9">
              <w:tc>
                <w:tcPr>
                  <w:tcW w:w="1073" w:type="pct"/>
                </w:tcPr>
                <w:p w14:paraId="0D652414" w14:textId="77777777" w:rsidR="00293EA2" w:rsidRPr="00D90687" w:rsidRDefault="00293EA2" w:rsidP="00684CA8">
                  <w:pPr>
                    <w:pStyle w:val="TableBodyText"/>
                    <w:jc w:val="left"/>
                  </w:pPr>
                </w:p>
              </w:tc>
              <w:tc>
                <w:tcPr>
                  <w:tcW w:w="2672" w:type="pct"/>
                </w:tcPr>
                <w:p w14:paraId="0D652415" w14:textId="77777777" w:rsidR="00293EA2" w:rsidRPr="00FD1D79" w:rsidRDefault="00293EA2" w:rsidP="00684CA8">
                  <w:pPr>
                    <w:pStyle w:val="TableBodyText"/>
                    <w:jc w:val="left"/>
                  </w:pPr>
                  <w:r w:rsidRPr="00FD1D79">
                    <w:t>Meat &amp; Livestock Australia</w:t>
                  </w:r>
                </w:p>
              </w:tc>
              <w:tc>
                <w:tcPr>
                  <w:tcW w:w="584" w:type="pct"/>
                </w:tcPr>
                <w:p w14:paraId="0D652416" w14:textId="77777777" w:rsidR="00293EA2" w:rsidRPr="00D90687" w:rsidRDefault="00293EA2" w:rsidP="00684CA8">
                  <w:pPr>
                    <w:pStyle w:val="TableBodyText"/>
                    <w:jc w:val="left"/>
                  </w:pPr>
                  <w:r>
                    <w:t>NSW</w:t>
                  </w:r>
                </w:p>
              </w:tc>
              <w:tc>
                <w:tcPr>
                  <w:tcW w:w="670" w:type="pct"/>
                </w:tcPr>
                <w:p w14:paraId="0D652417" w14:textId="77777777" w:rsidR="00293EA2" w:rsidRDefault="00295A43" w:rsidP="004775C9">
                  <w:pPr>
                    <w:pStyle w:val="TableBodyText"/>
                  </w:pPr>
                  <w:r>
                    <w:t>60.4</w:t>
                  </w:r>
                </w:p>
              </w:tc>
            </w:tr>
            <w:tr w:rsidR="00293EA2" w14:paraId="0D65241D" w14:textId="77777777" w:rsidTr="004775C9">
              <w:tc>
                <w:tcPr>
                  <w:tcW w:w="1073" w:type="pct"/>
                  <w:shd w:val="clear" w:color="auto" w:fill="auto"/>
                </w:tcPr>
                <w:p w14:paraId="0D652419" w14:textId="77777777" w:rsidR="00293EA2" w:rsidRPr="00D90687" w:rsidRDefault="00293EA2" w:rsidP="00684CA8">
                  <w:pPr>
                    <w:pStyle w:val="TableBodyText"/>
                    <w:jc w:val="left"/>
                  </w:pPr>
                </w:p>
              </w:tc>
              <w:tc>
                <w:tcPr>
                  <w:tcW w:w="2672" w:type="pct"/>
                </w:tcPr>
                <w:p w14:paraId="0D65241A" w14:textId="77777777" w:rsidR="00293EA2" w:rsidRPr="00A62D81" w:rsidRDefault="00293EA2" w:rsidP="00684CA8">
                  <w:pPr>
                    <w:pStyle w:val="TableBodyText"/>
                    <w:jc w:val="left"/>
                  </w:pPr>
                  <w:r w:rsidRPr="00FD1D79">
                    <w:t>Sugar Research Australia Limited</w:t>
                  </w:r>
                </w:p>
              </w:tc>
              <w:tc>
                <w:tcPr>
                  <w:tcW w:w="584" w:type="pct"/>
                  <w:shd w:val="clear" w:color="auto" w:fill="auto"/>
                </w:tcPr>
                <w:p w14:paraId="0D65241B" w14:textId="77777777" w:rsidR="00293EA2" w:rsidRDefault="00293EA2" w:rsidP="00684CA8">
                  <w:pPr>
                    <w:pStyle w:val="TableBodyText"/>
                    <w:jc w:val="left"/>
                  </w:pPr>
                  <w:r>
                    <w:t>QLD</w:t>
                  </w:r>
                </w:p>
              </w:tc>
              <w:tc>
                <w:tcPr>
                  <w:tcW w:w="670" w:type="pct"/>
                </w:tcPr>
                <w:p w14:paraId="0D65241C" w14:textId="77777777" w:rsidR="00293EA2" w:rsidRDefault="00295A43" w:rsidP="004775C9">
                  <w:pPr>
                    <w:pStyle w:val="TableBodyText"/>
                  </w:pPr>
                  <w:r>
                    <w:rPr>
                      <w:rStyle w:val="NoteLabel"/>
                    </w:rPr>
                    <w:t>b</w:t>
                  </w:r>
                </w:p>
              </w:tc>
            </w:tr>
            <w:tr w:rsidR="00295A43" w14:paraId="0D652422" w14:textId="77777777" w:rsidTr="00293EA2">
              <w:tc>
                <w:tcPr>
                  <w:tcW w:w="1073" w:type="pct"/>
                  <w:tcBorders>
                    <w:bottom w:val="single" w:sz="6" w:space="0" w:color="BFBFBF"/>
                  </w:tcBorders>
                  <w:shd w:val="clear" w:color="auto" w:fill="auto"/>
                </w:tcPr>
                <w:p w14:paraId="0D65241E" w14:textId="77777777" w:rsidR="00295A43" w:rsidRPr="004775C9" w:rsidRDefault="00295A43" w:rsidP="00684CA8">
                  <w:pPr>
                    <w:pStyle w:val="TableBodyText"/>
                    <w:jc w:val="left"/>
                    <w:rPr>
                      <w:b/>
                    </w:rPr>
                  </w:pPr>
                  <w:r w:rsidRPr="004775C9">
                    <w:rPr>
                      <w:b/>
                    </w:rPr>
                    <w:t>Total</w:t>
                  </w:r>
                </w:p>
              </w:tc>
              <w:tc>
                <w:tcPr>
                  <w:tcW w:w="2672" w:type="pct"/>
                  <w:tcBorders>
                    <w:bottom w:val="single" w:sz="6" w:space="0" w:color="BFBFBF"/>
                  </w:tcBorders>
                </w:tcPr>
                <w:p w14:paraId="0D65241F" w14:textId="77777777" w:rsidR="00295A43" w:rsidRPr="00FD1D79" w:rsidRDefault="00295A43" w:rsidP="00684CA8">
                  <w:pPr>
                    <w:pStyle w:val="TableBodyText"/>
                    <w:jc w:val="left"/>
                  </w:pPr>
                </w:p>
              </w:tc>
              <w:tc>
                <w:tcPr>
                  <w:tcW w:w="584" w:type="pct"/>
                  <w:tcBorders>
                    <w:bottom w:val="single" w:sz="6" w:space="0" w:color="BFBFBF"/>
                  </w:tcBorders>
                  <w:shd w:val="clear" w:color="auto" w:fill="auto"/>
                </w:tcPr>
                <w:p w14:paraId="0D652420" w14:textId="77777777" w:rsidR="00295A43" w:rsidRDefault="00295A43" w:rsidP="00684CA8">
                  <w:pPr>
                    <w:pStyle w:val="TableBodyText"/>
                    <w:jc w:val="left"/>
                  </w:pPr>
                </w:p>
              </w:tc>
              <w:tc>
                <w:tcPr>
                  <w:tcW w:w="670" w:type="pct"/>
                  <w:tcBorders>
                    <w:bottom w:val="single" w:sz="6" w:space="0" w:color="BFBFBF"/>
                  </w:tcBorders>
                </w:tcPr>
                <w:p w14:paraId="0D652421" w14:textId="77777777" w:rsidR="00295A43" w:rsidRPr="004775C9" w:rsidRDefault="00295A43" w:rsidP="007129A2">
                  <w:pPr>
                    <w:pStyle w:val="TableBodyText"/>
                    <w:rPr>
                      <w:b/>
                    </w:rPr>
                  </w:pPr>
                  <w:r w:rsidRPr="004775C9">
                    <w:rPr>
                      <w:b/>
                    </w:rPr>
                    <w:t>26</w:t>
                  </w:r>
                  <w:r w:rsidR="007129A2">
                    <w:rPr>
                      <w:b/>
                    </w:rPr>
                    <w:t>9</w:t>
                  </w:r>
                  <w:r w:rsidRPr="004775C9">
                    <w:rPr>
                      <w:b/>
                    </w:rPr>
                    <w:t>.0</w:t>
                  </w:r>
                </w:p>
              </w:tc>
            </w:tr>
          </w:tbl>
          <w:p w14:paraId="0D652423" w14:textId="77777777" w:rsidR="00FE0B4F" w:rsidRDefault="00FE0B4F" w:rsidP="00684CA8">
            <w:pPr>
              <w:pStyle w:val="TableBodyText"/>
              <w:jc w:val="left"/>
            </w:pPr>
          </w:p>
        </w:tc>
      </w:tr>
      <w:tr w:rsidR="00FE0B4F" w14:paraId="0D652426" w14:textId="77777777" w:rsidTr="00B0510F">
        <w:tc>
          <w:tcPr>
            <w:tcW w:w="8789" w:type="dxa"/>
            <w:tcBorders>
              <w:top w:val="nil"/>
              <w:left w:val="nil"/>
              <w:bottom w:val="nil"/>
              <w:right w:val="nil"/>
            </w:tcBorders>
            <w:shd w:val="clear" w:color="auto" w:fill="auto"/>
          </w:tcPr>
          <w:p w14:paraId="0D652425" w14:textId="77777777" w:rsidR="00FE0B4F" w:rsidRDefault="00FE0B4F" w:rsidP="004775C9">
            <w:pPr>
              <w:pStyle w:val="Note"/>
              <w:rPr>
                <w:i/>
              </w:rPr>
            </w:pPr>
            <w:r w:rsidRPr="008E77FE">
              <w:rPr>
                <w:rStyle w:val="NoteLabel"/>
              </w:rPr>
              <w:t>a</w:t>
            </w:r>
            <w:r>
              <w:t xml:space="preserve"> State of headquarters.</w:t>
            </w:r>
            <w:r w:rsidR="00295A43">
              <w:t xml:space="preserve"> </w:t>
            </w:r>
            <w:r w:rsidR="00295A43" w:rsidRPr="004775C9">
              <w:rPr>
                <w:rStyle w:val="NoteLabel"/>
              </w:rPr>
              <w:t>b</w:t>
            </w:r>
            <w:r w:rsidR="00295A43">
              <w:t> Not reported separately, but forms part of the collective total of $22.8 million.</w:t>
            </w:r>
            <w:r w:rsidR="00295A43" w:rsidRPr="005B3829">
              <w:rPr>
                <w:rStyle w:val="NoteLabel"/>
              </w:rPr>
              <w:t xml:space="preserve"> </w:t>
            </w:r>
            <w:r w:rsidR="00295A43">
              <w:rPr>
                <w:rStyle w:val="NoteLabel"/>
              </w:rPr>
              <w:t>c</w:t>
            </w:r>
            <w:r w:rsidR="00295A43">
              <w:t> Not reported</w:t>
            </w:r>
          </w:p>
        </w:tc>
      </w:tr>
      <w:tr w:rsidR="00FE0B4F" w14:paraId="0D652428" w14:textId="77777777" w:rsidTr="00B0510F">
        <w:tc>
          <w:tcPr>
            <w:tcW w:w="8789" w:type="dxa"/>
            <w:tcBorders>
              <w:top w:val="nil"/>
              <w:left w:val="nil"/>
              <w:bottom w:val="nil"/>
              <w:right w:val="nil"/>
            </w:tcBorders>
            <w:shd w:val="clear" w:color="auto" w:fill="auto"/>
          </w:tcPr>
          <w:p w14:paraId="0D652427" w14:textId="77777777" w:rsidR="00FE0B4F" w:rsidRDefault="00FE0B4F" w:rsidP="00BB3D06">
            <w:pPr>
              <w:pStyle w:val="Source"/>
            </w:pPr>
            <w:r>
              <w:rPr>
                <w:i/>
              </w:rPr>
              <w:t>Source</w:t>
            </w:r>
            <w:r w:rsidR="00BB3D06">
              <w:rPr>
                <w:i/>
              </w:rPr>
              <w:t>s</w:t>
            </w:r>
            <w:r w:rsidRPr="00167F06">
              <w:t xml:space="preserve">: </w:t>
            </w:r>
            <w:r w:rsidRPr="00232110">
              <w:t>Department of Agriculture and Water Resources</w:t>
            </w:r>
            <w:r>
              <w:t> </w:t>
            </w:r>
            <w:r w:rsidRPr="00210C6C">
              <w:rPr>
                <w:rFonts w:cs="Arial"/>
              </w:rPr>
              <w:t>(2016)</w:t>
            </w:r>
            <w:r w:rsidR="00BB3D06">
              <w:t>; DIIS </w:t>
            </w:r>
            <w:r w:rsidR="00BB3D06" w:rsidRPr="00BB3D06">
              <w:rPr>
                <w:rFonts w:cs="Arial"/>
              </w:rPr>
              <w:t>(2016)</w:t>
            </w:r>
            <w:r w:rsidR="00BB3D06">
              <w:t>.</w:t>
            </w:r>
          </w:p>
        </w:tc>
      </w:tr>
      <w:tr w:rsidR="00FE0B4F" w14:paraId="0D65242A" w14:textId="77777777" w:rsidTr="00B0510F">
        <w:tc>
          <w:tcPr>
            <w:tcW w:w="8789" w:type="dxa"/>
            <w:tcBorders>
              <w:top w:val="nil"/>
              <w:left w:val="nil"/>
              <w:bottom w:val="single" w:sz="6" w:space="0" w:color="78A22F"/>
              <w:right w:val="nil"/>
            </w:tcBorders>
            <w:shd w:val="clear" w:color="auto" w:fill="auto"/>
          </w:tcPr>
          <w:p w14:paraId="0D652429" w14:textId="77777777" w:rsidR="00FE0B4F" w:rsidRDefault="00FE0B4F" w:rsidP="00684CA8">
            <w:pPr>
              <w:pStyle w:val="Box"/>
              <w:spacing w:before="0" w:line="120" w:lineRule="exact"/>
            </w:pPr>
          </w:p>
        </w:tc>
      </w:tr>
      <w:tr w:rsidR="00FE0B4F" w:rsidRPr="000863A5" w14:paraId="0D65242D" w14:textId="77777777" w:rsidTr="00B0510F">
        <w:tc>
          <w:tcPr>
            <w:tcW w:w="8789" w:type="dxa"/>
            <w:tcBorders>
              <w:top w:val="single" w:sz="6" w:space="0" w:color="78A22F"/>
              <w:left w:val="nil"/>
              <w:bottom w:val="nil"/>
              <w:right w:val="nil"/>
            </w:tcBorders>
          </w:tcPr>
          <w:p w14:paraId="0D65242B" w14:textId="77777777" w:rsidR="00B0510F" w:rsidRDefault="00B0510F" w:rsidP="00684CA8">
            <w:pPr>
              <w:pStyle w:val="BoxSpaceBelow"/>
            </w:pPr>
            <w:r>
              <w:rPr>
                <w:rFonts w:ascii="Times New Roman" w:hAnsi="Times New Roman"/>
                <w:sz w:val="24"/>
                <w:szCs w:val="24"/>
              </w:rPr>
              <w:br w:type="page"/>
            </w:r>
          </w:p>
          <w:p w14:paraId="0D65242C" w14:textId="77777777" w:rsidR="00FE0B4F" w:rsidRPr="00B0510F" w:rsidRDefault="00FE0B4F" w:rsidP="00B0510F">
            <w:pPr>
              <w:pStyle w:val="BodyText"/>
              <w:tabs>
                <w:tab w:val="left" w:pos="6190"/>
              </w:tabs>
            </w:pPr>
          </w:p>
        </w:tc>
      </w:tr>
    </w:tbl>
    <w:p w14:paraId="0D65242E" w14:textId="77777777" w:rsidR="00DE65B6" w:rsidRDefault="00DE65B6" w:rsidP="00DE65B6">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E65B6" w14:paraId="0D652430" w14:textId="77777777" w:rsidTr="00B0510F">
        <w:tc>
          <w:tcPr>
            <w:tcW w:w="8789" w:type="dxa"/>
            <w:tcBorders>
              <w:top w:val="single" w:sz="6" w:space="0" w:color="78A22F"/>
              <w:left w:val="nil"/>
              <w:bottom w:val="nil"/>
              <w:right w:val="nil"/>
            </w:tcBorders>
            <w:shd w:val="clear" w:color="auto" w:fill="auto"/>
          </w:tcPr>
          <w:p w14:paraId="0D65242F" w14:textId="77777777" w:rsidR="00DE65B6" w:rsidRPr="00784A05" w:rsidRDefault="00DE65B6">
            <w:pPr>
              <w:pStyle w:val="TableTitle"/>
            </w:pPr>
            <w:r>
              <w:rPr>
                <w:b w:val="0"/>
              </w:rPr>
              <w:t>Table A.</w:t>
            </w:r>
            <w:r w:rsidR="00F97E1E">
              <w:rPr>
                <w:b w:val="0"/>
                <w:noProof/>
              </w:rPr>
              <w:t>4</w:t>
            </w:r>
            <w:r>
              <w:tab/>
              <w:t>C</w:t>
            </w:r>
            <w:r w:rsidRPr="006B0973">
              <w:t>ooperative Research Centres</w:t>
            </w:r>
            <w:r w:rsidR="002F4E93">
              <w:t xml:space="preserve"> funded in the 2015</w:t>
            </w:r>
            <w:r w:rsidR="002F4E93">
              <w:noBreakHyphen/>
              <w:t>16 budget</w:t>
            </w:r>
          </w:p>
        </w:tc>
      </w:tr>
      <w:tr w:rsidR="00DE65B6" w14:paraId="0D6524F3" w14:textId="77777777" w:rsidTr="00B0510F">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82"/>
              <w:gridCol w:w="4263"/>
              <w:gridCol w:w="784"/>
              <w:gridCol w:w="784"/>
              <w:gridCol w:w="992"/>
            </w:tblGrid>
            <w:tr w:rsidR="00BA2A0F" w14:paraId="0D652437" w14:textId="77777777" w:rsidTr="00C61685">
              <w:trPr>
                <w:tblHeader/>
              </w:trPr>
              <w:tc>
                <w:tcPr>
                  <w:tcW w:w="989" w:type="pct"/>
                  <w:tcBorders>
                    <w:top w:val="single" w:sz="6" w:space="0" w:color="BFBFBF"/>
                    <w:bottom w:val="single" w:sz="6" w:space="0" w:color="BFBFBF"/>
                  </w:tcBorders>
                  <w:shd w:val="clear" w:color="auto" w:fill="auto"/>
                  <w:tcMar>
                    <w:top w:w="28" w:type="dxa"/>
                  </w:tcMar>
                </w:tcPr>
                <w:p w14:paraId="0D652431" w14:textId="77777777" w:rsidR="002F4E93" w:rsidRDefault="002F4E93" w:rsidP="00684CA8">
                  <w:pPr>
                    <w:pStyle w:val="TableColumnHeading"/>
                    <w:jc w:val="left"/>
                  </w:pPr>
                  <w:r>
                    <w:t>Sector</w:t>
                  </w:r>
                </w:p>
              </w:tc>
              <w:tc>
                <w:tcPr>
                  <w:tcW w:w="2506" w:type="pct"/>
                  <w:tcBorders>
                    <w:top w:val="single" w:sz="6" w:space="0" w:color="BFBFBF"/>
                    <w:bottom w:val="single" w:sz="6" w:space="0" w:color="BFBFBF"/>
                  </w:tcBorders>
                </w:tcPr>
                <w:p w14:paraId="0D652432" w14:textId="77777777" w:rsidR="002F4E93" w:rsidRDefault="002F4E93" w:rsidP="00684CA8">
                  <w:pPr>
                    <w:pStyle w:val="TableColumnHeading"/>
                    <w:jc w:val="left"/>
                  </w:pPr>
                  <w:r w:rsidRPr="00AA5809">
                    <w:t>Cooperative Research Centre</w:t>
                  </w:r>
                </w:p>
              </w:tc>
              <w:tc>
                <w:tcPr>
                  <w:tcW w:w="461" w:type="pct"/>
                  <w:tcBorders>
                    <w:top w:val="single" w:sz="6" w:space="0" w:color="BFBFBF"/>
                    <w:bottom w:val="single" w:sz="6" w:space="0" w:color="BFBFBF"/>
                  </w:tcBorders>
                  <w:shd w:val="clear" w:color="auto" w:fill="auto"/>
                  <w:tcMar>
                    <w:top w:w="28" w:type="dxa"/>
                  </w:tcMar>
                </w:tcPr>
                <w:p w14:paraId="0D652433" w14:textId="77777777" w:rsidR="002F4E93" w:rsidRDefault="002F4E93" w:rsidP="00684CA8">
                  <w:pPr>
                    <w:pStyle w:val="TableColumnHeading"/>
                    <w:jc w:val="left"/>
                  </w:pPr>
                  <w:r>
                    <w:t>State</w:t>
                  </w:r>
                </w:p>
              </w:tc>
              <w:tc>
                <w:tcPr>
                  <w:tcW w:w="461" w:type="pct"/>
                  <w:tcBorders>
                    <w:top w:val="single" w:sz="6" w:space="0" w:color="BFBFBF"/>
                    <w:bottom w:val="single" w:sz="6" w:space="0" w:color="BFBFBF"/>
                  </w:tcBorders>
                </w:tcPr>
                <w:p w14:paraId="0D652434" w14:textId="77777777" w:rsidR="002F4E93" w:rsidRDefault="004E3403" w:rsidP="004775C9">
                  <w:pPr>
                    <w:pStyle w:val="TableColumnHeading"/>
                  </w:pPr>
                  <w:r>
                    <w:t>Grant y</w:t>
                  </w:r>
                  <w:r w:rsidR="002F4E93">
                    <w:t>ears</w:t>
                  </w:r>
                </w:p>
              </w:tc>
              <w:tc>
                <w:tcPr>
                  <w:tcW w:w="583" w:type="pct"/>
                  <w:tcBorders>
                    <w:top w:val="single" w:sz="6" w:space="0" w:color="BFBFBF"/>
                    <w:bottom w:val="single" w:sz="6" w:space="0" w:color="BFBFBF"/>
                  </w:tcBorders>
                </w:tcPr>
                <w:p w14:paraId="0D652435" w14:textId="77777777" w:rsidR="00BA2A0F" w:rsidRDefault="004E3403" w:rsidP="004775C9">
                  <w:pPr>
                    <w:pStyle w:val="TableColumnHeading"/>
                    <w:spacing w:after="0"/>
                  </w:pPr>
                  <w:r w:rsidRPr="004E3403">
                    <w:t>Committed</w:t>
                  </w:r>
                </w:p>
                <w:p w14:paraId="0D652436" w14:textId="77777777" w:rsidR="002F4E93" w:rsidRDefault="004E3403" w:rsidP="004775C9">
                  <w:pPr>
                    <w:pStyle w:val="TableColumnHeading"/>
                    <w:spacing w:before="0"/>
                    <w:ind w:right="11"/>
                  </w:pPr>
                  <w:r>
                    <w:t>f</w:t>
                  </w:r>
                  <w:r w:rsidR="002F4E93">
                    <w:t>unding</w:t>
                  </w:r>
                  <w:r w:rsidR="00BA2A0F" w:rsidRPr="004775C9">
                    <w:rPr>
                      <w:rStyle w:val="NoteLabel"/>
                      <w:i w:val="0"/>
                    </w:rPr>
                    <w:t>a</w:t>
                  </w:r>
                </w:p>
              </w:tc>
            </w:tr>
            <w:tr w:rsidR="004E3403" w14:paraId="0D65243D" w14:textId="77777777" w:rsidTr="004775C9">
              <w:tc>
                <w:tcPr>
                  <w:tcW w:w="989" w:type="pct"/>
                </w:tcPr>
                <w:p w14:paraId="0D652438" w14:textId="77777777" w:rsidR="0065011C" w:rsidRPr="00D90687" w:rsidRDefault="0065011C" w:rsidP="004775C9">
                  <w:pPr>
                    <w:pStyle w:val="TableBodyText"/>
                    <w:spacing w:before="120"/>
                    <w:jc w:val="left"/>
                  </w:pPr>
                  <w:r w:rsidRPr="00D90687">
                    <w:t>Agriculture</w:t>
                  </w:r>
                </w:p>
              </w:tc>
              <w:tc>
                <w:tcPr>
                  <w:tcW w:w="2506" w:type="pct"/>
                </w:tcPr>
                <w:p w14:paraId="0D652439" w14:textId="77777777" w:rsidR="0065011C" w:rsidRPr="00D90687" w:rsidRDefault="0065011C" w:rsidP="004775C9">
                  <w:pPr>
                    <w:pStyle w:val="TableBodyText"/>
                    <w:spacing w:before="120"/>
                    <w:ind w:left="285" w:hanging="279"/>
                    <w:jc w:val="left"/>
                  </w:pPr>
                  <w:r w:rsidRPr="00C63078">
                    <w:t xml:space="preserve">CRC for High Integrity Australian Pork </w:t>
                  </w:r>
                  <w:r>
                    <w:t>(</w:t>
                  </w:r>
                  <w:r w:rsidRPr="00D90687">
                    <w:t>Pork CRC</w:t>
                  </w:r>
                  <w:r>
                    <w:t>)</w:t>
                  </w:r>
                </w:p>
              </w:tc>
              <w:tc>
                <w:tcPr>
                  <w:tcW w:w="461" w:type="pct"/>
                </w:tcPr>
                <w:p w14:paraId="0D65243A" w14:textId="77777777" w:rsidR="0065011C" w:rsidRPr="00D90687" w:rsidRDefault="0065011C" w:rsidP="004775C9">
                  <w:pPr>
                    <w:pStyle w:val="TableBodyText"/>
                    <w:spacing w:before="120"/>
                    <w:jc w:val="left"/>
                  </w:pPr>
                  <w:r w:rsidRPr="00D90687">
                    <w:t>SA</w:t>
                  </w:r>
                </w:p>
              </w:tc>
              <w:tc>
                <w:tcPr>
                  <w:tcW w:w="461" w:type="pct"/>
                  <w:vAlign w:val="bottom"/>
                </w:tcPr>
                <w:p w14:paraId="0D65243B" w14:textId="77777777" w:rsidR="0065011C" w:rsidRDefault="0065011C" w:rsidP="004775C9">
                  <w:pPr>
                    <w:pStyle w:val="TableBodyText"/>
                    <w:spacing w:before="120"/>
                  </w:pPr>
                  <w:r>
                    <w:rPr>
                      <w:rFonts w:cs="Arial"/>
                      <w:color w:val="000000"/>
                      <w:sz w:val="20"/>
                    </w:rPr>
                    <w:t>8</w:t>
                  </w:r>
                </w:p>
              </w:tc>
              <w:tc>
                <w:tcPr>
                  <w:tcW w:w="583" w:type="pct"/>
                  <w:vAlign w:val="bottom"/>
                </w:tcPr>
                <w:p w14:paraId="0D65243C" w14:textId="77777777" w:rsidR="0065011C" w:rsidRPr="00D90687" w:rsidRDefault="0065011C" w:rsidP="004775C9">
                  <w:pPr>
                    <w:pStyle w:val="TableBodyText"/>
                    <w:spacing w:before="120"/>
                  </w:pPr>
                  <w:r>
                    <w:rPr>
                      <w:rFonts w:cs="Arial"/>
                      <w:color w:val="000000"/>
                      <w:sz w:val="20"/>
                    </w:rPr>
                    <w:t>19.86</w:t>
                  </w:r>
                </w:p>
              </w:tc>
            </w:tr>
            <w:tr w:rsidR="004E3403" w14:paraId="0D652443" w14:textId="77777777" w:rsidTr="004775C9">
              <w:tc>
                <w:tcPr>
                  <w:tcW w:w="989" w:type="pct"/>
                </w:tcPr>
                <w:p w14:paraId="0D65243E" w14:textId="77777777" w:rsidR="0065011C" w:rsidRPr="00D90687" w:rsidRDefault="0065011C" w:rsidP="0065011C">
                  <w:pPr>
                    <w:pStyle w:val="TableBodyText"/>
                    <w:jc w:val="left"/>
                  </w:pPr>
                </w:p>
              </w:tc>
              <w:tc>
                <w:tcPr>
                  <w:tcW w:w="2506" w:type="pct"/>
                </w:tcPr>
                <w:p w14:paraId="0D65243F" w14:textId="77777777" w:rsidR="0065011C" w:rsidRPr="00D90687" w:rsidRDefault="0065011C" w:rsidP="004775C9">
                  <w:pPr>
                    <w:pStyle w:val="TableBodyText"/>
                    <w:ind w:left="285" w:hanging="279"/>
                    <w:jc w:val="left"/>
                  </w:pPr>
                  <w:r w:rsidRPr="00C63078">
                    <w:t xml:space="preserve">CRC for Sheep Industry Innovation </w:t>
                  </w:r>
                  <w:r>
                    <w:t>(</w:t>
                  </w:r>
                  <w:r w:rsidRPr="00D90687">
                    <w:t>Sheep CRC</w:t>
                  </w:r>
                  <w:r>
                    <w:t>)</w:t>
                  </w:r>
                </w:p>
              </w:tc>
              <w:tc>
                <w:tcPr>
                  <w:tcW w:w="461" w:type="pct"/>
                </w:tcPr>
                <w:p w14:paraId="0D652440" w14:textId="77777777" w:rsidR="0065011C" w:rsidRPr="00D90687" w:rsidRDefault="0065011C" w:rsidP="0065011C">
                  <w:pPr>
                    <w:pStyle w:val="TableBodyText"/>
                    <w:jc w:val="left"/>
                  </w:pPr>
                  <w:r w:rsidRPr="00D90687">
                    <w:t>NSW</w:t>
                  </w:r>
                </w:p>
              </w:tc>
              <w:tc>
                <w:tcPr>
                  <w:tcW w:w="461" w:type="pct"/>
                  <w:vAlign w:val="bottom"/>
                </w:tcPr>
                <w:p w14:paraId="0D652441" w14:textId="77777777" w:rsidR="0065011C" w:rsidRDefault="0065011C" w:rsidP="0065011C">
                  <w:pPr>
                    <w:pStyle w:val="TableBodyText"/>
                  </w:pPr>
                  <w:r>
                    <w:rPr>
                      <w:rFonts w:cs="Arial"/>
                      <w:color w:val="000000"/>
                      <w:sz w:val="20"/>
                    </w:rPr>
                    <w:t>5</w:t>
                  </w:r>
                </w:p>
              </w:tc>
              <w:tc>
                <w:tcPr>
                  <w:tcW w:w="583" w:type="pct"/>
                  <w:vAlign w:val="bottom"/>
                </w:tcPr>
                <w:p w14:paraId="0D652442" w14:textId="77777777" w:rsidR="0065011C" w:rsidRPr="00D90687" w:rsidRDefault="0065011C" w:rsidP="0065011C">
                  <w:pPr>
                    <w:pStyle w:val="TableBodyText"/>
                  </w:pPr>
                  <w:r>
                    <w:rPr>
                      <w:rFonts w:cs="Arial"/>
                      <w:color w:val="000000"/>
                      <w:sz w:val="20"/>
                    </w:rPr>
                    <w:t>15.5</w:t>
                  </w:r>
                  <w:r w:rsidR="000036DC">
                    <w:rPr>
                      <w:rFonts w:cs="Arial"/>
                      <w:color w:val="000000"/>
                      <w:sz w:val="20"/>
                    </w:rPr>
                    <w:t>0</w:t>
                  </w:r>
                </w:p>
              </w:tc>
            </w:tr>
            <w:tr w:rsidR="00BA2A0F" w14:paraId="0D652449" w14:textId="77777777" w:rsidTr="00C61685">
              <w:tc>
                <w:tcPr>
                  <w:tcW w:w="989" w:type="pct"/>
                </w:tcPr>
                <w:p w14:paraId="0D652444" w14:textId="77777777" w:rsidR="0065011C" w:rsidRDefault="0065011C" w:rsidP="0065011C">
                  <w:pPr>
                    <w:pStyle w:val="TableBodyText"/>
                    <w:jc w:val="left"/>
                  </w:pPr>
                </w:p>
              </w:tc>
              <w:tc>
                <w:tcPr>
                  <w:tcW w:w="2506" w:type="pct"/>
                </w:tcPr>
                <w:p w14:paraId="0D652445" w14:textId="77777777" w:rsidR="0065011C" w:rsidRPr="00062F92" w:rsidRDefault="0065011C" w:rsidP="004775C9">
                  <w:pPr>
                    <w:pStyle w:val="TableBodyText"/>
                    <w:ind w:left="285" w:hanging="279"/>
                    <w:jc w:val="left"/>
                  </w:pPr>
                  <w:r w:rsidRPr="00D90687">
                    <w:t>Dairy Futures CRC</w:t>
                  </w:r>
                </w:p>
              </w:tc>
              <w:tc>
                <w:tcPr>
                  <w:tcW w:w="461" w:type="pct"/>
                </w:tcPr>
                <w:p w14:paraId="0D652446" w14:textId="77777777" w:rsidR="0065011C" w:rsidRDefault="004E3403" w:rsidP="0065011C">
                  <w:pPr>
                    <w:pStyle w:val="TableBodyText"/>
                    <w:jc w:val="left"/>
                  </w:pPr>
                  <w:r>
                    <w:t>Vic</w:t>
                  </w:r>
                </w:p>
              </w:tc>
              <w:tc>
                <w:tcPr>
                  <w:tcW w:w="461" w:type="pct"/>
                  <w:vAlign w:val="bottom"/>
                </w:tcPr>
                <w:p w14:paraId="0D652447" w14:textId="77777777" w:rsidR="0065011C" w:rsidRDefault="0065011C" w:rsidP="0065011C">
                  <w:pPr>
                    <w:pStyle w:val="TableBodyText"/>
                  </w:pPr>
                  <w:r>
                    <w:rPr>
                      <w:rFonts w:cs="Arial"/>
                      <w:color w:val="000000"/>
                      <w:sz w:val="20"/>
                    </w:rPr>
                    <w:t>6</w:t>
                  </w:r>
                </w:p>
              </w:tc>
              <w:tc>
                <w:tcPr>
                  <w:tcW w:w="583" w:type="pct"/>
                  <w:vAlign w:val="bottom"/>
                </w:tcPr>
                <w:p w14:paraId="0D652448" w14:textId="77777777" w:rsidR="0065011C" w:rsidRDefault="0065011C" w:rsidP="0065011C">
                  <w:pPr>
                    <w:pStyle w:val="TableBodyText"/>
                  </w:pPr>
                  <w:r>
                    <w:rPr>
                      <w:rFonts w:cs="Arial"/>
                      <w:color w:val="000000"/>
                      <w:sz w:val="20"/>
                    </w:rPr>
                    <w:t>27.72</w:t>
                  </w:r>
                </w:p>
              </w:tc>
            </w:tr>
            <w:tr w:rsidR="004E3403" w14:paraId="0D65244F" w14:textId="77777777" w:rsidTr="004775C9">
              <w:tc>
                <w:tcPr>
                  <w:tcW w:w="989" w:type="pct"/>
                </w:tcPr>
                <w:p w14:paraId="0D65244A" w14:textId="77777777" w:rsidR="0065011C" w:rsidRPr="00D90687" w:rsidRDefault="0065011C" w:rsidP="0065011C">
                  <w:pPr>
                    <w:pStyle w:val="TableBodyText"/>
                    <w:jc w:val="left"/>
                  </w:pPr>
                </w:p>
              </w:tc>
              <w:tc>
                <w:tcPr>
                  <w:tcW w:w="2506" w:type="pct"/>
                </w:tcPr>
                <w:p w14:paraId="0D65244B" w14:textId="77777777" w:rsidR="0065011C" w:rsidRPr="00C63078" w:rsidRDefault="0065011C" w:rsidP="004775C9">
                  <w:pPr>
                    <w:pStyle w:val="TableBodyText"/>
                    <w:ind w:left="285" w:hanging="279"/>
                    <w:jc w:val="left"/>
                  </w:pPr>
                  <w:r w:rsidRPr="00062F92">
                    <w:t>Invasive Animals CRC</w:t>
                  </w:r>
                </w:p>
              </w:tc>
              <w:tc>
                <w:tcPr>
                  <w:tcW w:w="461" w:type="pct"/>
                </w:tcPr>
                <w:p w14:paraId="0D65244C" w14:textId="77777777" w:rsidR="0065011C" w:rsidRPr="00D90687" w:rsidRDefault="0065011C" w:rsidP="0065011C">
                  <w:pPr>
                    <w:pStyle w:val="TableBodyText"/>
                    <w:jc w:val="left"/>
                  </w:pPr>
                  <w:r>
                    <w:t>ACT</w:t>
                  </w:r>
                </w:p>
              </w:tc>
              <w:tc>
                <w:tcPr>
                  <w:tcW w:w="461" w:type="pct"/>
                  <w:vAlign w:val="bottom"/>
                </w:tcPr>
                <w:p w14:paraId="0D65244D" w14:textId="77777777" w:rsidR="0065011C" w:rsidRDefault="0065011C" w:rsidP="0065011C">
                  <w:pPr>
                    <w:pStyle w:val="TableBodyText"/>
                  </w:pPr>
                  <w:r>
                    <w:rPr>
                      <w:rFonts w:cs="Arial"/>
                      <w:color w:val="000000"/>
                      <w:sz w:val="20"/>
                    </w:rPr>
                    <w:t>5</w:t>
                  </w:r>
                </w:p>
              </w:tc>
              <w:tc>
                <w:tcPr>
                  <w:tcW w:w="583" w:type="pct"/>
                  <w:vAlign w:val="bottom"/>
                </w:tcPr>
                <w:p w14:paraId="0D65244E" w14:textId="77777777" w:rsidR="0065011C" w:rsidRDefault="0065011C" w:rsidP="0065011C">
                  <w:pPr>
                    <w:pStyle w:val="TableBodyText"/>
                  </w:pPr>
                  <w:r>
                    <w:rPr>
                      <w:rFonts w:cs="Arial"/>
                      <w:color w:val="000000"/>
                      <w:sz w:val="20"/>
                    </w:rPr>
                    <w:t>19.7</w:t>
                  </w:r>
                  <w:r w:rsidR="000036DC">
                    <w:rPr>
                      <w:rFonts w:cs="Arial"/>
                      <w:color w:val="000000"/>
                      <w:sz w:val="20"/>
                    </w:rPr>
                    <w:t>0</w:t>
                  </w:r>
                </w:p>
              </w:tc>
            </w:tr>
            <w:tr w:rsidR="00C61685" w14:paraId="0D652455" w14:textId="77777777" w:rsidTr="00C61685">
              <w:tc>
                <w:tcPr>
                  <w:tcW w:w="989" w:type="pct"/>
                </w:tcPr>
                <w:p w14:paraId="0D652450" w14:textId="77777777" w:rsidR="0065011C" w:rsidRPr="00D90687" w:rsidRDefault="0065011C" w:rsidP="0065011C">
                  <w:pPr>
                    <w:pStyle w:val="TableBodyText"/>
                    <w:jc w:val="left"/>
                  </w:pPr>
                </w:p>
              </w:tc>
              <w:tc>
                <w:tcPr>
                  <w:tcW w:w="2506" w:type="pct"/>
                </w:tcPr>
                <w:p w14:paraId="0D652451" w14:textId="77777777" w:rsidR="0065011C" w:rsidRPr="00D90687" w:rsidRDefault="0065011C" w:rsidP="004775C9">
                  <w:pPr>
                    <w:pStyle w:val="TableBodyText"/>
                    <w:ind w:left="285" w:hanging="279"/>
                    <w:jc w:val="left"/>
                  </w:pPr>
                  <w:r w:rsidRPr="00D90687">
                    <w:t>Poultry CRC</w:t>
                  </w:r>
                </w:p>
              </w:tc>
              <w:tc>
                <w:tcPr>
                  <w:tcW w:w="461" w:type="pct"/>
                </w:tcPr>
                <w:p w14:paraId="0D652452" w14:textId="77777777" w:rsidR="0065011C" w:rsidRPr="00D90687" w:rsidRDefault="0065011C" w:rsidP="0065011C">
                  <w:pPr>
                    <w:pStyle w:val="TableBodyText"/>
                    <w:jc w:val="left"/>
                  </w:pPr>
                  <w:r w:rsidRPr="00D90687">
                    <w:t>NSW</w:t>
                  </w:r>
                </w:p>
              </w:tc>
              <w:tc>
                <w:tcPr>
                  <w:tcW w:w="461" w:type="pct"/>
                  <w:vAlign w:val="bottom"/>
                </w:tcPr>
                <w:p w14:paraId="0D652453" w14:textId="77777777" w:rsidR="0065011C" w:rsidRDefault="000036DC" w:rsidP="004775C9">
                  <w:pPr>
                    <w:pStyle w:val="TableBodyText"/>
                  </w:pPr>
                  <w:r>
                    <w:rPr>
                      <w:rFonts w:cs="Arial"/>
                      <w:color w:val="000000"/>
                      <w:sz w:val="20"/>
                    </w:rPr>
                    <w:t>7</w:t>
                  </w:r>
                </w:p>
              </w:tc>
              <w:tc>
                <w:tcPr>
                  <w:tcW w:w="583" w:type="pct"/>
                  <w:vAlign w:val="bottom"/>
                </w:tcPr>
                <w:p w14:paraId="0D652454" w14:textId="77777777" w:rsidR="0065011C" w:rsidRPr="00D90687" w:rsidRDefault="000036DC" w:rsidP="004775C9">
                  <w:pPr>
                    <w:pStyle w:val="TableBodyText"/>
                  </w:pPr>
                  <w:r>
                    <w:t>27.000</w:t>
                  </w:r>
                </w:p>
              </w:tc>
            </w:tr>
            <w:tr w:rsidR="004E3403" w14:paraId="0D65245B" w14:textId="77777777" w:rsidTr="004775C9">
              <w:tc>
                <w:tcPr>
                  <w:tcW w:w="989" w:type="pct"/>
                </w:tcPr>
                <w:p w14:paraId="0D652456" w14:textId="77777777" w:rsidR="0065011C" w:rsidRPr="00D90687" w:rsidRDefault="0065011C" w:rsidP="0065011C">
                  <w:pPr>
                    <w:pStyle w:val="TableBodyText"/>
                    <w:jc w:val="left"/>
                  </w:pPr>
                </w:p>
              </w:tc>
              <w:tc>
                <w:tcPr>
                  <w:tcW w:w="2506" w:type="pct"/>
                </w:tcPr>
                <w:p w14:paraId="0D652457" w14:textId="77777777" w:rsidR="0065011C" w:rsidRPr="00D90687" w:rsidRDefault="0065011C" w:rsidP="004775C9">
                  <w:pPr>
                    <w:pStyle w:val="TableBodyText"/>
                    <w:ind w:left="285" w:hanging="279"/>
                    <w:jc w:val="left"/>
                  </w:pPr>
                  <w:r w:rsidRPr="00D90687">
                    <w:t xml:space="preserve">Plant Biosecurity </w:t>
                  </w:r>
                  <w:r>
                    <w:t>CRC</w:t>
                  </w:r>
                </w:p>
              </w:tc>
              <w:tc>
                <w:tcPr>
                  <w:tcW w:w="461" w:type="pct"/>
                </w:tcPr>
                <w:p w14:paraId="0D652458" w14:textId="77777777" w:rsidR="0065011C" w:rsidRPr="00D90687" w:rsidRDefault="0065011C" w:rsidP="0065011C">
                  <w:pPr>
                    <w:pStyle w:val="TableBodyText"/>
                    <w:jc w:val="left"/>
                  </w:pPr>
                  <w:r w:rsidRPr="00D90687">
                    <w:t>ACT</w:t>
                  </w:r>
                </w:p>
              </w:tc>
              <w:tc>
                <w:tcPr>
                  <w:tcW w:w="461" w:type="pct"/>
                  <w:vAlign w:val="bottom"/>
                </w:tcPr>
                <w:p w14:paraId="0D652459" w14:textId="77777777" w:rsidR="0065011C" w:rsidRDefault="000036DC" w:rsidP="0065011C">
                  <w:pPr>
                    <w:pStyle w:val="TableBodyText"/>
                  </w:pPr>
                  <w:r>
                    <w:rPr>
                      <w:rFonts w:cs="Arial"/>
                      <w:color w:val="000000"/>
                      <w:sz w:val="20"/>
                    </w:rPr>
                    <w:t>6</w:t>
                  </w:r>
                </w:p>
              </w:tc>
              <w:tc>
                <w:tcPr>
                  <w:tcW w:w="583" w:type="pct"/>
                  <w:vAlign w:val="bottom"/>
                </w:tcPr>
                <w:p w14:paraId="0D65245A" w14:textId="77777777" w:rsidR="0065011C" w:rsidRPr="00D90687" w:rsidRDefault="000036DC" w:rsidP="0065011C">
                  <w:pPr>
                    <w:pStyle w:val="TableBodyText"/>
                  </w:pPr>
                  <w:r>
                    <w:rPr>
                      <w:rFonts w:cs="Arial"/>
                      <w:color w:val="000000"/>
                      <w:sz w:val="20"/>
                    </w:rPr>
                    <w:t>29.65</w:t>
                  </w:r>
                </w:p>
              </w:tc>
            </w:tr>
            <w:tr w:rsidR="00BA2A0F" w14:paraId="0D652461" w14:textId="77777777" w:rsidTr="00C61685">
              <w:tc>
                <w:tcPr>
                  <w:tcW w:w="989" w:type="pct"/>
                </w:tcPr>
                <w:p w14:paraId="0D65245C" w14:textId="77777777" w:rsidR="002F4E93" w:rsidRPr="00D90687" w:rsidRDefault="002F4E93">
                  <w:pPr>
                    <w:pStyle w:val="TableBodyText"/>
                    <w:spacing w:before="120"/>
                    <w:jc w:val="left"/>
                  </w:pPr>
                  <w:r w:rsidRPr="00D90687">
                    <w:t>Environmental</w:t>
                  </w:r>
                </w:p>
              </w:tc>
              <w:tc>
                <w:tcPr>
                  <w:tcW w:w="2506" w:type="pct"/>
                </w:tcPr>
                <w:p w14:paraId="0D65245D" w14:textId="77777777" w:rsidR="002F4E93" w:rsidRPr="00D90687" w:rsidRDefault="002F4E93" w:rsidP="004775C9">
                  <w:pPr>
                    <w:pStyle w:val="TableBodyText"/>
                    <w:spacing w:before="120"/>
                    <w:ind w:left="285" w:hanging="279"/>
                    <w:jc w:val="left"/>
                  </w:pPr>
                  <w:r w:rsidRPr="00D90687">
                    <w:t>Antarctic Climate and Ecosystems CRC</w:t>
                  </w:r>
                </w:p>
              </w:tc>
              <w:tc>
                <w:tcPr>
                  <w:tcW w:w="461" w:type="pct"/>
                </w:tcPr>
                <w:p w14:paraId="0D65245E" w14:textId="77777777" w:rsidR="002F4E93" w:rsidRPr="00D90687" w:rsidRDefault="004E3403" w:rsidP="00684CA8">
                  <w:pPr>
                    <w:pStyle w:val="TableBodyText"/>
                    <w:spacing w:before="120"/>
                    <w:jc w:val="left"/>
                  </w:pPr>
                  <w:r>
                    <w:t>Tas</w:t>
                  </w:r>
                </w:p>
              </w:tc>
              <w:tc>
                <w:tcPr>
                  <w:tcW w:w="461" w:type="pct"/>
                </w:tcPr>
                <w:p w14:paraId="0D65245F" w14:textId="77777777" w:rsidR="002F4E93" w:rsidRDefault="004E3403" w:rsidP="004775C9">
                  <w:pPr>
                    <w:pStyle w:val="TableBodyText"/>
                    <w:spacing w:before="120"/>
                  </w:pPr>
                  <w:r>
                    <w:t>5</w:t>
                  </w:r>
                </w:p>
              </w:tc>
              <w:tc>
                <w:tcPr>
                  <w:tcW w:w="583" w:type="pct"/>
                </w:tcPr>
                <w:p w14:paraId="0D652460" w14:textId="77777777" w:rsidR="002F4E93" w:rsidRPr="00D90687" w:rsidRDefault="004E3403" w:rsidP="004775C9">
                  <w:pPr>
                    <w:pStyle w:val="TableBodyText"/>
                    <w:spacing w:before="120"/>
                  </w:pPr>
                  <w:r>
                    <w:t>25.00</w:t>
                  </w:r>
                </w:p>
              </w:tc>
            </w:tr>
            <w:tr w:rsidR="00BA2A0F" w14:paraId="0D652467" w14:textId="77777777" w:rsidTr="00C61685">
              <w:tc>
                <w:tcPr>
                  <w:tcW w:w="989" w:type="pct"/>
                </w:tcPr>
                <w:p w14:paraId="0D652462" w14:textId="77777777" w:rsidR="002F4E93" w:rsidRPr="00D90687" w:rsidRDefault="002557DC" w:rsidP="004775C9">
                  <w:pPr>
                    <w:pStyle w:val="TableBodyText"/>
                    <w:ind w:left="120"/>
                    <w:jc w:val="left"/>
                  </w:pPr>
                  <w:r w:rsidRPr="00D90687">
                    <w:t>services</w:t>
                  </w:r>
                </w:p>
              </w:tc>
              <w:tc>
                <w:tcPr>
                  <w:tcW w:w="2506" w:type="pct"/>
                </w:tcPr>
                <w:p w14:paraId="0D652463" w14:textId="77777777" w:rsidR="002F4E93" w:rsidRPr="00D90687" w:rsidRDefault="002F4E93" w:rsidP="004775C9">
                  <w:pPr>
                    <w:pStyle w:val="TableBodyText"/>
                    <w:ind w:left="285" w:hanging="279"/>
                    <w:jc w:val="left"/>
                  </w:pPr>
                  <w:r w:rsidRPr="00D90687">
                    <w:t>Bushfire and Natural Hazards CRC</w:t>
                  </w:r>
                </w:p>
              </w:tc>
              <w:tc>
                <w:tcPr>
                  <w:tcW w:w="461" w:type="pct"/>
                </w:tcPr>
                <w:p w14:paraId="0D652464" w14:textId="77777777" w:rsidR="002F4E93" w:rsidRPr="00D90687" w:rsidRDefault="004E3403" w:rsidP="00684CA8">
                  <w:pPr>
                    <w:pStyle w:val="TableBodyText"/>
                    <w:jc w:val="left"/>
                  </w:pPr>
                  <w:r>
                    <w:t>Vic</w:t>
                  </w:r>
                </w:p>
              </w:tc>
              <w:tc>
                <w:tcPr>
                  <w:tcW w:w="461" w:type="pct"/>
                </w:tcPr>
                <w:p w14:paraId="0D652465" w14:textId="77777777" w:rsidR="002F4E93" w:rsidRDefault="002F4E93" w:rsidP="004775C9">
                  <w:pPr>
                    <w:pStyle w:val="TableBodyText"/>
                  </w:pPr>
                  <w:r>
                    <w:t>8</w:t>
                  </w:r>
                </w:p>
              </w:tc>
              <w:tc>
                <w:tcPr>
                  <w:tcW w:w="583" w:type="pct"/>
                </w:tcPr>
                <w:p w14:paraId="0D652466" w14:textId="77777777" w:rsidR="002F4E93" w:rsidRPr="00D90687" w:rsidRDefault="002F4E93" w:rsidP="004775C9">
                  <w:pPr>
                    <w:pStyle w:val="TableBodyText"/>
                  </w:pPr>
                  <w:r>
                    <w:t>47</w:t>
                  </w:r>
                  <w:r w:rsidR="003A7938">
                    <w:t>.00</w:t>
                  </w:r>
                </w:p>
              </w:tc>
            </w:tr>
            <w:tr w:rsidR="00BA2A0F" w14:paraId="0D65246D" w14:textId="77777777" w:rsidTr="00C61685">
              <w:tc>
                <w:tcPr>
                  <w:tcW w:w="989" w:type="pct"/>
                </w:tcPr>
                <w:p w14:paraId="0D652468" w14:textId="77777777" w:rsidR="003A7938" w:rsidRPr="00D90687" w:rsidRDefault="003A7938" w:rsidP="003A7938">
                  <w:pPr>
                    <w:pStyle w:val="TableBodyText"/>
                    <w:jc w:val="left"/>
                  </w:pPr>
                </w:p>
              </w:tc>
              <w:tc>
                <w:tcPr>
                  <w:tcW w:w="2506" w:type="pct"/>
                </w:tcPr>
                <w:p w14:paraId="0D652469" w14:textId="77777777" w:rsidR="003A7938" w:rsidRPr="00D90687" w:rsidRDefault="003A7938" w:rsidP="004775C9">
                  <w:pPr>
                    <w:pStyle w:val="TableBodyText"/>
                    <w:ind w:left="285" w:hanging="279"/>
                    <w:jc w:val="left"/>
                  </w:pPr>
                  <w:r w:rsidRPr="00062F92">
                    <w:t>CRC for Contamination Assessment and Remediation of the Environment</w:t>
                  </w:r>
                  <w:r w:rsidR="004E3403">
                    <w:t xml:space="preserve"> (CARE</w:t>
                  </w:r>
                  <w:r w:rsidR="00C61685">
                    <w:t xml:space="preserve"> CRC</w:t>
                  </w:r>
                  <w:r w:rsidR="004E3403">
                    <w:t>)</w:t>
                  </w:r>
                </w:p>
              </w:tc>
              <w:tc>
                <w:tcPr>
                  <w:tcW w:w="461" w:type="pct"/>
                </w:tcPr>
                <w:p w14:paraId="0D65246A" w14:textId="77777777" w:rsidR="003A7938" w:rsidRPr="00D90687" w:rsidRDefault="003A7938" w:rsidP="003A7938">
                  <w:pPr>
                    <w:pStyle w:val="TableBodyText"/>
                    <w:jc w:val="left"/>
                  </w:pPr>
                  <w:r w:rsidRPr="00D90687">
                    <w:t>SA</w:t>
                  </w:r>
                </w:p>
              </w:tc>
              <w:tc>
                <w:tcPr>
                  <w:tcW w:w="461" w:type="pct"/>
                </w:tcPr>
                <w:p w14:paraId="0D65246B" w14:textId="77777777" w:rsidR="003A7938" w:rsidRDefault="004E3403" w:rsidP="004775C9">
                  <w:pPr>
                    <w:pStyle w:val="TableBodyText"/>
                  </w:pPr>
                  <w:r>
                    <w:t>9</w:t>
                  </w:r>
                </w:p>
              </w:tc>
              <w:tc>
                <w:tcPr>
                  <w:tcW w:w="583" w:type="pct"/>
                </w:tcPr>
                <w:p w14:paraId="0D65246C" w14:textId="77777777" w:rsidR="003A7938" w:rsidRPr="00D90687" w:rsidRDefault="004E3403" w:rsidP="004775C9">
                  <w:pPr>
                    <w:pStyle w:val="TableBodyText"/>
                  </w:pPr>
                  <w:r>
                    <w:t>29.10</w:t>
                  </w:r>
                </w:p>
              </w:tc>
            </w:tr>
            <w:tr w:rsidR="00BA2A0F" w14:paraId="0D652473" w14:textId="77777777" w:rsidTr="00C61685">
              <w:tc>
                <w:tcPr>
                  <w:tcW w:w="989" w:type="pct"/>
                </w:tcPr>
                <w:p w14:paraId="0D65246E" w14:textId="77777777" w:rsidR="003A7938" w:rsidRPr="00D90687" w:rsidRDefault="003A7938" w:rsidP="003A7938">
                  <w:pPr>
                    <w:pStyle w:val="TableBodyText"/>
                    <w:jc w:val="left"/>
                  </w:pPr>
                </w:p>
              </w:tc>
              <w:tc>
                <w:tcPr>
                  <w:tcW w:w="2506" w:type="pct"/>
                </w:tcPr>
                <w:p w14:paraId="0D65246F" w14:textId="77777777" w:rsidR="003A7938" w:rsidRPr="00D90687" w:rsidRDefault="003A7938" w:rsidP="004775C9">
                  <w:pPr>
                    <w:pStyle w:val="TableBodyText"/>
                    <w:ind w:left="285" w:hanging="279"/>
                    <w:jc w:val="left"/>
                  </w:pPr>
                  <w:r w:rsidRPr="00D90687">
                    <w:t>CRC for Low Carbon Living</w:t>
                  </w:r>
                </w:p>
              </w:tc>
              <w:tc>
                <w:tcPr>
                  <w:tcW w:w="461" w:type="pct"/>
                </w:tcPr>
                <w:p w14:paraId="0D652470" w14:textId="77777777" w:rsidR="003A7938" w:rsidRPr="00D90687" w:rsidRDefault="003A7938" w:rsidP="003A7938">
                  <w:pPr>
                    <w:pStyle w:val="TableBodyText"/>
                    <w:jc w:val="left"/>
                  </w:pPr>
                  <w:r w:rsidRPr="00D90687">
                    <w:t>NSW</w:t>
                  </w:r>
                </w:p>
              </w:tc>
              <w:tc>
                <w:tcPr>
                  <w:tcW w:w="461" w:type="pct"/>
                </w:tcPr>
                <w:p w14:paraId="0D652471" w14:textId="77777777" w:rsidR="003A7938" w:rsidRDefault="003A7938" w:rsidP="004775C9">
                  <w:pPr>
                    <w:pStyle w:val="TableBodyText"/>
                  </w:pPr>
                  <w:r>
                    <w:t>7</w:t>
                  </w:r>
                </w:p>
              </w:tc>
              <w:tc>
                <w:tcPr>
                  <w:tcW w:w="583" w:type="pct"/>
                </w:tcPr>
                <w:p w14:paraId="0D652472" w14:textId="77777777" w:rsidR="003A7938" w:rsidRPr="00D90687" w:rsidRDefault="003A7938" w:rsidP="004775C9">
                  <w:pPr>
                    <w:pStyle w:val="TableBodyText"/>
                  </w:pPr>
                  <w:r>
                    <w:t>2</w:t>
                  </w:r>
                  <w:r w:rsidR="000036DC">
                    <w:t>8.00</w:t>
                  </w:r>
                </w:p>
              </w:tc>
            </w:tr>
            <w:tr w:rsidR="004E3403" w14:paraId="0D652479" w14:textId="77777777" w:rsidTr="004775C9">
              <w:tc>
                <w:tcPr>
                  <w:tcW w:w="989" w:type="pct"/>
                </w:tcPr>
                <w:p w14:paraId="0D652474" w14:textId="77777777" w:rsidR="003A7938" w:rsidRPr="00D90687" w:rsidRDefault="003A7938" w:rsidP="009C35C9">
                  <w:pPr>
                    <w:pStyle w:val="TableBodyText"/>
                    <w:jc w:val="left"/>
                  </w:pPr>
                </w:p>
              </w:tc>
              <w:tc>
                <w:tcPr>
                  <w:tcW w:w="2506" w:type="pct"/>
                </w:tcPr>
                <w:p w14:paraId="0D652475" w14:textId="77777777" w:rsidR="003A7938" w:rsidRPr="00D90687" w:rsidRDefault="003A7938" w:rsidP="004775C9">
                  <w:pPr>
                    <w:pStyle w:val="TableBodyText"/>
                    <w:ind w:left="285" w:hanging="279"/>
                    <w:jc w:val="left"/>
                  </w:pPr>
                  <w:r>
                    <w:t>CRC</w:t>
                  </w:r>
                  <w:r w:rsidRPr="00D90687">
                    <w:t xml:space="preserve"> for Water Sensitive Cities</w:t>
                  </w:r>
                </w:p>
              </w:tc>
              <w:tc>
                <w:tcPr>
                  <w:tcW w:w="461" w:type="pct"/>
                </w:tcPr>
                <w:p w14:paraId="0D652476" w14:textId="77777777" w:rsidR="003A7938" w:rsidRPr="00D90687" w:rsidRDefault="004E3403" w:rsidP="009C35C9">
                  <w:pPr>
                    <w:pStyle w:val="TableBodyText"/>
                    <w:jc w:val="left"/>
                  </w:pPr>
                  <w:r>
                    <w:t>Vic</w:t>
                  </w:r>
                </w:p>
              </w:tc>
              <w:tc>
                <w:tcPr>
                  <w:tcW w:w="461" w:type="pct"/>
                </w:tcPr>
                <w:p w14:paraId="0D652477" w14:textId="77777777" w:rsidR="003A7938" w:rsidRDefault="003A7938" w:rsidP="009C35C9">
                  <w:pPr>
                    <w:pStyle w:val="TableBodyText"/>
                  </w:pPr>
                  <w:r>
                    <w:t>10</w:t>
                  </w:r>
                </w:p>
              </w:tc>
              <w:tc>
                <w:tcPr>
                  <w:tcW w:w="583" w:type="pct"/>
                </w:tcPr>
                <w:p w14:paraId="0D652478" w14:textId="77777777" w:rsidR="003A7938" w:rsidRPr="00D90687" w:rsidRDefault="003A7938" w:rsidP="009C35C9">
                  <w:pPr>
                    <w:pStyle w:val="TableBodyText"/>
                  </w:pPr>
                  <w:r>
                    <w:t>30.00</w:t>
                  </w:r>
                </w:p>
              </w:tc>
            </w:tr>
            <w:tr w:rsidR="00BA2A0F" w14:paraId="0D65247F" w14:textId="77777777" w:rsidTr="00C61685">
              <w:tc>
                <w:tcPr>
                  <w:tcW w:w="989" w:type="pct"/>
                </w:tcPr>
                <w:p w14:paraId="0D65247A" w14:textId="77777777" w:rsidR="003A7938" w:rsidRPr="00D90687" w:rsidRDefault="003A7938" w:rsidP="003A7938">
                  <w:pPr>
                    <w:pStyle w:val="TableBodyText"/>
                    <w:jc w:val="left"/>
                  </w:pPr>
                </w:p>
              </w:tc>
              <w:tc>
                <w:tcPr>
                  <w:tcW w:w="2506" w:type="pct"/>
                </w:tcPr>
                <w:p w14:paraId="0D65247B" w14:textId="77777777" w:rsidR="003A7938" w:rsidRPr="00D90687" w:rsidRDefault="003A7938" w:rsidP="004775C9">
                  <w:pPr>
                    <w:pStyle w:val="TableBodyText"/>
                    <w:ind w:left="285" w:hanging="279"/>
                    <w:jc w:val="left"/>
                  </w:pPr>
                  <w:r w:rsidRPr="00D90687">
                    <w:t>Space Environment Research Centre</w:t>
                  </w:r>
                </w:p>
              </w:tc>
              <w:tc>
                <w:tcPr>
                  <w:tcW w:w="461" w:type="pct"/>
                </w:tcPr>
                <w:p w14:paraId="0D65247C" w14:textId="77777777" w:rsidR="003A7938" w:rsidRPr="00D90687" w:rsidRDefault="003A7938" w:rsidP="003A7938">
                  <w:pPr>
                    <w:pStyle w:val="TableBodyText"/>
                    <w:jc w:val="left"/>
                  </w:pPr>
                  <w:r w:rsidRPr="00D90687">
                    <w:t>ACT</w:t>
                  </w:r>
                </w:p>
              </w:tc>
              <w:tc>
                <w:tcPr>
                  <w:tcW w:w="461" w:type="pct"/>
                </w:tcPr>
                <w:p w14:paraId="0D65247D" w14:textId="77777777" w:rsidR="003A7938" w:rsidRDefault="004E3403" w:rsidP="004775C9">
                  <w:pPr>
                    <w:pStyle w:val="TableBodyText"/>
                  </w:pPr>
                  <w:r>
                    <w:t>5</w:t>
                  </w:r>
                </w:p>
              </w:tc>
              <w:tc>
                <w:tcPr>
                  <w:tcW w:w="583" w:type="pct"/>
                </w:tcPr>
                <w:p w14:paraId="0D65247E" w14:textId="77777777" w:rsidR="003A7938" w:rsidRPr="00D90687" w:rsidRDefault="004E3403" w:rsidP="004775C9">
                  <w:pPr>
                    <w:pStyle w:val="TableBodyText"/>
                  </w:pPr>
                  <w:r>
                    <w:t>19.84</w:t>
                  </w:r>
                </w:p>
              </w:tc>
            </w:tr>
            <w:tr w:rsidR="00BA2A0F" w14:paraId="0D652485" w14:textId="77777777" w:rsidTr="00C61685">
              <w:tc>
                <w:tcPr>
                  <w:tcW w:w="989" w:type="pct"/>
                </w:tcPr>
                <w:p w14:paraId="0D652480" w14:textId="77777777" w:rsidR="003A7938" w:rsidRPr="00D90687" w:rsidRDefault="003A7938" w:rsidP="003A7938">
                  <w:pPr>
                    <w:pStyle w:val="TableBodyText"/>
                    <w:spacing w:before="120"/>
                    <w:jc w:val="left"/>
                  </w:pPr>
                  <w:r w:rsidRPr="00D90687">
                    <w:t>Manufacturing</w:t>
                  </w:r>
                </w:p>
              </w:tc>
              <w:tc>
                <w:tcPr>
                  <w:tcW w:w="2506" w:type="pct"/>
                </w:tcPr>
                <w:p w14:paraId="0D652481" w14:textId="77777777" w:rsidR="003A7938" w:rsidRPr="00D90687" w:rsidRDefault="003A7938" w:rsidP="004775C9">
                  <w:pPr>
                    <w:pStyle w:val="TableBodyText"/>
                    <w:spacing w:before="120"/>
                    <w:ind w:left="285" w:hanging="279"/>
                    <w:jc w:val="left"/>
                  </w:pPr>
                  <w:r w:rsidRPr="00D90687">
                    <w:t>CRC for Cell Therapy Manufacturing</w:t>
                  </w:r>
                </w:p>
              </w:tc>
              <w:tc>
                <w:tcPr>
                  <w:tcW w:w="461" w:type="pct"/>
                </w:tcPr>
                <w:p w14:paraId="0D652482" w14:textId="77777777" w:rsidR="003A7938" w:rsidRPr="00D90687" w:rsidRDefault="003A7938" w:rsidP="003A7938">
                  <w:pPr>
                    <w:pStyle w:val="TableBodyText"/>
                    <w:spacing w:before="120"/>
                    <w:jc w:val="left"/>
                  </w:pPr>
                  <w:r w:rsidRPr="00D90687">
                    <w:t>SA</w:t>
                  </w:r>
                </w:p>
              </w:tc>
              <w:tc>
                <w:tcPr>
                  <w:tcW w:w="461" w:type="pct"/>
                </w:tcPr>
                <w:p w14:paraId="0D652483" w14:textId="77777777" w:rsidR="003A7938" w:rsidRDefault="003A7938" w:rsidP="004775C9">
                  <w:pPr>
                    <w:pStyle w:val="TableBodyText"/>
                    <w:spacing w:before="120"/>
                  </w:pPr>
                  <w:r>
                    <w:t>6</w:t>
                  </w:r>
                </w:p>
              </w:tc>
              <w:tc>
                <w:tcPr>
                  <w:tcW w:w="583" w:type="pct"/>
                </w:tcPr>
                <w:p w14:paraId="0D652484" w14:textId="77777777" w:rsidR="003A7938" w:rsidRPr="00D90687" w:rsidRDefault="003A7938" w:rsidP="004775C9">
                  <w:pPr>
                    <w:pStyle w:val="TableBodyText"/>
                    <w:spacing w:before="120"/>
                  </w:pPr>
                  <w:r>
                    <w:t>20.00</w:t>
                  </w:r>
                </w:p>
              </w:tc>
            </w:tr>
            <w:tr w:rsidR="00BA2A0F" w14:paraId="0D65248B" w14:textId="77777777" w:rsidTr="00C61685">
              <w:tc>
                <w:tcPr>
                  <w:tcW w:w="989" w:type="pct"/>
                </w:tcPr>
                <w:p w14:paraId="0D652486" w14:textId="77777777" w:rsidR="003A7938" w:rsidRPr="00D90687" w:rsidRDefault="003A7938" w:rsidP="003A7938">
                  <w:pPr>
                    <w:pStyle w:val="TableBodyText"/>
                    <w:jc w:val="left"/>
                  </w:pPr>
                </w:p>
              </w:tc>
              <w:tc>
                <w:tcPr>
                  <w:tcW w:w="2506" w:type="pct"/>
                </w:tcPr>
                <w:p w14:paraId="0D652487" w14:textId="77777777" w:rsidR="003A7938" w:rsidRPr="00D90687" w:rsidRDefault="003A7938" w:rsidP="004775C9">
                  <w:pPr>
                    <w:pStyle w:val="TableBodyText"/>
                    <w:ind w:left="285" w:hanging="279"/>
                    <w:jc w:val="left"/>
                  </w:pPr>
                  <w:r w:rsidRPr="00D90687">
                    <w:t>CRC for Polymers</w:t>
                  </w:r>
                </w:p>
              </w:tc>
              <w:tc>
                <w:tcPr>
                  <w:tcW w:w="461" w:type="pct"/>
                </w:tcPr>
                <w:p w14:paraId="0D652488" w14:textId="77777777" w:rsidR="003A7938" w:rsidRPr="00D90687" w:rsidRDefault="004E3403" w:rsidP="003A7938">
                  <w:pPr>
                    <w:pStyle w:val="TableBodyText"/>
                    <w:jc w:val="left"/>
                  </w:pPr>
                  <w:r>
                    <w:t>Vic</w:t>
                  </w:r>
                </w:p>
              </w:tc>
              <w:tc>
                <w:tcPr>
                  <w:tcW w:w="461" w:type="pct"/>
                </w:tcPr>
                <w:p w14:paraId="0D652489" w14:textId="77777777" w:rsidR="003A7938" w:rsidRDefault="0065011C" w:rsidP="004775C9">
                  <w:pPr>
                    <w:pStyle w:val="TableBodyText"/>
                  </w:pPr>
                  <w:r>
                    <w:t>5</w:t>
                  </w:r>
                </w:p>
              </w:tc>
              <w:tc>
                <w:tcPr>
                  <w:tcW w:w="583" w:type="pct"/>
                </w:tcPr>
                <w:p w14:paraId="0D65248A" w14:textId="77777777" w:rsidR="003A7938" w:rsidRPr="00D90687" w:rsidRDefault="0065011C" w:rsidP="004775C9">
                  <w:pPr>
                    <w:pStyle w:val="TableBodyText"/>
                  </w:pPr>
                  <w:r>
                    <w:t>14.50</w:t>
                  </w:r>
                </w:p>
              </w:tc>
            </w:tr>
            <w:tr w:rsidR="004E3403" w14:paraId="0D652491" w14:textId="77777777" w:rsidTr="004775C9">
              <w:tc>
                <w:tcPr>
                  <w:tcW w:w="989" w:type="pct"/>
                </w:tcPr>
                <w:p w14:paraId="0D65248C" w14:textId="77777777" w:rsidR="0065011C" w:rsidRPr="00D90687" w:rsidRDefault="0065011C" w:rsidP="009C35C9">
                  <w:pPr>
                    <w:pStyle w:val="TableBodyText"/>
                    <w:jc w:val="left"/>
                  </w:pPr>
                </w:p>
              </w:tc>
              <w:tc>
                <w:tcPr>
                  <w:tcW w:w="2506" w:type="pct"/>
                </w:tcPr>
                <w:p w14:paraId="0D65248D" w14:textId="77777777" w:rsidR="0065011C" w:rsidRPr="00D90687" w:rsidRDefault="0065011C" w:rsidP="004775C9">
                  <w:pPr>
                    <w:pStyle w:val="TableBodyText"/>
                    <w:ind w:left="285" w:hanging="279"/>
                    <w:jc w:val="left"/>
                  </w:pPr>
                  <w:r>
                    <w:t>Excellerate Australia (</w:t>
                  </w:r>
                  <w:r w:rsidRPr="00062F92">
                    <w:t>Automotive Australia</w:t>
                  </w:r>
                  <w:r>
                    <w:t xml:space="preserve"> CRC)</w:t>
                  </w:r>
                </w:p>
              </w:tc>
              <w:tc>
                <w:tcPr>
                  <w:tcW w:w="461" w:type="pct"/>
                </w:tcPr>
                <w:p w14:paraId="0D65248E" w14:textId="77777777" w:rsidR="0065011C" w:rsidRPr="00D90687" w:rsidRDefault="004E3403" w:rsidP="009C35C9">
                  <w:pPr>
                    <w:pStyle w:val="TableBodyText"/>
                    <w:jc w:val="left"/>
                  </w:pPr>
                  <w:r>
                    <w:t>Vic</w:t>
                  </w:r>
                </w:p>
              </w:tc>
              <w:tc>
                <w:tcPr>
                  <w:tcW w:w="461" w:type="pct"/>
                </w:tcPr>
                <w:p w14:paraId="0D65248F" w14:textId="77777777" w:rsidR="0065011C" w:rsidRDefault="0065011C" w:rsidP="009C35C9">
                  <w:pPr>
                    <w:pStyle w:val="TableBodyText"/>
                  </w:pPr>
                  <w:r>
                    <w:t>5</w:t>
                  </w:r>
                </w:p>
              </w:tc>
              <w:tc>
                <w:tcPr>
                  <w:tcW w:w="583" w:type="pct"/>
                </w:tcPr>
                <w:p w14:paraId="0D652490" w14:textId="77777777" w:rsidR="0065011C" w:rsidRPr="00D90687" w:rsidRDefault="0065011C" w:rsidP="009C35C9">
                  <w:pPr>
                    <w:pStyle w:val="TableBodyText"/>
                  </w:pPr>
                  <w:r>
                    <w:t>26.00</w:t>
                  </w:r>
                </w:p>
              </w:tc>
            </w:tr>
            <w:tr w:rsidR="00BA2A0F" w14:paraId="0D652497" w14:textId="77777777" w:rsidTr="00C61685">
              <w:tc>
                <w:tcPr>
                  <w:tcW w:w="989" w:type="pct"/>
                </w:tcPr>
                <w:p w14:paraId="0D652492" w14:textId="77777777" w:rsidR="003A7938" w:rsidRPr="00D90687" w:rsidRDefault="003A7938" w:rsidP="003A7938">
                  <w:pPr>
                    <w:pStyle w:val="TableBodyText"/>
                    <w:jc w:val="left"/>
                  </w:pPr>
                </w:p>
              </w:tc>
              <w:tc>
                <w:tcPr>
                  <w:tcW w:w="2506" w:type="pct"/>
                </w:tcPr>
                <w:p w14:paraId="0D652493" w14:textId="77777777" w:rsidR="003A7938" w:rsidRPr="00D90687" w:rsidRDefault="003A7938" w:rsidP="004775C9">
                  <w:pPr>
                    <w:pStyle w:val="TableBodyText"/>
                    <w:ind w:left="285" w:hanging="279"/>
                    <w:jc w:val="left"/>
                  </w:pPr>
                  <w:r w:rsidRPr="00D90687">
                    <w:t>Rail Manufacturing CRC</w:t>
                  </w:r>
                </w:p>
              </w:tc>
              <w:tc>
                <w:tcPr>
                  <w:tcW w:w="461" w:type="pct"/>
                </w:tcPr>
                <w:p w14:paraId="0D652494" w14:textId="77777777" w:rsidR="003A7938" w:rsidRPr="00D90687" w:rsidRDefault="004E3403" w:rsidP="003A7938">
                  <w:pPr>
                    <w:pStyle w:val="TableBodyText"/>
                    <w:jc w:val="left"/>
                  </w:pPr>
                  <w:r>
                    <w:t>Vic</w:t>
                  </w:r>
                </w:p>
              </w:tc>
              <w:tc>
                <w:tcPr>
                  <w:tcW w:w="461" w:type="pct"/>
                </w:tcPr>
                <w:p w14:paraId="0D652495" w14:textId="77777777" w:rsidR="003A7938" w:rsidRDefault="0065011C" w:rsidP="004775C9">
                  <w:pPr>
                    <w:pStyle w:val="TableBodyText"/>
                  </w:pPr>
                  <w:r>
                    <w:t>6</w:t>
                  </w:r>
                </w:p>
              </w:tc>
              <w:tc>
                <w:tcPr>
                  <w:tcW w:w="583" w:type="pct"/>
                </w:tcPr>
                <w:p w14:paraId="0D652496" w14:textId="77777777" w:rsidR="003A7938" w:rsidRPr="00D90687" w:rsidRDefault="0065011C" w:rsidP="004775C9">
                  <w:pPr>
                    <w:pStyle w:val="TableBodyText"/>
                  </w:pPr>
                  <w:r>
                    <w:t>31.00</w:t>
                  </w:r>
                </w:p>
              </w:tc>
            </w:tr>
            <w:tr w:rsidR="00BA2A0F" w14:paraId="0D65249D" w14:textId="77777777" w:rsidTr="00C61685">
              <w:tc>
                <w:tcPr>
                  <w:tcW w:w="989" w:type="pct"/>
                </w:tcPr>
                <w:p w14:paraId="0D652498" w14:textId="77777777" w:rsidR="003A7938" w:rsidRPr="00D90687" w:rsidRDefault="003A7938" w:rsidP="003A7938">
                  <w:pPr>
                    <w:pStyle w:val="TableBodyText"/>
                    <w:spacing w:before="120"/>
                    <w:jc w:val="left"/>
                  </w:pPr>
                  <w:r w:rsidRPr="00D90687">
                    <w:t xml:space="preserve">Medical </w:t>
                  </w:r>
                  <w:r w:rsidR="002557DC" w:rsidRPr="00D90687">
                    <w:t>services</w:t>
                  </w:r>
                </w:p>
              </w:tc>
              <w:tc>
                <w:tcPr>
                  <w:tcW w:w="2506" w:type="pct"/>
                </w:tcPr>
                <w:p w14:paraId="0D652499" w14:textId="77777777" w:rsidR="003A7938" w:rsidRPr="00D90687" w:rsidRDefault="004E3403" w:rsidP="004775C9">
                  <w:pPr>
                    <w:pStyle w:val="TableBodyText"/>
                    <w:spacing w:before="120"/>
                    <w:ind w:left="285" w:hanging="279"/>
                    <w:jc w:val="left"/>
                  </w:pPr>
                  <w:r w:rsidRPr="00D90687">
                    <w:t>Cancer Therapeutics CRC</w:t>
                  </w:r>
                </w:p>
              </w:tc>
              <w:tc>
                <w:tcPr>
                  <w:tcW w:w="461" w:type="pct"/>
                </w:tcPr>
                <w:p w14:paraId="0D65249A" w14:textId="77777777" w:rsidR="003A7938" w:rsidRPr="00D90687" w:rsidRDefault="004E3403" w:rsidP="003A7938">
                  <w:pPr>
                    <w:pStyle w:val="TableBodyText"/>
                    <w:spacing w:before="120"/>
                    <w:jc w:val="left"/>
                  </w:pPr>
                  <w:r>
                    <w:t>Vic</w:t>
                  </w:r>
                </w:p>
              </w:tc>
              <w:tc>
                <w:tcPr>
                  <w:tcW w:w="461" w:type="pct"/>
                </w:tcPr>
                <w:p w14:paraId="0D65249B" w14:textId="77777777" w:rsidR="003A7938" w:rsidRDefault="004E3403" w:rsidP="004775C9">
                  <w:pPr>
                    <w:pStyle w:val="TableBodyText"/>
                    <w:spacing w:before="120"/>
                  </w:pPr>
                  <w:r>
                    <w:t>6</w:t>
                  </w:r>
                </w:p>
              </w:tc>
              <w:tc>
                <w:tcPr>
                  <w:tcW w:w="583" w:type="pct"/>
                </w:tcPr>
                <w:p w14:paraId="0D65249C" w14:textId="77777777" w:rsidR="003A7938" w:rsidRPr="00D90687" w:rsidRDefault="004E3403" w:rsidP="004775C9">
                  <w:pPr>
                    <w:pStyle w:val="TableBodyText"/>
                    <w:spacing w:before="120"/>
                  </w:pPr>
                  <w:r>
                    <w:t>34.01</w:t>
                  </w:r>
                </w:p>
              </w:tc>
            </w:tr>
            <w:tr w:rsidR="00BA2A0F" w14:paraId="0D6524A3" w14:textId="77777777" w:rsidTr="00C61685">
              <w:tc>
                <w:tcPr>
                  <w:tcW w:w="989" w:type="pct"/>
                </w:tcPr>
                <w:p w14:paraId="0D65249E" w14:textId="77777777" w:rsidR="003A7938" w:rsidRPr="00D90687" w:rsidRDefault="003A7938" w:rsidP="003A7938">
                  <w:pPr>
                    <w:pStyle w:val="TableBodyText"/>
                    <w:jc w:val="left"/>
                  </w:pPr>
                </w:p>
              </w:tc>
              <w:tc>
                <w:tcPr>
                  <w:tcW w:w="2506" w:type="pct"/>
                </w:tcPr>
                <w:p w14:paraId="0D65249F" w14:textId="77777777" w:rsidR="003A7938" w:rsidRPr="00D90687" w:rsidRDefault="004E3403" w:rsidP="004775C9">
                  <w:pPr>
                    <w:pStyle w:val="TableBodyText"/>
                    <w:ind w:left="285" w:hanging="279"/>
                    <w:jc w:val="left"/>
                  </w:pPr>
                  <w:r>
                    <w:t>CRC</w:t>
                  </w:r>
                  <w:r w:rsidRPr="00D90687">
                    <w:t xml:space="preserve"> for Living with Autism</w:t>
                  </w:r>
                </w:p>
              </w:tc>
              <w:tc>
                <w:tcPr>
                  <w:tcW w:w="461" w:type="pct"/>
                </w:tcPr>
                <w:p w14:paraId="0D6524A0" w14:textId="77777777" w:rsidR="003A7938" w:rsidRPr="00D90687" w:rsidRDefault="004E3403" w:rsidP="003A7938">
                  <w:pPr>
                    <w:pStyle w:val="TableBodyText"/>
                    <w:jc w:val="left"/>
                  </w:pPr>
                  <w:r>
                    <w:t>Qld</w:t>
                  </w:r>
                </w:p>
              </w:tc>
              <w:tc>
                <w:tcPr>
                  <w:tcW w:w="461" w:type="pct"/>
                </w:tcPr>
                <w:p w14:paraId="0D6524A1" w14:textId="77777777" w:rsidR="003A7938" w:rsidRDefault="004E3403" w:rsidP="004775C9">
                  <w:pPr>
                    <w:pStyle w:val="TableBodyText"/>
                  </w:pPr>
                  <w:r>
                    <w:t>10</w:t>
                  </w:r>
                </w:p>
              </w:tc>
              <w:tc>
                <w:tcPr>
                  <w:tcW w:w="583" w:type="pct"/>
                </w:tcPr>
                <w:p w14:paraId="0D6524A2" w14:textId="77777777" w:rsidR="003A7938" w:rsidRPr="00D90687" w:rsidRDefault="004E3403" w:rsidP="004775C9">
                  <w:pPr>
                    <w:pStyle w:val="TableBodyText"/>
                  </w:pPr>
                  <w:r>
                    <w:t>31.00</w:t>
                  </w:r>
                </w:p>
              </w:tc>
            </w:tr>
            <w:tr w:rsidR="00BA2A0F" w14:paraId="0D6524A9" w14:textId="77777777" w:rsidTr="00C61685">
              <w:tc>
                <w:tcPr>
                  <w:tcW w:w="989" w:type="pct"/>
                </w:tcPr>
                <w:p w14:paraId="0D6524A4" w14:textId="77777777" w:rsidR="003A7938" w:rsidRPr="00D90687" w:rsidRDefault="003A7938" w:rsidP="003A7938">
                  <w:pPr>
                    <w:pStyle w:val="TableBodyText"/>
                    <w:jc w:val="left"/>
                  </w:pPr>
                </w:p>
              </w:tc>
              <w:tc>
                <w:tcPr>
                  <w:tcW w:w="2506" w:type="pct"/>
                </w:tcPr>
                <w:p w14:paraId="0D6524A5" w14:textId="77777777" w:rsidR="003A7938" w:rsidRPr="00D90687" w:rsidRDefault="003A7938" w:rsidP="004775C9">
                  <w:pPr>
                    <w:pStyle w:val="TableBodyText"/>
                    <w:ind w:left="285" w:hanging="279"/>
                    <w:jc w:val="left"/>
                  </w:pPr>
                  <w:r w:rsidRPr="00D90687">
                    <w:t>CRC for Alertness Safety and Productivity</w:t>
                  </w:r>
                </w:p>
              </w:tc>
              <w:tc>
                <w:tcPr>
                  <w:tcW w:w="461" w:type="pct"/>
                </w:tcPr>
                <w:p w14:paraId="0D6524A6" w14:textId="77777777" w:rsidR="003A7938" w:rsidRPr="00D90687" w:rsidRDefault="004E3403" w:rsidP="003A7938">
                  <w:pPr>
                    <w:pStyle w:val="TableBodyText"/>
                    <w:jc w:val="left"/>
                  </w:pPr>
                  <w:r>
                    <w:t>Vic</w:t>
                  </w:r>
                </w:p>
              </w:tc>
              <w:tc>
                <w:tcPr>
                  <w:tcW w:w="461" w:type="pct"/>
                </w:tcPr>
                <w:p w14:paraId="0D6524A7" w14:textId="77777777" w:rsidR="003A7938" w:rsidRDefault="004E3403" w:rsidP="004775C9">
                  <w:pPr>
                    <w:pStyle w:val="TableBodyText"/>
                  </w:pPr>
                  <w:r>
                    <w:t>7</w:t>
                  </w:r>
                </w:p>
              </w:tc>
              <w:tc>
                <w:tcPr>
                  <w:tcW w:w="583" w:type="pct"/>
                </w:tcPr>
                <w:p w14:paraId="0D6524A8" w14:textId="77777777" w:rsidR="003A7938" w:rsidRPr="00D90687" w:rsidRDefault="004E3403" w:rsidP="004775C9">
                  <w:pPr>
                    <w:pStyle w:val="TableBodyText"/>
                  </w:pPr>
                  <w:r>
                    <w:t>14.48</w:t>
                  </w:r>
                </w:p>
              </w:tc>
            </w:tr>
            <w:tr w:rsidR="00BA2A0F" w14:paraId="0D6524AF" w14:textId="77777777" w:rsidTr="00C61685">
              <w:tc>
                <w:tcPr>
                  <w:tcW w:w="989" w:type="pct"/>
                </w:tcPr>
                <w:p w14:paraId="0D6524AA" w14:textId="77777777" w:rsidR="003A7938" w:rsidRPr="00D90687" w:rsidRDefault="003A7938" w:rsidP="003A7938">
                  <w:pPr>
                    <w:pStyle w:val="TableBodyText"/>
                    <w:jc w:val="left"/>
                  </w:pPr>
                </w:p>
              </w:tc>
              <w:tc>
                <w:tcPr>
                  <w:tcW w:w="2506" w:type="pct"/>
                </w:tcPr>
                <w:p w14:paraId="0D6524AB" w14:textId="77777777" w:rsidR="003A7938" w:rsidRPr="00D90687" w:rsidRDefault="003A7938" w:rsidP="004775C9">
                  <w:pPr>
                    <w:pStyle w:val="TableBodyText"/>
                    <w:ind w:left="285" w:hanging="279"/>
                    <w:jc w:val="left"/>
                  </w:pPr>
                  <w:r w:rsidRPr="00D90687">
                    <w:t>CRC for Mental Health</w:t>
                  </w:r>
                </w:p>
              </w:tc>
              <w:tc>
                <w:tcPr>
                  <w:tcW w:w="461" w:type="pct"/>
                </w:tcPr>
                <w:p w14:paraId="0D6524AC" w14:textId="77777777" w:rsidR="003A7938" w:rsidRPr="00D90687" w:rsidRDefault="004E3403" w:rsidP="003A7938">
                  <w:pPr>
                    <w:pStyle w:val="TableBodyText"/>
                    <w:jc w:val="left"/>
                  </w:pPr>
                  <w:r>
                    <w:t>Vic</w:t>
                  </w:r>
                </w:p>
              </w:tc>
              <w:tc>
                <w:tcPr>
                  <w:tcW w:w="461" w:type="pct"/>
                </w:tcPr>
                <w:p w14:paraId="0D6524AD" w14:textId="77777777" w:rsidR="003A7938" w:rsidRDefault="0065011C" w:rsidP="004775C9">
                  <w:pPr>
                    <w:pStyle w:val="TableBodyText"/>
                  </w:pPr>
                  <w:r>
                    <w:t>7</w:t>
                  </w:r>
                </w:p>
              </w:tc>
              <w:tc>
                <w:tcPr>
                  <w:tcW w:w="583" w:type="pct"/>
                </w:tcPr>
                <w:p w14:paraId="0D6524AE" w14:textId="77777777" w:rsidR="003A7938" w:rsidRPr="00D90687" w:rsidRDefault="0065011C" w:rsidP="004775C9">
                  <w:pPr>
                    <w:pStyle w:val="TableBodyText"/>
                  </w:pPr>
                  <w:r>
                    <w:t>2</w:t>
                  </w:r>
                  <w:r w:rsidR="004E3403">
                    <w:t>3.11</w:t>
                  </w:r>
                </w:p>
              </w:tc>
            </w:tr>
            <w:tr w:rsidR="00BA2A0F" w14:paraId="0D6524B5" w14:textId="77777777" w:rsidTr="00C61685">
              <w:tc>
                <w:tcPr>
                  <w:tcW w:w="989" w:type="pct"/>
                </w:tcPr>
                <w:p w14:paraId="0D6524B0" w14:textId="77777777" w:rsidR="003A7938" w:rsidRPr="00D90687" w:rsidRDefault="003A7938" w:rsidP="003A7938">
                  <w:pPr>
                    <w:pStyle w:val="TableBodyText"/>
                    <w:jc w:val="left"/>
                  </w:pPr>
                </w:p>
              </w:tc>
              <w:tc>
                <w:tcPr>
                  <w:tcW w:w="2506" w:type="pct"/>
                </w:tcPr>
                <w:p w14:paraId="0D6524B1" w14:textId="77777777" w:rsidR="003A7938" w:rsidRPr="00D90687" w:rsidRDefault="003A7938" w:rsidP="004775C9">
                  <w:pPr>
                    <w:pStyle w:val="TableBodyText"/>
                    <w:ind w:left="285" w:hanging="279"/>
                    <w:jc w:val="left"/>
                  </w:pPr>
                  <w:r>
                    <w:t>CRC</w:t>
                  </w:r>
                  <w:r w:rsidRPr="00D90687">
                    <w:t xml:space="preserve"> </w:t>
                  </w:r>
                  <w:r>
                    <w:t xml:space="preserve">for </w:t>
                  </w:r>
                  <w:r w:rsidRPr="00D90687">
                    <w:t>Aboriginal and T</w:t>
                  </w:r>
                  <w:r>
                    <w:t>orres Strait Islander Health</w:t>
                  </w:r>
                </w:p>
              </w:tc>
              <w:tc>
                <w:tcPr>
                  <w:tcW w:w="461" w:type="pct"/>
                </w:tcPr>
                <w:p w14:paraId="0D6524B2" w14:textId="77777777" w:rsidR="003A7938" w:rsidRPr="00D90687" w:rsidRDefault="004E3403" w:rsidP="003A7938">
                  <w:pPr>
                    <w:pStyle w:val="TableBodyText"/>
                    <w:jc w:val="left"/>
                  </w:pPr>
                  <w:r>
                    <w:t>Vic</w:t>
                  </w:r>
                </w:p>
              </w:tc>
              <w:tc>
                <w:tcPr>
                  <w:tcW w:w="461" w:type="pct"/>
                </w:tcPr>
                <w:p w14:paraId="0D6524B3" w14:textId="77777777" w:rsidR="003A7938" w:rsidRDefault="00BA2A0F" w:rsidP="004775C9">
                  <w:pPr>
                    <w:pStyle w:val="TableBodyText"/>
                  </w:pPr>
                  <w:r>
                    <w:t>5</w:t>
                  </w:r>
                </w:p>
              </w:tc>
              <w:tc>
                <w:tcPr>
                  <w:tcW w:w="583" w:type="pct"/>
                </w:tcPr>
                <w:p w14:paraId="0D6524B4" w14:textId="77777777" w:rsidR="003A7938" w:rsidRPr="00D90687" w:rsidRDefault="00BA2A0F" w:rsidP="004775C9">
                  <w:pPr>
                    <w:pStyle w:val="TableBodyText"/>
                  </w:pPr>
                  <w:r>
                    <w:t>25.00</w:t>
                  </w:r>
                </w:p>
              </w:tc>
            </w:tr>
            <w:tr w:rsidR="00BA2A0F" w14:paraId="0D6524BB" w14:textId="77777777" w:rsidTr="00C61685">
              <w:tc>
                <w:tcPr>
                  <w:tcW w:w="989" w:type="pct"/>
                </w:tcPr>
                <w:p w14:paraId="0D6524B6" w14:textId="77777777" w:rsidR="003A7938" w:rsidRPr="00D90687" w:rsidRDefault="003A7938" w:rsidP="003A7938">
                  <w:pPr>
                    <w:pStyle w:val="TableBodyText"/>
                    <w:jc w:val="left"/>
                  </w:pPr>
                </w:p>
              </w:tc>
              <w:tc>
                <w:tcPr>
                  <w:tcW w:w="2506" w:type="pct"/>
                </w:tcPr>
                <w:p w14:paraId="0D6524B7" w14:textId="77777777" w:rsidR="003A7938" w:rsidRPr="00D90687" w:rsidRDefault="003A7938" w:rsidP="004775C9">
                  <w:pPr>
                    <w:pStyle w:val="TableBodyText"/>
                    <w:ind w:left="285" w:hanging="279"/>
                    <w:jc w:val="left"/>
                  </w:pPr>
                  <w:r w:rsidRPr="00D90687">
                    <w:t xml:space="preserve">HEARing </w:t>
                  </w:r>
                  <w:r>
                    <w:t>CRC</w:t>
                  </w:r>
                </w:p>
              </w:tc>
              <w:tc>
                <w:tcPr>
                  <w:tcW w:w="461" w:type="pct"/>
                </w:tcPr>
                <w:p w14:paraId="0D6524B8" w14:textId="77777777" w:rsidR="003A7938" w:rsidRPr="00D90687" w:rsidRDefault="004E3403" w:rsidP="003A7938">
                  <w:pPr>
                    <w:pStyle w:val="TableBodyText"/>
                    <w:jc w:val="left"/>
                  </w:pPr>
                  <w:r>
                    <w:t>Vic</w:t>
                  </w:r>
                </w:p>
              </w:tc>
              <w:tc>
                <w:tcPr>
                  <w:tcW w:w="461" w:type="pct"/>
                </w:tcPr>
                <w:p w14:paraId="0D6524B9" w14:textId="77777777" w:rsidR="003A7938" w:rsidRDefault="004E3403" w:rsidP="004775C9">
                  <w:pPr>
                    <w:pStyle w:val="TableBodyText"/>
                  </w:pPr>
                  <w:r>
                    <w:t>5</w:t>
                  </w:r>
                </w:p>
              </w:tc>
              <w:tc>
                <w:tcPr>
                  <w:tcW w:w="583" w:type="pct"/>
                </w:tcPr>
                <w:p w14:paraId="0D6524BA" w14:textId="77777777" w:rsidR="003A7938" w:rsidRPr="00D90687" w:rsidRDefault="004E3403" w:rsidP="004775C9">
                  <w:pPr>
                    <w:pStyle w:val="TableBodyText"/>
                  </w:pPr>
                  <w:r>
                    <w:t>28.00</w:t>
                  </w:r>
                </w:p>
              </w:tc>
            </w:tr>
            <w:tr w:rsidR="00BA2A0F" w14:paraId="0D6524C1" w14:textId="77777777" w:rsidTr="00C61685">
              <w:tc>
                <w:tcPr>
                  <w:tcW w:w="989" w:type="pct"/>
                </w:tcPr>
                <w:p w14:paraId="0D6524BC" w14:textId="77777777" w:rsidR="003A7938" w:rsidRPr="00D90687" w:rsidRDefault="003A7938" w:rsidP="003A7938">
                  <w:pPr>
                    <w:pStyle w:val="TableBodyText"/>
                    <w:jc w:val="left"/>
                  </w:pPr>
                </w:p>
              </w:tc>
              <w:tc>
                <w:tcPr>
                  <w:tcW w:w="2506" w:type="pct"/>
                </w:tcPr>
                <w:p w14:paraId="0D6524BD" w14:textId="77777777" w:rsidR="003A7938" w:rsidRPr="00D90687" w:rsidRDefault="003A7938" w:rsidP="004775C9">
                  <w:pPr>
                    <w:pStyle w:val="TableBodyText"/>
                    <w:ind w:left="285" w:hanging="279"/>
                    <w:jc w:val="left"/>
                  </w:pPr>
                  <w:r w:rsidRPr="00D90687">
                    <w:t>Oral Health CRC</w:t>
                  </w:r>
                </w:p>
              </w:tc>
              <w:tc>
                <w:tcPr>
                  <w:tcW w:w="461" w:type="pct"/>
                </w:tcPr>
                <w:p w14:paraId="0D6524BE" w14:textId="77777777" w:rsidR="003A7938" w:rsidRPr="00D90687" w:rsidRDefault="004E3403" w:rsidP="003A7938">
                  <w:pPr>
                    <w:pStyle w:val="TableBodyText"/>
                    <w:jc w:val="left"/>
                  </w:pPr>
                  <w:r>
                    <w:t>Vic</w:t>
                  </w:r>
                </w:p>
              </w:tc>
              <w:tc>
                <w:tcPr>
                  <w:tcW w:w="461" w:type="pct"/>
                </w:tcPr>
                <w:p w14:paraId="0D6524BF" w14:textId="77777777" w:rsidR="003A7938" w:rsidRDefault="00BA2A0F" w:rsidP="004775C9">
                  <w:pPr>
                    <w:pStyle w:val="TableBodyText"/>
                  </w:pPr>
                  <w:r>
                    <w:t>8</w:t>
                  </w:r>
                </w:p>
              </w:tc>
              <w:tc>
                <w:tcPr>
                  <w:tcW w:w="583" w:type="pct"/>
                </w:tcPr>
                <w:p w14:paraId="0D6524C0" w14:textId="77777777" w:rsidR="003A7938" w:rsidRPr="00D90687" w:rsidRDefault="00BA2A0F" w:rsidP="004775C9">
                  <w:pPr>
                    <w:pStyle w:val="TableBodyText"/>
                  </w:pPr>
                  <w:r>
                    <w:t>30.25</w:t>
                  </w:r>
                </w:p>
              </w:tc>
            </w:tr>
            <w:tr w:rsidR="00BA2A0F" w14:paraId="0D6524C7" w14:textId="77777777" w:rsidTr="00C61685">
              <w:tc>
                <w:tcPr>
                  <w:tcW w:w="989" w:type="pct"/>
                </w:tcPr>
                <w:p w14:paraId="0D6524C2" w14:textId="77777777" w:rsidR="003A7938" w:rsidRPr="00D90687" w:rsidRDefault="003A7938" w:rsidP="003A7938">
                  <w:pPr>
                    <w:pStyle w:val="TableBodyText"/>
                    <w:jc w:val="left"/>
                  </w:pPr>
                </w:p>
              </w:tc>
              <w:tc>
                <w:tcPr>
                  <w:tcW w:w="2506" w:type="pct"/>
                </w:tcPr>
                <w:p w14:paraId="0D6524C3" w14:textId="77777777" w:rsidR="003A7938" w:rsidRPr="00D90687" w:rsidRDefault="003A7938" w:rsidP="004775C9">
                  <w:pPr>
                    <w:pStyle w:val="TableBodyText"/>
                    <w:ind w:left="285" w:hanging="279"/>
                    <w:jc w:val="left"/>
                  </w:pPr>
                  <w:r w:rsidRPr="00D90687">
                    <w:t xml:space="preserve">Wound Management Innovation </w:t>
                  </w:r>
                  <w:r>
                    <w:t>CRC</w:t>
                  </w:r>
                </w:p>
              </w:tc>
              <w:tc>
                <w:tcPr>
                  <w:tcW w:w="461" w:type="pct"/>
                </w:tcPr>
                <w:p w14:paraId="0D6524C4" w14:textId="77777777" w:rsidR="003A7938" w:rsidRPr="00D90687" w:rsidRDefault="004E3403" w:rsidP="003A7938">
                  <w:pPr>
                    <w:pStyle w:val="TableBodyText"/>
                    <w:jc w:val="left"/>
                  </w:pPr>
                  <w:r>
                    <w:t>Qld</w:t>
                  </w:r>
                </w:p>
              </w:tc>
              <w:tc>
                <w:tcPr>
                  <w:tcW w:w="461" w:type="pct"/>
                </w:tcPr>
                <w:p w14:paraId="0D6524C5" w14:textId="77777777" w:rsidR="003A7938" w:rsidRDefault="004E3403" w:rsidP="004775C9">
                  <w:pPr>
                    <w:pStyle w:val="TableBodyText"/>
                  </w:pPr>
                  <w:r>
                    <w:t>8</w:t>
                  </w:r>
                </w:p>
              </w:tc>
              <w:tc>
                <w:tcPr>
                  <w:tcW w:w="583" w:type="pct"/>
                </w:tcPr>
                <w:p w14:paraId="0D6524C6" w14:textId="77777777" w:rsidR="003A7938" w:rsidRPr="00D90687" w:rsidRDefault="004E3403" w:rsidP="004775C9">
                  <w:pPr>
                    <w:pStyle w:val="TableBodyText"/>
                  </w:pPr>
                  <w:r>
                    <w:t>27.93</w:t>
                  </w:r>
                </w:p>
              </w:tc>
            </w:tr>
            <w:tr w:rsidR="00BA2A0F" w14:paraId="0D6524CD" w14:textId="77777777" w:rsidTr="00C61685">
              <w:tc>
                <w:tcPr>
                  <w:tcW w:w="989" w:type="pct"/>
                </w:tcPr>
                <w:p w14:paraId="0D6524C8" w14:textId="77777777" w:rsidR="003A7938" w:rsidRPr="00D90687" w:rsidRDefault="003A7938" w:rsidP="003A7938">
                  <w:pPr>
                    <w:pStyle w:val="TableBodyText"/>
                    <w:jc w:val="left"/>
                  </w:pPr>
                </w:p>
              </w:tc>
              <w:tc>
                <w:tcPr>
                  <w:tcW w:w="2506" w:type="pct"/>
                </w:tcPr>
                <w:p w14:paraId="0D6524C9" w14:textId="77777777" w:rsidR="003A7938" w:rsidRPr="00D90687" w:rsidRDefault="003A7938" w:rsidP="004775C9">
                  <w:pPr>
                    <w:pStyle w:val="TableBodyText"/>
                    <w:ind w:left="285" w:hanging="279"/>
                    <w:jc w:val="left"/>
                  </w:pPr>
                  <w:r w:rsidRPr="00D90687">
                    <w:t xml:space="preserve">Young and Well </w:t>
                  </w:r>
                  <w:r>
                    <w:t>CRC</w:t>
                  </w:r>
                </w:p>
              </w:tc>
              <w:tc>
                <w:tcPr>
                  <w:tcW w:w="461" w:type="pct"/>
                </w:tcPr>
                <w:p w14:paraId="0D6524CA" w14:textId="77777777" w:rsidR="003A7938" w:rsidRPr="00D90687" w:rsidRDefault="004E3403" w:rsidP="003A7938">
                  <w:pPr>
                    <w:pStyle w:val="TableBodyText"/>
                    <w:jc w:val="left"/>
                  </w:pPr>
                  <w:r>
                    <w:t>Vic</w:t>
                  </w:r>
                </w:p>
              </w:tc>
              <w:tc>
                <w:tcPr>
                  <w:tcW w:w="461" w:type="pct"/>
                </w:tcPr>
                <w:p w14:paraId="0D6524CB" w14:textId="77777777" w:rsidR="003A7938" w:rsidRDefault="004E3403" w:rsidP="004775C9">
                  <w:pPr>
                    <w:pStyle w:val="TableBodyText"/>
                  </w:pPr>
                  <w:r>
                    <w:t>5</w:t>
                  </w:r>
                </w:p>
              </w:tc>
              <w:tc>
                <w:tcPr>
                  <w:tcW w:w="583" w:type="pct"/>
                </w:tcPr>
                <w:p w14:paraId="0D6524CC" w14:textId="77777777" w:rsidR="003A7938" w:rsidRPr="00D90687" w:rsidRDefault="004E3403" w:rsidP="004775C9">
                  <w:pPr>
                    <w:pStyle w:val="TableBodyText"/>
                  </w:pPr>
                  <w:r>
                    <w:t>27.46</w:t>
                  </w:r>
                </w:p>
              </w:tc>
            </w:tr>
            <w:tr w:rsidR="00BA2A0F" w14:paraId="0D6524D3" w14:textId="77777777" w:rsidTr="00C61685">
              <w:tc>
                <w:tcPr>
                  <w:tcW w:w="989" w:type="pct"/>
                </w:tcPr>
                <w:p w14:paraId="0D6524CE" w14:textId="77777777" w:rsidR="003A7938" w:rsidRPr="00D90687" w:rsidRDefault="003A7938">
                  <w:pPr>
                    <w:pStyle w:val="TableBodyText"/>
                    <w:spacing w:before="120"/>
                    <w:jc w:val="left"/>
                  </w:pPr>
                  <w:r w:rsidRPr="00D90687">
                    <w:t xml:space="preserve">Mining &amp; </w:t>
                  </w:r>
                  <w:r w:rsidR="004E3403">
                    <w:t>energy</w:t>
                  </w:r>
                </w:p>
              </w:tc>
              <w:tc>
                <w:tcPr>
                  <w:tcW w:w="2506" w:type="pct"/>
                </w:tcPr>
                <w:p w14:paraId="0D6524CF" w14:textId="77777777" w:rsidR="003A7938" w:rsidRPr="00D90687" w:rsidRDefault="003A7938" w:rsidP="004775C9">
                  <w:pPr>
                    <w:pStyle w:val="TableBodyText"/>
                    <w:spacing w:before="120"/>
                    <w:ind w:left="285" w:hanging="279"/>
                    <w:jc w:val="left"/>
                  </w:pPr>
                  <w:r w:rsidRPr="00D90687">
                    <w:t xml:space="preserve">Deep Exploration Technologies </w:t>
                  </w:r>
                  <w:r>
                    <w:t>CRC</w:t>
                  </w:r>
                </w:p>
              </w:tc>
              <w:tc>
                <w:tcPr>
                  <w:tcW w:w="461" w:type="pct"/>
                </w:tcPr>
                <w:p w14:paraId="0D6524D0" w14:textId="77777777" w:rsidR="003A7938" w:rsidRPr="00D90687" w:rsidRDefault="003A7938" w:rsidP="003A7938">
                  <w:pPr>
                    <w:pStyle w:val="TableBodyText"/>
                    <w:spacing w:before="120"/>
                    <w:jc w:val="left"/>
                  </w:pPr>
                  <w:r>
                    <w:t>SA</w:t>
                  </w:r>
                </w:p>
              </w:tc>
              <w:tc>
                <w:tcPr>
                  <w:tcW w:w="461" w:type="pct"/>
                </w:tcPr>
                <w:p w14:paraId="0D6524D1" w14:textId="77777777" w:rsidR="003A7938" w:rsidRDefault="004E3403" w:rsidP="004775C9">
                  <w:pPr>
                    <w:pStyle w:val="TableBodyText"/>
                    <w:spacing w:before="120"/>
                  </w:pPr>
                  <w:r>
                    <w:t>8</w:t>
                  </w:r>
                </w:p>
              </w:tc>
              <w:tc>
                <w:tcPr>
                  <w:tcW w:w="583" w:type="pct"/>
                </w:tcPr>
                <w:p w14:paraId="0D6524D2" w14:textId="77777777" w:rsidR="003A7938" w:rsidRDefault="004E3403" w:rsidP="004775C9">
                  <w:pPr>
                    <w:pStyle w:val="TableBodyText"/>
                    <w:spacing w:before="120"/>
                  </w:pPr>
                  <w:r>
                    <w:t>28.00</w:t>
                  </w:r>
                </w:p>
              </w:tc>
            </w:tr>
            <w:tr w:rsidR="00BA2A0F" w14:paraId="0D6524D9" w14:textId="77777777" w:rsidTr="00C61685">
              <w:tc>
                <w:tcPr>
                  <w:tcW w:w="989" w:type="pct"/>
                </w:tcPr>
                <w:p w14:paraId="0D6524D4" w14:textId="77777777" w:rsidR="003A7938" w:rsidRPr="00D90687" w:rsidRDefault="003A7938" w:rsidP="003A7938">
                  <w:pPr>
                    <w:pStyle w:val="TableBodyText"/>
                    <w:jc w:val="left"/>
                  </w:pPr>
                </w:p>
              </w:tc>
              <w:tc>
                <w:tcPr>
                  <w:tcW w:w="2506" w:type="pct"/>
                </w:tcPr>
                <w:p w14:paraId="0D6524D5" w14:textId="77777777" w:rsidR="003A7938" w:rsidRPr="00D90687" w:rsidRDefault="003A7938" w:rsidP="004775C9">
                  <w:pPr>
                    <w:pStyle w:val="TableBodyText"/>
                    <w:ind w:left="285" w:hanging="279"/>
                    <w:jc w:val="left"/>
                  </w:pPr>
                  <w:r w:rsidRPr="00D90687">
                    <w:t xml:space="preserve">Energy Pipelines CRC </w:t>
                  </w:r>
                </w:p>
              </w:tc>
              <w:tc>
                <w:tcPr>
                  <w:tcW w:w="461" w:type="pct"/>
                </w:tcPr>
                <w:p w14:paraId="0D6524D6" w14:textId="77777777" w:rsidR="003A7938" w:rsidRPr="00D90687" w:rsidRDefault="003A7938" w:rsidP="003A7938">
                  <w:pPr>
                    <w:pStyle w:val="TableBodyText"/>
                    <w:jc w:val="left"/>
                  </w:pPr>
                  <w:r w:rsidRPr="00D90687">
                    <w:t>NSW</w:t>
                  </w:r>
                </w:p>
              </w:tc>
              <w:tc>
                <w:tcPr>
                  <w:tcW w:w="461" w:type="pct"/>
                </w:tcPr>
                <w:p w14:paraId="0D6524D7" w14:textId="77777777" w:rsidR="003A7938" w:rsidRDefault="004E3403" w:rsidP="004775C9">
                  <w:pPr>
                    <w:pStyle w:val="TableBodyText"/>
                  </w:pPr>
                  <w:r>
                    <w:t>10</w:t>
                  </w:r>
                </w:p>
              </w:tc>
              <w:tc>
                <w:tcPr>
                  <w:tcW w:w="583" w:type="pct"/>
                </w:tcPr>
                <w:p w14:paraId="0D6524D8" w14:textId="77777777" w:rsidR="003A7938" w:rsidRPr="00D90687" w:rsidRDefault="004E3403" w:rsidP="004775C9">
                  <w:pPr>
                    <w:pStyle w:val="TableBodyText"/>
                  </w:pPr>
                  <w:r>
                    <w:t>17.48</w:t>
                  </w:r>
                </w:p>
              </w:tc>
            </w:tr>
            <w:tr w:rsidR="00BA2A0F" w14:paraId="0D6524DF" w14:textId="77777777" w:rsidTr="00C61685">
              <w:tc>
                <w:tcPr>
                  <w:tcW w:w="989" w:type="pct"/>
                </w:tcPr>
                <w:p w14:paraId="0D6524DA" w14:textId="77777777" w:rsidR="003A7938" w:rsidRPr="00D90687" w:rsidRDefault="003A7938" w:rsidP="003A7938">
                  <w:pPr>
                    <w:pStyle w:val="TableBodyText"/>
                    <w:spacing w:before="120"/>
                    <w:jc w:val="left"/>
                  </w:pPr>
                  <w:r w:rsidRPr="00D90687">
                    <w:t xml:space="preserve">Social </w:t>
                  </w:r>
                  <w:r>
                    <w:t xml:space="preserve">&amp; </w:t>
                  </w:r>
                  <w:r w:rsidR="002557DC">
                    <w:t>economic</w:t>
                  </w:r>
                </w:p>
              </w:tc>
              <w:tc>
                <w:tcPr>
                  <w:tcW w:w="2506" w:type="pct"/>
                </w:tcPr>
                <w:p w14:paraId="0D6524DB" w14:textId="77777777" w:rsidR="003A7938" w:rsidRPr="00D90687" w:rsidRDefault="003A7938" w:rsidP="004775C9">
                  <w:pPr>
                    <w:pStyle w:val="TableBodyText"/>
                    <w:spacing w:before="120"/>
                    <w:ind w:left="285" w:hanging="279"/>
                    <w:jc w:val="left"/>
                  </w:pPr>
                  <w:r w:rsidRPr="00D90687">
                    <w:t xml:space="preserve">Capital Markets </w:t>
                  </w:r>
                  <w:r>
                    <w:t>CRC</w:t>
                  </w:r>
                </w:p>
              </w:tc>
              <w:tc>
                <w:tcPr>
                  <w:tcW w:w="461" w:type="pct"/>
                </w:tcPr>
                <w:p w14:paraId="0D6524DC" w14:textId="77777777" w:rsidR="003A7938" w:rsidRPr="00D90687" w:rsidRDefault="003A7938" w:rsidP="003A7938">
                  <w:pPr>
                    <w:pStyle w:val="TableBodyText"/>
                    <w:spacing w:before="120"/>
                    <w:jc w:val="left"/>
                  </w:pPr>
                  <w:r w:rsidRPr="00D90687">
                    <w:t>NSW</w:t>
                  </w:r>
                </w:p>
              </w:tc>
              <w:tc>
                <w:tcPr>
                  <w:tcW w:w="461" w:type="pct"/>
                </w:tcPr>
                <w:p w14:paraId="0D6524DD" w14:textId="77777777" w:rsidR="003A7938" w:rsidRDefault="004E3403" w:rsidP="004775C9">
                  <w:pPr>
                    <w:pStyle w:val="TableBodyText"/>
                    <w:spacing w:before="120"/>
                  </w:pPr>
                  <w:r>
                    <w:t>10</w:t>
                  </w:r>
                </w:p>
              </w:tc>
              <w:tc>
                <w:tcPr>
                  <w:tcW w:w="583" w:type="pct"/>
                </w:tcPr>
                <w:p w14:paraId="0D6524DE" w14:textId="77777777" w:rsidR="003A7938" w:rsidRPr="00D90687" w:rsidRDefault="004E3403" w:rsidP="004775C9">
                  <w:pPr>
                    <w:pStyle w:val="TableBodyText"/>
                    <w:spacing w:before="120"/>
                  </w:pPr>
                  <w:r>
                    <w:t>32.35</w:t>
                  </w:r>
                </w:p>
              </w:tc>
            </w:tr>
            <w:tr w:rsidR="00BA2A0F" w14:paraId="0D6524E5" w14:textId="77777777" w:rsidTr="00C61685">
              <w:tc>
                <w:tcPr>
                  <w:tcW w:w="989" w:type="pct"/>
                  <w:shd w:val="clear" w:color="auto" w:fill="auto"/>
                </w:tcPr>
                <w:p w14:paraId="0D6524E0" w14:textId="77777777" w:rsidR="003A7938" w:rsidRPr="00D90687" w:rsidRDefault="002557DC" w:rsidP="004775C9">
                  <w:pPr>
                    <w:pStyle w:val="TableBodyText"/>
                    <w:ind w:left="120"/>
                    <w:jc w:val="left"/>
                  </w:pPr>
                  <w:r w:rsidRPr="00D90687">
                    <w:t>development</w:t>
                  </w:r>
                </w:p>
              </w:tc>
              <w:tc>
                <w:tcPr>
                  <w:tcW w:w="2506" w:type="pct"/>
                </w:tcPr>
                <w:p w14:paraId="0D6524E1" w14:textId="77777777" w:rsidR="003A7938" w:rsidRPr="00D90687" w:rsidRDefault="003A7938" w:rsidP="004775C9">
                  <w:pPr>
                    <w:pStyle w:val="TableBodyText"/>
                    <w:ind w:left="285" w:hanging="279"/>
                    <w:jc w:val="left"/>
                  </w:pPr>
                  <w:r>
                    <w:t>CRC</w:t>
                  </w:r>
                  <w:r w:rsidRPr="00D90687">
                    <w:t xml:space="preserve"> for Remote Economic Participation</w:t>
                  </w:r>
                </w:p>
              </w:tc>
              <w:tc>
                <w:tcPr>
                  <w:tcW w:w="461" w:type="pct"/>
                  <w:shd w:val="clear" w:color="auto" w:fill="auto"/>
                </w:tcPr>
                <w:p w14:paraId="0D6524E2" w14:textId="77777777" w:rsidR="003A7938" w:rsidRPr="00D90687" w:rsidRDefault="003A7938" w:rsidP="003A7938">
                  <w:pPr>
                    <w:pStyle w:val="TableBodyText"/>
                    <w:jc w:val="left"/>
                  </w:pPr>
                  <w:r w:rsidRPr="00D90687">
                    <w:t>NT</w:t>
                  </w:r>
                </w:p>
              </w:tc>
              <w:tc>
                <w:tcPr>
                  <w:tcW w:w="461" w:type="pct"/>
                </w:tcPr>
                <w:p w14:paraId="0D6524E3" w14:textId="77777777" w:rsidR="003A7938" w:rsidRDefault="004E3403" w:rsidP="004775C9">
                  <w:pPr>
                    <w:pStyle w:val="TableBodyText"/>
                  </w:pPr>
                  <w:r>
                    <w:t>7</w:t>
                  </w:r>
                </w:p>
              </w:tc>
              <w:tc>
                <w:tcPr>
                  <w:tcW w:w="583" w:type="pct"/>
                </w:tcPr>
                <w:p w14:paraId="0D6524E4" w14:textId="77777777" w:rsidR="003A7938" w:rsidRPr="00D90687" w:rsidRDefault="004E3403" w:rsidP="004775C9">
                  <w:pPr>
                    <w:pStyle w:val="TableBodyText"/>
                  </w:pPr>
                  <w:r>
                    <w:t>32.50</w:t>
                  </w:r>
                </w:p>
              </w:tc>
            </w:tr>
            <w:tr w:rsidR="00BA2A0F" w14:paraId="0D6524EB" w14:textId="77777777" w:rsidTr="00C61685">
              <w:tc>
                <w:tcPr>
                  <w:tcW w:w="989" w:type="pct"/>
                  <w:shd w:val="clear" w:color="auto" w:fill="auto"/>
                </w:tcPr>
                <w:p w14:paraId="0D6524E6" w14:textId="77777777" w:rsidR="003A7938" w:rsidRPr="00D90687" w:rsidRDefault="003A7938" w:rsidP="003A7938">
                  <w:pPr>
                    <w:pStyle w:val="TableBodyText"/>
                    <w:jc w:val="left"/>
                  </w:pPr>
                </w:p>
              </w:tc>
              <w:tc>
                <w:tcPr>
                  <w:tcW w:w="2506" w:type="pct"/>
                </w:tcPr>
                <w:p w14:paraId="0D6524E7" w14:textId="77777777" w:rsidR="003A7938" w:rsidRPr="00A62D81" w:rsidRDefault="003A7938" w:rsidP="004775C9">
                  <w:pPr>
                    <w:pStyle w:val="TableBodyText"/>
                    <w:ind w:left="285" w:hanging="279"/>
                    <w:jc w:val="left"/>
                  </w:pPr>
                  <w:r w:rsidRPr="00A62D81">
                    <w:t>CRC for Spatial Information</w:t>
                  </w:r>
                </w:p>
              </w:tc>
              <w:tc>
                <w:tcPr>
                  <w:tcW w:w="461" w:type="pct"/>
                  <w:shd w:val="clear" w:color="auto" w:fill="auto"/>
                </w:tcPr>
                <w:p w14:paraId="0D6524E8" w14:textId="77777777" w:rsidR="003A7938" w:rsidRPr="00A62D81" w:rsidRDefault="004E3403" w:rsidP="003A7938">
                  <w:pPr>
                    <w:pStyle w:val="TableBodyText"/>
                    <w:jc w:val="left"/>
                  </w:pPr>
                  <w:r>
                    <w:t>Vic</w:t>
                  </w:r>
                </w:p>
              </w:tc>
              <w:tc>
                <w:tcPr>
                  <w:tcW w:w="461" w:type="pct"/>
                </w:tcPr>
                <w:p w14:paraId="0D6524E9" w14:textId="77777777" w:rsidR="003A7938" w:rsidRDefault="004E3403" w:rsidP="004775C9">
                  <w:pPr>
                    <w:pStyle w:val="TableBodyText"/>
                  </w:pPr>
                  <w:r>
                    <w:t>8</w:t>
                  </w:r>
                </w:p>
              </w:tc>
              <w:tc>
                <w:tcPr>
                  <w:tcW w:w="583" w:type="pct"/>
                </w:tcPr>
                <w:p w14:paraId="0D6524EA" w14:textId="77777777" w:rsidR="003A7938" w:rsidRPr="00A62D81" w:rsidRDefault="004E3403" w:rsidP="004775C9">
                  <w:pPr>
                    <w:pStyle w:val="TableBodyText"/>
                  </w:pPr>
                  <w:r>
                    <w:t>32.19</w:t>
                  </w:r>
                </w:p>
              </w:tc>
            </w:tr>
            <w:tr w:rsidR="00BA2A0F" w14:paraId="0D6524F1" w14:textId="77777777" w:rsidTr="00C61685">
              <w:tc>
                <w:tcPr>
                  <w:tcW w:w="989" w:type="pct"/>
                  <w:tcBorders>
                    <w:bottom w:val="single" w:sz="6" w:space="0" w:color="BFBFBF"/>
                  </w:tcBorders>
                  <w:shd w:val="clear" w:color="auto" w:fill="auto"/>
                </w:tcPr>
                <w:p w14:paraId="0D6524EC" w14:textId="77777777" w:rsidR="003A7938" w:rsidRPr="00D90687" w:rsidRDefault="003A7938" w:rsidP="003A7938">
                  <w:pPr>
                    <w:pStyle w:val="TableBodyText"/>
                    <w:jc w:val="left"/>
                  </w:pPr>
                </w:p>
              </w:tc>
              <w:tc>
                <w:tcPr>
                  <w:tcW w:w="2506" w:type="pct"/>
                  <w:tcBorders>
                    <w:bottom w:val="single" w:sz="6" w:space="0" w:color="BFBFBF"/>
                  </w:tcBorders>
                </w:tcPr>
                <w:p w14:paraId="0D6524ED" w14:textId="77777777" w:rsidR="003A7938" w:rsidRPr="00A62D81" w:rsidRDefault="003A7938" w:rsidP="004775C9">
                  <w:pPr>
                    <w:pStyle w:val="TableBodyText"/>
                    <w:ind w:left="285" w:hanging="279"/>
                    <w:jc w:val="left"/>
                  </w:pPr>
                  <w:r w:rsidRPr="00A62D81">
                    <w:t>Data to Decisions CRC</w:t>
                  </w:r>
                </w:p>
              </w:tc>
              <w:tc>
                <w:tcPr>
                  <w:tcW w:w="461" w:type="pct"/>
                  <w:tcBorders>
                    <w:bottom w:val="single" w:sz="6" w:space="0" w:color="BFBFBF"/>
                  </w:tcBorders>
                  <w:shd w:val="clear" w:color="auto" w:fill="auto"/>
                </w:tcPr>
                <w:p w14:paraId="0D6524EE" w14:textId="77777777" w:rsidR="003A7938" w:rsidRPr="00A62D81" w:rsidRDefault="003A7938" w:rsidP="003A7938">
                  <w:pPr>
                    <w:pStyle w:val="TableBodyText"/>
                    <w:jc w:val="left"/>
                  </w:pPr>
                  <w:r>
                    <w:t>SA</w:t>
                  </w:r>
                </w:p>
              </w:tc>
              <w:tc>
                <w:tcPr>
                  <w:tcW w:w="461" w:type="pct"/>
                  <w:tcBorders>
                    <w:bottom w:val="single" w:sz="6" w:space="0" w:color="BFBFBF"/>
                  </w:tcBorders>
                </w:tcPr>
                <w:p w14:paraId="0D6524EF" w14:textId="77777777" w:rsidR="003A7938" w:rsidRDefault="004E3403" w:rsidP="004775C9">
                  <w:pPr>
                    <w:pStyle w:val="TableBodyText"/>
                  </w:pPr>
                  <w:r>
                    <w:t>5</w:t>
                  </w:r>
                </w:p>
              </w:tc>
              <w:tc>
                <w:tcPr>
                  <w:tcW w:w="583" w:type="pct"/>
                  <w:tcBorders>
                    <w:bottom w:val="single" w:sz="6" w:space="0" w:color="BFBFBF"/>
                  </w:tcBorders>
                </w:tcPr>
                <w:p w14:paraId="0D6524F0" w14:textId="77777777" w:rsidR="003A7938" w:rsidRDefault="004E3403" w:rsidP="004775C9">
                  <w:pPr>
                    <w:pStyle w:val="TableBodyText"/>
                  </w:pPr>
                  <w:r>
                    <w:t>25.00</w:t>
                  </w:r>
                </w:p>
              </w:tc>
            </w:tr>
          </w:tbl>
          <w:p w14:paraId="0D6524F2" w14:textId="77777777" w:rsidR="00DE65B6" w:rsidRDefault="00DE65B6" w:rsidP="00684CA8">
            <w:pPr>
              <w:pStyle w:val="TableBodyText"/>
              <w:jc w:val="left"/>
            </w:pPr>
          </w:p>
        </w:tc>
      </w:tr>
      <w:tr w:rsidR="00BA2A0F" w14:paraId="0D6524F5" w14:textId="77777777" w:rsidTr="00B0510F">
        <w:tc>
          <w:tcPr>
            <w:tcW w:w="8789" w:type="dxa"/>
            <w:tcBorders>
              <w:top w:val="nil"/>
              <w:left w:val="nil"/>
              <w:bottom w:val="nil"/>
              <w:right w:val="nil"/>
            </w:tcBorders>
            <w:shd w:val="clear" w:color="auto" w:fill="auto"/>
          </w:tcPr>
          <w:p w14:paraId="0D6524F4" w14:textId="77777777" w:rsidR="00BA2A0F" w:rsidRDefault="00BA2A0F" w:rsidP="004775C9">
            <w:pPr>
              <w:pStyle w:val="Note"/>
            </w:pPr>
            <w:r w:rsidRPr="00BA2A0F">
              <w:rPr>
                <w:rStyle w:val="NoteLabel"/>
              </w:rPr>
              <w:t>a</w:t>
            </w:r>
            <w:r>
              <w:t xml:space="preserve"> Total funding committed </w:t>
            </w:r>
            <w:r w:rsidR="00F20A4E">
              <w:t>(not funding in 2015</w:t>
            </w:r>
            <w:r w:rsidR="00F20A4E">
              <w:noBreakHyphen/>
              <w:t>16)</w:t>
            </w:r>
            <w:r>
              <w:t>.</w:t>
            </w:r>
          </w:p>
        </w:tc>
      </w:tr>
      <w:tr w:rsidR="00DE65B6" w14:paraId="0D6524F7" w14:textId="77777777" w:rsidTr="00B0510F">
        <w:tc>
          <w:tcPr>
            <w:tcW w:w="8789" w:type="dxa"/>
            <w:tcBorders>
              <w:top w:val="nil"/>
              <w:left w:val="nil"/>
              <w:bottom w:val="nil"/>
              <w:right w:val="nil"/>
            </w:tcBorders>
            <w:shd w:val="clear" w:color="auto" w:fill="auto"/>
          </w:tcPr>
          <w:p w14:paraId="0D6524F6" w14:textId="77777777" w:rsidR="00DE65B6" w:rsidRDefault="00DE65B6">
            <w:pPr>
              <w:pStyle w:val="Source"/>
            </w:pPr>
            <w:r>
              <w:rPr>
                <w:i/>
              </w:rPr>
              <w:t>Source</w:t>
            </w:r>
            <w:r w:rsidRPr="00167F06">
              <w:t>:</w:t>
            </w:r>
            <w:r w:rsidR="00707A5A">
              <w:t xml:space="preserve"> </w:t>
            </w:r>
            <w:r w:rsidR="00F20A4E">
              <w:t>DIIS </w:t>
            </w:r>
            <w:r w:rsidR="000B4AAC" w:rsidRPr="004775C9">
              <w:rPr>
                <w:rFonts w:cs="Arial"/>
              </w:rPr>
              <w:t>(2016)</w:t>
            </w:r>
            <w:r>
              <w:t>.</w:t>
            </w:r>
          </w:p>
        </w:tc>
      </w:tr>
      <w:tr w:rsidR="00DE65B6" w14:paraId="0D6524F9" w14:textId="77777777" w:rsidTr="00B0510F">
        <w:tc>
          <w:tcPr>
            <w:tcW w:w="8789" w:type="dxa"/>
            <w:tcBorders>
              <w:top w:val="nil"/>
              <w:left w:val="nil"/>
              <w:bottom w:val="single" w:sz="6" w:space="0" w:color="78A22F"/>
              <w:right w:val="nil"/>
            </w:tcBorders>
            <w:shd w:val="clear" w:color="auto" w:fill="auto"/>
          </w:tcPr>
          <w:p w14:paraId="0D6524F8" w14:textId="77777777" w:rsidR="00DE65B6" w:rsidRDefault="00DE65B6" w:rsidP="00684CA8">
            <w:pPr>
              <w:pStyle w:val="Box"/>
              <w:spacing w:before="0" w:line="120" w:lineRule="exact"/>
            </w:pPr>
          </w:p>
        </w:tc>
      </w:tr>
      <w:tr w:rsidR="00DE65B6" w:rsidRPr="000863A5" w14:paraId="0D6524FB" w14:textId="77777777" w:rsidTr="00B0510F">
        <w:tc>
          <w:tcPr>
            <w:tcW w:w="8789" w:type="dxa"/>
            <w:tcBorders>
              <w:top w:val="single" w:sz="6" w:space="0" w:color="78A22F"/>
              <w:left w:val="nil"/>
              <w:bottom w:val="nil"/>
              <w:right w:val="nil"/>
            </w:tcBorders>
          </w:tcPr>
          <w:p w14:paraId="0D6524FA" w14:textId="77777777" w:rsidR="00DE65B6" w:rsidRPr="00626D32" w:rsidRDefault="00DE65B6" w:rsidP="00684CA8">
            <w:pPr>
              <w:pStyle w:val="BoxSpaceBelow"/>
            </w:pPr>
          </w:p>
        </w:tc>
      </w:tr>
    </w:tbl>
    <w:p w14:paraId="0D6524FC" w14:textId="77777777" w:rsidR="001E5B32" w:rsidRDefault="001E5B32" w:rsidP="001E5B3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E5B32" w14:paraId="0D6524FE" w14:textId="77777777" w:rsidTr="00B0510F">
        <w:tc>
          <w:tcPr>
            <w:tcW w:w="8789" w:type="dxa"/>
            <w:tcBorders>
              <w:top w:val="single" w:sz="6" w:space="0" w:color="78A22F"/>
              <w:left w:val="nil"/>
              <w:bottom w:val="nil"/>
              <w:right w:val="nil"/>
            </w:tcBorders>
            <w:shd w:val="clear" w:color="auto" w:fill="auto"/>
          </w:tcPr>
          <w:p w14:paraId="0D6524FD" w14:textId="77777777" w:rsidR="001E5B32" w:rsidRPr="00784A05" w:rsidRDefault="001E5B32" w:rsidP="00CA042D">
            <w:pPr>
              <w:pStyle w:val="TableTitle"/>
            </w:pPr>
            <w:r>
              <w:rPr>
                <w:b w:val="0"/>
              </w:rPr>
              <w:t>Table A.</w:t>
            </w:r>
            <w:r w:rsidR="00F97E1E">
              <w:rPr>
                <w:b w:val="0"/>
                <w:noProof/>
              </w:rPr>
              <w:t>5</w:t>
            </w:r>
            <w:r>
              <w:tab/>
            </w:r>
            <w:r w:rsidR="00CA042D">
              <w:t xml:space="preserve">NHMRC competitive grant recipients by </w:t>
            </w:r>
            <w:r>
              <w:t>institution</w:t>
            </w:r>
            <w:r w:rsidR="00CA042D">
              <w:t>, 2016</w:t>
            </w:r>
          </w:p>
        </w:tc>
      </w:tr>
      <w:tr w:rsidR="001E5B32" w14:paraId="0D6525FC" w14:textId="77777777" w:rsidTr="00B0510F">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82"/>
              <w:gridCol w:w="1087"/>
              <w:gridCol w:w="1092"/>
              <w:gridCol w:w="930"/>
              <w:gridCol w:w="1014"/>
            </w:tblGrid>
            <w:tr w:rsidR="00AC0DF5" w14:paraId="0D652504" w14:textId="77777777" w:rsidTr="00AC0DF5">
              <w:trPr>
                <w:tblHeader/>
              </w:trPr>
              <w:tc>
                <w:tcPr>
                  <w:tcW w:w="2576" w:type="pct"/>
                  <w:tcBorders>
                    <w:top w:val="single" w:sz="6" w:space="0" w:color="BFBFBF"/>
                    <w:bottom w:val="single" w:sz="6" w:space="0" w:color="BFBFBF"/>
                  </w:tcBorders>
                </w:tcPr>
                <w:p w14:paraId="0D6524FF" w14:textId="77777777" w:rsidR="00AC0DF5" w:rsidRDefault="00C260D8" w:rsidP="00BE0D77">
                  <w:pPr>
                    <w:pStyle w:val="TableColumnHeading"/>
                    <w:jc w:val="left"/>
                  </w:pPr>
                  <w:r>
                    <w:t>Administering</w:t>
                  </w:r>
                  <w:r w:rsidR="00AC0DF5" w:rsidRPr="0072593C">
                    <w:t xml:space="preserve"> institution</w:t>
                  </w:r>
                </w:p>
              </w:tc>
              <w:tc>
                <w:tcPr>
                  <w:tcW w:w="639" w:type="pct"/>
                  <w:tcBorders>
                    <w:top w:val="single" w:sz="6" w:space="0" w:color="BFBFBF"/>
                    <w:bottom w:val="single" w:sz="6" w:space="0" w:color="BFBFBF"/>
                  </w:tcBorders>
                  <w:shd w:val="clear" w:color="auto" w:fill="auto"/>
                  <w:tcMar>
                    <w:top w:w="28" w:type="dxa"/>
                  </w:tcMar>
                </w:tcPr>
                <w:p w14:paraId="0D652500" w14:textId="77777777" w:rsidR="00AC0DF5" w:rsidRDefault="00AC0DF5" w:rsidP="00BE0D77">
                  <w:pPr>
                    <w:pStyle w:val="TableColumnHeading"/>
                    <w:jc w:val="left"/>
                  </w:pPr>
                  <w:r>
                    <w:t>State</w:t>
                  </w:r>
                </w:p>
              </w:tc>
              <w:tc>
                <w:tcPr>
                  <w:tcW w:w="642" w:type="pct"/>
                  <w:tcBorders>
                    <w:top w:val="single" w:sz="6" w:space="0" w:color="BFBFBF"/>
                    <w:bottom w:val="single" w:sz="6" w:space="0" w:color="BFBFBF"/>
                  </w:tcBorders>
                </w:tcPr>
                <w:p w14:paraId="0D652501" w14:textId="77777777" w:rsidR="00AC0DF5" w:rsidRDefault="00AC0DF5" w:rsidP="00BE0D77">
                  <w:pPr>
                    <w:pStyle w:val="TableColumnHeading"/>
                  </w:pPr>
                  <w:r>
                    <w:t>Applications</w:t>
                  </w:r>
                </w:p>
              </w:tc>
              <w:tc>
                <w:tcPr>
                  <w:tcW w:w="547" w:type="pct"/>
                  <w:tcBorders>
                    <w:top w:val="single" w:sz="6" w:space="0" w:color="BFBFBF"/>
                    <w:bottom w:val="single" w:sz="6" w:space="0" w:color="BFBFBF"/>
                  </w:tcBorders>
                </w:tcPr>
                <w:p w14:paraId="0D652502" w14:textId="77777777" w:rsidR="00AC0DF5" w:rsidRDefault="00AC0DF5" w:rsidP="00AC0DF5">
                  <w:pPr>
                    <w:pStyle w:val="TableColumnHeading"/>
                  </w:pPr>
                  <w:r>
                    <w:t>Funded</w:t>
                  </w:r>
                </w:p>
              </w:tc>
              <w:tc>
                <w:tcPr>
                  <w:tcW w:w="596" w:type="pct"/>
                  <w:tcBorders>
                    <w:top w:val="single" w:sz="6" w:space="0" w:color="BFBFBF"/>
                    <w:bottom w:val="single" w:sz="6" w:space="0" w:color="BFBFBF"/>
                  </w:tcBorders>
                </w:tcPr>
                <w:p w14:paraId="0D652503" w14:textId="77777777" w:rsidR="00AC0DF5" w:rsidRPr="004E3403" w:rsidRDefault="00AC0DF5" w:rsidP="00BE0D77">
                  <w:pPr>
                    <w:pStyle w:val="TableColumnHeading"/>
                    <w:spacing w:after="0"/>
                  </w:pPr>
                  <w:r>
                    <w:t>Amount</w:t>
                  </w:r>
                </w:p>
              </w:tc>
            </w:tr>
            <w:tr w:rsidR="00AC0DF5" w:rsidRPr="00AC0DF5" w14:paraId="0D65250A" w14:textId="77777777" w:rsidTr="0005747D">
              <w:trPr>
                <w:tblHeader/>
              </w:trPr>
              <w:tc>
                <w:tcPr>
                  <w:tcW w:w="2576" w:type="pct"/>
                  <w:tcBorders>
                    <w:top w:val="single" w:sz="6" w:space="0" w:color="BFBFBF"/>
                  </w:tcBorders>
                </w:tcPr>
                <w:p w14:paraId="0D652505" w14:textId="77777777" w:rsidR="00AC0DF5" w:rsidRPr="00AC0DF5" w:rsidRDefault="00AC0DF5" w:rsidP="00AC0DF5">
                  <w:pPr>
                    <w:pStyle w:val="TableUnitsRow"/>
                  </w:pPr>
                </w:p>
              </w:tc>
              <w:tc>
                <w:tcPr>
                  <w:tcW w:w="639" w:type="pct"/>
                  <w:tcBorders>
                    <w:top w:val="single" w:sz="6" w:space="0" w:color="BFBFBF"/>
                  </w:tcBorders>
                  <w:shd w:val="clear" w:color="auto" w:fill="auto"/>
                  <w:tcMar>
                    <w:top w:w="28" w:type="dxa"/>
                  </w:tcMar>
                </w:tcPr>
                <w:p w14:paraId="0D652506" w14:textId="77777777" w:rsidR="00AC0DF5" w:rsidRPr="00AC0DF5" w:rsidRDefault="00AC0DF5" w:rsidP="00AC0DF5">
                  <w:pPr>
                    <w:pStyle w:val="TableUnitsRow"/>
                  </w:pPr>
                </w:p>
              </w:tc>
              <w:tc>
                <w:tcPr>
                  <w:tcW w:w="642" w:type="pct"/>
                  <w:tcBorders>
                    <w:top w:val="single" w:sz="6" w:space="0" w:color="BFBFBF"/>
                  </w:tcBorders>
                </w:tcPr>
                <w:p w14:paraId="0D652507" w14:textId="77777777" w:rsidR="00AC0DF5" w:rsidRPr="00AC0DF5" w:rsidRDefault="00AC0DF5" w:rsidP="00AC0DF5">
                  <w:pPr>
                    <w:pStyle w:val="TableUnitsRow"/>
                  </w:pPr>
                  <w:r w:rsidRPr="00AC0DF5">
                    <w:t>No.</w:t>
                  </w:r>
                </w:p>
              </w:tc>
              <w:tc>
                <w:tcPr>
                  <w:tcW w:w="547" w:type="pct"/>
                  <w:tcBorders>
                    <w:top w:val="single" w:sz="6" w:space="0" w:color="BFBFBF"/>
                  </w:tcBorders>
                </w:tcPr>
                <w:p w14:paraId="0D652508" w14:textId="77777777" w:rsidR="00AC0DF5" w:rsidRPr="00AC0DF5" w:rsidRDefault="00AC0DF5" w:rsidP="00AC0DF5">
                  <w:pPr>
                    <w:pStyle w:val="TableUnitsRow"/>
                  </w:pPr>
                  <w:r w:rsidRPr="00AC0DF5">
                    <w:t>No.</w:t>
                  </w:r>
                </w:p>
              </w:tc>
              <w:tc>
                <w:tcPr>
                  <w:tcW w:w="596" w:type="pct"/>
                  <w:tcBorders>
                    <w:top w:val="single" w:sz="6" w:space="0" w:color="BFBFBF"/>
                  </w:tcBorders>
                </w:tcPr>
                <w:p w14:paraId="0D652509" w14:textId="77777777" w:rsidR="00AC0DF5" w:rsidRPr="00AC0DF5" w:rsidRDefault="00AC0DF5" w:rsidP="00AC0DF5">
                  <w:pPr>
                    <w:pStyle w:val="TableUnitsRow"/>
                  </w:pPr>
                  <w:r w:rsidRPr="00AC0DF5">
                    <w:t>$m</w:t>
                  </w:r>
                </w:p>
              </w:tc>
            </w:tr>
            <w:tr w:rsidR="00AC0DF5" w14:paraId="0D652510" w14:textId="77777777" w:rsidTr="00AC0DF5">
              <w:tc>
                <w:tcPr>
                  <w:tcW w:w="2576" w:type="pct"/>
                  <w:vAlign w:val="center"/>
                </w:tcPr>
                <w:p w14:paraId="0D65250B" w14:textId="77777777" w:rsidR="00AC0DF5" w:rsidRPr="00D90687" w:rsidRDefault="00AC0DF5" w:rsidP="00AC0DF5">
                  <w:pPr>
                    <w:pStyle w:val="TableBodyText"/>
                    <w:ind w:left="285" w:hanging="279"/>
                    <w:jc w:val="left"/>
                  </w:pPr>
                  <w:r>
                    <w:rPr>
                      <w:rFonts w:cs="Arial"/>
                      <w:color w:val="000000"/>
                      <w:sz w:val="16"/>
                      <w:szCs w:val="16"/>
                    </w:rPr>
                    <w:t>ANZAC Research Institute</w:t>
                  </w:r>
                </w:p>
              </w:tc>
              <w:tc>
                <w:tcPr>
                  <w:tcW w:w="639" w:type="pct"/>
                  <w:vAlign w:val="center"/>
                </w:tcPr>
                <w:p w14:paraId="0D65250C" w14:textId="77777777" w:rsidR="00AC0DF5" w:rsidRPr="00D90687" w:rsidRDefault="00AC0DF5" w:rsidP="00AC0DF5">
                  <w:pPr>
                    <w:pStyle w:val="TableBodyText"/>
                    <w:jc w:val="left"/>
                  </w:pPr>
                  <w:r>
                    <w:rPr>
                      <w:rFonts w:cs="Arial"/>
                      <w:color w:val="000000"/>
                      <w:sz w:val="16"/>
                      <w:szCs w:val="16"/>
                    </w:rPr>
                    <w:t>NSW</w:t>
                  </w:r>
                </w:p>
              </w:tc>
              <w:tc>
                <w:tcPr>
                  <w:tcW w:w="642" w:type="pct"/>
                  <w:vAlign w:val="center"/>
                </w:tcPr>
                <w:p w14:paraId="0D65250D" w14:textId="77777777" w:rsidR="00AC0DF5" w:rsidRDefault="00AC0DF5" w:rsidP="00AC0DF5">
                  <w:pPr>
                    <w:pStyle w:val="TableBodyText"/>
                  </w:pPr>
                  <w:r>
                    <w:rPr>
                      <w:rFonts w:cs="Arial"/>
                      <w:color w:val="000000"/>
                      <w:sz w:val="16"/>
                      <w:szCs w:val="16"/>
                    </w:rPr>
                    <w:t>11</w:t>
                  </w:r>
                </w:p>
              </w:tc>
              <w:tc>
                <w:tcPr>
                  <w:tcW w:w="547" w:type="pct"/>
                  <w:vAlign w:val="center"/>
                </w:tcPr>
                <w:p w14:paraId="0D65250E"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0F" w14:textId="77777777" w:rsidR="00AC0DF5" w:rsidRPr="00D90687" w:rsidRDefault="00AC0DF5" w:rsidP="00AC0DF5">
                  <w:pPr>
                    <w:pStyle w:val="TableBodyText"/>
                  </w:pPr>
                  <w:r>
                    <w:rPr>
                      <w:rFonts w:cs="Arial"/>
                      <w:color w:val="000000"/>
                      <w:sz w:val="16"/>
                      <w:szCs w:val="16"/>
                    </w:rPr>
                    <w:t>0.1</w:t>
                  </w:r>
                </w:p>
              </w:tc>
            </w:tr>
            <w:tr w:rsidR="00AC0DF5" w14:paraId="0D652516" w14:textId="77777777" w:rsidTr="00AC0DF5">
              <w:tc>
                <w:tcPr>
                  <w:tcW w:w="2576" w:type="pct"/>
                  <w:vAlign w:val="center"/>
                </w:tcPr>
                <w:p w14:paraId="0D652511" w14:textId="77777777" w:rsidR="00AC0DF5" w:rsidRPr="00D90687" w:rsidRDefault="00AC0DF5" w:rsidP="00AC0DF5">
                  <w:pPr>
                    <w:pStyle w:val="TableBodyText"/>
                    <w:ind w:left="285" w:hanging="279"/>
                    <w:jc w:val="left"/>
                  </w:pPr>
                  <w:r>
                    <w:rPr>
                      <w:rFonts w:cs="Arial"/>
                      <w:color w:val="000000"/>
                      <w:sz w:val="16"/>
                      <w:szCs w:val="16"/>
                    </w:rPr>
                    <w:t>Australian Catholic University</w:t>
                  </w:r>
                </w:p>
              </w:tc>
              <w:tc>
                <w:tcPr>
                  <w:tcW w:w="639" w:type="pct"/>
                  <w:vAlign w:val="center"/>
                </w:tcPr>
                <w:p w14:paraId="0D652512" w14:textId="77777777" w:rsidR="00AC0DF5" w:rsidRPr="00D90687" w:rsidRDefault="00AC0DF5" w:rsidP="00AC0DF5">
                  <w:pPr>
                    <w:pStyle w:val="TableBodyText"/>
                    <w:jc w:val="left"/>
                  </w:pPr>
                  <w:r>
                    <w:rPr>
                      <w:rFonts w:cs="Arial"/>
                      <w:color w:val="000000"/>
                      <w:sz w:val="16"/>
                      <w:szCs w:val="16"/>
                    </w:rPr>
                    <w:t>NSW</w:t>
                  </w:r>
                </w:p>
              </w:tc>
              <w:tc>
                <w:tcPr>
                  <w:tcW w:w="642" w:type="pct"/>
                  <w:vAlign w:val="center"/>
                </w:tcPr>
                <w:p w14:paraId="0D652513" w14:textId="77777777" w:rsidR="00AC0DF5" w:rsidRDefault="00AC0DF5" w:rsidP="00AC0DF5">
                  <w:pPr>
                    <w:pStyle w:val="TableBodyText"/>
                  </w:pPr>
                  <w:r>
                    <w:rPr>
                      <w:rFonts w:cs="Arial"/>
                      <w:color w:val="000000"/>
                      <w:sz w:val="16"/>
                      <w:szCs w:val="16"/>
                    </w:rPr>
                    <w:t>23</w:t>
                  </w:r>
                </w:p>
              </w:tc>
              <w:tc>
                <w:tcPr>
                  <w:tcW w:w="547" w:type="pct"/>
                  <w:vAlign w:val="center"/>
                </w:tcPr>
                <w:p w14:paraId="0D652514"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15" w14:textId="77777777" w:rsidR="00AC0DF5" w:rsidRPr="00D90687" w:rsidRDefault="00AC0DF5" w:rsidP="00AC0DF5">
                  <w:pPr>
                    <w:pStyle w:val="TableBodyText"/>
                  </w:pPr>
                  <w:r>
                    <w:rPr>
                      <w:rFonts w:cs="Arial"/>
                      <w:color w:val="000000"/>
                      <w:sz w:val="16"/>
                      <w:szCs w:val="16"/>
                    </w:rPr>
                    <w:t>0.1</w:t>
                  </w:r>
                </w:p>
              </w:tc>
            </w:tr>
            <w:tr w:rsidR="00AC0DF5" w14:paraId="0D65251C" w14:textId="77777777" w:rsidTr="00AC0DF5">
              <w:tc>
                <w:tcPr>
                  <w:tcW w:w="2576" w:type="pct"/>
                  <w:vAlign w:val="center"/>
                </w:tcPr>
                <w:p w14:paraId="0D652517" w14:textId="77777777" w:rsidR="00AC0DF5" w:rsidRPr="00062F92" w:rsidRDefault="00AC0DF5" w:rsidP="00AC0DF5">
                  <w:pPr>
                    <w:pStyle w:val="TableBodyText"/>
                    <w:ind w:left="285" w:hanging="279"/>
                    <w:jc w:val="left"/>
                  </w:pPr>
                  <w:r>
                    <w:rPr>
                      <w:rFonts w:cs="Arial"/>
                      <w:color w:val="000000"/>
                      <w:sz w:val="16"/>
                      <w:szCs w:val="16"/>
                    </w:rPr>
                    <w:t>Australian National University</w:t>
                  </w:r>
                </w:p>
              </w:tc>
              <w:tc>
                <w:tcPr>
                  <w:tcW w:w="639" w:type="pct"/>
                  <w:vAlign w:val="center"/>
                </w:tcPr>
                <w:p w14:paraId="0D652518" w14:textId="77777777" w:rsidR="00AC0DF5" w:rsidRDefault="00AC0DF5" w:rsidP="00AC0DF5">
                  <w:pPr>
                    <w:pStyle w:val="TableBodyText"/>
                    <w:jc w:val="left"/>
                  </w:pPr>
                  <w:r>
                    <w:rPr>
                      <w:rFonts w:cs="Arial"/>
                      <w:color w:val="000000"/>
                      <w:sz w:val="16"/>
                      <w:szCs w:val="16"/>
                    </w:rPr>
                    <w:t>ACT</w:t>
                  </w:r>
                </w:p>
              </w:tc>
              <w:tc>
                <w:tcPr>
                  <w:tcW w:w="642" w:type="pct"/>
                  <w:vAlign w:val="center"/>
                </w:tcPr>
                <w:p w14:paraId="0D652519" w14:textId="77777777" w:rsidR="00AC0DF5" w:rsidRDefault="00AC0DF5" w:rsidP="00AC0DF5">
                  <w:pPr>
                    <w:pStyle w:val="TableBodyText"/>
                  </w:pPr>
                  <w:r>
                    <w:rPr>
                      <w:rFonts w:cs="Arial"/>
                      <w:color w:val="000000"/>
                      <w:sz w:val="16"/>
                      <w:szCs w:val="16"/>
                    </w:rPr>
                    <w:t>106</w:t>
                  </w:r>
                </w:p>
              </w:tc>
              <w:tc>
                <w:tcPr>
                  <w:tcW w:w="547" w:type="pct"/>
                  <w:vAlign w:val="center"/>
                </w:tcPr>
                <w:p w14:paraId="0D65251A" w14:textId="77777777" w:rsidR="00AC0DF5" w:rsidRDefault="00AC0DF5" w:rsidP="00AC0DF5">
                  <w:pPr>
                    <w:pStyle w:val="TableBodyText"/>
                  </w:pPr>
                  <w:r>
                    <w:rPr>
                      <w:rFonts w:cs="Arial"/>
                      <w:color w:val="000000"/>
                      <w:sz w:val="16"/>
                      <w:szCs w:val="16"/>
                    </w:rPr>
                    <w:t>25</w:t>
                  </w:r>
                </w:p>
              </w:tc>
              <w:tc>
                <w:tcPr>
                  <w:tcW w:w="596" w:type="pct"/>
                  <w:vAlign w:val="bottom"/>
                </w:tcPr>
                <w:p w14:paraId="0D65251B" w14:textId="77777777" w:rsidR="00AC0DF5" w:rsidRDefault="00AC0DF5" w:rsidP="00AC0DF5">
                  <w:pPr>
                    <w:pStyle w:val="TableBodyText"/>
                  </w:pPr>
                  <w:r>
                    <w:rPr>
                      <w:rFonts w:cs="Arial"/>
                      <w:color w:val="000000"/>
                      <w:sz w:val="16"/>
                      <w:szCs w:val="16"/>
                    </w:rPr>
                    <w:t>19.7</w:t>
                  </w:r>
                </w:p>
              </w:tc>
            </w:tr>
            <w:tr w:rsidR="00AC0DF5" w14:paraId="0D652522" w14:textId="77777777" w:rsidTr="00AC0DF5">
              <w:tc>
                <w:tcPr>
                  <w:tcW w:w="2576" w:type="pct"/>
                  <w:vAlign w:val="center"/>
                </w:tcPr>
                <w:p w14:paraId="0D65251D" w14:textId="77777777" w:rsidR="00AC0DF5" w:rsidRPr="00C63078" w:rsidRDefault="00AC0DF5" w:rsidP="00AC0DF5">
                  <w:pPr>
                    <w:pStyle w:val="TableBodyText"/>
                    <w:ind w:left="285" w:hanging="279"/>
                    <w:jc w:val="left"/>
                  </w:pPr>
                  <w:r>
                    <w:rPr>
                      <w:rFonts w:cs="Arial"/>
                      <w:color w:val="000000"/>
                      <w:sz w:val="16"/>
                      <w:szCs w:val="16"/>
                    </w:rPr>
                    <w:t>Baker IDI Heart and Diabetes Institute</w:t>
                  </w:r>
                </w:p>
              </w:tc>
              <w:tc>
                <w:tcPr>
                  <w:tcW w:w="639" w:type="pct"/>
                  <w:vAlign w:val="center"/>
                </w:tcPr>
                <w:p w14:paraId="0D65251E"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1F" w14:textId="77777777" w:rsidR="00AC0DF5" w:rsidRDefault="00AC0DF5" w:rsidP="00AC0DF5">
                  <w:pPr>
                    <w:pStyle w:val="TableBodyText"/>
                  </w:pPr>
                  <w:r>
                    <w:rPr>
                      <w:rFonts w:cs="Arial"/>
                      <w:color w:val="000000"/>
                      <w:sz w:val="16"/>
                      <w:szCs w:val="16"/>
                    </w:rPr>
                    <w:t>122</w:t>
                  </w:r>
                </w:p>
              </w:tc>
              <w:tc>
                <w:tcPr>
                  <w:tcW w:w="547" w:type="pct"/>
                  <w:vAlign w:val="center"/>
                </w:tcPr>
                <w:p w14:paraId="0D652520" w14:textId="77777777" w:rsidR="00AC0DF5" w:rsidRDefault="00AC0DF5" w:rsidP="00AC0DF5">
                  <w:pPr>
                    <w:pStyle w:val="TableBodyText"/>
                  </w:pPr>
                  <w:r>
                    <w:rPr>
                      <w:rFonts w:cs="Arial"/>
                      <w:color w:val="000000"/>
                      <w:sz w:val="16"/>
                      <w:szCs w:val="16"/>
                    </w:rPr>
                    <w:t>22</w:t>
                  </w:r>
                </w:p>
              </w:tc>
              <w:tc>
                <w:tcPr>
                  <w:tcW w:w="596" w:type="pct"/>
                  <w:vAlign w:val="bottom"/>
                </w:tcPr>
                <w:p w14:paraId="0D652521" w14:textId="77777777" w:rsidR="00AC0DF5" w:rsidRDefault="00AC0DF5" w:rsidP="00AC0DF5">
                  <w:pPr>
                    <w:pStyle w:val="TableBodyText"/>
                  </w:pPr>
                  <w:r>
                    <w:rPr>
                      <w:rFonts w:cs="Arial"/>
                      <w:color w:val="000000"/>
                      <w:sz w:val="16"/>
                      <w:szCs w:val="16"/>
                    </w:rPr>
                    <w:t>16.6</w:t>
                  </w:r>
                </w:p>
              </w:tc>
            </w:tr>
            <w:tr w:rsidR="00AC0DF5" w14:paraId="0D652528" w14:textId="77777777" w:rsidTr="00AC0DF5">
              <w:tc>
                <w:tcPr>
                  <w:tcW w:w="2576" w:type="pct"/>
                  <w:vAlign w:val="center"/>
                </w:tcPr>
                <w:p w14:paraId="0D652523" w14:textId="77777777" w:rsidR="00AC0DF5" w:rsidRPr="00D90687" w:rsidRDefault="00AC0DF5" w:rsidP="00AC0DF5">
                  <w:pPr>
                    <w:pStyle w:val="TableBodyText"/>
                    <w:ind w:left="285" w:hanging="279"/>
                    <w:jc w:val="left"/>
                  </w:pPr>
                  <w:r>
                    <w:rPr>
                      <w:rFonts w:cs="Arial"/>
                      <w:color w:val="000000"/>
                      <w:sz w:val="16"/>
                      <w:szCs w:val="16"/>
                    </w:rPr>
                    <w:t>Bionic Ear Institute</w:t>
                  </w:r>
                </w:p>
              </w:tc>
              <w:tc>
                <w:tcPr>
                  <w:tcW w:w="639" w:type="pct"/>
                  <w:vAlign w:val="center"/>
                </w:tcPr>
                <w:p w14:paraId="0D652524"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25" w14:textId="77777777" w:rsidR="00AC0DF5" w:rsidRDefault="00AC0DF5" w:rsidP="00AC0DF5">
                  <w:pPr>
                    <w:pStyle w:val="TableBodyText"/>
                  </w:pPr>
                  <w:r>
                    <w:rPr>
                      <w:rFonts w:cs="Arial"/>
                      <w:color w:val="000000"/>
                      <w:sz w:val="16"/>
                      <w:szCs w:val="16"/>
                    </w:rPr>
                    <w:t>11</w:t>
                  </w:r>
                </w:p>
              </w:tc>
              <w:tc>
                <w:tcPr>
                  <w:tcW w:w="547" w:type="pct"/>
                  <w:vAlign w:val="center"/>
                </w:tcPr>
                <w:p w14:paraId="0D652526" w14:textId="77777777" w:rsidR="00AC0DF5" w:rsidRPr="00D90687" w:rsidRDefault="00AC0DF5" w:rsidP="00AC0DF5">
                  <w:pPr>
                    <w:pStyle w:val="TableBodyText"/>
                  </w:pPr>
                  <w:r>
                    <w:rPr>
                      <w:rFonts w:cs="Arial"/>
                      <w:color w:val="000000"/>
                      <w:sz w:val="16"/>
                      <w:szCs w:val="16"/>
                    </w:rPr>
                    <w:t>3</w:t>
                  </w:r>
                </w:p>
              </w:tc>
              <w:tc>
                <w:tcPr>
                  <w:tcW w:w="596" w:type="pct"/>
                  <w:vAlign w:val="bottom"/>
                </w:tcPr>
                <w:p w14:paraId="0D652527" w14:textId="77777777" w:rsidR="00AC0DF5" w:rsidRPr="00D90687" w:rsidRDefault="00AC0DF5" w:rsidP="00AC0DF5">
                  <w:pPr>
                    <w:pStyle w:val="TableBodyText"/>
                  </w:pPr>
                  <w:r>
                    <w:rPr>
                      <w:rFonts w:cs="Arial"/>
                      <w:color w:val="000000"/>
                      <w:sz w:val="16"/>
                      <w:szCs w:val="16"/>
                    </w:rPr>
                    <w:t>1.9</w:t>
                  </w:r>
                </w:p>
              </w:tc>
            </w:tr>
            <w:tr w:rsidR="00AC0DF5" w14:paraId="0D65252E" w14:textId="77777777" w:rsidTr="00AC0DF5">
              <w:tc>
                <w:tcPr>
                  <w:tcW w:w="2576" w:type="pct"/>
                  <w:vAlign w:val="center"/>
                </w:tcPr>
                <w:p w14:paraId="0D652529" w14:textId="77777777" w:rsidR="00AC0DF5" w:rsidRPr="00D90687" w:rsidRDefault="00AC0DF5" w:rsidP="00AC0DF5">
                  <w:pPr>
                    <w:pStyle w:val="TableBodyText"/>
                    <w:ind w:left="285" w:hanging="279"/>
                    <w:jc w:val="left"/>
                  </w:pPr>
                  <w:r>
                    <w:rPr>
                      <w:rFonts w:cs="Arial"/>
                      <w:color w:val="000000"/>
                      <w:sz w:val="16"/>
                      <w:szCs w:val="16"/>
                    </w:rPr>
                    <w:t>Bond University</w:t>
                  </w:r>
                </w:p>
              </w:tc>
              <w:tc>
                <w:tcPr>
                  <w:tcW w:w="639" w:type="pct"/>
                  <w:vAlign w:val="center"/>
                </w:tcPr>
                <w:p w14:paraId="0D65252A" w14:textId="77777777" w:rsidR="00AC0DF5" w:rsidRPr="00D90687" w:rsidRDefault="00AC0DF5" w:rsidP="00AC0DF5">
                  <w:pPr>
                    <w:pStyle w:val="TableBodyText"/>
                    <w:jc w:val="left"/>
                  </w:pPr>
                  <w:r>
                    <w:rPr>
                      <w:rFonts w:cs="Arial"/>
                      <w:color w:val="000000"/>
                      <w:sz w:val="16"/>
                      <w:szCs w:val="16"/>
                    </w:rPr>
                    <w:t>Qld</w:t>
                  </w:r>
                </w:p>
              </w:tc>
              <w:tc>
                <w:tcPr>
                  <w:tcW w:w="642" w:type="pct"/>
                  <w:vAlign w:val="center"/>
                </w:tcPr>
                <w:p w14:paraId="0D65252B" w14:textId="77777777" w:rsidR="00AC0DF5" w:rsidRDefault="00AC0DF5" w:rsidP="00AC0DF5">
                  <w:pPr>
                    <w:pStyle w:val="TableBodyText"/>
                  </w:pPr>
                  <w:r>
                    <w:rPr>
                      <w:rFonts w:cs="Arial"/>
                      <w:color w:val="000000"/>
                      <w:sz w:val="16"/>
                      <w:szCs w:val="16"/>
                    </w:rPr>
                    <w:t>7</w:t>
                  </w:r>
                </w:p>
              </w:tc>
              <w:tc>
                <w:tcPr>
                  <w:tcW w:w="547" w:type="pct"/>
                  <w:vAlign w:val="center"/>
                </w:tcPr>
                <w:p w14:paraId="0D65252C"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2D" w14:textId="77777777" w:rsidR="00AC0DF5" w:rsidRPr="00D90687" w:rsidRDefault="00AC0DF5" w:rsidP="00AC0DF5">
                  <w:pPr>
                    <w:pStyle w:val="TableBodyText"/>
                  </w:pPr>
                  <w:r>
                    <w:rPr>
                      <w:rFonts w:cs="Arial"/>
                      <w:color w:val="000000"/>
                      <w:sz w:val="16"/>
                      <w:szCs w:val="16"/>
                    </w:rPr>
                    <w:t>0.3</w:t>
                  </w:r>
                </w:p>
              </w:tc>
            </w:tr>
            <w:tr w:rsidR="00AC0DF5" w14:paraId="0D652534" w14:textId="77777777" w:rsidTr="00AC0DF5">
              <w:tc>
                <w:tcPr>
                  <w:tcW w:w="2576" w:type="pct"/>
                  <w:vAlign w:val="center"/>
                </w:tcPr>
                <w:p w14:paraId="0D65252F" w14:textId="77777777" w:rsidR="00AC0DF5" w:rsidRPr="00D90687" w:rsidRDefault="00AC0DF5" w:rsidP="00AC0DF5">
                  <w:pPr>
                    <w:pStyle w:val="TableBodyText"/>
                    <w:ind w:left="285" w:hanging="279"/>
                    <w:jc w:val="left"/>
                  </w:pPr>
                  <w:r>
                    <w:rPr>
                      <w:rFonts w:cs="Arial"/>
                      <w:color w:val="000000"/>
                      <w:sz w:val="16"/>
                      <w:szCs w:val="16"/>
                    </w:rPr>
                    <w:t>Cancer Council Victoria</w:t>
                  </w:r>
                </w:p>
              </w:tc>
              <w:tc>
                <w:tcPr>
                  <w:tcW w:w="639" w:type="pct"/>
                  <w:vAlign w:val="center"/>
                </w:tcPr>
                <w:p w14:paraId="0D652530"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31" w14:textId="77777777" w:rsidR="00AC0DF5" w:rsidRDefault="00AC0DF5" w:rsidP="00AC0DF5">
                  <w:pPr>
                    <w:pStyle w:val="TableBodyText"/>
                  </w:pPr>
                  <w:r>
                    <w:rPr>
                      <w:rFonts w:cs="Arial"/>
                      <w:color w:val="000000"/>
                      <w:sz w:val="16"/>
                      <w:szCs w:val="16"/>
                    </w:rPr>
                    <w:t>8</w:t>
                  </w:r>
                </w:p>
              </w:tc>
              <w:tc>
                <w:tcPr>
                  <w:tcW w:w="547" w:type="pct"/>
                  <w:vAlign w:val="center"/>
                </w:tcPr>
                <w:p w14:paraId="0D652532" w14:textId="77777777" w:rsidR="00AC0DF5" w:rsidRPr="00D90687" w:rsidRDefault="00AC0DF5" w:rsidP="00AC0DF5">
                  <w:pPr>
                    <w:pStyle w:val="TableBodyText"/>
                  </w:pPr>
                  <w:r>
                    <w:rPr>
                      <w:rFonts w:cs="Arial"/>
                      <w:color w:val="000000"/>
                      <w:sz w:val="16"/>
                      <w:szCs w:val="16"/>
                    </w:rPr>
                    <w:t>3</w:t>
                  </w:r>
                </w:p>
              </w:tc>
              <w:tc>
                <w:tcPr>
                  <w:tcW w:w="596" w:type="pct"/>
                  <w:vAlign w:val="bottom"/>
                </w:tcPr>
                <w:p w14:paraId="0D652533" w14:textId="77777777" w:rsidR="00AC0DF5" w:rsidRPr="00D90687" w:rsidRDefault="00AC0DF5" w:rsidP="00AC0DF5">
                  <w:pPr>
                    <w:pStyle w:val="TableBodyText"/>
                  </w:pPr>
                  <w:r>
                    <w:rPr>
                      <w:rFonts w:cs="Arial"/>
                      <w:color w:val="000000"/>
                      <w:sz w:val="16"/>
                      <w:szCs w:val="16"/>
                    </w:rPr>
                    <w:t>1.6</w:t>
                  </w:r>
                </w:p>
              </w:tc>
            </w:tr>
            <w:tr w:rsidR="00AC0DF5" w14:paraId="0D65253A" w14:textId="77777777" w:rsidTr="00AC0DF5">
              <w:tc>
                <w:tcPr>
                  <w:tcW w:w="2576" w:type="pct"/>
                  <w:vAlign w:val="center"/>
                </w:tcPr>
                <w:p w14:paraId="0D652535" w14:textId="77777777" w:rsidR="00AC0DF5" w:rsidRPr="00D90687" w:rsidRDefault="00AC0DF5" w:rsidP="00AC0DF5">
                  <w:pPr>
                    <w:pStyle w:val="TableBodyText"/>
                    <w:ind w:left="285" w:hanging="279"/>
                    <w:jc w:val="left"/>
                  </w:pPr>
                  <w:r>
                    <w:rPr>
                      <w:rFonts w:cs="Arial"/>
                      <w:color w:val="000000"/>
                      <w:sz w:val="16"/>
                      <w:szCs w:val="16"/>
                    </w:rPr>
                    <w:t>Centenary Institute of Cancer Medicine and Cell Biology</w:t>
                  </w:r>
                </w:p>
              </w:tc>
              <w:tc>
                <w:tcPr>
                  <w:tcW w:w="639" w:type="pct"/>
                  <w:vAlign w:val="center"/>
                </w:tcPr>
                <w:p w14:paraId="0D652536" w14:textId="77777777" w:rsidR="00AC0DF5" w:rsidRPr="00D90687" w:rsidRDefault="00AC0DF5" w:rsidP="00AC0DF5">
                  <w:pPr>
                    <w:pStyle w:val="TableBodyText"/>
                    <w:jc w:val="left"/>
                  </w:pPr>
                  <w:r>
                    <w:rPr>
                      <w:rFonts w:cs="Arial"/>
                      <w:color w:val="000000"/>
                      <w:sz w:val="16"/>
                      <w:szCs w:val="16"/>
                    </w:rPr>
                    <w:t>NSW</w:t>
                  </w:r>
                </w:p>
              </w:tc>
              <w:tc>
                <w:tcPr>
                  <w:tcW w:w="642" w:type="pct"/>
                  <w:vAlign w:val="center"/>
                </w:tcPr>
                <w:p w14:paraId="0D652537" w14:textId="77777777" w:rsidR="00AC0DF5" w:rsidRDefault="00AC0DF5" w:rsidP="00AC0DF5">
                  <w:pPr>
                    <w:pStyle w:val="TableBodyText"/>
                  </w:pPr>
                  <w:r>
                    <w:rPr>
                      <w:rFonts w:cs="Arial"/>
                      <w:color w:val="000000"/>
                      <w:sz w:val="16"/>
                      <w:szCs w:val="16"/>
                    </w:rPr>
                    <w:t>33</w:t>
                  </w:r>
                </w:p>
              </w:tc>
              <w:tc>
                <w:tcPr>
                  <w:tcW w:w="547" w:type="pct"/>
                  <w:vAlign w:val="center"/>
                </w:tcPr>
                <w:p w14:paraId="0D652538" w14:textId="77777777" w:rsidR="00AC0DF5" w:rsidRPr="00D90687" w:rsidRDefault="00AC0DF5" w:rsidP="00AC0DF5">
                  <w:pPr>
                    <w:pStyle w:val="TableBodyText"/>
                  </w:pPr>
                  <w:r>
                    <w:rPr>
                      <w:rFonts w:cs="Arial"/>
                      <w:color w:val="000000"/>
                      <w:sz w:val="16"/>
                      <w:szCs w:val="16"/>
                    </w:rPr>
                    <w:t>5</w:t>
                  </w:r>
                </w:p>
              </w:tc>
              <w:tc>
                <w:tcPr>
                  <w:tcW w:w="596" w:type="pct"/>
                  <w:vAlign w:val="bottom"/>
                </w:tcPr>
                <w:p w14:paraId="0D652539" w14:textId="77777777" w:rsidR="00AC0DF5" w:rsidRPr="00D90687" w:rsidRDefault="00AC0DF5" w:rsidP="00AC0DF5">
                  <w:pPr>
                    <w:pStyle w:val="TableBodyText"/>
                  </w:pPr>
                  <w:r>
                    <w:rPr>
                      <w:rFonts w:cs="Arial"/>
                      <w:color w:val="000000"/>
                      <w:sz w:val="16"/>
                      <w:szCs w:val="16"/>
                    </w:rPr>
                    <w:t>3.5</w:t>
                  </w:r>
                </w:p>
              </w:tc>
            </w:tr>
            <w:tr w:rsidR="00AC0DF5" w14:paraId="0D652540" w14:textId="77777777" w:rsidTr="00AC0DF5">
              <w:tc>
                <w:tcPr>
                  <w:tcW w:w="2576" w:type="pct"/>
                  <w:vAlign w:val="center"/>
                </w:tcPr>
                <w:p w14:paraId="0D65253B" w14:textId="77777777" w:rsidR="00AC0DF5" w:rsidRPr="00D90687" w:rsidRDefault="00AC0DF5" w:rsidP="00AC0DF5">
                  <w:pPr>
                    <w:pStyle w:val="TableBodyText"/>
                    <w:ind w:left="285" w:hanging="279"/>
                    <w:jc w:val="left"/>
                  </w:pPr>
                  <w:r>
                    <w:rPr>
                      <w:rFonts w:cs="Arial"/>
                      <w:color w:val="000000"/>
                      <w:sz w:val="16"/>
                      <w:szCs w:val="16"/>
                    </w:rPr>
                    <w:t>Central Queensland University</w:t>
                  </w:r>
                </w:p>
              </w:tc>
              <w:tc>
                <w:tcPr>
                  <w:tcW w:w="639" w:type="pct"/>
                  <w:vAlign w:val="center"/>
                </w:tcPr>
                <w:p w14:paraId="0D65253C" w14:textId="77777777" w:rsidR="00AC0DF5" w:rsidRPr="00D90687" w:rsidRDefault="00AC0DF5" w:rsidP="00AC0DF5">
                  <w:pPr>
                    <w:pStyle w:val="TableBodyText"/>
                    <w:jc w:val="left"/>
                  </w:pPr>
                  <w:r>
                    <w:rPr>
                      <w:rFonts w:cs="Arial"/>
                      <w:color w:val="000000"/>
                      <w:sz w:val="16"/>
                      <w:szCs w:val="16"/>
                    </w:rPr>
                    <w:t>Qld</w:t>
                  </w:r>
                </w:p>
              </w:tc>
              <w:tc>
                <w:tcPr>
                  <w:tcW w:w="642" w:type="pct"/>
                  <w:vAlign w:val="center"/>
                </w:tcPr>
                <w:p w14:paraId="0D65253D" w14:textId="77777777" w:rsidR="00AC0DF5" w:rsidRDefault="00AC0DF5" w:rsidP="00AC0DF5">
                  <w:pPr>
                    <w:pStyle w:val="TableBodyText"/>
                  </w:pPr>
                  <w:r>
                    <w:rPr>
                      <w:rFonts w:cs="Arial"/>
                      <w:color w:val="000000"/>
                      <w:sz w:val="16"/>
                      <w:szCs w:val="16"/>
                    </w:rPr>
                    <w:t>8</w:t>
                  </w:r>
                </w:p>
              </w:tc>
              <w:tc>
                <w:tcPr>
                  <w:tcW w:w="547" w:type="pct"/>
                  <w:vAlign w:val="center"/>
                </w:tcPr>
                <w:p w14:paraId="0D65253E"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3F" w14:textId="77777777" w:rsidR="00AC0DF5" w:rsidRPr="00D90687" w:rsidRDefault="00AC0DF5" w:rsidP="00AC0DF5">
                  <w:pPr>
                    <w:pStyle w:val="TableBodyText"/>
                  </w:pPr>
                  <w:r>
                    <w:rPr>
                      <w:rFonts w:cs="Arial"/>
                      <w:color w:val="000000"/>
                      <w:sz w:val="16"/>
                      <w:szCs w:val="16"/>
                    </w:rPr>
                    <w:t>0.3</w:t>
                  </w:r>
                </w:p>
              </w:tc>
            </w:tr>
            <w:tr w:rsidR="00AC0DF5" w14:paraId="0D652546" w14:textId="77777777" w:rsidTr="00AC0DF5">
              <w:tc>
                <w:tcPr>
                  <w:tcW w:w="2576" w:type="pct"/>
                  <w:vAlign w:val="center"/>
                </w:tcPr>
                <w:p w14:paraId="0D652541" w14:textId="77777777" w:rsidR="00AC0DF5" w:rsidRPr="00D90687" w:rsidRDefault="00AC0DF5" w:rsidP="00AC0DF5">
                  <w:pPr>
                    <w:pStyle w:val="TableBodyText"/>
                    <w:ind w:left="285" w:hanging="279"/>
                    <w:jc w:val="left"/>
                  </w:pPr>
                  <w:r>
                    <w:rPr>
                      <w:rFonts w:cs="Arial"/>
                      <w:color w:val="000000"/>
                      <w:sz w:val="16"/>
                      <w:szCs w:val="16"/>
                    </w:rPr>
                    <w:t>Centre for Eye Research Australia Ltd</w:t>
                  </w:r>
                </w:p>
              </w:tc>
              <w:tc>
                <w:tcPr>
                  <w:tcW w:w="639" w:type="pct"/>
                  <w:vAlign w:val="center"/>
                </w:tcPr>
                <w:p w14:paraId="0D652542"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43" w14:textId="77777777" w:rsidR="00AC0DF5" w:rsidRDefault="00AC0DF5" w:rsidP="00AC0DF5">
                  <w:pPr>
                    <w:pStyle w:val="TableBodyText"/>
                  </w:pPr>
                  <w:r>
                    <w:rPr>
                      <w:rFonts w:cs="Arial"/>
                      <w:color w:val="000000"/>
                      <w:sz w:val="16"/>
                      <w:szCs w:val="16"/>
                    </w:rPr>
                    <w:t>25</w:t>
                  </w:r>
                </w:p>
              </w:tc>
              <w:tc>
                <w:tcPr>
                  <w:tcW w:w="547" w:type="pct"/>
                  <w:vAlign w:val="center"/>
                </w:tcPr>
                <w:p w14:paraId="0D652544" w14:textId="77777777" w:rsidR="00AC0DF5" w:rsidRPr="00D90687" w:rsidRDefault="00AC0DF5" w:rsidP="00AC0DF5">
                  <w:pPr>
                    <w:pStyle w:val="TableBodyText"/>
                  </w:pPr>
                  <w:r>
                    <w:rPr>
                      <w:rFonts w:cs="Arial"/>
                      <w:color w:val="000000"/>
                      <w:sz w:val="16"/>
                      <w:szCs w:val="16"/>
                    </w:rPr>
                    <w:t>4</w:t>
                  </w:r>
                </w:p>
              </w:tc>
              <w:tc>
                <w:tcPr>
                  <w:tcW w:w="596" w:type="pct"/>
                  <w:vAlign w:val="bottom"/>
                </w:tcPr>
                <w:p w14:paraId="0D652545" w14:textId="77777777" w:rsidR="00AC0DF5" w:rsidRPr="00D90687" w:rsidRDefault="00AC0DF5" w:rsidP="00AC0DF5">
                  <w:pPr>
                    <w:pStyle w:val="TableBodyText"/>
                  </w:pPr>
                  <w:r>
                    <w:rPr>
                      <w:rFonts w:cs="Arial"/>
                      <w:color w:val="000000"/>
                      <w:sz w:val="16"/>
                      <w:szCs w:val="16"/>
                    </w:rPr>
                    <w:t>1.7</w:t>
                  </w:r>
                </w:p>
              </w:tc>
            </w:tr>
            <w:tr w:rsidR="00AC0DF5" w14:paraId="0D65254C" w14:textId="77777777" w:rsidTr="00AC0DF5">
              <w:tc>
                <w:tcPr>
                  <w:tcW w:w="2576" w:type="pct"/>
                  <w:vAlign w:val="center"/>
                </w:tcPr>
                <w:p w14:paraId="0D652547" w14:textId="77777777" w:rsidR="00AC0DF5" w:rsidRPr="00D90687" w:rsidRDefault="00AC0DF5" w:rsidP="00AC0DF5">
                  <w:pPr>
                    <w:pStyle w:val="TableBodyText"/>
                    <w:ind w:left="285" w:hanging="279"/>
                    <w:jc w:val="left"/>
                  </w:pPr>
                  <w:r>
                    <w:rPr>
                      <w:rFonts w:cs="Arial"/>
                      <w:color w:val="000000"/>
                      <w:sz w:val="16"/>
                      <w:szCs w:val="16"/>
                    </w:rPr>
                    <w:t>Curtin University of Technology</w:t>
                  </w:r>
                </w:p>
              </w:tc>
              <w:tc>
                <w:tcPr>
                  <w:tcW w:w="639" w:type="pct"/>
                  <w:vAlign w:val="center"/>
                </w:tcPr>
                <w:p w14:paraId="0D652548" w14:textId="77777777" w:rsidR="00AC0DF5" w:rsidRPr="00D90687" w:rsidRDefault="00AC0DF5" w:rsidP="00AC0DF5">
                  <w:pPr>
                    <w:pStyle w:val="TableBodyText"/>
                    <w:jc w:val="left"/>
                  </w:pPr>
                  <w:r>
                    <w:rPr>
                      <w:rFonts w:cs="Arial"/>
                      <w:color w:val="000000"/>
                      <w:sz w:val="16"/>
                      <w:szCs w:val="16"/>
                    </w:rPr>
                    <w:t>WA</w:t>
                  </w:r>
                </w:p>
              </w:tc>
              <w:tc>
                <w:tcPr>
                  <w:tcW w:w="642" w:type="pct"/>
                  <w:vAlign w:val="center"/>
                </w:tcPr>
                <w:p w14:paraId="0D652549" w14:textId="77777777" w:rsidR="00AC0DF5" w:rsidRDefault="00AC0DF5" w:rsidP="00AC0DF5">
                  <w:pPr>
                    <w:pStyle w:val="TableBodyText"/>
                  </w:pPr>
                  <w:r>
                    <w:rPr>
                      <w:rFonts w:cs="Arial"/>
                      <w:color w:val="000000"/>
                      <w:sz w:val="16"/>
                      <w:szCs w:val="16"/>
                    </w:rPr>
                    <w:t>72</w:t>
                  </w:r>
                </w:p>
              </w:tc>
              <w:tc>
                <w:tcPr>
                  <w:tcW w:w="547" w:type="pct"/>
                  <w:vAlign w:val="center"/>
                </w:tcPr>
                <w:p w14:paraId="0D65254A" w14:textId="77777777" w:rsidR="00AC0DF5" w:rsidRPr="00D90687" w:rsidRDefault="00AC0DF5" w:rsidP="00AC0DF5">
                  <w:pPr>
                    <w:pStyle w:val="TableBodyText"/>
                  </w:pPr>
                  <w:r>
                    <w:rPr>
                      <w:rFonts w:cs="Arial"/>
                      <w:color w:val="000000"/>
                      <w:sz w:val="16"/>
                      <w:szCs w:val="16"/>
                    </w:rPr>
                    <w:t>5</w:t>
                  </w:r>
                </w:p>
              </w:tc>
              <w:tc>
                <w:tcPr>
                  <w:tcW w:w="596" w:type="pct"/>
                  <w:vAlign w:val="bottom"/>
                </w:tcPr>
                <w:p w14:paraId="0D65254B" w14:textId="77777777" w:rsidR="00AC0DF5" w:rsidRPr="00D90687" w:rsidRDefault="00AC0DF5" w:rsidP="00AC0DF5">
                  <w:pPr>
                    <w:pStyle w:val="TableBodyText"/>
                  </w:pPr>
                  <w:r>
                    <w:rPr>
                      <w:rFonts w:cs="Arial"/>
                      <w:color w:val="000000"/>
                      <w:sz w:val="16"/>
                      <w:szCs w:val="16"/>
                    </w:rPr>
                    <w:t>3.9</w:t>
                  </w:r>
                </w:p>
              </w:tc>
            </w:tr>
            <w:tr w:rsidR="00AC0DF5" w14:paraId="0D652552" w14:textId="77777777" w:rsidTr="00AC0DF5">
              <w:tc>
                <w:tcPr>
                  <w:tcW w:w="2576" w:type="pct"/>
                  <w:vAlign w:val="center"/>
                </w:tcPr>
                <w:p w14:paraId="0D65254D" w14:textId="77777777" w:rsidR="00AC0DF5" w:rsidRPr="00D90687" w:rsidRDefault="00AC0DF5" w:rsidP="00AC0DF5">
                  <w:pPr>
                    <w:pStyle w:val="TableBodyText"/>
                    <w:ind w:left="285" w:hanging="279"/>
                    <w:jc w:val="left"/>
                  </w:pPr>
                  <w:r>
                    <w:rPr>
                      <w:rFonts w:cs="Arial"/>
                      <w:color w:val="000000"/>
                      <w:sz w:val="16"/>
                      <w:szCs w:val="16"/>
                    </w:rPr>
                    <w:t>Deakin University</w:t>
                  </w:r>
                </w:p>
              </w:tc>
              <w:tc>
                <w:tcPr>
                  <w:tcW w:w="639" w:type="pct"/>
                  <w:vAlign w:val="center"/>
                </w:tcPr>
                <w:p w14:paraId="0D65254E"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4F" w14:textId="77777777" w:rsidR="00AC0DF5" w:rsidRDefault="00AC0DF5" w:rsidP="00AC0DF5">
                  <w:pPr>
                    <w:pStyle w:val="TableBodyText"/>
                  </w:pPr>
                  <w:r>
                    <w:rPr>
                      <w:rFonts w:cs="Arial"/>
                      <w:color w:val="000000"/>
                      <w:sz w:val="16"/>
                      <w:szCs w:val="16"/>
                    </w:rPr>
                    <w:t>85</w:t>
                  </w:r>
                </w:p>
              </w:tc>
              <w:tc>
                <w:tcPr>
                  <w:tcW w:w="547" w:type="pct"/>
                  <w:vAlign w:val="center"/>
                </w:tcPr>
                <w:p w14:paraId="0D652550" w14:textId="77777777" w:rsidR="00AC0DF5" w:rsidRPr="00D90687" w:rsidRDefault="00AC0DF5" w:rsidP="00AC0DF5">
                  <w:pPr>
                    <w:pStyle w:val="TableBodyText"/>
                  </w:pPr>
                  <w:r>
                    <w:rPr>
                      <w:rFonts w:cs="Arial"/>
                      <w:color w:val="000000"/>
                      <w:sz w:val="16"/>
                      <w:szCs w:val="16"/>
                    </w:rPr>
                    <w:t>9</w:t>
                  </w:r>
                </w:p>
              </w:tc>
              <w:tc>
                <w:tcPr>
                  <w:tcW w:w="596" w:type="pct"/>
                  <w:vAlign w:val="bottom"/>
                </w:tcPr>
                <w:p w14:paraId="0D652551" w14:textId="77777777" w:rsidR="00AC0DF5" w:rsidRPr="00D90687" w:rsidRDefault="00AC0DF5" w:rsidP="00AC0DF5">
                  <w:pPr>
                    <w:pStyle w:val="TableBodyText"/>
                  </w:pPr>
                  <w:r>
                    <w:rPr>
                      <w:rFonts w:cs="Arial"/>
                      <w:color w:val="000000"/>
                      <w:sz w:val="16"/>
                      <w:szCs w:val="16"/>
                    </w:rPr>
                    <w:t>6.6</w:t>
                  </w:r>
                </w:p>
              </w:tc>
            </w:tr>
            <w:tr w:rsidR="00AC0DF5" w14:paraId="0D652558" w14:textId="77777777" w:rsidTr="00AC0DF5">
              <w:tc>
                <w:tcPr>
                  <w:tcW w:w="2576" w:type="pct"/>
                  <w:vAlign w:val="center"/>
                </w:tcPr>
                <w:p w14:paraId="0D652553" w14:textId="77777777" w:rsidR="00AC0DF5" w:rsidRPr="00D90687" w:rsidRDefault="00AC0DF5" w:rsidP="00AC0DF5">
                  <w:pPr>
                    <w:pStyle w:val="TableBodyText"/>
                    <w:ind w:left="285" w:hanging="279"/>
                    <w:jc w:val="left"/>
                  </w:pPr>
                  <w:r>
                    <w:rPr>
                      <w:rFonts w:cs="Arial"/>
                      <w:color w:val="000000"/>
                      <w:sz w:val="16"/>
                      <w:szCs w:val="16"/>
                    </w:rPr>
                    <w:t>Edith Cowan University</w:t>
                  </w:r>
                </w:p>
              </w:tc>
              <w:tc>
                <w:tcPr>
                  <w:tcW w:w="639" w:type="pct"/>
                  <w:vAlign w:val="center"/>
                </w:tcPr>
                <w:p w14:paraId="0D652554" w14:textId="77777777" w:rsidR="00AC0DF5" w:rsidRPr="00D90687" w:rsidRDefault="00AC0DF5" w:rsidP="00AC0DF5">
                  <w:pPr>
                    <w:pStyle w:val="TableBodyText"/>
                    <w:jc w:val="left"/>
                  </w:pPr>
                  <w:r>
                    <w:rPr>
                      <w:rFonts w:cs="Arial"/>
                      <w:color w:val="000000"/>
                      <w:sz w:val="16"/>
                      <w:szCs w:val="16"/>
                    </w:rPr>
                    <w:t>WA</w:t>
                  </w:r>
                </w:p>
              </w:tc>
              <w:tc>
                <w:tcPr>
                  <w:tcW w:w="642" w:type="pct"/>
                  <w:vAlign w:val="center"/>
                </w:tcPr>
                <w:p w14:paraId="0D652555" w14:textId="77777777" w:rsidR="00AC0DF5" w:rsidRDefault="00AC0DF5" w:rsidP="00AC0DF5">
                  <w:pPr>
                    <w:pStyle w:val="TableBodyText"/>
                  </w:pPr>
                  <w:r>
                    <w:rPr>
                      <w:rFonts w:cs="Arial"/>
                      <w:color w:val="000000"/>
                      <w:sz w:val="16"/>
                      <w:szCs w:val="16"/>
                    </w:rPr>
                    <w:t>17</w:t>
                  </w:r>
                </w:p>
              </w:tc>
              <w:tc>
                <w:tcPr>
                  <w:tcW w:w="547" w:type="pct"/>
                  <w:vAlign w:val="center"/>
                </w:tcPr>
                <w:p w14:paraId="0D652556" w14:textId="77777777" w:rsidR="00AC0DF5" w:rsidRPr="00D90687" w:rsidRDefault="00AC0DF5" w:rsidP="00AC0DF5">
                  <w:pPr>
                    <w:pStyle w:val="TableBodyText"/>
                  </w:pPr>
                  <w:r>
                    <w:rPr>
                      <w:rFonts w:cs="Arial"/>
                      <w:color w:val="000000"/>
                      <w:sz w:val="16"/>
                      <w:szCs w:val="16"/>
                    </w:rPr>
                    <w:t>3</w:t>
                  </w:r>
                </w:p>
              </w:tc>
              <w:tc>
                <w:tcPr>
                  <w:tcW w:w="596" w:type="pct"/>
                  <w:vAlign w:val="bottom"/>
                </w:tcPr>
                <w:p w14:paraId="0D652557" w14:textId="77777777" w:rsidR="00AC0DF5" w:rsidRPr="00D90687" w:rsidRDefault="00AC0DF5" w:rsidP="00AC0DF5">
                  <w:pPr>
                    <w:pStyle w:val="TableBodyText"/>
                  </w:pPr>
                  <w:r>
                    <w:rPr>
                      <w:rFonts w:cs="Arial"/>
                      <w:color w:val="000000"/>
                      <w:sz w:val="16"/>
                      <w:szCs w:val="16"/>
                    </w:rPr>
                    <w:t>2.9</w:t>
                  </w:r>
                </w:p>
              </w:tc>
            </w:tr>
            <w:tr w:rsidR="00AC0DF5" w14:paraId="0D65255E" w14:textId="77777777" w:rsidTr="00AC0DF5">
              <w:tc>
                <w:tcPr>
                  <w:tcW w:w="2576" w:type="pct"/>
                  <w:vAlign w:val="center"/>
                </w:tcPr>
                <w:p w14:paraId="0D652559" w14:textId="77777777" w:rsidR="00AC0DF5" w:rsidRPr="00D90687" w:rsidRDefault="00AC0DF5" w:rsidP="00AC0DF5">
                  <w:pPr>
                    <w:pStyle w:val="TableBodyText"/>
                    <w:ind w:left="285" w:hanging="279"/>
                    <w:jc w:val="left"/>
                  </w:pPr>
                  <w:r>
                    <w:rPr>
                      <w:rFonts w:cs="Arial"/>
                      <w:color w:val="000000"/>
                      <w:sz w:val="16"/>
                      <w:szCs w:val="16"/>
                    </w:rPr>
                    <w:t>Federation University Australia</w:t>
                  </w:r>
                </w:p>
              </w:tc>
              <w:tc>
                <w:tcPr>
                  <w:tcW w:w="639" w:type="pct"/>
                  <w:vAlign w:val="center"/>
                </w:tcPr>
                <w:p w14:paraId="0D65255A" w14:textId="77777777" w:rsidR="00AC0DF5" w:rsidRPr="00D90687" w:rsidRDefault="00AC0DF5" w:rsidP="00AC0DF5">
                  <w:pPr>
                    <w:pStyle w:val="TableBodyText"/>
                    <w:jc w:val="left"/>
                  </w:pPr>
                  <w:r>
                    <w:rPr>
                      <w:rFonts w:cs="Arial"/>
                      <w:color w:val="000000"/>
                      <w:sz w:val="16"/>
                      <w:szCs w:val="16"/>
                    </w:rPr>
                    <w:t>WA</w:t>
                  </w:r>
                </w:p>
              </w:tc>
              <w:tc>
                <w:tcPr>
                  <w:tcW w:w="642" w:type="pct"/>
                  <w:vAlign w:val="center"/>
                </w:tcPr>
                <w:p w14:paraId="0D65255B" w14:textId="77777777" w:rsidR="00AC0DF5" w:rsidRDefault="00AC0DF5" w:rsidP="00AC0DF5">
                  <w:pPr>
                    <w:pStyle w:val="TableBodyText"/>
                  </w:pPr>
                  <w:r>
                    <w:rPr>
                      <w:rFonts w:cs="Arial"/>
                      <w:color w:val="000000"/>
                      <w:sz w:val="16"/>
                      <w:szCs w:val="16"/>
                    </w:rPr>
                    <w:t>5</w:t>
                  </w:r>
                </w:p>
              </w:tc>
              <w:tc>
                <w:tcPr>
                  <w:tcW w:w="547" w:type="pct"/>
                  <w:vAlign w:val="center"/>
                </w:tcPr>
                <w:p w14:paraId="0D65255C"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5D" w14:textId="77777777" w:rsidR="00AC0DF5" w:rsidRPr="00D90687" w:rsidRDefault="00AC0DF5" w:rsidP="00AC0DF5">
                  <w:pPr>
                    <w:pStyle w:val="TableBodyText"/>
                  </w:pPr>
                  <w:r>
                    <w:rPr>
                      <w:rFonts w:cs="Arial"/>
                      <w:color w:val="000000"/>
                      <w:sz w:val="16"/>
                      <w:szCs w:val="16"/>
                    </w:rPr>
                    <w:t>0.4</w:t>
                  </w:r>
                </w:p>
              </w:tc>
            </w:tr>
            <w:tr w:rsidR="00AC0DF5" w14:paraId="0D652564" w14:textId="77777777" w:rsidTr="00AC0DF5">
              <w:tc>
                <w:tcPr>
                  <w:tcW w:w="2576" w:type="pct"/>
                  <w:vAlign w:val="center"/>
                </w:tcPr>
                <w:p w14:paraId="0D65255F" w14:textId="77777777" w:rsidR="00AC0DF5" w:rsidRPr="00D90687" w:rsidRDefault="00AC0DF5" w:rsidP="00AC0DF5">
                  <w:pPr>
                    <w:pStyle w:val="TableBodyText"/>
                    <w:ind w:left="285" w:hanging="279"/>
                    <w:jc w:val="left"/>
                  </w:pPr>
                  <w:r>
                    <w:rPr>
                      <w:rFonts w:cs="Arial"/>
                      <w:color w:val="000000"/>
                      <w:sz w:val="16"/>
                      <w:szCs w:val="16"/>
                    </w:rPr>
                    <w:t>Flinders University</w:t>
                  </w:r>
                </w:p>
              </w:tc>
              <w:tc>
                <w:tcPr>
                  <w:tcW w:w="639" w:type="pct"/>
                  <w:vAlign w:val="center"/>
                </w:tcPr>
                <w:p w14:paraId="0D652560" w14:textId="77777777" w:rsidR="00AC0DF5" w:rsidRPr="00D90687" w:rsidRDefault="00AC0DF5" w:rsidP="00AC0DF5">
                  <w:pPr>
                    <w:pStyle w:val="TableBodyText"/>
                    <w:jc w:val="left"/>
                  </w:pPr>
                  <w:r>
                    <w:rPr>
                      <w:rFonts w:cs="Arial"/>
                      <w:color w:val="000000"/>
                      <w:sz w:val="16"/>
                      <w:szCs w:val="16"/>
                    </w:rPr>
                    <w:t>SA</w:t>
                  </w:r>
                </w:p>
              </w:tc>
              <w:tc>
                <w:tcPr>
                  <w:tcW w:w="642" w:type="pct"/>
                  <w:vAlign w:val="center"/>
                </w:tcPr>
                <w:p w14:paraId="0D652561" w14:textId="77777777" w:rsidR="00AC0DF5" w:rsidRDefault="00AC0DF5" w:rsidP="00AC0DF5">
                  <w:pPr>
                    <w:pStyle w:val="TableBodyText"/>
                  </w:pPr>
                  <w:r>
                    <w:rPr>
                      <w:rFonts w:cs="Arial"/>
                      <w:color w:val="000000"/>
                      <w:sz w:val="16"/>
                      <w:szCs w:val="16"/>
                    </w:rPr>
                    <w:t>95</w:t>
                  </w:r>
                </w:p>
              </w:tc>
              <w:tc>
                <w:tcPr>
                  <w:tcW w:w="547" w:type="pct"/>
                  <w:vAlign w:val="center"/>
                </w:tcPr>
                <w:p w14:paraId="0D652562" w14:textId="77777777" w:rsidR="00AC0DF5" w:rsidRPr="00D90687" w:rsidRDefault="00AC0DF5" w:rsidP="00AC0DF5">
                  <w:pPr>
                    <w:pStyle w:val="TableBodyText"/>
                  </w:pPr>
                  <w:r>
                    <w:rPr>
                      <w:rFonts w:cs="Arial"/>
                      <w:color w:val="000000"/>
                      <w:sz w:val="16"/>
                      <w:szCs w:val="16"/>
                    </w:rPr>
                    <w:t>8</w:t>
                  </w:r>
                </w:p>
              </w:tc>
              <w:tc>
                <w:tcPr>
                  <w:tcW w:w="596" w:type="pct"/>
                  <w:vAlign w:val="bottom"/>
                </w:tcPr>
                <w:p w14:paraId="0D652563" w14:textId="77777777" w:rsidR="00AC0DF5" w:rsidRPr="00D90687" w:rsidRDefault="00AC0DF5" w:rsidP="00AC0DF5">
                  <w:pPr>
                    <w:pStyle w:val="TableBodyText"/>
                  </w:pPr>
                  <w:r>
                    <w:rPr>
                      <w:rFonts w:cs="Arial"/>
                      <w:color w:val="000000"/>
                      <w:sz w:val="16"/>
                      <w:szCs w:val="16"/>
                    </w:rPr>
                    <w:t>5.0</w:t>
                  </w:r>
                </w:p>
              </w:tc>
            </w:tr>
            <w:tr w:rsidR="00AC0DF5" w14:paraId="0D65256A" w14:textId="77777777" w:rsidTr="00AC0DF5">
              <w:tc>
                <w:tcPr>
                  <w:tcW w:w="2576" w:type="pct"/>
                  <w:vAlign w:val="center"/>
                </w:tcPr>
                <w:p w14:paraId="0D652565" w14:textId="77777777" w:rsidR="00AC0DF5" w:rsidRPr="00D90687" w:rsidRDefault="00AC0DF5" w:rsidP="00AC0DF5">
                  <w:pPr>
                    <w:pStyle w:val="TableBodyText"/>
                    <w:ind w:left="285" w:hanging="279"/>
                    <w:jc w:val="left"/>
                  </w:pPr>
                  <w:r>
                    <w:rPr>
                      <w:rFonts w:cs="Arial"/>
                      <w:color w:val="000000"/>
                      <w:sz w:val="16"/>
                      <w:szCs w:val="16"/>
                    </w:rPr>
                    <w:t>Florey Institute of Neuroscience and Mental Health</w:t>
                  </w:r>
                </w:p>
              </w:tc>
              <w:tc>
                <w:tcPr>
                  <w:tcW w:w="639" w:type="pct"/>
                  <w:vAlign w:val="center"/>
                </w:tcPr>
                <w:p w14:paraId="0D652566"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67" w14:textId="77777777" w:rsidR="00AC0DF5" w:rsidRDefault="00AC0DF5" w:rsidP="00AC0DF5">
                  <w:pPr>
                    <w:pStyle w:val="TableBodyText"/>
                  </w:pPr>
                  <w:r>
                    <w:rPr>
                      <w:rFonts w:cs="Arial"/>
                      <w:color w:val="000000"/>
                      <w:sz w:val="16"/>
                      <w:szCs w:val="16"/>
                    </w:rPr>
                    <w:t>101</w:t>
                  </w:r>
                </w:p>
              </w:tc>
              <w:tc>
                <w:tcPr>
                  <w:tcW w:w="547" w:type="pct"/>
                  <w:vAlign w:val="center"/>
                </w:tcPr>
                <w:p w14:paraId="0D652568" w14:textId="77777777" w:rsidR="00AC0DF5" w:rsidRPr="00D90687" w:rsidRDefault="00AC0DF5" w:rsidP="00AC0DF5">
                  <w:pPr>
                    <w:pStyle w:val="TableBodyText"/>
                  </w:pPr>
                  <w:r>
                    <w:rPr>
                      <w:rFonts w:cs="Arial"/>
                      <w:color w:val="000000"/>
                      <w:sz w:val="16"/>
                      <w:szCs w:val="16"/>
                    </w:rPr>
                    <w:t>18</w:t>
                  </w:r>
                </w:p>
              </w:tc>
              <w:tc>
                <w:tcPr>
                  <w:tcW w:w="596" w:type="pct"/>
                  <w:vAlign w:val="bottom"/>
                </w:tcPr>
                <w:p w14:paraId="0D652569" w14:textId="77777777" w:rsidR="00AC0DF5" w:rsidRPr="00D90687" w:rsidRDefault="00AC0DF5" w:rsidP="00AC0DF5">
                  <w:pPr>
                    <w:pStyle w:val="TableBodyText"/>
                  </w:pPr>
                  <w:r>
                    <w:rPr>
                      <w:rFonts w:cs="Arial"/>
                      <w:color w:val="000000"/>
                      <w:sz w:val="16"/>
                      <w:szCs w:val="16"/>
                    </w:rPr>
                    <w:t>27.5</w:t>
                  </w:r>
                </w:p>
              </w:tc>
            </w:tr>
            <w:tr w:rsidR="00AC0DF5" w14:paraId="0D652570" w14:textId="77777777" w:rsidTr="00AC0DF5">
              <w:tc>
                <w:tcPr>
                  <w:tcW w:w="2576" w:type="pct"/>
                  <w:vAlign w:val="center"/>
                </w:tcPr>
                <w:p w14:paraId="0D65256B" w14:textId="77777777" w:rsidR="00AC0DF5" w:rsidRPr="00D90687" w:rsidRDefault="00AC0DF5" w:rsidP="00AC0DF5">
                  <w:pPr>
                    <w:pStyle w:val="TableBodyText"/>
                    <w:ind w:left="285" w:hanging="279"/>
                    <w:jc w:val="left"/>
                  </w:pPr>
                  <w:r>
                    <w:rPr>
                      <w:rFonts w:cs="Arial"/>
                      <w:color w:val="000000"/>
                      <w:sz w:val="16"/>
                      <w:szCs w:val="16"/>
                    </w:rPr>
                    <w:t>Garvan Institute of Medical Research</w:t>
                  </w:r>
                </w:p>
              </w:tc>
              <w:tc>
                <w:tcPr>
                  <w:tcW w:w="639" w:type="pct"/>
                  <w:vAlign w:val="center"/>
                </w:tcPr>
                <w:p w14:paraId="0D65256C" w14:textId="77777777" w:rsidR="00AC0DF5" w:rsidRPr="00D90687" w:rsidRDefault="00AC0DF5" w:rsidP="00AC0DF5">
                  <w:pPr>
                    <w:pStyle w:val="TableBodyText"/>
                    <w:jc w:val="left"/>
                  </w:pPr>
                  <w:r>
                    <w:rPr>
                      <w:rFonts w:cs="Arial"/>
                      <w:color w:val="000000"/>
                      <w:sz w:val="16"/>
                      <w:szCs w:val="16"/>
                    </w:rPr>
                    <w:t>NSW</w:t>
                  </w:r>
                </w:p>
              </w:tc>
              <w:tc>
                <w:tcPr>
                  <w:tcW w:w="642" w:type="pct"/>
                  <w:vAlign w:val="center"/>
                </w:tcPr>
                <w:p w14:paraId="0D65256D" w14:textId="77777777" w:rsidR="00AC0DF5" w:rsidRDefault="00AC0DF5" w:rsidP="00AC0DF5">
                  <w:pPr>
                    <w:pStyle w:val="TableBodyText"/>
                  </w:pPr>
                  <w:r>
                    <w:rPr>
                      <w:rFonts w:cs="Arial"/>
                      <w:color w:val="000000"/>
                      <w:sz w:val="16"/>
                      <w:szCs w:val="16"/>
                    </w:rPr>
                    <w:t>78</w:t>
                  </w:r>
                </w:p>
              </w:tc>
              <w:tc>
                <w:tcPr>
                  <w:tcW w:w="547" w:type="pct"/>
                  <w:vAlign w:val="center"/>
                </w:tcPr>
                <w:p w14:paraId="0D65256E" w14:textId="77777777" w:rsidR="00AC0DF5" w:rsidRPr="00D90687" w:rsidRDefault="00AC0DF5" w:rsidP="00AC0DF5">
                  <w:pPr>
                    <w:pStyle w:val="TableBodyText"/>
                  </w:pPr>
                  <w:r>
                    <w:rPr>
                      <w:rFonts w:cs="Arial"/>
                      <w:color w:val="000000"/>
                      <w:sz w:val="16"/>
                      <w:szCs w:val="16"/>
                    </w:rPr>
                    <w:t>16</w:t>
                  </w:r>
                </w:p>
              </w:tc>
              <w:tc>
                <w:tcPr>
                  <w:tcW w:w="596" w:type="pct"/>
                  <w:vAlign w:val="bottom"/>
                </w:tcPr>
                <w:p w14:paraId="0D65256F" w14:textId="77777777" w:rsidR="00AC0DF5" w:rsidRPr="00D90687" w:rsidRDefault="00AC0DF5" w:rsidP="00AC0DF5">
                  <w:pPr>
                    <w:pStyle w:val="TableBodyText"/>
                  </w:pPr>
                  <w:r>
                    <w:rPr>
                      <w:rFonts w:cs="Arial"/>
                      <w:color w:val="000000"/>
                      <w:sz w:val="16"/>
                      <w:szCs w:val="16"/>
                    </w:rPr>
                    <w:t>13.4</w:t>
                  </w:r>
                </w:p>
              </w:tc>
            </w:tr>
            <w:tr w:rsidR="00AC0DF5" w14:paraId="0D652576" w14:textId="77777777" w:rsidTr="00AC0DF5">
              <w:tc>
                <w:tcPr>
                  <w:tcW w:w="2576" w:type="pct"/>
                  <w:vAlign w:val="center"/>
                </w:tcPr>
                <w:p w14:paraId="0D652571" w14:textId="77777777" w:rsidR="00AC0DF5" w:rsidRPr="00D90687" w:rsidRDefault="00AC0DF5" w:rsidP="00AC0DF5">
                  <w:pPr>
                    <w:pStyle w:val="TableBodyText"/>
                    <w:ind w:left="285" w:hanging="279"/>
                    <w:jc w:val="left"/>
                  </w:pPr>
                  <w:r>
                    <w:rPr>
                      <w:rFonts w:cs="Arial"/>
                      <w:color w:val="000000"/>
                      <w:sz w:val="16"/>
                      <w:szCs w:val="16"/>
                    </w:rPr>
                    <w:t>Griffith University</w:t>
                  </w:r>
                </w:p>
              </w:tc>
              <w:tc>
                <w:tcPr>
                  <w:tcW w:w="639" w:type="pct"/>
                  <w:vAlign w:val="center"/>
                </w:tcPr>
                <w:p w14:paraId="0D652572" w14:textId="77777777" w:rsidR="00AC0DF5" w:rsidRPr="00D90687" w:rsidRDefault="00AC0DF5" w:rsidP="00AC0DF5">
                  <w:pPr>
                    <w:pStyle w:val="TableBodyText"/>
                    <w:jc w:val="left"/>
                  </w:pPr>
                  <w:r>
                    <w:rPr>
                      <w:rFonts w:cs="Arial"/>
                      <w:color w:val="000000"/>
                      <w:sz w:val="16"/>
                      <w:szCs w:val="16"/>
                    </w:rPr>
                    <w:t>Qld</w:t>
                  </w:r>
                </w:p>
              </w:tc>
              <w:tc>
                <w:tcPr>
                  <w:tcW w:w="642" w:type="pct"/>
                  <w:vAlign w:val="center"/>
                </w:tcPr>
                <w:p w14:paraId="0D652573" w14:textId="77777777" w:rsidR="00AC0DF5" w:rsidRDefault="00AC0DF5" w:rsidP="00AC0DF5">
                  <w:pPr>
                    <w:pStyle w:val="TableBodyText"/>
                  </w:pPr>
                  <w:r>
                    <w:rPr>
                      <w:rFonts w:cs="Arial"/>
                      <w:color w:val="000000"/>
                      <w:sz w:val="16"/>
                      <w:szCs w:val="16"/>
                    </w:rPr>
                    <w:t>89</w:t>
                  </w:r>
                </w:p>
              </w:tc>
              <w:tc>
                <w:tcPr>
                  <w:tcW w:w="547" w:type="pct"/>
                  <w:vAlign w:val="center"/>
                </w:tcPr>
                <w:p w14:paraId="0D652574" w14:textId="77777777" w:rsidR="00AC0DF5" w:rsidRPr="00D90687" w:rsidRDefault="00AC0DF5" w:rsidP="00AC0DF5">
                  <w:pPr>
                    <w:pStyle w:val="TableBodyText"/>
                  </w:pPr>
                  <w:r>
                    <w:rPr>
                      <w:rFonts w:cs="Arial"/>
                      <w:color w:val="000000"/>
                      <w:sz w:val="16"/>
                      <w:szCs w:val="16"/>
                    </w:rPr>
                    <w:t>5</w:t>
                  </w:r>
                </w:p>
              </w:tc>
              <w:tc>
                <w:tcPr>
                  <w:tcW w:w="596" w:type="pct"/>
                  <w:vAlign w:val="bottom"/>
                </w:tcPr>
                <w:p w14:paraId="0D652575" w14:textId="77777777" w:rsidR="00AC0DF5" w:rsidRPr="00D90687" w:rsidRDefault="00AC0DF5" w:rsidP="00AC0DF5">
                  <w:pPr>
                    <w:pStyle w:val="TableBodyText"/>
                  </w:pPr>
                  <w:r>
                    <w:rPr>
                      <w:rFonts w:cs="Arial"/>
                      <w:color w:val="000000"/>
                      <w:sz w:val="16"/>
                      <w:szCs w:val="16"/>
                    </w:rPr>
                    <w:t>4.2</w:t>
                  </w:r>
                </w:p>
              </w:tc>
            </w:tr>
            <w:tr w:rsidR="00AC0DF5" w14:paraId="0D65257C" w14:textId="77777777" w:rsidTr="00AC0DF5">
              <w:tc>
                <w:tcPr>
                  <w:tcW w:w="2576" w:type="pct"/>
                  <w:vAlign w:val="center"/>
                </w:tcPr>
                <w:p w14:paraId="0D652577" w14:textId="77777777" w:rsidR="00AC0DF5" w:rsidRPr="00D90687" w:rsidRDefault="00AC0DF5" w:rsidP="00AC0DF5">
                  <w:pPr>
                    <w:pStyle w:val="TableBodyText"/>
                    <w:ind w:left="285" w:hanging="279"/>
                    <w:jc w:val="left"/>
                  </w:pPr>
                  <w:r>
                    <w:rPr>
                      <w:rFonts w:cs="Arial"/>
                      <w:color w:val="000000"/>
                      <w:sz w:val="16"/>
                      <w:szCs w:val="16"/>
                    </w:rPr>
                    <w:t>James Cook University</w:t>
                  </w:r>
                </w:p>
              </w:tc>
              <w:tc>
                <w:tcPr>
                  <w:tcW w:w="639" w:type="pct"/>
                  <w:vAlign w:val="center"/>
                </w:tcPr>
                <w:p w14:paraId="0D652578" w14:textId="77777777" w:rsidR="00AC0DF5" w:rsidRPr="00D90687" w:rsidRDefault="00AC0DF5" w:rsidP="00AC0DF5">
                  <w:pPr>
                    <w:pStyle w:val="TableBodyText"/>
                    <w:jc w:val="left"/>
                  </w:pPr>
                  <w:r>
                    <w:rPr>
                      <w:rFonts w:cs="Arial"/>
                      <w:color w:val="000000"/>
                      <w:sz w:val="16"/>
                      <w:szCs w:val="16"/>
                    </w:rPr>
                    <w:t>Qld</w:t>
                  </w:r>
                </w:p>
              </w:tc>
              <w:tc>
                <w:tcPr>
                  <w:tcW w:w="642" w:type="pct"/>
                  <w:vAlign w:val="center"/>
                </w:tcPr>
                <w:p w14:paraId="0D652579" w14:textId="77777777" w:rsidR="00AC0DF5" w:rsidRDefault="00AC0DF5" w:rsidP="00AC0DF5">
                  <w:pPr>
                    <w:pStyle w:val="TableBodyText"/>
                  </w:pPr>
                  <w:r>
                    <w:rPr>
                      <w:rFonts w:cs="Arial"/>
                      <w:color w:val="000000"/>
                      <w:sz w:val="16"/>
                      <w:szCs w:val="16"/>
                    </w:rPr>
                    <w:t>33</w:t>
                  </w:r>
                </w:p>
              </w:tc>
              <w:tc>
                <w:tcPr>
                  <w:tcW w:w="547" w:type="pct"/>
                  <w:vAlign w:val="center"/>
                </w:tcPr>
                <w:p w14:paraId="0D65257A" w14:textId="77777777" w:rsidR="00AC0DF5" w:rsidRPr="00D90687" w:rsidRDefault="00AC0DF5" w:rsidP="00AC0DF5">
                  <w:pPr>
                    <w:pStyle w:val="TableBodyText"/>
                  </w:pPr>
                  <w:r>
                    <w:rPr>
                      <w:rFonts w:cs="Arial"/>
                      <w:color w:val="000000"/>
                      <w:sz w:val="16"/>
                      <w:szCs w:val="16"/>
                    </w:rPr>
                    <w:t>5</w:t>
                  </w:r>
                </w:p>
              </w:tc>
              <w:tc>
                <w:tcPr>
                  <w:tcW w:w="596" w:type="pct"/>
                  <w:vAlign w:val="bottom"/>
                </w:tcPr>
                <w:p w14:paraId="0D65257B" w14:textId="77777777" w:rsidR="00AC0DF5" w:rsidRPr="00D90687" w:rsidRDefault="00AC0DF5" w:rsidP="00AC0DF5">
                  <w:pPr>
                    <w:pStyle w:val="TableBodyText"/>
                  </w:pPr>
                  <w:r>
                    <w:rPr>
                      <w:rFonts w:cs="Arial"/>
                      <w:color w:val="000000"/>
                      <w:sz w:val="16"/>
                      <w:szCs w:val="16"/>
                    </w:rPr>
                    <w:t>3.4</w:t>
                  </w:r>
                </w:p>
              </w:tc>
            </w:tr>
            <w:tr w:rsidR="00AC0DF5" w14:paraId="0D652582" w14:textId="77777777" w:rsidTr="00AC0DF5">
              <w:tc>
                <w:tcPr>
                  <w:tcW w:w="2576" w:type="pct"/>
                  <w:vAlign w:val="center"/>
                </w:tcPr>
                <w:p w14:paraId="0D65257D" w14:textId="77777777" w:rsidR="00AC0DF5" w:rsidRPr="00D90687" w:rsidRDefault="00AC0DF5" w:rsidP="00AC0DF5">
                  <w:pPr>
                    <w:pStyle w:val="TableBodyText"/>
                    <w:ind w:left="285" w:hanging="279"/>
                    <w:jc w:val="left"/>
                  </w:pPr>
                  <w:r>
                    <w:rPr>
                      <w:rFonts w:cs="Arial"/>
                      <w:color w:val="000000"/>
                      <w:sz w:val="16"/>
                      <w:szCs w:val="16"/>
                    </w:rPr>
                    <w:t>La Trobe University</w:t>
                  </w:r>
                </w:p>
              </w:tc>
              <w:tc>
                <w:tcPr>
                  <w:tcW w:w="639" w:type="pct"/>
                  <w:vAlign w:val="center"/>
                </w:tcPr>
                <w:p w14:paraId="0D65257E"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7F" w14:textId="77777777" w:rsidR="00AC0DF5" w:rsidRDefault="00AC0DF5" w:rsidP="00AC0DF5">
                  <w:pPr>
                    <w:pStyle w:val="TableBodyText"/>
                  </w:pPr>
                  <w:r>
                    <w:rPr>
                      <w:rFonts w:cs="Arial"/>
                      <w:color w:val="000000"/>
                      <w:sz w:val="16"/>
                      <w:szCs w:val="16"/>
                    </w:rPr>
                    <w:t>77</w:t>
                  </w:r>
                </w:p>
              </w:tc>
              <w:tc>
                <w:tcPr>
                  <w:tcW w:w="547" w:type="pct"/>
                  <w:vAlign w:val="center"/>
                </w:tcPr>
                <w:p w14:paraId="0D652580" w14:textId="77777777" w:rsidR="00AC0DF5" w:rsidRPr="00D90687" w:rsidRDefault="00AC0DF5" w:rsidP="00AC0DF5">
                  <w:pPr>
                    <w:pStyle w:val="TableBodyText"/>
                  </w:pPr>
                  <w:r>
                    <w:rPr>
                      <w:rFonts w:cs="Arial"/>
                      <w:color w:val="000000"/>
                      <w:sz w:val="16"/>
                      <w:szCs w:val="16"/>
                    </w:rPr>
                    <w:t>15</w:t>
                  </w:r>
                </w:p>
              </w:tc>
              <w:tc>
                <w:tcPr>
                  <w:tcW w:w="596" w:type="pct"/>
                  <w:vAlign w:val="bottom"/>
                </w:tcPr>
                <w:p w14:paraId="0D652581" w14:textId="77777777" w:rsidR="00AC0DF5" w:rsidRPr="00D90687" w:rsidRDefault="00AC0DF5" w:rsidP="00AC0DF5">
                  <w:pPr>
                    <w:pStyle w:val="TableBodyText"/>
                  </w:pPr>
                  <w:r>
                    <w:rPr>
                      <w:rFonts w:cs="Arial"/>
                      <w:color w:val="000000"/>
                      <w:sz w:val="16"/>
                      <w:szCs w:val="16"/>
                    </w:rPr>
                    <w:t>7.0</w:t>
                  </w:r>
                </w:p>
              </w:tc>
            </w:tr>
            <w:tr w:rsidR="00AC0DF5" w14:paraId="0D652588" w14:textId="77777777" w:rsidTr="00AC0DF5">
              <w:tc>
                <w:tcPr>
                  <w:tcW w:w="2576" w:type="pct"/>
                  <w:vAlign w:val="center"/>
                </w:tcPr>
                <w:p w14:paraId="0D652583" w14:textId="77777777" w:rsidR="00AC0DF5" w:rsidRPr="00D90687" w:rsidRDefault="00AC0DF5" w:rsidP="00AC0DF5">
                  <w:pPr>
                    <w:pStyle w:val="TableBodyText"/>
                    <w:ind w:left="285" w:hanging="279"/>
                    <w:jc w:val="left"/>
                  </w:pPr>
                  <w:r>
                    <w:rPr>
                      <w:rFonts w:cs="Arial"/>
                      <w:color w:val="000000"/>
                      <w:sz w:val="16"/>
                      <w:szCs w:val="16"/>
                    </w:rPr>
                    <w:t>Macfarlane Burnet Institute for Medical Research and Public Health</w:t>
                  </w:r>
                </w:p>
              </w:tc>
              <w:tc>
                <w:tcPr>
                  <w:tcW w:w="639" w:type="pct"/>
                  <w:vAlign w:val="center"/>
                </w:tcPr>
                <w:p w14:paraId="0D652584"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85" w14:textId="77777777" w:rsidR="00AC0DF5" w:rsidRDefault="00AC0DF5" w:rsidP="00AC0DF5">
                  <w:pPr>
                    <w:pStyle w:val="TableBodyText"/>
                  </w:pPr>
                  <w:r>
                    <w:rPr>
                      <w:rFonts w:cs="Arial"/>
                      <w:color w:val="000000"/>
                      <w:sz w:val="16"/>
                      <w:szCs w:val="16"/>
                    </w:rPr>
                    <w:t>34</w:t>
                  </w:r>
                </w:p>
              </w:tc>
              <w:tc>
                <w:tcPr>
                  <w:tcW w:w="547" w:type="pct"/>
                  <w:vAlign w:val="center"/>
                </w:tcPr>
                <w:p w14:paraId="0D652586" w14:textId="77777777" w:rsidR="00AC0DF5" w:rsidRPr="00D90687" w:rsidRDefault="00AC0DF5" w:rsidP="00AC0DF5">
                  <w:pPr>
                    <w:pStyle w:val="TableBodyText"/>
                  </w:pPr>
                  <w:r>
                    <w:rPr>
                      <w:rFonts w:cs="Arial"/>
                      <w:color w:val="000000"/>
                      <w:sz w:val="16"/>
                      <w:szCs w:val="16"/>
                    </w:rPr>
                    <w:t>13</w:t>
                  </w:r>
                </w:p>
              </w:tc>
              <w:tc>
                <w:tcPr>
                  <w:tcW w:w="596" w:type="pct"/>
                  <w:vAlign w:val="bottom"/>
                </w:tcPr>
                <w:p w14:paraId="0D652587" w14:textId="77777777" w:rsidR="00AC0DF5" w:rsidRPr="00D90687" w:rsidRDefault="00AC0DF5" w:rsidP="00AC0DF5">
                  <w:pPr>
                    <w:pStyle w:val="TableBodyText"/>
                  </w:pPr>
                  <w:r>
                    <w:rPr>
                      <w:rFonts w:cs="Arial"/>
                      <w:color w:val="000000"/>
                      <w:sz w:val="16"/>
                      <w:szCs w:val="16"/>
                    </w:rPr>
                    <w:t>14.6</w:t>
                  </w:r>
                </w:p>
              </w:tc>
            </w:tr>
            <w:tr w:rsidR="00AC0DF5" w14:paraId="0D65258E" w14:textId="77777777" w:rsidTr="00AC0DF5">
              <w:tc>
                <w:tcPr>
                  <w:tcW w:w="2576" w:type="pct"/>
                  <w:vAlign w:val="center"/>
                </w:tcPr>
                <w:p w14:paraId="0D652589" w14:textId="77777777" w:rsidR="00AC0DF5" w:rsidRPr="00D90687" w:rsidRDefault="00AC0DF5" w:rsidP="00AC0DF5">
                  <w:pPr>
                    <w:pStyle w:val="TableBodyText"/>
                    <w:ind w:left="285" w:hanging="279"/>
                    <w:jc w:val="left"/>
                  </w:pPr>
                  <w:r>
                    <w:rPr>
                      <w:rFonts w:cs="Arial"/>
                      <w:color w:val="000000"/>
                      <w:sz w:val="16"/>
                      <w:szCs w:val="16"/>
                    </w:rPr>
                    <w:t>Macquarie University</w:t>
                  </w:r>
                </w:p>
              </w:tc>
              <w:tc>
                <w:tcPr>
                  <w:tcW w:w="639" w:type="pct"/>
                  <w:vAlign w:val="center"/>
                </w:tcPr>
                <w:p w14:paraId="0D65258A" w14:textId="77777777" w:rsidR="00AC0DF5" w:rsidRPr="00D90687" w:rsidRDefault="00AC0DF5" w:rsidP="00AC0DF5">
                  <w:pPr>
                    <w:pStyle w:val="TableBodyText"/>
                    <w:jc w:val="left"/>
                  </w:pPr>
                  <w:r>
                    <w:rPr>
                      <w:rFonts w:cs="Arial"/>
                      <w:color w:val="000000"/>
                      <w:sz w:val="16"/>
                      <w:szCs w:val="16"/>
                    </w:rPr>
                    <w:t>NSW</w:t>
                  </w:r>
                </w:p>
              </w:tc>
              <w:tc>
                <w:tcPr>
                  <w:tcW w:w="642" w:type="pct"/>
                  <w:vAlign w:val="center"/>
                </w:tcPr>
                <w:p w14:paraId="0D65258B" w14:textId="77777777" w:rsidR="00AC0DF5" w:rsidRDefault="00AC0DF5" w:rsidP="00AC0DF5">
                  <w:pPr>
                    <w:pStyle w:val="TableBodyText"/>
                  </w:pPr>
                  <w:r>
                    <w:rPr>
                      <w:rFonts w:cs="Arial"/>
                      <w:color w:val="000000"/>
                      <w:sz w:val="16"/>
                      <w:szCs w:val="16"/>
                    </w:rPr>
                    <w:t>67</w:t>
                  </w:r>
                </w:p>
              </w:tc>
              <w:tc>
                <w:tcPr>
                  <w:tcW w:w="547" w:type="pct"/>
                  <w:vAlign w:val="center"/>
                </w:tcPr>
                <w:p w14:paraId="0D65258C" w14:textId="77777777" w:rsidR="00AC0DF5" w:rsidRPr="00D90687" w:rsidRDefault="00AC0DF5" w:rsidP="00AC0DF5">
                  <w:pPr>
                    <w:pStyle w:val="TableBodyText"/>
                  </w:pPr>
                  <w:r>
                    <w:rPr>
                      <w:rFonts w:cs="Arial"/>
                      <w:color w:val="000000"/>
                      <w:sz w:val="16"/>
                      <w:szCs w:val="16"/>
                    </w:rPr>
                    <w:t>12</w:t>
                  </w:r>
                </w:p>
              </w:tc>
              <w:tc>
                <w:tcPr>
                  <w:tcW w:w="596" w:type="pct"/>
                  <w:vAlign w:val="bottom"/>
                </w:tcPr>
                <w:p w14:paraId="0D65258D" w14:textId="77777777" w:rsidR="00AC0DF5" w:rsidRPr="00D90687" w:rsidRDefault="00AC0DF5" w:rsidP="00AC0DF5">
                  <w:pPr>
                    <w:pStyle w:val="TableBodyText"/>
                  </w:pPr>
                  <w:r>
                    <w:rPr>
                      <w:rFonts w:cs="Arial"/>
                      <w:color w:val="000000"/>
                      <w:sz w:val="16"/>
                      <w:szCs w:val="16"/>
                    </w:rPr>
                    <w:t>6.8</w:t>
                  </w:r>
                </w:p>
              </w:tc>
            </w:tr>
            <w:tr w:rsidR="00AC0DF5" w14:paraId="0D652594" w14:textId="77777777" w:rsidTr="00AC0DF5">
              <w:tc>
                <w:tcPr>
                  <w:tcW w:w="2576" w:type="pct"/>
                  <w:vAlign w:val="center"/>
                </w:tcPr>
                <w:p w14:paraId="0D65258F" w14:textId="77777777" w:rsidR="00AC0DF5" w:rsidRPr="00D90687" w:rsidRDefault="00AC0DF5" w:rsidP="00AC0DF5">
                  <w:pPr>
                    <w:pStyle w:val="TableBodyText"/>
                    <w:ind w:left="285" w:hanging="279"/>
                    <w:jc w:val="left"/>
                  </w:pPr>
                  <w:r>
                    <w:rPr>
                      <w:rFonts w:cs="Arial"/>
                      <w:color w:val="000000"/>
                      <w:sz w:val="16"/>
                      <w:szCs w:val="16"/>
                    </w:rPr>
                    <w:t>Melbourne Health</w:t>
                  </w:r>
                </w:p>
              </w:tc>
              <w:tc>
                <w:tcPr>
                  <w:tcW w:w="639" w:type="pct"/>
                  <w:vAlign w:val="center"/>
                </w:tcPr>
                <w:p w14:paraId="0D652590"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91" w14:textId="77777777" w:rsidR="00AC0DF5" w:rsidRDefault="00AC0DF5" w:rsidP="00AC0DF5">
                  <w:pPr>
                    <w:pStyle w:val="TableBodyText"/>
                  </w:pPr>
                  <w:r>
                    <w:rPr>
                      <w:rFonts w:cs="Arial"/>
                      <w:color w:val="000000"/>
                      <w:sz w:val="16"/>
                      <w:szCs w:val="16"/>
                    </w:rPr>
                    <w:t>16</w:t>
                  </w:r>
                </w:p>
              </w:tc>
              <w:tc>
                <w:tcPr>
                  <w:tcW w:w="547" w:type="pct"/>
                  <w:vAlign w:val="center"/>
                </w:tcPr>
                <w:p w14:paraId="0D652592"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93" w14:textId="77777777" w:rsidR="00AC0DF5" w:rsidRPr="00D90687" w:rsidRDefault="00AC0DF5" w:rsidP="00AC0DF5">
                  <w:pPr>
                    <w:pStyle w:val="TableBodyText"/>
                  </w:pPr>
                  <w:r>
                    <w:rPr>
                      <w:rFonts w:cs="Arial"/>
                      <w:color w:val="000000"/>
                      <w:sz w:val="16"/>
                      <w:szCs w:val="16"/>
                    </w:rPr>
                    <w:t>0.1</w:t>
                  </w:r>
                </w:p>
              </w:tc>
            </w:tr>
            <w:tr w:rsidR="00AC0DF5" w14:paraId="0D65259A" w14:textId="77777777" w:rsidTr="00AC0DF5">
              <w:tc>
                <w:tcPr>
                  <w:tcW w:w="2576" w:type="pct"/>
                  <w:vAlign w:val="center"/>
                </w:tcPr>
                <w:p w14:paraId="0D652595" w14:textId="77777777" w:rsidR="00AC0DF5" w:rsidRPr="00D90687" w:rsidRDefault="00AC0DF5" w:rsidP="00AC0DF5">
                  <w:pPr>
                    <w:pStyle w:val="TableBodyText"/>
                    <w:ind w:left="285" w:hanging="279"/>
                    <w:jc w:val="left"/>
                  </w:pPr>
                  <w:r>
                    <w:rPr>
                      <w:rFonts w:cs="Arial"/>
                      <w:color w:val="000000"/>
                      <w:sz w:val="16"/>
                      <w:szCs w:val="16"/>
                    </w:rPr>
                    <w:t>Menzies School of Health Research</w:t>
                  </w:r>
                </w:p>
              </w:tc>
              <w:tc>
                <w:tcPr>
                  <w:tcW w:w="639" w:type="pct"/>
                  <w:vAlign w:val="center"/>
                </w:tcPr>
                <w:p w14:paraId="0D652596" w14:textId="77777777" w:rsidR="00AC0DF5" w:rsidRPr="00D90687" w:rsidRDefault="00AC0DF5" w:rsidP="00AC0DF5">
                  <w:pPr>
                    <w:pStyle w:val="TableBodyText"/>
                    <w:jc w:val="left"/>
                  </w:pPr>
                  <w:r>
                    <w:rPr>
                      <w:rFonts w:cs="Arial"/>
                      <w:color w:val="000000"/>
                      <w:sz w:val="16"/>
                      <w:szCs w:val="16"/>
                    </w:rPr>
                    <w:t>NT</w:t>
                  </w:r>
                </w:p>
              </w:tc>
              <w:tc>
                <w:tcPr>
                  <w:tcW w:w="642" w:type="pct"/>
                  <w:vAlign w:val="center"/>
                </w:tcPr>
                <w:p w14:paraId="0D652597" w14:textId="77777777" w:rsidR="00AC0DF5" w:rsidRDefault="00AC0DF5" w:rsidP="00AC0DF5">
                  <w:pPr>
                    <w:pStyle w:val="TableBodyText"/>
                  </w:pPr>
                  <w:r>
                    <w:rPr>
                      <w:rFonts w:cs="Arial"/>
                      <w:color w:val="000000"/>
                      <w:sz w:val="16"/>
                      <w:szCs w:val="16"/>
                    </w:rPr>
                    <w:t>33</w:t>
                  </w:r>
                </w:p>
              </w:tc>
              <w:tc>
                <w:tcPr>
                  <w:tcW w:w="547" w:type="pct"/>
                  <w:vAlign w:val="center"/>
                </w:tcPr>
                <w:p w14:paraId="0D652598" w14:textId="77777777" w:rsidR="00AC0DF5" w:rsidRPr="00D90687" w:rsidRDefault="00AC0DF5" w:rsidP="00AC0DF5">
                  <w:pPr>
                    <w:pStyle w:val="TableBodyText"/>
                  </w:pPr>
                  <w:r>
                    <w:rPr>
                      <w:rFonts w:cs="Arial"/>
                      <w:color w:val="000000"/>
                      <w:sz w:val="16"/>
                      <w:szCs w:val="16"/>
                    </w:rPr>
                    <w:t>8</w:t>
                  </w:r>
                </w:p>
              </w:tc>
              <w:tc>
                <w:tcPr>
                  <w:tcW w:w="596" w:type="pct"/>
                  <w:vAlign w:val="bottom"/>
                </w:tcPr>
                <w:p w14:paraId="0D652599" w14:textId="77777777" w:rsidR="00AC0DF5" w:rsidRPr="00D90687" w:rsidRDefault="00AC0DF5" w:rsidP="00AC0DF5">
                  <w:pPr>
                    <w:pStyle w:val="TableBodyText"/>
                  </w:pPr>
                  <w:r>
                    <w:rPr>
                      <w:rFonts w:cs="Arial"/>
                      <w:color w:val="000000"/>
                      <w:sz w:val="16"/>
                      <w:szCs w:val="16"/>
                    </w:rPr>
                    <w:t>10.2</w:t>
                  </w:r>
                </w:p>
              </w:tc>
            </w:tr>
            <w:tr w:rsidR="00AC0DF5" w14:paraId="0D6525A0" w14:textId="77777777" w:rsidTr="00AC0DF5">
              <w:tc>
                <w:tcPr>
                  <w:tcW w:w="2576" w:type="pct"/>
                  <w:vAlign w:val="center"/>
                </w:tcPr>
                <w:p w14:paraId="0D65259B" w14:textId="77777777" w:rsidR="00AC0DF5" w:rsidRPr="00D90687" w:rsidRDefault="00AC0DF5" w:rsidP="00AC0DF5">
                  <w:pPr>
                    <w:pStyle w:val="TableBodyText"/>
                    <w:ind w:left="285" w:hanging="279"/>
                    <w:jc w:val="left"/>
                  </w:pPr>
                  <w:r>
                    <w:rPr>
                      <w:rFonts w:cs="Arial"/>
                      <w:color w:val="000000"/>
                      <w:sz w:val="16"/>
                      <w:szCs w:val="16"/>
                    </w:rPr>
                    <w:t>Metro South Hospital and Health Service</w:t>
                  </w:r>
                </w:p>
              </w:tc>
              <w:tc>
                <w:tcPr>
                  <w:tcW w:w="639" w:type="pct"/>
                  <w:vAlign w:val="center"/>
                </w:tcPr>
                <w:p w14:paraId="0D65259C" w14:textId="77777777" w:rsidR="00AC0DF5" w:rsidRPr="00D90687" w:rsidRDefault="00AC0DF5" w:rsidP="00AC0DF5">
                  <w:pPr>
                    <w:pStyle w:val="TableBodyText"/>
                    <w:jc w:val="left"/>
                  </w:pPr>
                  <w:r>
                    <w:rPr>
                      <w:rFonts w:cs="Arial"/>
                      <w:color w:val="000000"/>
                      <w:sz w:val="16"/>
                      <w:szCs w:val="16"/>
                    </w:rPr>
                    <w:t>Qld</w:t>
                  </w:r>
                </w:p>
              </w:tc>
              <w:tc>
                <w:tcPr>
                  <w:tcW w:w="642" w:type="pct"/>
                  <w:vAlign w:val="center"/>
                </w:tcPr>
                <w:p w14:paraId="0D65259D" w14:textId="77777777" w:rsidR="00AC0DF5" w:rsidRDefault="00AC0DF5" w:rsidP="00AC0DF5">
                  <w:pPr>
                    <w:pStyle w:val="TableBodyText"/>
                  </w:pPr>
                  <w:r>
                    <w:rPr>
                      <w:rFonts w:cs="Arial"/>
                      <w:color w:val="000000"/>
                      <w:sz w:val="16"/>
                      <w:szCs w:val="16"/>
                    </w:rPr>
                    <w:t>3</w:t>
                  </w:r>
                </w:p>
              </w:tc>
              <w:tc>
                <w:tcPr>
                  <w:tcW w:w="547" w:type="pct"/>
                  <w:vAlign w:val="center"/>
                </w:tcPr>
                <w:p w14:paraId="0D65259E" w14:textId="77777777" w:rsidR="00AC0DF5" w:rsidRPr="00D90687" w:rsidRDefault="00AC0DF5" w:rsidP="00AC0DF5">
                  <w:pPr>
                    <w:pStyle w:val="TableBodyText"/>
                  </w:pPr>
                  <w:r>
                    <w:rPr>
                      <w:rFonts w:cs="Arial"/>
                      <w:color w:val="000000"/>
                      <w:sz w:val="16"/>
                      <w:szCs w:val="16"/>
                    </w:rPr>
                    <w:t>2</w:t>
                  </w:r>
                </w:p>
              </w:tc>
              <w:tc>
                <w:tcPr>
                  <w:tcW w:w="596" w:type="pct"/>
                  <w:vAlign w:val="bottom"/>
                </w:tcPr>
                <w:p w14:paraId="0D65259F" w14:textId="77777777" w:rsidR="00AC0DF5" w:rsidRPr="00D90687" w:rsidRDefault="00AC0DF5" w:rsidP="00AC0DF5">
                  <w:pPr>
                    <w:pStyle w:val="TableBodyText"/>
                  </w:pPr>
                  <w:r>
                    <w:rPr>
                      <w:rFonts w:cs="Arial"/>
                      <w:color w:val="000000"/>
                      <w:sz w:val="16"/>
                      <w:szCs w:val="16"/>
                    </w:rPr>
                    <w:t>0.8</w:t>
                  </w:r>
                </w:p>
              </w:tc>
            </w:tr>
            <w:tr w:rsidR="00AC0DF5" w14:paraId="0D6525A6" w14:textId="77777777" w:rsidTr="00AC0DF5">
              <w:tc>
                <w:tcPr>
                  <w:tcW w:w="2576" w:type="pct"/>
                  <w:vAlign w:val="center"/>
                </w:tcPr>
                <w:p w14:paraId="0D6525A1" w14:textId="77777777" w:rsidR="00AC0DF5" w:rsidRPr="00D90687" w:rsidRDefault="00AC0DF5" w:rsidP="00AC0DF5">
                  <w:pPr>
                    <w:pStyle w:val="TableBodyText"/>
                    <w:ind w:left="285" w:hanging="279"/>
                    <w:jc w:val="left"/>
                  </w:pPr>
                  <w:r>
                    <w:rPr>
                      <w:rFonts w:cs="Arial"/>
                      <w:color w:val="000000"/>
                      <w:sz w:val="16"/>
                      <w:szCs w:val="16"/>
                    </w:rPr>
                    <w:t>Monash University</w:t>
                  </w:r>
                </w:p>
              </w:tc>
              <w:tc>
                <w:tcPr>
                  <w:tcW w:w="639" w:type="pct"/>
                  <w:vAlign w:val="center"/>
                </w:tcPr>
                <w:p w14:paraId="0D6525A2"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A3" w14:textId="77777777" w:rsidR="00AC0DF5" w:rsidRDefault="00AC0DF5" w:rsidP="00AC0DF5">
                  <w:pPr>
                    <w:pStyle w:val="TableBodyText"/>
                  </w:pPr>
                  <w:r>
                    <w:rPr>
                      <w:rFonts w:cs="Arial"/>
                      <w:color w:val="000000"/>
                      <w:sz w:val="16"/>
                      <w:szCs w:val="16"/>
                    </w:rPr>
                    <w:t>622</w:t>
                  </w:r>
                </w:p>
              </w:tc>
              <w:tc>
                <w:tcPr>
                  <w:tcW w:w="547" w:type="pct"/>
                  <w:vAlign w:val="center"/>
                </w:tcPr>
                <w:p w14:paraId="0D6525A4" w14:textId="77777777" w:rsidR="00AC0DF5" w:rsidRDefault="00AC0DF5" w:rsidP="00AC0DF5">
                  <w:pPr>
                    <w:pStyle w:val="TableBodyText"/>
                  </w:pPr>
                  <w:r>
                    <w:rPr>
                      <w:rFonts w:cs="Arial"/>
                      <w:color w:val="000000"/>
                      <w:sz w:val="16"/>
                      <w:szCs w:val="16"/>
                    </w:rPr>
                    <w:t>111</w:t>
                  </w:r>
                </w:p>
              </w:tc>
              <w:tc>
                <w:tcPr>
                  <w:tcW w:w="596" w:type="pct"/>
                  <w:vAlign w:val="bottom"/>
                </w:tcPr>
                <w:p w14:paraId="0D6525A5" w14:textId="77777777" w:rsidR="00AC0DF5" w:rsidRDefault="00AC0DF5" w:rsidP="00AC0DF5">
                  <w:pPr>
                    <w:pStyle w:val="TableBodyText"/>
                  </w:pPr>
                  <w:r>
                    <w:rPr>
                      <w:rFonts w:cs="Arial"/>
                      <w:color w:val="000000"/>
                      <w:sz w:val="16"/>
                      <w:szCs w:val="16"/>
                    </w:rPr>
                    <w:t>86.7</w:t>
                  </w:r>
                </w:p>
              </w:tc>
            </w:tr>
            <w:tr w:rsidR="00AC0DF5" w14:paraId="0D6525AC" w14:textId="77777777" w:rsidTr="00AC0DF5">
              <w:tc>
                <w:tcPr>
                  <w:tcW w:w="2576" w:type="pct"/>
                  <w:vAlign w:val="center"/>
                </w:tcPr>
                <w:p w14:paraId="0D6525A7" w14:textId="77777777" w:rsidR="00AC0DF5" w:rsidRPr="00D90687" w:rsidRDefault="00AC0DF5" w:rsidP="00AC0DF5">
                  <w:pPr>
                    <w:pStyle w:val="TableBodyText"/>
                    <w:ind w:left="285" w:hanging="279"/>
                    <w:jc w:val="left"/>
                  </w:pPr>
                  <w:r>
                    <w:rPr>
                      <w:rFonts w:cs="Arial"/>
                      <w:color w:val="000000"/>
                      <w:sz w:val="16"/>
                      <w:szCs w:val="16"/>
                    </w:rPr>
                    <w:t>Murdoch Childrens Research Institute</w:t>
                  </w:r>
                </w:p>
              </w:tc>
              <w:tc>
                <w:tcPr>
                  <w:tcW w:w="639" w:type="pct"/>
                  <w:vAlign w:val="center"/>
                </w:tcPr>
                <w:p w14:paraId="0D6525A8" w14:textId="77777777" w:rsidR="00AC0DF5" w:rsidRPr="00D90687" w:rsidRDefault="00AC0DF5" w:rsidP="00AC0DF5">
                  <w:pPr>
                    <w:pStyle w:val="TableBodyText"/>
                    <w:jc w:val="left"/>
                  </w:pPr>
                  <w:r>
                    <w:rPr>
                      <w:rFonts w:cs="Arial"/>
                      <w:color w:val="000000"/>
                      <w:sz w:val="16"/>
                      <w:szCs w:val="16"/>
                    </w:rPr>
                    <w:t>Vic</w:t>
                  </w:r>
                </w:p>
              </w:tc>
              <w:tc>
                <w:tcPr>
                  <w:tcW w:w="642" w:type="pct"/>
                  <w:vAlign w:val="center"/>
                </w:tcPr>
                <w:p w14:paraId="0D6525A9" w14:textId="77777777" w:rsidR="00AC0DF5" w:rsidRDefault="00AC0DF5" w:rsidP="00AC0DF5">
                  <w:pPr>
                    <w:pStyle w:val="TableBodyText"/>
                  </w:pPr>
                  <w:r>
                    <w:rPr>
                      <w:rFonts w:cs="Arial"/>
                      <w:color w:val="000000"/>
                      <w:sz w:val="16"/>
                      <w:szCs w:val="16"/>
                    </w:rPr>
                    <w:t>158</w:t>
                  </w:r>
                </w:p>
              </w:tc>
              <w:tc>
                <w:tcPr>
                  <w:tcW w:w="547" w:type="pct"/>
                  <w:vAlign w:val="center"/>
                </w:tcPr>
                <w:p w14:paraId="0D6525AA" w14:textId="77777777" w:rsidR="00AC0DF5" w:rsidRPr="00D90687" w:rsidRDefault="00AC0DF5" w:rsidP="00AC0DF5">
                  <w:pPr>
                    <w:pStyle w:val="TableBodyText"/>
                  </w:pPr>
                  <w:r>
                    <w:rPr>
                      <w:rFonts w:cs="Arial"/>
                      <w:color w:val="000000"/>
                      <w:sz w:val="16"/>
                      <w:szCs w:val="16"/>
                    </w:rPr>
                    <w:t>41</w:t>
                  </w:r>
                </w:p>
              </w:tc>
              <w:tc>
                <w:tcPr>
                  <w:tcW w:w="596" w:type="pct"/>
                  <w:vAlign w:val="bottom"/>
                </w:tcPr>
                <w:p w14:paraId="0D6525AB" w14:textId="77777777" w:rsidR="00AC0DF5" w:rsidRPr="00D90687" w:rsidRDefault="00AC0DF5" w:rsidP="00AC0DF5">
                  <w:pPr>
                    <w:pStyle w:val="TableBodyText"/>
                  </w:pPr>
                  <w:r>
                    <w:rPr>
                      <w:rFonts w:cs="Arial"/>
                      <w:color w:val="000000"/>
                      <w:sz w:val="16"/>
                      <w:szCs w:val="16"/>
                    </w:rPr>
                    <w:t>23.9</w:t>
                  </w:r>
                </w:p>
              </w:tc>
            </w:tr>
            <w:tr w:rsidR="00AC0DF5" w14:paraId="0D6525B2" w14:textId="77777777" w:rsidTr="00AC0DF5">
              <w:tc>
                <w:tcPr>
                  <w:tcW w:w="2576" w:type="pct"/>
                  <w:vAlign w:val="center"/>
                </w:tcPr>
                <w:p w14:paraId="0D6525AD" w14:textId="77777777" w:rsidR="00AC0DF5" w:rsidRPr="00D90687" w:rsidRDefault="00AC0DF5" w:rsidP="00AC0DF5">
                  <w:pPr>
                    <w:pStyle w:val="TableBodyText"/>
                    <w:ind w:left="285" w:hanging="279"/>
                    <w:jc w:val="left"/>
                  </w:pPr>
                  <w:r>
                    <w:rPr>
                      <w:rFonts w:cs="Arial"/>
                      <w:color w:val="000000"/>
                      <w:sz w:val="16"/>
                      <w:szCs w:val="16"/>
                    </w:rPr>
                    <w:t>Murdoch University</w:t>
                  </w:r>
                </w:p>
              </w:tc>
              <w:tc>
                <w:tcPr>
                  <w:tcW w:w="639" w:type="pct"/>
                  <w:vAlign w:val="center"/>
                </w:tcPr>
                <w:p w14:paraId="0D6525AE" w14:textId="77777777" w:rsidR="00AC0DF5" w:rsidRPr="00D90687" w:rsidRDefault="00AC0DF5" w:rsidP="00AC0DF5">
                  <w:pPr>
                    <w:pStyle w:val="TableBodyText"/>
                    <w:jc w:val="left"/>
                  </w:pPr>
                  <w:r>
                    <w:rPr>
                      <w:rFonts w:cs="Arial"/>
                      <w:color w:val="000000"/>
                      <w:sz w:val="16"/>
                      <w:szCs w:val="16"/>
                    </w:rPr>
                    <w:t>WA</w:t>
                  </w:r>
                </w:p>
              </w:tc>
              <w:tc>
                <w:tcPr>
                  <w:tcW w:w="642" w:type="pct"/>
                  <w:vAlign w:val="center"/>
                </w:tcPr>
                <w:p w14:paraId="0D6525AF" w14:textId="77777777" w:rsidR="00AC0DF5" w:rsidRDefault="00AC0DF5" w:rsidP="00AC0DF5">
                  <w:pPr>
                    <w:pStyle w:val="TableBodyText"/>
                  </w:pPr>
                  <w:r>
                    <w:rPr>
                      <w:rFonts w:cs="Arial"/>
                      <w:color w:val="000000"/>
                      <w:sz w:val="16"/>
                      <w:szCs w:val="16"/>
                    </w:rPr>
                    <w:t>10</w:t>
                  </w:r>
                </w:p>
              </w:tc>
              <w:tc>
                <w:tcPr>
                  <w:tcW w:w="547" w:type="pct"/>
                  <w:vAlign w:val="center"/>
                </w:tcPr>
                <w:p w14:paraId="0D6525B0" w14:textId="77777777" w:rsidR="00AC0DF5" w:rsidRPr="00D90687" w:rsidRDefault="00AC0DF5" w:rsidP="00AC0DF5">
                  <w:pPr>
                    <w:pStyle w:val="TableBodyText"/>
                  </w:pPr>
                  <w:r>
                    <w:rPr>
                      <w:rFonts w:cs="Arial"/>
                      <w:color w:val="000000"/>
                      <w:sz w:val="16"/>
                      <w:szCs w:val="16"/>
                    </w:rPr>
                    <w:t>1</w:t>
                  </w:r>
                </w:p>
              </w:tc>
              <w:tc>
                <w:tcPr>
                  <w:tcW w:w="596" w:type="pct"/>
                  <w:vAlign w:val="bottom"/>
                </w:tcPr>
                <w:p w14:paraId="0D6525B1" w14:textId="77777777" w:rsidR="00AC0DF5" w:rsidRPr="00D90687" w:rsidRDefault="00AC0DF5" w:rsidP="00AC0DF5">
                  <w:pPr>
                    <w:pStyle w:val="TableBodyText"/>
                  </w:pPr>
                  <w:r>
                    <w:rPr>
                      <w:rFonts w:cs="Arial"/>
                      <w:color w:val="000000"/>
                      <w:sz w:val="16"/>
                      <w:szCs w:val="16"/>
                    </w:rPr>
                    <w:t>1.3</w:t>
                  </w:r>
                </w:p>
              </w:tc>
            </w:tr>
            <w:tr w:rsidR="00AC0DF5" w14:paraId="0D6525B8" w14:textId="77777777" w:rsidTr="00AC0DF5">
              <w:tc>
                <w:tcPr>
                  <w:tcW w:w="2576" w:type="pct"/>
                  <w:vAlign w:val="center"/>
                </w:tcPr>
                <w:p w14:paraId="0D6525B3" w14:textId="77777777" w:rsidR="00AC0DF5" w:rsidRPr="00D90687" w:rsidRDefault="00AC0DF5" w:rsidP="00AC0DF5">
                  <w:pPr>
                    <w:pStyle w:val="TableBodyText"/>
                    <w:ind w:left="285" w:hanging="279"/>
                    <w:jc w:val="left"/>
                  </w:pPr>
                  <w:r>
                    <w:rPr>
                      <w:rFonts w:cs="Arial"/>
                      <w:color w:val="000000"/>
                      <w:sz w:val="16"/>
                      <w:szCs w:val="16"/>
                    </w:rPr>
                    <w:t>Queensland Institute of Medical Research</w:t>
                  </w:r>
                </w:p>
              </w:tc>
              <w:tc>
                <w:tcPr>
                  <w:tcW w:w="639" w:type="pct"/>
                  <w:shd w:val="clear" w:color="auto" w:fill="auto"/>
                  <w:vAlign w:val="center"/>
                </w:tcPr>
                <w:p w14:paraId="0D6525B4" w14:textId="77777777" w:rsidR="00AC0DF5" w:rsidRPr="00D90687" w:rsidRDefault="00AC0DF5" w:rsidP="00AC0DF5">
                  <w:pPr>
                    <w:pStyle w:val="TableBodyText"/>
                    <w:jc w:val="left"/>
                  </w:pPr>
                  <w:r>
                    <w:rPr>
                      <w:rFonts w:cs="Arial"/>
                      <w:color w:val="000000"/>
                      <w:sz w:val="16"/>
                      <w:szCs w:val="16"/>
                    </w:rPr>
                    <w:t>Qld</w:t>
                  </w:r>
                </w:p>
              </w:tc>
              <w:tc>
                <w:tcPr>
                  <w:tcW w:w="642" w:type="pct"/>
                  <w:vAlign w:val="center"/>
                </w:tcPr>
                <w:p w14:paraId="0D6525B5" w14:textId="77777777" w:rsidR="00AC0DF5" w:rsidRDefault="00AC0DF5" w:rsidP="00AC0DF5">
                  <w:pPr>
                    <w:pStyle w:val="TableBodyText"/>
                  </w:pPr>
                  <w:r>
                    <w:rPr>
                      <w:rFonts w:cs="Arial"/>
                      <w:color w:val="000000"/>
                      <w:sz w:val="16"/>
                      <w:szCs w:val="16"/>
                    </w:rPr>
                    <w:t>121</w:t>
                  </w:r>
                </w:p>
              </w:tc>
              <w:tc>
                <w:tcPr>
                  <w:tcW w:w="547" w:type="pct"/>
                  <w:vAlign w:val="center"/>
                </w:tcPr>
                <w:p w14:paraId="0D6525B6" w14:textId="77777777" w:rsidR="00AC0DF5" w:rsidRPr="00D90687" w:rsidRDefault="00AC0DF5" w:rsidP="00AC0DF5">
                  <w:pPr>
                    <w:pStyle w:val="TableBodyText"/>
                  </w:pPr>
                  <w:r>
                    <w:rPr>
                      <w:rFonts w:cs="Arial"/>
                      <w:color w:val="000000"/>
                      <w:sz w:val="16"/>
                      <w:szCs w:val="16"/>
                    </w:rPr>
                    <w:t>23</w:t>
                  </w:r>
                </w:p>
              </w:tc>
              <w:tc>
                <w:tcPr>
                  <w:tcW w:w="596" w:type="pct"/>
                  <w:vAlign w:val="bottom"/>
                </w:tcPr>
                <w:p w14:paraId="0D6525B7" w14:textId="77777777" w:rsidR="00AC0DF5" w:rsidRPr="00D90687" w:rsidRDefault="00AC0DF5" w:rsidP="00AC0DF5">
                  <w:pPr>
                    <w:pStyle w:val="TableBodyText"/>
                  </w:pPr>
                  <w:r>
                    <w:rPr>
                      <w:rFonts w:cs="Arial"/>
                      <w:color w:val="000000"/>
                      <w:sz w:val="16"/>
                      <w:szCs w:val="16"/>
                    </w:rPr>
                    <w:t>45.5</w:t>
                  </w:r>
                </w:p>
              </w:tc>
            </w:tr>
            <w:tr w:rsidR="00AC0DF5" w14:paraId="0D6525BE" w14:textId="77777777" w:rsidTr="00AC0DF5">
              <w:tc>
                <w:tcPr>
                  <w:tcW w:w="2576" w:type="pct"/>
                  <w:vAlign w:val="center"/>
                </w:tcPr>
                <w:p w14:paraId="0D6525B9" w14:textId="77777777" w:rsidR="00AC0DF5" w:rsidRPr="00A62D81" w:rsidRDefault="00AC0DF5" w:rsidP="00AC0DF5">
                  <w:pPr>
                    <w:pStyle w:val="TableBodyText"/>
                    <w:ind w:left="285" w:hanging="279"/>
                    <w:jc w:val="left"/>
                  </w:pPr>
                  <w:r>
                    <w:rPr>
                      <w:rFonts w:cs="Arial"/>
                      <w:color w:val="000000"/>
                      <w:sz w:val="16"/>
                      <w:szCs w:val="16"/>
                    </w:rPr>
                    <w:t>Queensland University of Technology</w:t>
                  </w:r>
                </w:p>
              </w:tc>
              <w:tc>
                <w:tcPr>
                  <w:tcW w:w="639" w:type="pct"/>
                  <w:shd w:val="clear" w:color="auto" w:fill="auto"/>
                  <w:vAlign w:val="center"/>
                </w:tcPr>
                <w:p w14:paraId="0D6525BA" w14:textId="77777777" w:rsidR="00AC0DF5" w:rsidRPr="00A62D81" w:rsidRDefault="00AC0DF5" w:rsidP="00AC0DF5">
                  <w:pPr>
                    <w:pStyle w:val="TableBodyText"/>
                    <w:jc w:val="left"/>
                  </w:pPr>
                  <w:r>
                    <w:rPr>
                      <w:rFonts w:cs="Arial"/>
                      <w:color w:val="000000"/>
                      <w:sz w:val="16"/>
                      <w:szCs w:val="16"/>
                    </w:rPr>
                    <w:t>Qld</w:t>
                  </w:r>
                </w:p>
              </w:tc>
              <w:tc>
                <w:tcPr>
                  <w:tcW w:w="642" w:type="pct"/>
                  <w:vAlign w:val="center"/>
                </w:tcPr>
                <w:p w14:paraId="0D6525BB" w14:textId="77777777" w:rsidR="00AC0DF5" w:rsidRDefault="00AC0DF5" w:rsidP="00AC0DF5">
                  <w:pPr>
                    <w:pStyle w:val="TableBodyText"/>
                  </w:pPr>
                  <w:r>
                    <w:rPr>
                      <w:rFonts w:cs="Arial"/>
                      <w:color w:val="000000"/>
                      <w:sz w:val="16"/>
                      <w:szCs w:val="16"/>
                    </w:rPr>
                    <w:t>107</w:t>
                  </w:r>
                </w:p>
              </w:tc>
              <w:tc>
                <w:tcPr>
                  <w:tcW w:w="547" w:type="pct"/>
                  <w:vAlign w:val="center"/>
                </w:tcPr>
                <w:p w14:paraId="0D6525BC" w14:textId="77777777" w:rsidR="00AC0DF5" w:rsidRPr="00A62D81" w:rsidRDefault="00AC0DF5" w:rsidP="00AC0DF5">
                  <w:pPr>
                    <w:pStyle w:val="TableBodyText"/>
                  </w:pPr>
                  <w:r>
                    <w:rPr>
                      <w:rFonts w:cs="Arial"/>
                      <w:color w:val="000000"/>
                      <w:sz w:val="16"/>
                      <w:szCs w:val="16"/>
                    </w:rPr>
                    <w:t>11</w:t>
                  </w:r>
                </w:p>
              </w:tc>
              <w:tc>
                <w:tcPr>
                  <w:tcW w:w="596" w:type="pct"/>
                  <w:vAlign w:val="bottom"/>
                </w:tcPr>
                <w:p w14:paraId="0D6525BD" w14:textId="77777777" w:rsidR="00AC0DF5" w:rsidRPr="00A62D81" w:rsidRDefault="00AC0DF5" w:rsidP="00AC0DF5">
                  <w:pPr>
                    <w:pStyle w:val="TableBodyText"/>
                  </w:pPr>
                  <w:r>
                    <w:rPr>
                      <w:rFonts w:cs="Arial"/>
                      <w:color w:val="000000"/>
                      <w:sz w:val="16"/>
                      <w:szCs w:val="16"/>
                    </w:rPr>
                    <w:t>5.9</w:t>
                  </w:r>
                </w:p>
              </w:tc>
            </w:tr>
            <w:tr w:rsidR="00AC0DF5" w14:paraId="0D6525C4" w14:textId="77777777" w:rsidTr="00AC0DF5">
              <w:tc>
                <w:tcPr>
                  <w:tcW w:w="2576" w:type="pct"/>
                  <w:vAlign w:val="center"/>
                </w:tcPr>
                <w:p w14:paraId="0D6525BF" w14:textId="77777777" w:rsidR="00AC0DF5" w:rsidRPr="00A62D81" w:rsidRDefault="00AC0DF5" w:rsidP="00AC0DF5">
                  <w:pPr>
                    <w:pStyle w:val="TableBodyText"/>
                    <w:ind w:left="285" w:hanging="279"/>
                    <w:jc w:val="left"/>
                  </w:pPr>
                  <w:r>
                    <w:rPr>
                      <w:rFonts w:cs="Arial"/>
                      <w:color w:val="000000"/>
                      <w:sz w:val="16"/>
                      <w:szCs w:val="16"/>
                    </w:rPr>
                    <w:t>RMIT University</w:t>
                  </w:r>
                </w:p>
              </w:tc>
              <w:tc>
                <w:tcPr>
                  <w:tcW w:w="639" w:type="pct"/>
                  <w:shd w:val="clear" w:color="auto" w:fill="auto"/>
                  <w:vAlign w:val="center"/>
                </w:tcPr>
                <w:p w14:paraId="0D6525C0" w14:textId="77777777" w:rsidR="00AC0DF5" w:rsidRPr="00A62D81" w:rsidRDefault="00AC0DF5" w:rsidP="00AC0DF5">
                  <w:pPr>
                    <w:pStyle w:val="TableBodyText"/>
                    <w:jc w:val="left"/>
                  </w:pPr>
                  <w:r>
                    <w:rPr>
                      <w:rFonts w:cs="Arial"/>
                      <w:color w:val="000000"/>
                      <w:sz w:val="16"/>
                      <w:szCs w:val="16"/>
                    </w:rPr>
                    <w:t>Vic</w:t>
                  </w:r>
                </w:p>
              </w:tc>
              <w:tc>
                <w:tcPr>
                  <w:tcW w:w="642" w:type="pct"/>
                  <w:vAlign w:val="center"/>
                </w:tcPr>
                <w:p w14:paraId="0D6525C1" w14:textId="77777777" w:rsidR="00AC0DF5" w:rsidRDefault="00AC0DF5" w:rsidP="00AC0DF5">
                  <w:pPr>
                    <w:pStyle w:val="TableBodyText"/>
                  </w:pPr>
                  <w:r>
                    <w:rPr>
                      <w:rFonts w:cs="Arial"/>
                      <w:color w:val="000000"/>
                      <w:sz w:val="16"/>
                      <w:szCs w:val="16"/>
                    </w:rPr>
                    <w:t>30</w:t>
                  </w:r>
                </w:p>
              </w:tc>
              <w:tc>
                <w:tcPr>
                  <w:tcW w:w="547" w:type="pct"/>
                  <w:vAlign w:val="center"/>
                </w:tcPr>
                <w:p w14:paraId="0D6525C2" w14:textId="77777777" w:rsidR="00AC0DF5" w:rsidRDefault="00AC0DF5" w:rsidP="00AC0DF5">
                  <w:pPr>
                    <w:pStyle w:val="TableBodyText"/>
                  </w:pPr>
                  <w:r>
                    <w:rPr>
                      <w:rFonts w:cs="Arial"/>
                      <w:color w:val="000000"/>
                      <w:sz w:val="16"/>
                      <w:szCs w:val="16"/>
                    </w:rPr>
                    <w:t>3</w:t>
                  </w:r>
                </w:p>
              </w:tc>
              <w:tc>
                <w:tcPr>
                  <w:tcW w:w="596" w:type="pct"/>
                  <w:vAlign w:val="bottom"/>
                </w:tcPr>
                <w:p w14:paraId="0D6525C3" w14:textId="77777777" w:rsidR="00AC0DF5" w:rsidRDefault="00AC0DF5" w:rsidP="00AC0DF5">
                  <w:pPr>
                    <w:pStyle w:val="TableBodyText"/>
                  </w:pPr>
                  <w:r>
                    <w:rPr>
                      <w:rFonts w:cs="Arial"/>
                      <w:color w:val="000000"/>
                      <w:sz w:val="16"/>
                      <w:szCs w:val="16"/>
                    </w:rPr>
                    <w:t>2.4</w:t>
                  </w:r>
                </w:p>
              </w:tc>
            </w:tr>
            <w:tr w:rsidR="00AC0DF5" w14:paraId="0D6525CA" w14:textId="77777777" w:rsidTr="00AC0DF5">
              <w:tc>
                <w:tcPr>
                  <w:tcW w:w="2576" w:type="pct"/>
                  <w:vAlign w:val="center"/>
                </w:tcPr>
                <w:p w14:paraId="0D6525C5"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South Australian Health and Medical Research Institute (SAHMRI)</w:t>
                  </w:r>
                </w:p>
              </w:tc>
              <w:tc>
                <w:tcPr>
                  <w:tcW w:w="639" w:type="pct"/>
                  <w:shd w:val="clear" w:color="auto" w:fill="auto"/>
                  <w:vAlign w:val="center"/>
                </w:tcPr>
                <w:p w14:paraId="0D6525C6" w14:textId="77777777" w:rsidR="00AC0DF5" w:rsidRDefault="00AC0DF5" w:rsidP="00AC0DF5">
                  <w:pPr>
                    <w:pStyle w:val="TableBodyText"/>
                    <w:jc w:val="left"/>
                    <w:rPr>
                      <w:rFonts w:cs="Arial"/>
                      <w:color w:val="000000"/>
                      <w:sz w:val="16"/>
                      <w:szCs w:val="16"/>
                    </w:rPr>
                  </w:pPr>
                  <w:r>
                    <w:rPr>
                      <w:rFonts w:cs="Arial"/>
                      <w:color w:val="000000"/>
                      <w:sz w:val="16"/>
                      <w:szCs w:val="16"/>
                    </w:rPr>
                    <w:t>SA</w:t>
                  </w:r>
                </w:p>
              </w:tc>
              <w:tc>
                <w:tcPr>
                  <w:tcW w:w="642" w:type="pct"/>
                  <w:vAlign w:val="center"/>
                </w:tcPr>
                <w:p w14:paraId="0D6525C7" w14:textId="77777777" w:rsidR="00AC0DF5" w:rsidRDefault="00AC0DF5" w:rsidP="00AC0DF5">
                  <w:pPr>
                    <w:pStyle w:val="TableBodyText"/>
                  </w:pPr>
                  <w:r>
                    <w:rPr>
                      <w:rFonts w:cs="Arial"/>
                      <w:color w:val="000000"/>
                      <w:sz w:val="16"/>
                      <w:szCs w:val="16"/>
                    </w:rPr>
                    <w:t>33</w:t>
                  </w:r>
                </w:p>
              </w:tc>
              <w:tc>
                <w:tcPr>
                  <w:tcW w:w="547" w:type="pct"/>
                  <w:vAlign w:val="center"/>
                </w:tcPr>
                <w:p w14:paraId="0D6525C8" w14:textId="77777777" w:rsidR="00AC0DF5" w:rsidRDefault="00AC0DF5" w:rsidP="00AC0DF5">
                  <w:pPr>
                    <w:pStyle w:val="TableBodyText"/>
                  </w:pPr>
                  <w:r>
                    <w:rPr>
                      <w:rFonts w:cs="Arial"/>
                      <w:color w:val="000000"/>
                      <w:sz w:val="16"/>
                      <w:szCs w:val="16"/>
                    </w:rPr>
                    <w:t>7</w:t>
                  </w:r>
                </w:p>
              </w:tc>
              <w:tc>
                <w:tcPr>
                  <w:tcW w:w="596" w:type="pct"/>
                  <w:vAlign w:val="bottom"/>
                </w:tcPr>
                <w:p w14:paraId="0D6525C9" w14:textId="77777777" w:rsidR="00AC0DF5" w:rsidRDefault="00AC0DF5" w:rsidP="00AC0DF5">
                  <w:pPr>
                    <w:pStyle w:val="TableBodyText"/>
                  </w:pPr>
                  <w:r>
                    <w:rPr>
                      <w:rFonts w:cs="Arial"/>
                      <w:color w:val="000000"/>
                      <w:sz w:val="16"/>
                      <w:szCs w:val="16"/>
                    </w:rPr>
                    <w:t>4.0</w:t>
                  </w:r>
                </w:p>
              </w:tc>
            </w:tr>
            <w:tr w:rsidR="00AC0DF5" w14:paraId="0D6525D0" w14:textId="77777777" w:rsidTr="00AC0DF5">
              <w:tc>
                <w:tcPr>
                  <w:tcW w:w="2576" w:type="pct"/>
                  <w:vAlign w:val="center"/>
                </w:tcPr>
                <w:p w14:paraId="0D6525CB" w14:textId="56D8EC27" w:rsidR="00AC0DF5" w:rsidRDefault="00AC0DF5" w:rsidP="00AC0DF5">
                  <w:pPr>
                    <w:pStyle w:val="TableBodyText"/>
                    <w:ind w:left="285" w:hanging="279"/>
                    <w:jc w:val="left"/>
                    <w:rPr>
                      <w:rFonts w:cs="Arial"/>
                      <w:color w:val="000000"/>
                      <w:sz w:val="16"/>
                      <w:szCs w:val="16"/>
                    </w:rPr>
                  </w:pPr>
                  <w:r>
                    <w:rPr>
                      <w:rFonts w:cs="Arial"/>
                      <w:color w:val="000000"/>
                      <w:sz w:val="16"/>
                      <w:szCs w:val="16"/>
                    </w:rPr>
                    <w:t>St Vincent</w:t>
                  </w:r>
                  <w:r w:rsidR="00D451C0">
                    <w:rPr>
                      <w:rFonts w:cs="Arial"/>
                      <w:color w:val="000000"/>
                      <w:sz w:val="16"/>
                      <w:szCs w:val="16"/>
                    </w:rPr>
                    <w:t>’</w:t>
                  </w:r>
                  <w:r>
                    <w:rPr>
                      <w:rFonts w:cs="Arial"/>
                      <w:color w:val="000000"/>
                      <w:sz w:val="16"/>
                      <w:szCs w:val="16"/>
                    </w:rPr>
                    <w:t>s Institute of Medical Research</w:t>
                  </w:r>
                </w:p>
              </w:tc>
              <w:tc>
                <w:tcPr>
                  <w:tcW w:w="639" w:type="pct"/>
                  <w:shd w:val="clear" w:color="auto" w:fill="auto"/>
                  <w:vAlign w:val="center"/>
                </w:tcPr>
                <w:p w14:paraId="0D6525CC" w14:textId="77777777" w:rsidR="00AC0DF5" w:rsidRDefault="00AC0DF5" w:rsidP="00AC0DF5">
                  <w:pPr>
                    <w:pStyle w:val="TableBodyText"/>
                    <w:jc w:val="left"/>
                    <w:rPr>
                      <w:rFonts w:cs="Arial"/>
                      <w:color w:val="000000"/>
                      <w:sz w:val="16"/>
                      <w:szCs w:val="16"/>
                    </w:rPr>
                  </w:pPr>
                  <w:r>
                    <w:rPr>
                      <w:rFonts w:cs="Arial"/>
                      <w:color w:val="000000"/>
                      <w:sz w:val="16"/>
                      <w:szCs w:val="16"/>
                    </w:rPr>
                    <w:t>Vic</w:t>
                  </w:r>
                </w:p>
              </w:tc>
              <w:tc>
                <w:tcPr>
                  <w:tcW w:w="642" w:type="pct"/>
                  <w:vAlign w:val="center"/>
                </w:tcPr>
                <w:p w14:paraId="0D6525CD" w14:textId="77777777" w:rsidR="00AC0DF5" w:rsidRDefault="00AC0DF5" w:rsidP="00AC0DF5">
                  <w:pPr>
                    <w:pStyle w:val="TableBodyText"/>
                  </w:pPr>
                  <w:r>
                    <w:rPr>
                      <w:rFonts w:cs="Arial"/>
                      <w:color w:val="000000"/>
                      <w:sz w:val="16"/>
                      <w:szCs w:val="16"/>
                    </w:rPr>
                    <w:t>45</w:t>
                  </w:r>
                </w:p>
              </w:tc>
              <w:tc>
                <w:tcPr>
                  <w:tcW w:w="547" w:type="pct"/>
                  <w:vAlign w:val="center"/>
                </w:tcPr>
                <w:p w14:paraId="0D6525CE" w14:textId="77777777" w:rsidR="00AC0DF5" w:rsidRDefault="00AC0DF5" w:rsidP="00AC0DF5">
                  <w:pPr>
                    <w:pStyle w:val="TableBodyText"/>
                  </w:pPr>
                  <w:r>
                    <w:rPr>
                      <w:rFonts w:cs="Arial"/>
                      <w:color w:val="000000"/>
                      <w:sz w:val="16"/>
                      <w:szCs w:val="16"/>
                    </w:rPr>
                    <w:t>12</w:t>
                  </w:r>
                </w:p>
              </w:tc>
              <w:tc>
                <w:tcPr>
                  <w:tcW w:w="596" w:type="pct"/>
                  <w:vAlign w:val="bottom"/>
                </w:tcPr>
                <w:p w14:paraId="0D6525CF" w14:textId="77777777" w:rsidR="00AC0DF5" w:rsidRDefault="00AC0DF5" w:rsidP="00AC0DF5">
                  <w:pPr>
                    <w:pStyle w:val="TableBodyText"/>
                  </w:pPr>
                  <w:r>
                    <w:rPr>
                      <w:rFonts w:cs="Arial"/>
                      <w:color w:val="000000"/>
                      <w:sz w:val="16"/>
                      <w:szCs w:val="16"/>
                    </w:rPr>
                    <w:t>9.0</w:t>
                  </w:r>
                </w:p>
              </w:tc>
            </w:tr>
            <w:tr w:rsidR="00AC0DF5" w14:paraId="0D6525D6" w14:textId="77777777" w:rsidTr="00AC0DF5">
              <w:tc>
                <w:tcPr>
                  <w:tcW w:w="2576" w:type="pct"/>
                  <w:vAlign w:val="center"/>
                </w:tcPr>
                <w:p w14:paraId="0D6525D1"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Swinburne University of Technology</w:t>
                  </w:r>
                </w:p>
              </w:tc>
              <w:tc>
                <w:tcPr>
                  <w:tcW w:w="639" w:type="pct"/>
                  <w:shd w:val="clear" w:color="auto" w:fill="auto"/>
                  <w:vAlign w:val="center"/>
                </w:tcPr>
                <w:p w14:paraId="0D6525D2" w14:textId="77777777" w:rsidR="00AC0DF5" w:rsidRDefault="00AC0DF5" w:rsidP="00AC0DF5">
                  <w:pPr>
                    <w:pStyle w:val="TableBodyText"/>
                    <w:jc w:val="left"/>
                    <w:rPr>
                      <w:rFonts w:cs="Arial"/>
                      <w:color w:val="000000"/>
                      <w:sz w:val="16"/>
                      <w:szCs w:val="16"/>
                    </w:rPr>
                  </w:pPr>
                  <w:r>
                    <w:rPr>
                      <w:rFonts w:cs="Arial"/>
                      <w:color w:val="000000"/>
                      <w:sz w:val="16"/>
                      <w:szCs w:val="16"/>
                    </w:rPr>
                    <w:t>Vic</w:t>
                  </w:r>
                </w:p>
              </w:tc>
              <w:tc>
                <w:tcPr>
                  <w:tcW w:w="642" w:type="pct"/>
                  <w:vAlign w:val="center"/>
                </w:tcPr>
                <w:p w14:paraId="0D6525D3" w14:textId="77777777" w:rsidR="00AC0DF5" w:rsidRDefault="00AC0DF5" w:rsidP="00AC0DF5">
                  <w:pPr>
                    <w:pStyle w:val="TableBodyText"/>
                  </w:pPr>
                  <w:r>
                    <w:rPr>
                      <w:rFonts w:cs="Arial"/>
                      <w:color w:val="000000"/>
                      <w:sz w:val="16"/>
                      <w:szCs w:val="16"/>
                    </w:rPr>
                    <w:t>11</w:t>
                  </w:r>
                </w:p>
              </w:tc>
              <w:tc>
                <w:tcPr>
                  <w:tcW w:w="547" w:type="pct"/>
                  <w:vAlign w:val="center"/>
                </w:tcPr>
                <w:p w14:paraId="0D6525D4" w14:textId="77777777" w:rsidR="00AC0DF5" w:rsidRDefault="00AC0DF5" w:rsidP="00AC0DF5">
                  <w:pPr>
                    <w:pStyle w:val="TableBodyText"/>
                  </w:pPr>
                  <w:r>
                    <w:rPr>
                      <w:rFonts w:cs="Arial"/>
                      <w:color w:val="000000"/>
                      <w:sz w:val="16"/>
                      <w:szCs w:val="16"/>
                    </w:rPr>
                    <w:t>2</w:t>
                  </w:r>
                </w:p>
              </w:tc>
              <w:tc>
                <w:tcPr>
                  <w:tcW w:w="596" w:type="pct"/>
                  <w:vAlign w:val="bottom"/>
                </w:tcPr>
                <w:p w14:paraId="0D6525D5" w14:textId="77777777" w:rsidR="00AC0DF5" w:rsidRDefault="00AC0DF5" w:rsidP="00AC0DF5">
                  <w:pPr>
                    <w:pStyle w:val="TableBodyText"/>
                  </w:pPr>
                  <w:r>
                    <w:rPr>
                      <w:rFonts w:cs="Arial"/>
                      <w:color w:val="000000"/>
                      <w:sz w:val="16"/>
                      <w:szCs w:val="16"/>
                    </w:rPr>
                    <w:t>0.7</w:t>
                  </w:r>
                </w:p>
              </w:tc>
            </w:tr>
            <w:tr w:rsidR="00AC0DF5" w14:paraId="0D6525DC" w14:textId="77777777" w:rsidTr="00AC0DF5">
              <w:tc>
                <w:tcPr>
                  <w:tcW w:w="2576" w:type="pct"/>
                  <w:vAlign w:val="center"/>
                </w:tcPr>
                <w:p w14:paraId="0D6525D7"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The George Institute for International Health</w:t>
                  </w:r>
                </w:p>
              </w:tc>
              <w:tc>
                <w:tcPr>
                  <w:tcW w:w="639" w:type="pct"/>
                  <w:shd w:val="clear" w:color="auto" w:fill="auto"/>
                  <w:vAlign w:val="center"/>
                </w:tcPr>
                <w:p w14:paraId="0D6525D8" w14:textId="77777777" w:rsidR="00AC0DF5" w:rsidRDefault="00AC0DF5" w:rsidP="00AC0DF5">
                  <w:pPr>
                    <w:pStyle w:val="TableBodyText"/>
                    <w:jc w:val="left"/>
                    <w:rPr>
                      <w:rFonts w:cs="Arial"/>
                      <w:color w:val="000000"/>
                      <w:sz w:val="16"/>
                      <w:szCs w:val="16"/>
                    </w:rPr>
                  </w:pPr>
                  <w:r>
                    <w:rPr>
                      <w:rFonts w:cs="Arial"/>
                      <w:color w:val="000000"/>
                      <w:sz w:val="16"/>
                      <w:szCs w:val="16"/>
                    </w:rPr>
                    <w:t>NSW</w:t>
                  </w:r>
                </w:p>
              </w:tc>
              <w:tc>
                <w:tcPr>
                  <w:tcW w:w="642" w:type="pct"/>
                  <w:vAlign w:val="center"/>
                </w:tcPr>
                <w:p w14:paraId="0D6525D9" w14:textId="77777777" w:rsidR="00AC0DF5" w:rsidRDefault="00AC0DF5" w:rsidP="00AC0DF5">
                  <w:pPr>
                    <w:pStyle w:val="TableBodyText"/>
                  </w:pPr>
                  <w:r>
                    <w:rPr>
                      <w:rFonts w:cs="Arial"/>
                      <w:color w:val="000000"/>
                      <w:sz w:val="16"/>
                      <w:szCs w:val="16"/>
                    </w:rPr>
                    <w:t>7</w:t>
                  </w:r>
                </w:p>
              </w:tc>
              <w:tc>
                <w:tcPr>
                  <w:tcW w:w="547" w:type="pct"/>
                  <w:vAlign w:val="center"/>
                </w:tcPr>
                <w:p w14:paraId="0D6525DA" w14:textId="77777777" w:rsidR="00AC0DF5" w:rsidRDefault="00AC0DF5" w:rsidP="00AC0DF5">
                  <w:pPr>
                    <w:pStyle w:val="TableBodyText"/>
                  </w:pPr>
                  <w:r>
                    <w:rPr>
                      <w:rFonts w:cs="Arial"/>
                      <w:color w:val="000000"/>
                      <w:sz w:val="16"/>
                      <w:szCs w:val="16"/>
                    </w:rPr>
                    <w:t>3</w:t>
                  </w:r>
                </w:p>
              </w:tc>
              <w:tc>
                <w:tcPr>
                  <w:tcW w:w="596" w:type="pct"/>
                  <w:vAlign w:val="bottom"/>
                </w:tcPr>
                <w:p w14:paraId="0D6525DB" w14:textId="77777777" w:rsidR="00AC0DF5" w:rsidRDefault="00AC0DF5" w:rsidP="00AC0DF5">
                  <w:pPr>
                    <w:pStyle w:val="TableBodyText"/>
                  </w:pPr>
                  <w:r>
                    <w:rPr>
                      <w:rFonts w:cs="Arial"/>
                      <w:color w:val="000000"/>
                      <w:sz w:val="16"/>
                      <w:szCs w:val="16"/>
                    </w:rPr>
                    <w:t>0.2</w:t>
                  </w:r>
                </w:p>
              </w:tc>
            </w:tr>
            <w:tr w:rsidR="00AC0DF5" w14:paraId="0D6525E2" w14:textId="77777777" w:rsidTr="00AC0DF5">
              <w:tc>
                <w:tcPr>
                  <w:tcW w:w="2576" w:type="pct"/>
                  <w:vAlign w:val="center"/>
                </w:tcPr>
                <w:p w14:paraId="0D6525DD"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University of Adelaide</w:t>
                  </w:r>
                </w:p>
              </w:tc>
              <w:tc>
                <w:tcPr>
                  <w:tcW w:w="639" w:type="pct"/>
                  <w:shd w:val="clear" w:color="auto" w:fill="auto"/>
                  <w:vAlign w:val="center"/>
                </w:tcPr>
                <w:p w14:paraId="0D6525DE" w14:textId="77777777" w:rsidR="00AC0DF5" w:rsidRDefault="00AC0DF5" w:rsidP="00AC0DF5">
                  <w:pPr>
                    <w:pStyle w:val="TableBodyText"/>
                    <w:jc w:val="left"/>
                    <w:rPr>
                      <w:rFonts w:cs="Arial"/>
                      <w:color w:val="000000"/>
                      <w:sz w:val="16"/>
                      <w:szCs w:val="16"/>
                    </w:rPr>
                  </w:pPr>
                  <w:r>
                    <w:rPr>
                      <w:rFonts w:cs="Arial"/>
                      <w:color w:val="000000"/>
                      <w:sz w:val="16"/>
                      <w:szCs w:val="16"/>
                    </w:rPr>
                    <w:t>SA</w:t>
                  </w:r>
                </w:p>
              </w:tc>
              <w:tc>
                <w:tcPr>
                  <w:tcW w:w="642" w:type="pct"/>
                  <w:vAlign w:val="center"/>
                </w:tcPr>
                <w:p w14:paraId="0D6525DF" w14:textId="77777777" w:rsidR="00AC0DF5" w:rsidRDefault="00AC0DF5" w:rsidP="00AC0DF5">
                  <w:pPr>
                    <w:pStyle w:val="TableBodyText"/>
                  </w:pPr>
                  <w:r>
                    <w:rPr>
                      <w:rFonts w:cs="Arial"/>
                      <w:color w:val="000000"/>
                      <w:sz w:val="16"/>
                      <w:szCs w:val="16"/>
                    </w:rPr>
                    <w:t>257</w:t>
                  </w:r>
                </w:p>
              </w:tc>
              <w:tc>
                <w:tcPr>
                  <w:tcW w:w="547" w:type="pct"/>
                  <w:vAlign w:val="center"/>
                </w:tcPr>
                <w:p w14:paraId="0D6525E0" w14:textId="77777777" w:rsidR="00AC0DF5" w:rsidRDefault="00AC0DF5" w:rsidP="00AC0DF5">
                  <w:pPr>
                    <w:pStyle w:val="TableBodyText"/>
                  </w:pPr>
                  <w:r>
                    <w:rPr>
                      <w:rFonts w:cs="Arial"/>
                      <w:color w:val="000000"/>
                      <w:sz w:val="16"/>
                      <w:szCs w:val="16"/>
                    </w:rPr>
                    <w:t>27</w:t>
                  </w:r>
                </w:p>
              </w:tc>
              <w:tc>
                <w:tcPr>
                  <w:tcW w:w="596" w:type="pct"/>
                  <w:vAlign w:val="bottom"/>
                </w:tcPr>
                <w:p w14:paraId="0D6525E1" w14:textId="77777777" w:rsidR="00AC0DF5" w:rsidRDefault="00AC0DF5" w:rsidP="00AC0DF5">
                  <w:pPr>
                    <w:pStyle w:val="TableBodyText"/>
                  </w:pPr>
                  <w:r>
                    <w:rPr>
                      <w:rFonts w:cs="Arial"/>
                      <w:color w:val="000000"/>
                      <w:sz w:val="16"/>
                      <w:szCs w:val="16"/>
                    </w:rPr>
                    <w:t>17.8</w:t>
                  </w:r>
                </w:p>
              </w:tc>
            </w:tr>
            <w:tr w:rsidR="00AC0DF5" w14:paraId="0D6525E8" w14:textId="77777777" w:rsidTr="00AC0DF5">
              <w:tc>
                <w:tcPr>
                  <w:tcW w:w="2576" w:type="pct"/>
                  <w:vAlign w:val="center"/>
                </w:tcPr>
                <w:p w14:paraId="0D6525E3"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University of Melbourne</w:t>
                  </w:r>
                </w:p>
              </w:tc>
              <w:tc>
                <w:tcPr>
                  <w:tcW w:w="639" w:type="pct"/>
                  <w:shd w:val="clear" w:color="auto" w:fill="auto"/>
                  <w:vAlign w:val="center"/>
                </w:tcPr>
                <w:p w14:paraId="0D6525E4" w14:textId="77777777" w:rsidR="00AC0DF5" w:rsidRDefault="00AC0DF5" w:rsidP="00AC0DF5">
                  <w:pPr>
                    <w:pStyle w:val="TableBodyText"/>
                    <w:jc w:val="left"/>
                    <w:rPr>
                      <w:rFonts w:cs="Arial"/>
                      <w:color w:val="000000"/>
                      <w:sz w:val="16"/>
                      <w:szCs w:val="16"/>
                    </w:rPr>
                  </w:pPr>
                  <w:r>
                    <w:rPr>
                      <w:rFonts w:cs="Arial"/>
                      <w:color w:val="000000"/>
                      <w:sz w:val="16"/>
                      <w:szCs w:val="16"/>
                    </w:rPr>
                    <w:t>Vic</w:t>
                  </w:r>
                </w:p>
              </w:tc>
              <w:tc>
                <w:tcPr>
                  <w:tcW w:w="642" w:type="pct"/>
                  <w:vAlign w:val="center"/>
                </w:tcPr>
                <w:p w14:paraId="0D6525E5" w14:textId="77777777" w:rsidR="00AC0DF5" w:rsidRDefault="00AC0DF5" w:rsidP="00AC0DF5">
                  <w:pPr>
                    <w:pStyle w:val="TableBodyText"/>
                  </w:pPr>
                  <w:r>
                    <w:rPr>
                      <w:rFonts w:cs="Arial"/>
                      <w:color w:val="000000"/>
                      <w:sz w:val="16"/>
                      <w:szCs w:val="16"/>
                    </w:rPr>
                    <w:t>581</w:t>
                  </w:r>
                </w:p>
              </w:tc>
              <w:tc>
                <w:tcPr>
                  <w:tcW w:w="547" w:type="pct"/>
                  <w:vAlign w:val="center"/>
                </w:tcPr>
                <w:p w14:paraId="0D6525E6" w14:textId="77777777" w:rsidR="00AC0DF5" w:rsidRDefault="00AC0DF5" w:rsidP="00AC0DF5">
                  <w:pPr>
                    <w:pStyle w:val="TableBodyText"/>
                  </w:pPr>
                  <w:r>
                    <w:rPr>
                      <w:rFonts w:cs="Arial"/>
                      <w:color w:val="000000"/>
                      <w:sz w:val="16"/>
                      <w:szCs w:val="16"/>
                    </w:rPr>
                    <w:t>124</w:t>
                  </w:r>
                </w:p>
              </w:tc>
              <w:tc>
                <w:tcPr>
                  <w:tcW w:w="596" w:type="pct"/>
                  <w:vAlign w:val="bottom"/>
                </w:tcPr>
                <w:p w14:paraId="0D6525E7" w14:textId="77777777" w:rsidR="00AC0DF5" w:rsidRDefault="00AC0DF5" w:rsidP="00AC0DF5">
                  <w:pPr>
                    <w:pStyle w:val="TableBodyText"/>
                  </w:pPr>
                  <w:r>
                    <w:rPr>
                      <w:rFonts w:cs="Arial"/>
                      <w:color w:val="000000"/>
                      <w:sz w:val="16"/>
                      <w:szCs w:val="16"/>
                    </w:rPr>
                    <w:t>103.9</w:t>
                  </w:r>
                </w:p>
              </w:tc>
            </w:tr>
            <w:tr w:rsidR="00AC0DF5" w14:paraId="0D6525EE" w14:textId="77777777" w:rsidTr="00AC0DF5">
              <w:tc>
                <w:tcPr>
                  <w:tcW w:w="2576" w:type="pct"/>
                  <w:vAlign w:val="center"/>
                </w:tcPr>
                <w:p w14:paraId="0D6525E9"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University of New South Wales</w:t>
                  </w:r>
                </w:p>
              </w:tc>
              <w:tc>
                <w:tcPr>
                  <w:tcW w:w="639" w:type="pct"/>
                  <w:shd w:val="clear" w:color="auto" w:fill="auto"/>
                  <w:vAlign w:val="center"/>
                </w:tcPr>
                <w:p w14:paraId="0D6525EA" w14:textId="77777777" w:rsidR="00AC0DF5" w:rsidRDefault="00AC0DF5" w:rsidP="00AC0DF5">
                  <w:pPr>
                    <w:pStyle w:val="TableBodyText"/>
                    <w:jc w:val="left"/>
                    <w:rPr>
                      <w:rFonts w:cs="Arial"/>
                      <w:color w:val="000000"/>
                      <w:sz w:val="16"/>
                      <w:szCs w:val="16"/>
                    </w:rPr>
                  </w:pPr>
                  <w:r>
                    <w:rPr>
                      <w:rFonts w:cs="Arial"/>
                      <w:color w:val="000000"/>
                      <w:sz w:val="16"/>
                      <w:szCs w:val="16"/>
                    </w:rPr>
                    <w:t>NSW</w:t>
                  </w:r>
                </w:p>
              </w:tc>
              <w:tc>
                <w:tcPr>
                  <w:tcW w:w="642" w:type="pct"/>
                  <w:vAlign w:val="center"/>
                </w:tcPr>
                <w:p w14:paraId="0D6525EB" w14:textId="77777777" w:rsidR="00AC0DF5" w:rsidRDefault="00AC0DF5" w:rsidP="00AC0DF5">
                  <w:pPr>
                    <w:pStyle w:val="TableBodyText"/>
                  </w:pPr>
                  <w:r>
                    <w:rPr>
                      <w:rFonts w:cs="Arial"/>
                      <w:color w:val="000000"/>
                      <w:sz w:val="16"/>
                      <w:szCs w:val="16"/>
                    </w:rPr>
                    <w:t>426</w:t>
                  </w:r>
                </w:p>
              </w:tc>
              <w:tc>
                <w:tcPr>
                  <w:tcW w:w="547" w:type="pct"/>
                  <w:vAlign w:val="center"/>
                </w:tcPr>
                <w:p w14:paraId="0D6525EC" w14:textId="77777777" w:rsidR="00AC0DF5" w:rsidRDefault="00AC0DF5" w:rsidP="00AC0DF5">
                  <w:pPr>
                    <w:pStyle w:val="TableBodyText"/>
                  </w:pPr>
                  <w:r>
                    <w:rPr>
                      <w:rFonts w:cs="Arial"/>
                      <w:color w:val="000000"/>
                      <w:sz w:val="16"/>
                      <w:szCs w:val="16"/>
                    </w:rPr>
                    <w:t>86</w:t>
                  </w:r>
                </w:p>
              </w:tc>
              <w:tc>
                <w:tcPr>
                  <w:tcW w:w="596" w:type="pct"/>
                  <w:vAlign w:val="bottom"/>
                </w:tcPr>
                <w:p w14:paraId="0D6525ED" w14:textId="77777777" w:rsidR="00AC0DF5" w:rsidRDefault="00AC0DF5" w:rsidP="00AC0DF5">
                  <w:pPr>
                    <w:pStyle w:val="TableBodyText"/>
                  </w:pPr>
                  <w:r>
                    <w:rPr>
                      <w:rFonts w:cs="Arial"/>
                      <w:color w:val="000000"/>
                      <w:sz w:val="16"/>
                      <w:szCs w:val="16"/>
                    </w:rPr>
                    <w:t>59.5</w:t>
                  </w:r>
                </w:p>
              </w:tc>
            </w:tr>
            <w:tr w:rsidR="00AC0DF5" w14:paraId="0D6525F4" w14:textId="77777777" w:rsidTr="00AC0DF5">
              <w:tc>
                <w:tcPr>
                  <w:tcW w:w="2576" w:type="pct"/>
                  <w:vAlign w:val="center"/>
                </w:tcPr>
                <w:p w14:paraId="0D6525EF"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University of Newcastle</w:t>
                  </w:r>
                </w:p>
              </w:tc>
              <w:tc>
                <w:tcPr>
                  <w:tcW w:w="639" w:type="pct"/>
                  <w:shd w:val="clear" w:color="auto" w:fill="auto"/>
                  <w:vAlign w:val="center"/>
                </w:tcPr>
                <w:p w14:paraId="0D6525F0" w14:textId="77777777" w:rsidR="00AC0DF5" w:rsidRDefault="00AC0DF5" w:rsidP="00AC0DF5">
                  <w:pPr>
                    <w:pStyle w:val="TableBodyText"/>
                    <w:jc w:val="left"/>
                    <w:rPr>
                      <w:rFonts w:cs="Arial"/>
                      <w:color w:val="000000"/>
                      <w:sz w:val="16"/>
                      <w:szCs w:val="16"/>
                    </w:rPr>
                  </w:pPr>
                  <w:r>
                    <w:rPr>
                      <w:rFonts w:cs="Arial"/>
                      <w:color w:val="000000"/>
                      <w:sz w:val="16"/>
                      <w:szCs w:val="16"/>
                    </w:rPr>
                    <w:t>NSW</w:t>
                  </w:r>
                </w:p>
              </w:tc>
              <w:tc>
                <w:tcPr>
                  <w:tcW w:w="642" w:type="pct"/>
                  <w:vAlign w:val="center"/>
                </w:tcPr>
                <w:p w14:paraId="0D6525F1" w14:textId="77777777" w:rsidR="00AC0DF5" w:rsidRDefault="00AC0DF5" w:rsidP="00AC0DF5">
                  <w:pPr>
                    <w:pStyle w:val="TableBodyText"/>
                  </w:pPr>
                  <w:r>
                    <w:rPr>
                      <w:rFonts w:cs="Arial"/>
                      <w:color w:val="000000"/>
                      <w:sz w:val="16"/>
                      <w:szCs w:val="16"/>
                    </w:rPr>
                    <w:t>164</w:t>
                  </w:r>
                </w:p>
              </w:tc>
              <w:tc>
                <w:tcPr>
                  <w:tcW w:w="547" w:type="pct"/>
                  <w:vAlign w:val="center"/>
                </w:tcPr>
                <w:p w14:paraId="0D6525F2" w14:textId="77777777" w:rsidR="00AC0DF5" w:rsidRDefault="00AC0DF5" w:rsidP="00AC0DF5">
                  <w:pPr>
                    <w:pStyle w:val="TableBodyText"/>
                  </w:pPr>
                  <w:r>
                    <w:rPr>
                      <w:rFonts w:cs="Arial"/>
                      <w:color w:val="000000"/>
                      <w:sz w:val="16"/>
                      <w:szCs w:val="16"/>
                    </w:rPr>
                    <w:t>28</w:t>
                  </w:r>
                </w:p>
              </w:tc>
              <w:tc>
                <w:tcPr>
                  <w:tcW w:w="596" w:type="pct"/>
                  <w:vAlign w:val="bottom"/>
                </w:tcPr>
                <w:p w14:paraId="0D6525F3" w14:textId="77777777" w:rsidR="00AC0DF5" w:rsidRDefault="00AC0DF5" w:rsidP="00AC0DF5">
                  <w:pPr>
                    <w:pStyle w:val="TableBodyText"/>
                  </w:pPr>
                  <w:r>
                    <w:rPr>
                      <w:rFonts w:cs="Arial"/>
                      <w:color w:val="000000"/>
                      <w:sz w:val="16"/>
                      <w:szCs w:val="16"/>
                    </w:rPr>
                    <w:t>18.4</w:t>
                  </w:r>
                </w:p>
              </w:tc>
            </w:tr>
            <w:tr w:rsidR="00AC0DF5" w14:paraId="0D6525FA" w14:textId="77777777" w:rsidTr="00AC0DF5">
              <w:tc>
                <w:tcPr>
                  <w:tcW w:w="2576" w:type="pct"/>
                  <w:tcBorders>
                    <w:bottom w:val="single" w:sz="2" w:space="0" w:color="BFBFBF"/>
                  </w:tcBorders>
                  <w:vAlign w:val="center"/>
                </w:tcPr>
                <w:p w14:paraId="0D6525F5" w14:textId="77777777" w:rsidR="00AC0DF5" w:rsidRDefault="00AC0DF5" w:rsidP="00AC0DF5">
                  <w:pPr>
                    <w:pStyle w:val="TableBodyText"/>
                    <w:ind w:left="285" w:hanging="279"/>
                    <w:jc w:val="left"/>
                    <w:rPr>
                      <w:rFonts w:cs="Arial"/>
                      <w:color w:val="000000"/>
                      <w:sz w:val="16"/>
                      <w:szCs w:val="16"/>
                    </w:rPr>
                  </w:pPr>
                  <w:r>
                    <w:rPr>
                      <w:rFonts w:cs="Arial"/>
                      <w:color w:val="000000"/>
                      <w:sz w:val="16"/>
                      <w:szCs w:val="16"/>
                    </w:rPr>
                    <w:t>University of Notre Dame</w:t>
                  </w:r>
                </w:p>
              </w:tc>
              <w:tc>
                <w:tcPr>
                  <w:tcW w:w="639" w:type="pct"/>
                  <w:tcBorders>
                    <w:bottom w:val="single" w:sz="2" w:space="0" w:color="BFBFBF"/>
                  </w:tcBorders>
                  <w:shd w:val="clear" w:color="auto" w:fill="auto"/>
                  <w:vAlign w:val="center"/>
                </w:tcPr>
                <w:p w14:paraId="0D6525F6" w14:textId="77777777" w:rsidR="00AC0DF5" w:rsidRDefault="00AC0DF5" w:rsidP="00AC0DF5">
                  <w:pPr>
                    <w:pStyle w:val="TableBodyText"/>
                    <w:jc w:val="left"/>
                    <w:rPr>
                      <w:rFonts w:cs="Arial"/>
                      <w:color w:val="000000"/>
                      <w:sz w:val="16"/>
                      <w:szCs w:val="16"/>
                    </w:rPr>
                  </w:pPr>
                  <w:r>
                    <w:rPr>
                      <w:rFonts w:cs="Arial"/>
                      <w:color w:val="000000"/>
                      <w:sz w:val="16"/>
                      <w:szCs w:val="16"/>
                    </w:rPr>
                    <w:t>WA</w:t>
                  </w:r>
                </w:p>
              </w:tc>
              <w:tc>
                <w:tcPr>
                  <w:tcW w:w="642" w:type="pct"/>
                  <w:tcBorders>
                    <w:bottom w:val="single" w:sz="2" w:space="0" w:color="BFBFBF"/>
                  </w:tcBorders>
                  <w:vAlign w:val="center"/>
                </w:tcPr>
                <w:p w14:paraId="0D6525F7" w14:textId="77777777" w:rsidR="00AC0DF5" w:rsidRDefault="00AC0DF5" w:rsidP="00AC0DF5">
                  <w:pPr>
                    <w:pStyle w:val="TableBodyText"/>
                  </w:pPr>
                  <w:r>
                    <w:rPr>
                      <w:rFonts w:cs="Arial"/>
                      <w:color w:val="000000"/>
                      <w:sz w:val="16"/>
                      <w:szCs w:val="16"/>
                    </w:rPr>
                    <w:t>7</w:t>
                  </w:r>
                </w:p>
              </w:tc>
              <w:tc>
                <w:tcPr>
                  <w:tcW w:w="547" w:type="pct"/>
                  <w:tcBorders>
                    <w:bottom w:val="single" w:sz="2" w:space="0" w:color="BFBFBF"/>
                  </w:tcBorders>
                  <w:vAlign w:val="center"/>
                </w:tcPr>
                <w:p w14:paraId="0D6525F8" w14:textId="77777777" w:rsidR="00AC0DF5" w:rsidRDefault="00AC0DF5" w:rsidP="00AC0DF5">
                  <w:pPr>
                    <w:pStyle w:val="TableBodyText"/>
                  </w:pPr>
                  <w:r>
                    <w:rPr>
                      <w:rFonts w:cs="Arial"/>
                      <w:color w:val="000000"/>
                      <w:sz w:val="16"/>
                      <w:szCs w:val="16"/>
                    </w:rPr>
                    <w:t>1</w:t>
                  </w:r>
                </w:p>
              </w:tc>
              <w:tc>
                <w:tcPr>
                  <w:tcW w:w="596" w:type="pct"/>
                  <w:tcBorders>
                    <w:bottom w:val="single" w:sz="2" w:space="0" w:color="BFBFBF"/>
                  </w:tcBorders>
                  <w:vAlign w:val="bottom"/>
                </w:tcPr>
                <w:p w14:paraId="0D6525F9" w14:textId="77777777" w:rsidR="00AC0DF5" w:rsidRDefault="00AC0DF5" w:rsidP="00AC0DF5">
                  <w:pPr>
                    <w:pStyle w:val="TableBodyText"/>
                  </w:pPr>
                  <w:r>
                    <w:rPr>
                      <w:rFonts w:cs="Arial"/>
                      <w:color w:val="000000"/>
                      <w:sz w:val="16"/>
                      <w:szCs w:val="16"/>
                    </w:rPr>
                    <w:t>0.2</w:t>
                  </w:r>
                </w:p>
              </w:tc>
            </w:tr>
          </w:tbl>
          <w:p w14:paraId="0D6525FB" w14:textId="77777777" w:rsidR="001E5B32" w:rsidRDefault="001E5B32" w:rsidP="00BE0D77">
            <w:pPr>
              <w:pStyle w:val="TableBodyText"/>
              <w:jc w:val="left"/>
            </w:pPr>
          </w:p>
        </w:tc>
      </w:tr>
      <w:tr w:rsidR="004916C1" w14:paraId="0D6525FE" w14:textId="77777777" w:rsidTr="00B0510F">
        <w:tc>
          <w:tcPr>
            <w:tcW w:w="8789" w:type="dxa"/>
            <w:tcBorders>
              <w:top w:val="nil"/>
              <w:left w:val="nil"/>
              <w:bottom w:val="nil"/>
              <w:right w:val="nil"/>
            </w:tcBorders>
            <w:shd w:val="clear" w:color="auto" w:fill="auto"/>
          </w:tcPr>
          <w:p w14:paraId="0D6525FD" w14:textId="77777777" w:rsidR="004916C1" w:rsidRPr="00C60E6A" w:rsidRDefault="004916C1" w:rsidP="004916C1">
            <w:pPr>
              <w:pStyle w:val="Continued"/>
              <w:spacing w:before="120"/>
            </w:pPr>
            <w:r w:rsidRPr="00C60E6A">
              <w:t>(Continued next page)</w:t>
            </w:r>
          </w:p>
        </w:tc>
      </w:tr>
      <w:tr w:rsidR="001E5B32" w14:paraId="0D652600" w14:textId="77777777" w:rsidTr="00B0510F">
        <w:tc>
          <w:tcPr>
            <w:tcW w:w="8789" w:type="dxa"/>
            <w:tcBorders>
              <w:top w:val="nil"/>
              <w:left w:val="nil"/>
              <w:bottom w:val="single" w:sz="6" w:space="0" w:color="78A22F"/>
              <w:right w:val="nil"/>
            </w:tcBorders>
            <w:shd w:val="clear" w:color="auto" w:fill="auto"/>
          </w:tcPr>
          <w:p w14:paraId="0D6525FF" w14:textId="77777777" w:rsidR="001E5B32" w:rsidRDefault="001E5B32" w:rsidP="00BE0D77">
            <w:pPr>
              <w:pStyle w:val="Box"/>
              <w:spacing w:before="0" w:line="120" w:lineRule="exact"/>
            </w:pPr>
          </w:p>
        </w:tc>
      </w:tr>
      <w:tr w:rsidR="001E5B32" w:rsidRPr="000863A5" w14:paraId="0D652602" w14:textId="77777777" w:rsidTr="00B0510F">
        <w:tc>
          <w:tcPr>
            <w:tcW w:w="8789" w:type="dxa"/>
            <w:tcBorders>
              <w:top w:val="single" w:sz="6" w:space="0" w:color="78A22F"/>
              <w:left w:val="nil"/>
              <w:bottom w:val="nil"/>
              <w:right w:val="nil"/>
            </w:tcBorders>
          </w:tcPr>
          <w:p w14:paraId="0D652601" w14:textId="77777777" w:rsidR="001E5B32" w:rsidRPr="00626D32" w:rsidRDefault="001E5B32" w:rsidP="00BE0D77">
            <w:pPr>
              <w:pStyle w:val="BoxSpaceBelow"/>
            </w:pPr>
          </w:p>
        </w:tc>
      </w:tr>
    </w:tbl>
    <w:p w14:paraId="0D652603" w14:textId="77777777" w:rsidR="001E5B32" w:rsidRDefault="001E5B32" w:rsidP="001E5B32">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E5B32" w14:paraId="0D652605" w14:textId="77777777" w:rsidTr="00B0510F">
        <w:tc>
          <w:tcPr>
            <w:tcW w:w="8789" w:type="dxa"/>
            <w:tcBorders>
              <w:top w:val="single" w:sz="6" w:space="0" w:color="78A22F"/>
              <w:left w:val="nil"/>
              <w:bottom w:val="nil"/>
              <w:right w:val="nil"/>
            </w:tcBorders>
            <w:shd w:val="clear" w:color="auto" w:fill="auto"/>
          </w:tcPr>
          <w:p w14:paraId="0D652604" w14:textId="77777777" w:rsidR="001E5B32" w:rsidRPr="00784A05" w:rsidRDefault="001E5B32">
            <w:pPr>
              <w:pStyle w:val="TableTitle"/>
            </w:pPr>
            <w:r>
              <w:rPr>
                <w:b w:val="0"/>
              </w:rPr>
              <w:t>Table A.</w:t>
            </w:r>
            <w:r w:rsidR="00F97E1E">
              <w:rPr>
                <w:b w:val="0"/>
                <w:noProof/>
              </w:rPr>
              <w:t>5</w:t>
            </w:r>
            <w:r>
              <w:tab/>
            </w:r>
            <w:r w:rsidRPr="009E4725">
              <w:rPr>
                <w:sz w:val="18"/>
                <w:szCs w:val="18"/>
              </w:rPr>
              <w:t>(continued)</w:t>
            </w:r>
          </w:p>
        </w:tc>
      </w:tr>
      <w:tr w:rsidR="001E5B32" w14:paraId="0D65264F" w14:textId="77777777" w:rsidTr="00B0510F">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616"/>
              <w:gridCol w:w="1114"/>
              <w:gridCol w:w="1090"/>
              <w:gridCol w:w="752"/>
              <w:gridCol w:w="933"/>
            </w:tblGrid>
            <w:tr w:rsidR="00AC0DF5" w14:paraId="0D65260B" w14:textId="77777777" w:rsidTr="00AC0DF5">
              <w:trPr>
                <w:tblHeader/>
              </w:trPr>
              <w:tc>
                <w:tcPr>
                  <w:tcW w:w="2825" w:type="pct"/>
                  <w:tcBorders>
                    <w:top w:val="single" w:sz="6" w:space="0" w:color="BFBFBF"/>
                    <w:bottom w:val="single" w:sz="6" w:space="0" w:color="BFBFBF"/>
                  </w:tcBorders>
                </w:tcPr>
                <w:p w14:paraId="0D652606" w14:textId="77777777" w:rsidR="00AC0DF5" w:rsidRDefault="00C260D8" w:rsidP="00AC0DF5">
                  <w:pPr>
                    <w:pStyle w:val="TableColumnHeading"/>
                    <w:jc w:val="left"/>
                  </w:pPr>
                  <w:r>
                    <w:t>Administering</w:t>
                  </w:r>
                  <w:r w:rsidR="00AC0DF5" w:rsidRPr="0072593C">
                    <w:t xml:space="preserve"> institution</w:t>
                  </w:r>
                </w:p>
              </w:tc>
              <w:tc>
                <w:tcPr>
                  <w:tcW w:w="767" w:type="pct"/>
                  <w:tcBorders>
                    <w:top w:val="single" w:sz="6" w:space="0" w:color="BFBFBF"/>
                    <w:bottom w:val="single" w:sz="6" w:space="0" w:color="BFBFBF"/>
                  </w:tcBorders>
                  <w:shd w:val="clear" w:color="auto" w:fill="auto"/>
                  <w:tcMar>
                    <w:top w:w="28" w:type="dxa"/>
                  </w:tcMar>
                </w:tcPr>
                <w:p w14:paraId="0D652607" w14:textId="77777777" w:rsidR="00AC0DF5" w:rsidRDefault="00AC0DF5" w:rsidP="00AC0DF5">
                  <w:pPr>
                    <w:pStyle w:val="TableColumnHeading"/>
                    <w:jc w:val="left"/>
                  </w:pPr>
                  <w:r>
                    <w:t>State</w:t>
                  </w:r>
                </w:p>
              </w:tc>
              <w:tc>
                <w:tcPr>
                  <w:tcW w:w="193" w:type="pct"/>
                  <w:tcBorders>
                    <w:top w:val="single" w:sz="6" w:space="0" w:color="BFBFBF"/>
                    <w:bottom w:val="single" w:sz="6" w:space="0" w:color="BFBFBF"/>
                  </w:tcBorders>
                </w:tcPr>
                <w:p w14:paraId="0D652608" w14:textId="77777777" w:rsidR="00AC0DF5" w:rsidRDefault="00AC0DF5" w:rsidP="00AC0DF5">
                  <w:pPr>
                    <w:pStyle w:val="TableColumnHeading"/>
                  </w:pPr>
                  <w:r>
                    <w:t>Applications</w:t>
                  </w:r>
                </w:p>
              </w:tc>
              <w:tc>
                <w:tcPr>
                  <w:tcW w:w="554" w:type="pct"/>
                  <w:tcBorders>
                    <w:top w:val="single" w:sz="6" w:space="0" w:color="BFBFBF"/>
                    <w:bottom w:val="single" w:sz="6" w:space="0" w:color="BFBFBF"/>
                  </w:tcBorders>
                </w:tcPr>
                <w:p w14:paraId="0D652609" w14:textId="77777777" w:rsidR="00AC0DF5" w:rsidRDefault="00AC0DF5" w:rsidP="00AC0DF5">
                  <w:pPr>
                    <w:pStyle w:val="TableColumnHeading"/>
                  </w:pPr>
                  <w:r>
                    <w:t>Funded</w:t>
                  </w:r>
                </w:p>
              </w:tc>
              <w:tc>
                <w:tcPr>
                  <w:tcW w:w="660" w:type="pct"/>
                  <w:tcBorders>
                    <w:top w:val="single" w:sz="6" w:space="0" w:color="BFBFBF"/>
                    <w:bottom w:val="single" w:sz="6" w:space="0" w:color="BFBFBF"/>
                  </w:tcBorders>
                </w:tcPr>
                <w:p w14:paraId="0D65260A" w14:textId="77777777" w:rsidR="00AC0DF5" w:rsidRPr="004E3403" w:rsidRDefault="00AC0DF5" w:rsidP="00AC0DF5">
                  <w:pPr>
                    <w:pStyle w:val="TableColumnHeading"/>
                    <w:spacing w:after="0"/>
                  </w:pPr>
                  <w:r>
                    <w:t>Amount</w:t>
                  </w:r>
                </w:p>
              </w:tc>
            </w:tr>
            <w:tr w:rsidR="00AC0DF5" w14:paraId="0D652611" w14:textId="77777777" w:rsidTr="00AC0DF5">
              <w:tc>
                <w:tcPr>
                  <w:tcW w:w="2825" w:type="pct"/>
                  <w:vAlign w:val="center"/>
                </w:tcPr>
                <w:p w14:paraId="0D65260C" w14:textId="77777777" w:rsidR="00AC0DF5" w:rsidRPr="00D90687" w:rsidRDefault="00AC0DF5" w:rsidP="00AC0DF5">
                  <w:pPr>
                    <w:pStyle w:val="TableBodyText"/>
                    <w:spacing w:before="120"/>
                    <w:ind w:left="285" w:hanging="279"/>
                    <w:jc w:val="left"/>
                  </w:pPr>
                  <w:r>
                    <w:rPr>
                      <w:rFonts w:cs="Arial"/>
                      <w:color w:val="000000"/>
                      <w:sz w:val="16"/>
                      <w:szCs w:val="16"/>
                    </w:rPr>
                    <w:t>University of Queensland</w:t>
                  </w:r>
                </w:p>
              </w:tc>
              <w:tc>
                <w:tcPr>
                  <w:tcW w:w="767" w:type="pct"/>
                  <w:vAlign w:val="center"/>
                </w:tcPr>
                <w:p w14:paraId="0D65260D" w14:textId="77777777" w:rsidR="00AC0DF5" w:rsidRPr="00D90687" w:rsidRDefault="00AC0DF5" w:rsidP="00AC0DF5">
                  <w:pPr>
                    <w:pStyle w:val="TableBodyText"/>
                    <w:spacing w:before="120"/>
                    <w:jc w:val="left"/>
                  </w:pPr>
                  <w:r>
                    <w:rPr>
                      <w:rFonts w:cs="Arial"/>
                      <w:color w:val="000000"/>
                      <w:sz w:val="16"/>
                      <w:szCs w:val="16"/>
                    </w:rPr>
                    <w:t>Qld</w:t>
                  </w:r>
                </w:p>
              </w:tc>
              <w:tc>
                <w:tcPr>
                  <w:tcW w:w="193" w:type="pct"/>
                  <w:vAlign w:val="center"/>
                </w:tcPr>
                <w:p w14:paraId="0D65260E" w14:textId="77777777" w:rsidR="00AC0DF5" w:rsidRDefault="00AC0DF5" w:rsidP="00AC0DF5">
                  <w:pPr>
                    <w:pStyle w:val="TableBodyText"/>
                    <w:spacing w:before="120"/>
                  </w:pPr>
                  <w:r>
                    <w:rPr>
                      <w:rFonts w:cs="Arial"/>
                      <w:color w:val="000000"/>
                      <w:sz w:val="16"/>
                      <w:szCs w:val="16"/>
                    </w:rPr>
                    <w:t>445</w:t>
                  </w:r>
                </w:p>
              </w:tc>
              <w:tc>
                <w:tcPr>
                  <w:tcW w:w="554" w:type="pct"/>
                  <w:vAlign w:val="center"/>
                </w:tcPr>
                <w:p w14:paraId="0D65260F" w14:textId="77777777" w:rsidR="00AC0DF5" w:rsidRPr="00D90687" w:rsidRDefault="00AC0DF5" w:rsidP="00AC0DF5">
                  <w:pPr>
                    <w:pStyle w:val="TableBodyText"/>
                    <w:spacing w:before="120"/>
                  </w:pPr>
                  <w:r>
                    <w:rPr>
                      <w:rFonts w:cs="Arial"/>
                      <w:color w:val="000000"/>
                      <w:sz w:val="16"/>
                      <w:szCs w:val="16"/>
                    </w:rPr>
                    <w:t>83</w:t>
                  </w:r>
                </w:p>
              </w:tc>
              <w:tc>
                <w:tcPr>
                  <w:tcW w:w="660" w:type="pct"/>
                  <w:vAlign w:val="bottom"/>
                </w:tcPr>
                <w:p w14:paraId="0D652610" w14:textId="77777777" w:rsidR="00AC0DF5" w:rsidRPr="00D90687" w:rsidRDefault="00AC0DF5" w:rsidP="00AC0DF5">
                  <w:pPr>
                    <w:pStyle w:val="TableBodyText"/>
                    <w:spacing w:before="120"/>
                  </w:pPr>
                  <w:r>
                    <w:rPr>
                      <w:rFonts w:cs="Arial"/>
                      <w:color w:val="000000"/>
                      <w:sz w:val="16"/>
                      <w:szCs w:val="16"/>
                    </w:rPr>
                    <w:t>51.2</w:t>
                  </w:r>
                </w:p>
              </w:tc>
            </w:tr>
            <w:tr w:rsidR="00AC0DF5" w14:paraId="0D652617" w14:textId="77777777" w:rsidTr="00AC0DF5">
              <w:tc>
                <w:tcPr>
                  <w:tcW w:w="2825" w:type="pct"/>
                  <w:vAlign w:val="center"/>
                </w:tcPr>
                <w:p w14:paraId="0D652612" w14:textId="77777777" w:rsidR="00AC0DF5" w:rsidRPr="00D90687" w:rsidRDefault="00AC0DF5" w:rsidP="00AC0DF5">
                  <w:pPr>
                    <w:pStyle w:val="TableBodyText"/>
                    <w:ind w:left="285" w:hanging="279"/>
                    <w:jc w:val="left"/>
                  </w:pPr>
                  <w:r>
                    <w:rPr>
                      <w:rFonts w:cs="Arial"/>
                      <w:color w:val="000000"/>
                      <w:sz w:val="16"/>
                      <w:szCs w:val="16"/>
                    </w:rPr>
                    <w:t>University of South Australia</w:t>
                  </w:r>
                </w:p>
              </w:tc>
              <w:tc>
                <w:tcPr>
                  <w:tcW w:w="767" w:type="pct"/>
                  <w:vAlign w:val="center"/>
                </w:tcPr>
                <w:p w14:paraId="0D652613" w14:textId="77777777" w:rsidR="00AC0DF5" w:rsidRPr="00D90687" w:rsidRDefault="00AC0DF5" w:rsidP="00AC0DF5">
                  <w:pPr>
                    <w:pStyle w:val="TableBodyText"/>
                    <w:jc w:val="left"/>
                  </w:pPr>
                  <w:r>
                    <w:rPr>
                      <w:rFonts w:cs="Arial"/>
                      <w:color w:val="000000"/>
                      <w:sz w:val="16"/>
                      <w:szCs w:val="16"/>
                    </w:rPr>
                    <w:t>SA</w:t>
                  </w:r>
                </w:p>
              </w:tc>
              <w:tc>
                <w:tcPr>
                  <w:tcW w:w="193" w:type="pct"/>
                  <w:vAlign w:val="center"/>
                </w:tcPr>
                <w:p w14:paraId="0D652614" w14:textId="77777777" w:rsidR="00AC0DF5" w:rsidRDefault="00AC0DF5" w:rsidP="00AC0DF5">
                  <w:pPr>
                    <w:pStyle w:val="TableBodyText"/>
                  </w:pPr>
                  <w:r>
                    <w:rPr>
                      <w:rFonts w:cs="Arial"/>
                      <w:color w:val="000000"/>
                      <w:sz w:val="16"/>
                      <w:szCs w:val="16"/>
                    </w:rPr>
                    <w:t>108</w:t>
                  </w:r>
                </w:p>
              </w:tc>
              <w:tc>
                <w:tcPr>
                  <w:tcW w:w="554" w:type="pct"/>
                  <w:vAlign w:val="center"/>
                </w:tcPr>
                <w:p w14:paraId="0D652615" w14:textId="77777777" w:rsidR="00AC0DF5" w:rsidRPr="00D90687" w:rsidRDefault="00AC0DF5" w:rsidP="00AC0DF5">
                  <w:pPr>
                    <w:pStyle w:val="TableBodyText"/>
                  </w:pPr>
                  <w:r>
                    <w:rPr>
                      <w:rFonts w:cs="Arial"/>
                      <w:color w:val="000000"/>
                      <w:sz w:val="16"/>
                      <w:szCs w:val="16"/>
                    </w:rPr>
                    <w:t>22</w:t>
                  </w:r>
                </w:p>
              </w:tc>
              <w:tc>
                <w:tcPr>
                  <w:tcW w:w="660" w:type="pct"/>
                  <w:vAlign w:val="bottom"/>
                </w:tcPr>
                <w:p w14:paraId="0D652616" w14:textId="77777777" w:rsidR="00AC0DF5" w:rsidRPr="00D90687" w:rsidRDefault="00AC0DF5" w:rsidP="00AC0DF5">
                  <w:pPr>
                    <w:pStyle w:val="TableBodyText"/>
                  </w:pPr>
                  <w:r>
                    <w:rPr>
                      <w:rFonts w:cs="Arial"/>
                      <w:color w:val="000000"/>
                      <w:sz w:val="16"/>
                      <w:szCs w:val="16"/>
                    </w:rPr>
                    <w:t>13.8</w:t>
                  </w:r>
                </w:p>
              </w:tc>
            </w:tr>
            <w:tr w:rsidR="00AC0DF5" w14:paraId="0D65261D" w14:textId="77777777" w:rsidTr="00AC0DF5">
              <w:tc>
                <w:tcPr>
                  <w:tcW w:w="2825" w:type="pct"/>
                  <w:vAlign w:val="center"/>
                </w:tcPr>
                <w:p w14:paraId="0D652618" w14:textId="77777777" w:rsidR="00AC0DF5" w:rsidRPr="00062F92" w:rsidRDefault="00AC0DF5" w:rsidP="00AC0DF5">
                  <w:pPr>
                    <w:pStyle w:val="TableBodyText"/>
                    <w:ind w:left="285" w:hanging="279"/>
                    <w:jc w:val="left"/>
                  </w:pPr>
                  <w:r>
                    <w:rPr>
                      <w:rFonts w:cs="Arial"/>
                      <w:color w:val="000000"/>
                      <w:sz w:val="16"/>
                      <w:szCs w:val="16"/>
                    </w:rPr>
                    <w:t>University of Sydney</w:t>
                  </w:r>
                </w:p>
              </w:tc>
              <w:tc>
                <w:tcPr>
                  <w:tcW w:w="767" w:type="pct"/>
                  <w:vAlign w:val="center"/>
                </w:tcPr>
                <w:p w14:paraId="0D652619" w14:textId="77777777" w:rsidR="00AC0DF5" w:rsidRDefault="00AC0DF5" w:rsidP="00AC0DF5">
                  <w:pPr>
                    <w:pStyle w:val="TableBodyText"/>
                    <w:jc w:val="left"/>
                  </w:pPr>
                  <w:r>
                    <w:rPr>
                      <w:rFonts w:cs="Arial"/>
                      <w:color w:val="000000"/>
                      <w:sz w:val="16"/>
                      <w:szCs w:val="16"/>
                    </w:rPr>
                    <w:t>NSW</w:t>
                  </w:r>
                </w:p>
              </w:tc>
              <w:tc>
                <w:tcPr>
                  <w:tcW w:w="193" w:type="pct"/>
                  <w:vAlign w:val="center"/>
                </w:tcPr>
                <w:p w14:paraId="0D65261A" w14:textId="77777777" w:rsidR="00AC0DF5" w:rsidRDefault="00AC0DF5" w:rsidP="00AC0DF5">
                  <w:pPr>
                    <w:pStyle w:val="TableBodyText"/>
                  </w:pPr>
                  <w:r>
                    <w:rPr>
                      <w:rFonts w:cs="Arial"/>
                      <w:color w:val="000000"/>
                      <w:sz w:val="16"/>
                      <w:szCs w:val="16"/>
                    </w:rPr>
                    <w:t>557</w:t>
                  </w:r>
                </w:p>
              </w:tc>
              <w:tc>
                <w:tcPr>
                  <w:tcW w:w="554" w:type="pct"/>
                  <w:vAlign w:val="center"/>
                </w:tcPr>
                <w:p w14:paraId="0D65261B" w14:textId="77777777" w:rsidR="00AC0DF5" w:rsidRDefault="00AC0DF5" w:rsidP="00AC0DF5">
                  <w:pPr>
                    <w:pStyle w:val="TableBodyText"/>
                  </w:pPr>
                  <w:r>
                    <w:rPr>
                      <w:rFonts w:cs="Arial"/>
                      <w:color w:val="000000"/>
                      <w:sz w:val="16"/>
                      <w:szCs w:val="16"/>
                    </w:rPr>
                    <w:t>107</w:t>
                  </w:r>
                </w:p>
              </w:tc>
              <w:tc>
                <w:tcPr>
                  <w:tcW w:w="660" w:type="pct"/>
                  <w:vAlign w:val="bottom"/>
                </w:tcPr>
                <w:p w14:paraId="0D65261C" w14:textId="77777777" w:rsidR="00AC0DF5" w:rsidRDefault="00AC0DF5" w:rsidP="00AC0DF5">
                  <w:pPr>
                    <w:pStyle w:val="TableBodyText"/>
                  </w:pPr>
                  <w:r>
                    <w:rPr>
                      <w:rFonts w:cs="Arial"/>
                      <w:color w:val="000000"/>
                      <w:sz w:val="16"/>
                      <w:szCs w:val="16"/>
                    </w:rPr>
                    <w:t>116.2</w:t>
                  </w:r>
                </w:p>
              </w:tc>
            </w:tr>
            <w:tr w:rsidR="00AC0DF5" w14:paraId="0D652623" w14:textId="77777777" w:rsidTr="00AC0DF5">
              <w:tc>
                <w:tcPr>
                  <w:tcW w:w="2825" w:type="pct"/>
                  <w:vAlign w:val="center"/>
                </w:tcPr>
                <w:p w14:paraId="0D65261E" w14:textId="77777777" w:rsidR="00AC0DF5" w:rsidRPr="00C63078" w:rsidRDefault="00AC0DF5" w:rsidP="00AC0DF5">
                  <w:pPr>
                    <w:pStyle w:val="TableBodyText"/>
                    <w:ind w:left="285" w:hanging="279"/>
                    <w:jc w:val="left"/>
                  </w:pPr>
                  <w:r>
                    <w:rPr>
                      <w:rFonts w:cs="Arial"/>
                      <w:color w:val="000000"/>
                      <w:sz w:val="16"/>
                      <w:szCs w:val="16"/>
                    </w:rPr>
                    <w:t>University of Tasmania</w:t>
                  </w:r>
                </w:p>
              </w:tc>
              <w:tc>
                <w:tcPr>
                  <w:tcW w:w="767" w:type="pct"/>
                  <w:vAlign w:val="center"/>
                </w:tcPr>
                <w:p w14:paraId="0D65261F" w14:textId="77777777" w:rsidR="00AC0DF5" w:rsidRPr="00D90687" w:rsidRDefault="00AC0DF5" w:rsidP="00AC0DF5">
                  <w:pPr>
                    <w:pStyle w:val="TableBodyText"/>
                    <w:jc w:val="left"/>
                  </w:pPr>
                  <w:r>
                    <w:rPr>
                      <w:rFonts w:cs="Arial"/>
                      <w:color w:val="000000"/>
                      <w:sz w:val="16"/>
                      <w:szCs w:val="16"/>
                    </w:rPr>
                    <w:t>Tas</w:t>
                  </w:r>
                </w:p>
              </w:tc>
              <w:tc>
                <w:tcPr>
                  <w:tcW w:w="193" w:type="pct"/>
                  <w:vAlign w:val="center"/>
                </w:tcPr>
                <w:p w14:paraId="0D652620" w14:textId="77777777" w:rsidR="00AC0DF5" w:rsidRDefault="00AC0DF5" w:rsidP="00AC0DF5">
                  <w:pPr>
                    <w:pStyle w:val="TableBodyText"/>
                  </w:pPr>
                  <w:r>
                    <w:rPr>
                      <w:rFonts w:cs="Arial"/>
                      <w:color w:val="000000"/>
                      <w:sz w:val="16"/>
                      <w:szCs w:val="16"/>
                    </w:rPr>
                    <w:t>60</w:t>
                  </w:r>
                </w:p>
              </w:tc>
              <w:tc>
                <w:tcPr>
                  <w:tcW w:w="554" w:type="pct"/>
                  <w:vAlign w:val="center"/>
                </w:tcPr>
                <w:p w14:paraId="0D652621" w14:textId="77777777" w:rsidR="00AC0DF5" w:rsidRDefault="00AC0DF5" w:rsidP="00AC0DF5">
                  <w:pPr>
                    <w:pStyle w:val="TableBodyText"/>
                  </w:pPr>
                  <w:r>
                    <w:rPr>
                      <w:rFonts w:cs="Arial"/>
                      <w:color w:val="000000"/>
                      <w:sz w:val="16"/>
                      <w:szCs w:val="16"/>
                    </w:rPr>
                    <w:t>7</w:t>
                  </w:r>
                </w:p>
              </w:tc>
              <w:tc>
                <w:tcPr>
                  <w:tcW w:w="660" w:type="pct"/>
                  <w:vAlign w:val="bottom"/>
                </w:tcPr>
                <w:p w14:paraId="0D652622" w14:textId="77777777" w:rsidR="00AC0DF5" w:rsidRDefault="00AC0DF5" w:rsidP="00AC0DF5">
                  <w:pPr>
                    <w:pStyle w:val="TableBodyText"/>
                  </w:pPr>
                  <w:r>
                    <w:rPr>
                      <w:rFonts w:cs="Arial"/>
                      <w:color w:val="000000"/>
                      <w:sz w:val="16"/>
                      <w:szCs w:val="16"/>
                    </w:rPr>
                    <w:t>5.0</w:t>
                  </w:r>
                </w:p>
              </w:tc>
            </w:tr>
            <w:tr w:rsidR="00AC0DF5" w14:paraId="0D652629" w14:textId="77777777" w:rsidTr="00AC0DF5">
              <w:tc>
                <w:tcPr>
                  <w:tcW w:w="2825" w:type="pct"/>
                  <w:vAlign w:val="center"/>
                </w:tcPr>
                <w:p w14:paraId="0D652624" w14:textId="77777777" w:rsidR="00AC0DF5" w:rsidRPr="00D90687" w:rsidRDefault="00AC0DF5" w:rsidP="00AC0DF5">
                  <w:pPr>
                    <w:pStyle w:val="TableBodyText"/>
                    <w:ind w:left="285" w:hanging="279"/>
                    <w:jc w:val="left"/>
                  </w:pPr>
                  <w:r>
                    <w:rPr>
                      <w:rFonts w:cs="Arial"/>
                      <w:color w:val="000000"/>
                      <w:sz w:val="16"/>
                      <w:szCs w:val="16"/>
                    </w:rPr>
                    <w:t>University of Technology Sydney</w:t>
                  </w:r>
                </w:p>
              </w:tc>
              <w:tc>
                <w:tcPr>
                  <w:tcW w:w="767" w:type="pct"/>
                  <w:vAlign w:val="center"/>
                </w:tcPr>
                <w:p w14:paraId="0D652625" w14:textId="77777777" w:rsidR="00AC0DF5" w:rsidRPr="00D90687" w:rsidRDefault="00AC0DF5" w:rsidP="00AC0DF5">
                  <w:pPr>
                    <w:pStyle w:val="TableBodyText"/>
                    <w:jc w:val="left"/>
                  </w:pPr>
                  <w:r>
                    <w:rPr>
                      <w:rFonts w:cs="Arial"/>
                      <w:color w:val="000000"/>
                      <w:sz w:val="16"/>
                      <w:szCs w:val="16"/>
                    </w:rPr>
                    <w:t>NSW</w:t>
                  </w:r>
                </w:p>
              </w:tc>
              <w:tc>
                <w:tcPr>
                  <w:tcW w:w="193" w:type="pct"/>
                  <w:vAlign w:val="center"/>
                </w:tcPr>
                <w:p w14:paraId="0D652626" w14:textId="77777777" w:rsidR="00AC0DF5" w:rsidRDefault="00AC0DF5" w:rsidP="00AC0DF5">
                  <w:pPr>
                    <w:pStyle w:val="TableBodyText"/>
                  </w:pPr>
                  <w:r>
                    <w:rPr>
                      <w:rFonts w:cs="Arial"/>
                      <w:color w:val="000000"/>
                      <w:sz w:val="16"/>
                      <w:szCs w:val="16"/>
                    </w:rPr>
                    <w:t>33</w:t>
                  </w:r>
                </w:p>
              </w:tc>
              <w:tc>
                <w:tcPr>
                  <w:tcW w:w="554" w:type="pct"/>
                  <w:vAlign w:val="center"/>
                </w:tcPr>
                <w:p w14:paraId="0D652627" w14:textId="77777777" w:rsidR="00AC0DF5" w:rsidRPr="00D90687" w:rsidRDefault="00AC0DF5" w:rsidP="00AC0DF5">
                  <w:pPr>
                    <w:pStyle w:val="TableBodyText"/>
                  </w:pPr>
                  <w:r>
                    <w:rPr>
                      <w:rFonts w:cs="Arial"/>
                      <w:color w:val="000000"/>
                      <w:sz w:val="16"/>
                      <w:szCs w:val="16"/>
                    </w:rPr>
                    <w:t>2</w:t>
                  </w:r>
                </w:p>
              </w:tc>
              <w:tc>
                <w:tcPr>
                  <w:tcW w:w="660" w:type="pct"/>
                  <w:vAlign w:val="bottom"/>
                </w:tcPr>
                <w:p w14:paraId="0D652628" w14:textId="77777777" w:rsidR="00AC0DF5" w:rsidRPr="00D90687" w:rsidRDefault="00AC0DF5" w:rsidP="00AC0DF5">
                  <w:pPr>
                    <w:pStyle w:val="TableBodyText"/>
                  </w:pPr>
                  <w:r>
                    <w:rPr>
                      <w:rFonts w:cs="Arial"/>
                      <w:color w:val="000000"/>
                      <w:sz w:val="16"/>
                      <w:szCs w:val="16"/>
                    </w:rPr>
                    <w:t>0.2</w:t>
                  </w:r>
                </w:p>
              </w:tc>
            </w:tr>
            <w:tr w:rsidR="00AC0DF5" w14:paraId="0D65262F" w14:textId="77777777" w:rsidTr="00AC0DF5">
              <w:tc>
                <w:tcPr>
                  <w:tcW w:w="2825" w:type="pct"/>
                  <w:vAlign w:val="center"/>
                </w:tcPr>
                <w:p w14:paraId="0D65262A" w14:textId="77777777" w:rsidR="00AC0DF5" w:rsidRPr="00D90687" w:rsidRDefault="00AC0DF5" w:rsidP="00AC0DF5">
                  <w:pPr>
                    <w:pStyle w:val="TableBodyText"/>
                    <w:ind w:left="285" w:hanging="279"/>
                    <w:jc w:val="left"/>
                  </w:pPr>
                  <w:r>
                    <w:rPr>
                      <w:rFonts w:cs="Arial"/>
                      <w:color w:val="000000"/>
                      <w:sz w:val="16"/>
                      <w:szCs w:val="16"/>
                    </w:rPr>
                    <w:t>University of Western Australia</w:t>
                  </w:r>
                </w:p>
              </w:tc>
              <w:tc>
                <w:tcPr>
                  <w:tcW w:w="767" w:type="pct"/>
                  <w:vAlign w:val="center"/>
                </w:tcPr>
                <w:p w14:paraId="0D65262B" w14:textId="77777777" w:rsidR="00AC0DF5" w:rsidRPr="00D90687" w:rsidRDefault="00AC0DF5" w:rsidP="00AC0DF5">
                  <w:pPr>
                    <w:pStyle w:val="TableBodyText"/>
                    <w:jc w:val="left"/>
                  </w:pPr>
                  <w:r>
                    <w:rPr>
                      <w:rFonts w:cs="Arial"/>
                      <w:color w:val="000000"/>
                      <w:sz w:val="16"/>
                      <w:szCs w:val="16"/>
                    </w:rPr>
                    <w:t>WA</w:t>
                  </w:r>
                </w:p>
              </w:tc>
              <w:tc>
                <w:tcPr>
                  <w:tcW w:w="193" w:type="pct"/>
                  <w:vAlign w:val="center"/>
                </w:tcPr>
                <w:p w14:paraId="0D65262C" w14:textId="77777777" w:rsidR="00AC0DF5" w:rsidRDefault="00AC0DF5" w:rsidP="00AC0DF5">
                  <w:pPr>
                    <w:pStyle w:val="TableBodyText"/>
                  </w:pPr>
                  <w:r>
                    <w:rPr>
                      <w:rFonts w:cs="Arial"/>
                      <w:color w:val="000000"/>
                      <w:sz w:val="16"/>
                      <w:szCs w:val="16"/>
                    </w:rPr>
                    <w:t>253</w:t>
                  </w:r>
                </w:p>
              </w:tc>
              <w:tc>
                <w:tcPr>
                  <w:tcW w:w="554" w:type="pct"/>
                  <w:vAlign w:val="center"/>
                </w:tcPr>
                <w:p w14:paraId="0D65262D" w14:textId="77777777" w:rsidR="00AC0DF5" w:rsidRPr="00D90687" w:rsidRDefault="00AC0DF5" w:rsidP="00AC0DF5">
                  <w:pPr>
                    <w:pStyle w:val="TableBodyText"/>
                  </w:pPr>
                  <w:r>
                    <w:rPr>
                      <w:rFonts w:cs="Arial"/>
                      <w:color w:val="000000"/>
                      <w:sz w:val="16"/>
                      <w:szCs w:val="16"/>
                    </w:rPr>
                    <w:t>48</w:t>
                  </w:r>
                </w:p>
              </w:tc>
              <w:tc>
                <w:tcPr>
                  <w:tcW w:w="660" w:type="pct"/>
                  <w:vAlign w:val="bottom"/>
                </w:tcPr>
                <w:p w14:paraId="0D65262E" w14:textId="77777777" w:rsidR="00AC0DF5" w:rsidRPr="00D90687" w:rsidRDefault="00AC0DF5" w:rsidP="00AC0DF5">
                  <w:pPr>
                    <w:pStyle w:val="TableBodyText"/>
                  </w:pPr>
                  <w:r>
                    <w:rPr>
                      <w:rFonts w:cs="Arial"/>
                      <w:color w:val="000000"/>
                      <w:sz w:val="16"/>
                      <w:szCs w:val="16"/>
                    </w:rPr>
                    <w:t>35.9</w:t>
                  </w:r>
                </w:p>
              </w:tc>
            </w:tr>
            <w:tr w:rsidR="00AC0DF5" w14:paraId="0D652635" w14:textId="77777777" w:rsidTr="00AC0DF5">
              <w:tc>
                <w:tcPr>
                  <w:tcW w:w="2825" w:type="pct"/>
                  <w:vAlign w:val="center"/>
                </w:tcPr>
                <w:p w14:paraId="0D652630" w14:textId="77777777" w:rsidR="00AC0DF5" w:rsidRPr="00D90687" w:rsidRDefault="00AC0DF5" w:rsidP="00AC0DF5">
                  <w:pPr>
                    <w:pStyle w:val="TableBodyText"/>
                    <w:ind w:left="285" w:hanging="279"/>
                    <w:jc w:val="left"/>
                  </w:pPr>
                  <w:r>
                    <w:rPr>
                      <w:rFonts w:cs="Arial"/>
                      <w:color w:val="000000"/>
                      <w:sz w:val="16"/>
                      <w:szCs w:val="16"/>
                    </w:rPr>
                    <w:t>University of Western Sydney</w:t>
                  </w:r>
                </w:p>
              </w:tc>
              <w:tc>
                <w:tcPr>
                  <w:tcW w:w="767" w:type="pct"/>
                  <w:vAlign w:val="center"/>
                </w:tcPr>
                <w:p w14:paraId="0D652631" w14:textId="77777777" w:rsidR="00AC0DF5" w:rsidRPr="00D90687" w:rsidRDefault="00AC0DF5" w:rsidP="00AC0DF5">
                  <w:pPr>
                    <w:pStyle w:val="TableBodyText"/>
                    <w:jc w:val="left"/>
                  </w:pPr>
                  <w:r>
                    <w:rPr>
                      <w:rFonts w:cs="Arial"/>
                      <w:color w:val="000000"/>
                      <w:sz w:val="16"/>
                      <w:szCs w:val="16"/>
                    </w:rPr>
                    <w:t>NSW</w:t>
                  </w:r>
                </w:p>
              </w:tc>
              <w:tc>
                <w:tcPr>
                  <w:tcW w:w="193" w:type="pct"/>
                  <w:vAlign w:val="center"/>
                </w:tcPr>
                <w:p w14:paraId="0D652632" w14:textId="77777777" w:rsidR="00AC0DF5" w:rsidRDefault="00AC0DF5" w:rsidP="00AC0DF5">
                  <w:pPr>
                    <w:pStyle w:val="TableBodyText"/>
                  </w:pPr>
                  <w:r>
                    <w:rPr>
                      <w:rFonts w:cs="Arial"/>
                      <w:color w:val="000000"/>
                      <w:sz w:val="16"/>
                      <w:szCs w:val="16"/>
                    </w:rPr>
                    <w:t>41</w:t>
                  </w:r>
                </w:p>
              </w:tc>
              <w:tc>
                <w:tcPr>
                  <w:tcW w:w="554" w:type="pct"/>
                  <w:vAlign w:val="center"/>
                </w:tcPr>
                <w:p w14:paraId="0D652633" w14:textId="77777777" w:rsidR="00AC0DF5" w:rsidRPr="00D90687" w:rsidRDefault="00AC0DF5" w:rsidP="00AC0DF5">
                  <w:pPr>
                    <w:pStyle w:val="TableBodyText"/>
                  </w:pPr>
                  <w:r>
                    <w:rPr>
                      <w:rFonts w:cs="Arial"/>
                      <w:color w:val="000000"/>
                      <w:sz w:val="16"/>
                      <w:szCs w:val="16"/>
                    </w:rPr>
                    <w:t>2</w:t>
                  </w:r>
                </w:p>
              </w:tc>
              <w:tc>
                <w:tcPr>
                  <w:tcW w:w="660" w:type="pct"/>
                  <w:vAlign w:val="bottom"/>
                </w:tcPr>
                <w:p w14:paraId="0D652634" w14:textId="77777777" w:rsidR="00AC0DF5" w:rsidRPr="00D90687" w:rsidRDefault="00AC0DF5" w:rsidP="00AC0DF5">
                  <w:pPr>
                    <w:pStyle w:val="TableBodyText"/>
                  </w:pPr>
                  <w:r>
                    <w:rPr>
                      <w:rFonts w:cs="Arial"/>
                      <w:color w:val="000000"/>
                      <w:sz w:val="16"/>
                      <w:szCs w:val="16"/>
                    </w:rPr>
                    <w:t>2.6</w:t>
                  </w:r>
                </w:p>
              </w:tc>
            </w:tr>
            <w:tr w:rsidR="00AC0DF5" w14:paraId="0D65263B" w14:textId="77777777" w:rsidTr="00AC0DF5">
              <w:tc>
                <w:tcPr>
                  <w:tcW w:w="2825" w:type="pct"/>
                  <w:vAlign w:val="center"/>
                </w:tcPr>
                <w:p w14:paraId="0D652636" w14:textId="77777777" w:rsidR="00AC0DF5" w:rsidRPr="00D90687" w:rsidRDefault="00AC0DF5" w:rsidP="00AC0DF5">
                  <w:pPr>
                    <w:pStyle w:val="TableBodyText"/>
                    <w:ind w:left="285" w:hanging="279"/>
                    <w:jc w:val="left"/>
                  </w:pPr>
                  <w:r>
                    <w:rPr>
                      <w:rFonts w:cs="Arial"/>
                      <w:color w:val="000000"/>
                      <w:sz w:val="16"/>
                      <w:szCs w:val="16"/>
                    </w:rPr>
                    <w:t>University of Wollongong</w:t>
                  </w:r>
                </w:p>
              </w:tc>
              <w:tc>
                <w:tcPr>
                  <w:tcW w:w="767" w:type="pct"/>
                  <w:vAlign w:val="center"/>
                </w:tcPr>
                <w:p w14:paraId="0D652637" w14:textId="77777777" w:rsidR="00AC0DF5" w:rsidRPr="00D90687" w:rsidRDefault="00AC0DF5" w:rsidP="00AC0DF5">
                  <w:pPr>
                    <w:pStyle w:val="TableBodyText"/>
                    <w:jc w:val="left"/>
                  </w:pPr>
                  <w:r>
                    <w:rPr>
                      <w:rFonts w:cs="Arial"/>
                      <w:color w:val="000000"/>
                      <w:sz w:val="16"/>
                      <w:szCs w:val="16"/>
                    </w:rPr>
                    <w:t>NSW</w:t>
                  </w:r>
                </w:p>
              </w:tc>
              <w:tc>
                <w:tcPr>
                  <w:tcW w:w="193" w:type="pct"/>
                  <w:vAlign w:val="center"/>
                </w:tcPr>
                <w:p w14:paraId="0D652638" w14:textId="77777777" w:rsidR="00AC0DF5" w:rsidRDefault="00AC0DF5" w:rsidP="00AC0DF5">
                  <w:pPr>
                    <w:pStyle w:val="TableBodyText"/>
                  </w:pPr>
                  <w:r>
                    <w:rPr>
                      <w:rFonts w:cs="Arial"/>
                      <w:color w:val="000000"/>
                      <w:sz w:val="16"/>
                      <w:szCs w:val="16"/>
                    </w:rPr>
                    <w:t>49</w:t>
                  </w:r>
                </w:p>
              </w:tc>
              <w:tc>
                <w:tcPr>
                  <w:tcW w:w="554" w:type="pct"/>
                  <w:vAlign w:val="center"/>
                </w:tcPr>
                <w:p w14:paraId="0D652639" w14:textId="77777777" w:rsidR="00AC0DF5" w:rsidRPr="00D90687" w:rsidRDefault="00AC0DF5" w:rsidP="00AC0DF5">
                  <w:pPr>
                    <w:pStyle w:val="TableBodyText"/>
                  </w:pPr>
                  <w:r>
                    <w:rPr>
                      <w:rFonts w:cs="Arial"/>
                      <w:color w:val="000000"/>
                      <w:sz w:val="16"/>
                      <w:szCs w:val="16"/>
                    </w:rPr>
                    <w:t>5</w:t>
                  </w:r>
                </w:p>
              </w:tc>
              <w:tc>
                <w:tcPr>
                  <w:tcW w:w="660" w:type="pct"/>
                  <w:vAlign w:val="bottom"/>
                </w:tcPr>
                <w:p w14:paraId="0D65263A" w14:textId="77777777" w:rsidR="00AC0DF5" w:rsidRPr="00D90687" w:rsidRDefault="00AC0DF5" w:rsidP="00AC0DF5">
                  <w:pPr>
                    <w:pStyle w:val="TableBodyText"/>
                  </w:pPr>
                  <w:r>
                    <w:rPr>
                      <w:rFonts w:cs="Arial"/>
                      <w:color w:val="000000"/>
                      <w:sz w:val="16"/>
                      <w:szCs w:val="16"/>
                    </w:rPr>
                    <w:t>2.9</w:t>
                  </w:r>
                </w:p>
              </w:tc>
            </w:tr>
            <w:tr w:rsidR="00AC0DF5" w14:paraId="0D652641" w14:textId="77777777" w:rsidTr="00AC0DF5">
              <w:tc>
                <w:tcPr>
                  <w:tcW w:w="2825" w:type="pct"/>
                  <w:vAlign w:val="center"/>
                </w:tcPr>
                <w:p w14:paraId="0D65263C" w14:textId="77777777" w:rsidR="00AC0DF5" w:rsidRPr="00D90687" w:rsidRDefault="00AC0DF5" w:rsidP="00AC0DF5">
                  <w:pPr>
                    <w:pStyle w:val="TableBodyText"/>
                    <w:ind w:left="285" w:hanging="279"/>
                    <w:jc w:val="left"/>
                  </w:pPr>
                  <w:r>
                    <w:rPr>
                      <w:rFonts w:cs="Arial"/>
                      <w:color w:val="000000"/>
                      <w:sz w:val="16"/>
                      <w:szCs w:val="16"/>
                    </w:rPr>
                    <w:t>Victor Chang Cardiac Research Institute</w:t>
                  </w:r>
                </w:p>
              </w:tc>
              <w:tc>
                <w:tcPr>
                  <w:tcW w:w="767" w:type="pct"/>
                  <w:vAlign w:val="center"/>
                </w:tcPr>
                <w:p w14:paraId="0D65263D" w14:textId="77777777" w:rsidR="00AC0DF5" w:rsidRPr="00D90687" w:rsidRDefault="00AC0DF5" w:rsidP="00AC0DF5">
                  <w:pPr>
                    <w:pStyle w:val="TableBodyText"/>
                    <w:jc w:val="left"/>
                  </w:pPr>
                  <w:r>
                    <w:rPr>
                      <w:rFonts w:cs="Arial"/>
                      <w:color w:val="000000"/>
                      <w:sz w:val="16"/>
                      <w:szCs w:val="16"/>
                    </w:rPr>
                    <w:t>NSW</w:t>
                  </w:r>
                </w:p>
              </w:tc>
              <w:tc>
                <w:tcPr>
                  <w:tcW w:w="193" w:type="pct"/>
                  <w:vAlign w:val="center"/>
                </w:tcPr>
                <w:p w14:paraId="0D65263E" w14:textId="77777777" w:rsidR="00AC0DF5" w:rsidRDefault="00AC0DF5" w:rsidP="00AC0DF5">
                  <w:pPr>
                    <w:pStyle w:val="TableBodyText"/>
                  </w:pPr>
                  <w:r>
                    <w:rPr>
                      <w:rFonts w:cs="Arial"/>
                      <w:color w:val="000000"/>
                      <w:sz w:val="16"/>
                      <w:szCs w:val="16"/>
                    </w:rPr>
                    <w:t>20</w:t>
                  </w:r>
                </w:p>
              </w:tc>
              <w:tc>
                <w:tcPr>
                  <w:tcW w:w="554" w:type="pct"/>
                  <w:vAlign w:val="center"/>
                </w:tcPr>
                <w:p w14:paraId="0D65263F" w14:textId="77777777" w:rsidR="00AC0DF5" w:rsidRPr="00D90687" w:rsidRDefault="00AC0DF5" w:rsidP="00AC0DF5">
                  <w:pPr>
                    <w:pStyle w:val="TableBodyText"/>
                  </w:pPr>
                  <w:r>
                    <w:rPr>
                      <w:rFonts w:cs="Arial"/>
                      <w:color w:val="000000"/>
                      <w:sz w:val="16"/>
                      <w:szCs w:val="16"/>
                    </w:rPr>
                    <w:t>4</w:t>
                  </w:r>
                </w:p>
              </w:tc>
              <w:tc>
                <w:tcPr>
                  <w:tcW w:w="660" w:type="pct"/>
                  <w:vAlign w:val="bottom"/>
                </w:tcPr>
                <w:p w14:paraId="0D652640" w14:textId="77777777" w:rsidR="00AC0DF5" w:rsidRPr="00D90687" w:rsidRDefault="00AC0DF5" w:rsidP="00AC0DF5">
                  <w:pPr>
                    <w:pStyle w:val="TableBodyText"/>
                  </w:pPr>
                  <w:r>
                    <w:rPr>
                      <w:rFonts w:cs="Arial"/>
                      <w:color w:val="000000"/>
                      <w:sz w:val="16"/>
                      <w:szCs w:val="16"/>
                    </w:rPr>
                    <w:t>3.6</w:t>
                  </w:r>
                </w:p>
              </w:tc>
            </w:tr>
            <w:tr w:rsidR="00AC0DF5" w14:paraId="0D652647" w14:textId="77777777" w:rsidTr="00AC0DF5">
              <w:tc>
                <w:tcPr>
                  <w:tcW w:w="2825" w:type="pct"/>
                  <w:vAlign w:val="center"/>
                </w:tcPr>
                <w:p w14:paraId="0D652642" w14:textId="77777777" w:rsidR="00AC0DF5" w:rsidRPr="00D90687" w:rsidRDefault="00AC0DF5" w:rsidP="00AC0DF5">
                  <w:pPr>
                    <w:pStyle w:val="TableBodyText"/>
                    <w:ind w:left="285" w:hanging="279"/>
                    <w:jc w:val="left"/>
                  </w:pPr>
                  <w:r>
                    <w:rPr>
                      <w:rFonts w:cs="Arial"/>
                      <w:color w:val="000000"/>
                      <w:sz w:val="16"/>
                      <w:szCs w:val="16"/>
                    </w:rPr>
                    <w:t>Walter and Eliza Hall Institute</w:t>
                  </w:r>
                </w:p>
              </w:tc>
              <w:tc>
                <w:tcPr>
                  <w:tcW w:w="767" w:type="pct"/>
                  <w:vAlign w:val="center"/>
                </w:tcPr>
                <w:p w14:paraId="0D652643" w14:textId="77777777" w:rsidR="00AC0DF5" w:rsidRPr="00D90687" w:rsidRDefault="00AC0DF5" w:rsidP="00AC0DF5">
                  <w:pPr>
                    <w:pStyle w:val="TableBodyText"/>
                    <w:jc w:val="left"/>
                  </w:pPr>
                  <w:r>
                    <w:rPr>
                      <w:rFonts w:cs="Arial"/>
                      <w:color w:val="000000"/>
                      <w:sz w:val="16"/>
                      <w:szCs w:val="16"/>
                    </w:rPr>
                    <w:t>Vic</w:t>
                  </w:r>
                </w:p>
              </w:tc>
              <w:tc>
                <w:tcPr>
                  <w:tcW w:w="193" w:type="pct"/>
                  <w:vAlign w:val="center"/>
                </w:tcPr>
                <w:p w14:paraId="0D652644" w14:textId="77777777" w:rsidR="00AC0DF5" w:rsidRDefault="00AC0DF5" w:rsidP="00AC0DF5">
                  <w:pPr>
                    <w:pStyle w:val="TableBodyText"/>
                  </w:pPr>
                  <w:r>
                    <w:rPr>
                      <w:rFonts w:cs="Arial"/>
                      <w:color w:val="000000"/>
                      <w:sz w:val="16"/>
                      <w:szCs w:val="16"/>
                    </w:rPr>
                    <w:t>159</w:t>
                  </w:r>
                </w:p>
              </w:tc>
              <w:tc>
                <w:tcPr>
                  <w:tcW w:w="554" w:type="pct"/>
                  <w:vAlign w:val="center"/>
                </w:tcPr>
                <w:p w14:paraId="0D652645" w14:textId="77777777" w:rsidR="00AC0DF5" w:rsidRPr="00D90687" w:rsidRDefault="00AC0DF5" w:rsidP="00AC0DF5">
                  <w:pPr>
                    <w:pStyle w:val="TableBodyText"/>
                  </w:pPr>
                  <w:r>
                    <w:rPr>
                      <w:rFonts w:cs="Arial"/>
                      <w:color w:val="000000"/>
                      <w:sz w:val="16"/>
                      <w:szCs w:val="16"/>
                    </w:rPr>
                    <w:t>39</w:t>
                  </w:r>
                </w:p>
              </w:tc>
              <w:tc>
                <w:tcPr>
                  <w:tcW w:w="660" w:type="pct"/>
                  <w:vAlign w:val="bottom"/>
                </w:tcPr>
                <w:p w14:paraId="0D652646" w14:textId="77777777" w:rsidR="00AC0DF5" w:rsidRPr="00D90687" w:rsidRDefault="00AC0DF5" w:rsidP="00AC0DF5">
                  <w:pPr>
                    <w:pStyle w:val="TableBodyText"/>
                  </w:pPr>
                  <w:r>
                    <w:rPr>
                      <w:rFonts w:cs="Arial"/>
                      <w:color w:val="000000"/>
                      <w:sz w:val="16"/>
                      <w:szCs w:val="16"/>
                    </w:rPr>
                    <w:t>24.9</w:t>
                  </w:r>
                </w:p>
              </w:tc>
            </w:tr>
            <w:tr w:rsidR="00AC0DF5" w14:paraId="0D65264D" w14:textId="77777777" w:rsidTr="00CA042D">
              <w:tc>
                <w:tcPr>
                  <w:tcW w:w="2825" w:type="pct"/>
                  <w:tcBorders>
                    <w:bottom w:val="single" w:sz="2" w:space="0" w:color="BFBFBF"/>
                  </w:tcBorders>
                  <w:shd w:val="clear" w:color="auto" w:fill="auto"/>
                  <w:vAlign w:val="bottom"/>
                </w:tcPr>
                <w:p w14:paraId="0D652648" w14:textId="77777777" w:rsidR="00AC0DF5" w:rsidRPr="00AC0DF5" w:rsidRDefault="00AC0DF5" w:rsidP="00AC0DF5">
                  <w:pPr>
                    <w:pStyle w:val="TableBodyText"/>
                    <w:ind w:left="285" w:hanging="279"/>
                    <w:jc w:val="left"/>
                    <w:rPr>
                      <w:b/>
                    </w:rPr>
                  </w:pPr>
                  <w:r w:rsidRPr="00AC0DF5">
                    <w:rPr>
                      <w:b/>
                    </w:rPr>
                    <w:t>Total</w:t>
                  </w:r>
                </w:p>
              </w:tc>
              <w:tc>
                <w:tcPr>
                  <w:tcW w:w="767" w:type="pct"/>
                  <w:tcBorders>
                    <w:bottom w:val="single" w:sz="2" w:space="0" w:color="BFBFBF"/>
                  </w:tcBorders>
                  <w:shd w:val="clear" w:color="auto" w:fill="auto"/>
                </w:tcPr>
                <w:p w14:paraId="0D652649" w14:textId="77777777" w:rsidR="00AC0DF5" w:rsidRPr="00D90687" w:rsidRDefault="00AC0DF5" w:rsidP="00AC0DF5">
                  <w:pPr>
                    <w:pStyle w:val="TableBodyText"/>
                    <w:jc w:val="left"/>
                  </w:pPr>
                </w:p>
              </w:tc>
              <w:tc>
                <w:tcPr>
                  <w:tcW w:w="193" w:type="pct"/>
                  <w:tcBorders>
                    <w:bottom w:val="single" w:sz="2" w:space="0" w:color="BFBFBF"/>
                  </w:tcBorders>
                  <w:shd w:val="clear" w:color="auto" w:fill="auto"/>
                  <w:vAlign w:val="bottom"/>
                </w:tcPr>
                <w:p w14:paraId="0D65264A" w14:textId="77777777" w:rsidR="00AC0DF5" w:rsidRPr="00AC0DF5" w:rsidRDefault="00C86DDE" w:rsidP="00CA042D">
                  <w:pPr>
                    <w:pStyle w:val="TableBodyText"/>
                    <w:ind w:right="11"/>
                    <w:rPr>
                      <w:b/>
                    </w:rPr>
                  </w:pPr>
                  <w:r>
                    <w:rPr>
                      <w:b/>
                    </w:rPr>
                    <w:t>5 </w:t>
                  </w:r>
                  <w:r w:rsidR="00AC0DF5">
                    <w:rPr>
                      <w:b/>
                    </w:rPr>
                    <w:t>5</w:t>
                  </w:r>
                  <w:r>
                    <w:rPr>
                      <w:b/>
                    </w:rPr>
                    <w:t>1</w:t>
                  </w:r>
                  <w:r w:rsidR="00AC0DF5" w:rsidRPr="00AC0DF5">
                    <w:rPr>
                      <w:b/>
                    </w:rPr>
                    <w:t>9</w:t>
                  </w:r>
                  <w:r w:rsidR="00AC0DF5" w:rsidRPr="00CA042D">
                    <w:rPr>
                      <w:rStyle w:val="NoteLabel"/>
                      <w:b w:val="0"/>
                    </w:rPr>
                    <w:t>a</w:t>
                  </w:r>
                </w:p>
              </w:tc>
              <w:tc>
                <w:tcPr>
                  <w:tcW w:w="554" w:type="pct"/>
                  <w:tcBorders>
                    <w:bottom w:val="single" w:sz="2" w:space="0" w:color="BFBFBF"/>
                  </w:tcBorders>
                  <w:shd w:val="clear" w:color="auto" w:fill="auto"/>
                  <w:vAlign w:val="bottom"/>
                </w:tcPr>
                <w:p w14:paraId="0D65264B" w14:textId="77777777" w:rsidR="00AC0DF5" w:rsidRPr="00AC0DF5" w:rsidRDefault="00AC0DF5" w:rsidP="00CA042D">
                  <w:pPr>
                    <w:pStyle w:val="TableBodyText"/>
                    <w:rPr>
                      <w:b/>
                    </w:rPr>
                  </w:pPr>
                  <w:r w:rsidRPr="00AC0DF5">
                    <w:rPr>
                      <w:b/>
                    </w:rPr>
                    <w:t>986</w:t>
                  </w:r>
                </w:p>
              </w:tc>
              <w:tc>
                <w:tcPr>
                  <w:tcW w:w="660" w:type="pct"/>
                  <w:tcBorders>
                    <w:bottom w:val="single" w:sz="2" w:space="0" w:color="BFBFBF"/>
                  </w:tcBorders>
                  <w:vAlign w:val="bottom"/>
                </w:tcPr>
                <w:p w14:paraId="0D65264C" w14:textId="77777777" w:rsidR="00AC0DF5" w:rsidRPr="00AC0DF5" w:rsidRDefault="00AC0DF5" w:rsidP="00AC0DF5">
                  <w:pPr>
                    <w:pStyle w:val="TableBodyText"/>
                    <w:rPr>
                      <w:b/>
                    </w:rPr>
                  </w:pPr>
                  <w:r w:rsidRPr="00AC0DF5">
                    <w:rPr>
                      <w:rFonts w:cs="Arial"/>
                      <w:b/>
                      <w:color w:val="000000"/>
                      <w:sz w:val="16"/>
                      <w:szCs w:val="16"/>
                    </w:rPr>
                    <w:t>788.4</w:t>
                  </w:r>
                </w:p>
              </w:tc>
            </w:tr>
          </w:tbl>
          <w:p w14:paraId="0D65264E" w14:textId="77777777" w:rsidR="001E5B32" w:rsidRDefault="001E5B32" w:rsidP="00BE0D77">
            <w:pPr>
              <w:pStyle w:val="TableBodyText"/>
              <w:jc w:val="left"/>
            </w:pPr>
          </w:p>
        </w:tc>
      </w:tr>
      <w:tr w:rsidR="001E5B32" w14:paraId="0D652651" w14:textId="77777777" w:rsidTr="00B0510F">
        <w:tc>
          <w:tcPr>
            <w:tcW w:w="8789" w:type="dxa"/>
            <w:tcBorders>
              <w:top w:val="nil"/>
              <w:left w:val="nil"/>
              <w:bottom w:val="nil"/>
              <w:right w:val="nil"/>
            </w:tcBorders>
            <w:shd w:val="clear" w:color="auto" w:fill="auto"/>
          </w:tcPr>
          <w:p w14:paraId="0D652650" w14:textId="77777777" w:rsidR="001E5B32" w:rsidRDefault="001E5B32" w:rsidP="00CA042D">
            <w:pPr>
              <w:pStyle w:val="Note"/>
            </w:pPr>
            <w:r w:rsidRPr="00BA2A0F">
              <w:rPr>
                <w:rStyle w:val="NoteLabel"/>
              </w:rPr>
              <w:t>a</w:t>
            </w:r>
            <w:r>
              <w:t> </w:t>
            </w:r>
            <w:r w:rsidR="00AC0DF5">
              <w:t xml:space="preserve">Total includes </w:t>
            </w:r>
            <w:r w:rsidR="00CA042D">
              <w:t>56 </w:t>
            </w:r>
            <w:r w:rsidR="00AC0DF5">
              <w:t>applications from institution</w:t>
            </w:r>
            <w:r w:rsidR="001D7B1C">
              <w:t>s</w:t>
            </w:r>
            <w:r w:rsidR="00AC0DF5">
              <w:t xml:space="preserve"> that did not receive funding in 2016: </w:t>
            </w:r>
            <w:r w:rsidR="00AC0DF5" w:rsidRPr="00AC0DF5">
              <w:t>Asbestos Diseases Research Institute</w:t>
            </w:r>
            <w:r w:rsidR="000E443B">
              <w:t> (</w:t>
            </w:r>
            <w:r w:rsidR="00AC0DF5">
              <w:t xml:space="preserve">5); </w:t>
            </w:r>
            <w:r w:rsidR="00AC0DF5" w:rsidRPr="00AC0DF5">
              <w:t>Charles Sturt University</w:t>
            </w:r>
            <w:r w:rsidR="000E443B">
              <w:t> (</w:t>
            </w:r>
            <w:r w:rsidR="00AC0DF5">
              <w:t>4); CSIRO</w:t>
            </w:r>
            <w:r w:rsidR="000E443B">
              <w:t> (</w:t>
            </w:r>
            <w:r w:rsidR="00AC0DF5">
              <w:t>5);</w:t>
            </w:r>
            <w:r w:rsidR="000E443B">
              <w:t xml:space="preserve"> </w:t>
            </w:r>
            <w:r w:rsidR="000E443B" w:rsidRPr="000E443B">
              <w:t>Ear Science Institute Australia</w:t>
            </w:r>
            <w:r w:rsidR="000E443B">
              <w:t> (1</w:t>
            </w:r>
            <w:r w:rsidR="00AC0DF5">
              <w:t>);</w:t>
            </w:r>
            <w:r w:rsidR="000E443B">
              <w:t xml:space="preserve"> </w:t>
            </w:r>
            <w:r w:rsidR="000E443B" w:rsidRPr="000E443B">
              <w:t>Institute for Breathing and Sleep</w:t>
            </w:r>
            <w:r w:rsidR="000E443B">
              <w:t> (3</w:t>
            </w:r>
            <w:r w:rsidR="00AC0DF5">
              <w:t>);</w:t>
            </w:r>
            <w:r w:rsidR="000E443B">
              <w:t xml:space="preserve"> </w:t>
            </w:r>
            <w:r w:rsidR="000E443B" w:rsidRPr="000E443B">
              <w:t>Southern Cross University</w:t>
            </w:r>
            <w:r w:rsidR="000E443B">
              <w:t> (1</w:t>
            </w:r>
            <w:r w:rsidR="00AC0DF5">
              <w:t>);</w:t>
            </w:r>
            <w:r w:rsidR="000E443B">
              <w:t xml:space="preserve"> </w:t>
            </w:r>
            <w:r w:rsidR="000E443B" w:rsidRPr="000E443B">
              <w:t>Sydney West Area Health Service</w:t>
            </w:r>
            <w:r w:rsidR="000E443B">
              <w:t> (1</w:t>
            </w:r>
            <w:r w:rsidR="00AC0DF5">
              <w:t>);</w:t>
            </w:r>
            <w:r w:rsidR="000E443B">
              <w:t xml:space="preserve"> </w:t>
            </w:r>
            <w:r w:rsidR="000E443B" w:rsidRPr="000E443B">
              <w:t>University of New England</w:t>
            </w:r>
            <w:r w:rsidR="000E443B">
              <w:t> (5</w:t>
            </w:r>
            <w:r w:rsidR="00AC0DF5">
              <w:t>);</w:t>
            </w:r>
            <w:r w:rsidR="000E443B">
              <w:t xml:space="preserve"> </w:t>
            </w:r>
            <w:r w:rsidR="000E443B" w:rsidRPr="000E443B">
              <w:t xml:space="preserve">University of Southern Queensland </w:t>
            </w:r>
            <w:r w:rsidR="000E443B">
              <w:t> (1</w:t>
            </w:r>
            <w:r w:rsidR="00AC0DF5">
              <w:t>);</w:t>
            </w:r>
            <w:r w:rsidR="000E443B">
              <w:t xml:space="preserve"> </w:t>
            </w:r>
            <w:r w:rsidR="000E443B" w:rsidRPr="000E443B">
              <w:t>University of the Sunshine Coast</w:t>
            </w:r>
            <w:r w:rsidR="000E443B">
              <w:t> (11</w:t>
            </w:r>
            <w:r w:rsidR="00AC0DF5">
              <w:t>);</w:t>
            </w:r>
            <w:r w:rsidR="000E443B">
              <w:t xml:space="preserve"> </w:t>
            </w:r>
            <w:r w:rsidR="000E443B" w:rsidRPr="000E443B">
              <w:t>Victoria University</w:t>
            </w:r>
            <w:r w:rsidR="000E443B">
              <w:t> (15).</w:t>
            </w:r>
          </w:p>
        </w:tc>
      </w:tr>
      <w:tr w:rsidR="001E5B32" w14:paraId="0D652653" w14:textId="77777777" w:rsidTr="00B0510F">
        <w:tc>
          <w:tcPr>
            <w:tcW w:w="8789" w:type="dxa"/>
            <w:tcBorders>
              <w:top w:val="nil"/>
              <w:left w:val="nil"/>
              <w:bottom w:val="nil"/>
              <w:right w:val="nil"/>
            </w:tcBorders>
            <w:shd w:val="clear" w:color="auto" w:fill="auto"/>
          </w:tcPr>
          <w:p w14:paraId="0D652652" w14:textId="77777777" w:rsidR="001E5B32" w:rsidRDefault="001E5B32" w:rsidP="00CA042D">
            <w:pPr>
              <w:pStyle w:val="Source"/>
            </w:pPr>
            <w:r>
              <w:rPr>
                <w:i/>
              </w:rPr>
              <w:t>Source</w:t>
            </w:r>
            <w:r w:rsidRPr="00167F06">
              <w:t>:</w:t>
            </w:r>
            <w:r w:rsidR="00CA042D">
              <w:t xml:space="preserve"> NHMRC </w:t>
            </w:r>
            <w:r w:rsidR="00CA042D" w:rsidRPr="00CA042D">
              <w:rPr>
                <w:rFonts w:cs="Arial"/>
              </w:rPr>
              <w:t>(2017)</w:t>
            </w:r>
            <w:r>
              <w:t>.</w:t>
            </w:r>
          </w:p>
        </w:tc>
      </w:tr>
      <w:tr w:rsidR="001E5B32" w14:paraId="0D652655" w14:textId="77777777" w:rsidTr="00B0510F">
        <w:tc>
          <w:tcPr>
            <w:tcW w:w="8789" w:type="dxa"/>
            <w:tcBorders>
              <w:top w:val="nil"/>
              <w:left w:val="nil"/>
              <w:bottom w:val="single" w:sz="6" w:space="0" w:color="78A22F"/>
              <w:right w:val="nil"/>
            </w:tcBorders>
            <w:shd w:val="clear" w:color="auto" w:fill="auto"/>
          </w:tcPr>
          <w:p w14:paraId="0D652654" w14:textId="77777777" w:rsidR="001E5B32" w:rsidRDefault="001E5B32" w:rsidP="00BE0D77">
            <w:pPr>
              <w:pStyle w:val="Box"/>
              <w:spacing w:before="0" w:line="120" w:lineRule="exact"/>
            </w:pPr>
          </w:p>
        </w:tc>
      </w:tr>
      <w:tr w:rsidR="001E5B32" w:rsidRPr="000863A5" w14:paraId="0D652657" w14:textId="77777777" w:rsidTr="00B0510F">
        <w:tc>
          <w:tcPr>
            <w:tcW w:w="8789" w:type="dxa"/>
            <w:tcBorders>
              <w:top w:val="single" w:sz="6" w:space="0" w:color="78A22F"/>
              <w:left w:val="nil"/>
              <w:bottom w:val="nil"/>
              <w:right w:val="nil"/>
            </w:tcBorders>
          </w:tcPr>
          <w:p w14:paraId="0D652656" w14:textId="77777777" w:rsidR="001E5B32" w:rsidRPr="00626D32" w:rsidRDefault="001E5B32" w:rsidP="00BE0D77">
            <w:pPr>
              <w:pStyle w:val="BoxSpaceBelow"/>
            </w:pPr>
          </w:p>
        </w:tc>
      </w:tr>
    </w:tbl>
    <w:p w14:paraId="0D652658" w14:textId="77777777" w:rsidR="006617B9" w:rsidRDefault="00463803" w:rsidP="006617B9">
      <w:pPr>
        <w:pStyle w:val="Heading1"/>
        <w:spacing w:before="0"/>
      </w:pPr>
      <w:bookmarkStart w:id="29" w:name="_Toc488850412"/>
      <w:r>
        <w:t>B</w:t>
      </w:r>
      <w:r w:rsidR="006617B9">
        <w:tab/>
        <w:t>Innovation programmes</w:t>
      </w:r>
      <w:bookmarkEnd w:id="29"/>
    </w:p>
    <w:p w14:paraId="0D652659" w14:textId="77777777" w:rsidR="009E4725" w:rsidRDefault="009E4725" w:rsidP="009E4725">
      <w:pPr>
        <w:pStyle w:val="BoxSpaceAbove"/>
      </w:pPr>
    </w:p>
    <w:tbl>
      <w:tblPr>
        <w:tblW w:w="8789"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647"/>
        <w:gridCol w:w="142"/>
      </w:tblGrid>
      <w:tr w:rsidR="009E4725" w14:paraId="0D65265C" w14:textId="77777777" w:rsidTr="00221950">
        <w:tc>
          <w:tcPr>
            <w:tcW w:w="8789" w:type="dxa"/>
            <w:gridSpan w:val="2"/>
            <w:tcBorders>
              <w:top w:val="single" w:sz="6" w:space="0" w:color="78A22F"/>
              <w:left w:val="nil"/>
              <w:bottom w:val="nil"/>
              <w:right w:val="nil"/>
            </w:tcBorders>
            <w:shd w:val="clear" w:color="auto" w:fill="auto"/>
          </w:tcPr>
          <w:p w14:paraId="0D65265A" w14:textId="77777777" w:rsidR="009E4725" w:rsidRDefault="009E4725" w:rsidP="009E4725">
            <w:pPr>
              <w:pStyle w:val="TableTitle"/>
            </w:pPr>
            <w:r>
              <w:rPr>
                <w:b w:val="0"/>
              </w:rPr>
              <w:t>Table B.</w:t>
            </w:r>
            <w:r w:rsidR="00F97E1E">
              <w:rPr>
                <w:b w:val="0"/>
                <w:noProof/>
              </w:rPr>
              <w:t>1</w:t>
            </w:r>
            <w:r>
              <w:tab/>
            </w:r>
            <w:r w:rsidRPr="000327A4">
              <w:t xml:space="preserve">Australian Government </w:t>
            </w:r>
            <w:r>
              <w:t xml:space="preserve">innovation expenditure by </w:t>
            </w:r>
            <w:r w:rsidRPr="000327A4">
              <w:t>programme</w:t>
            </w:r>
            <w:r>
              <w:t xml:space="preserve"> and portfolio, 2015</w:t>
            </w:r>
            <w:r>
              <w:noBreakHyphen/>
              <w:t>16</w:t>
            </w:r>
          </w:p>
          <w:p w14:paraId="0D65265B" w14:textId="77777777" w:rsidR="009E4725" w:rsidRPr="009E4725" w:rsidRDefault="009E4725" w:rsidP="009E4725">
            <w:pPr>
              <w:pStyle w:val="Subtitle"/>
            </w:pPr>
            <w:r>
              <w:t>$ million; Estimated actual</w:t>
            </w:r>
          </w:p>
        </w:tc>
      </w:tr>
      <w:tr w:rsidR="009E4725" w14:paraId="0D6526D2" w14:textId="77777777" w:rsidTr="00221950">
        <w:tc>
          <w:tcPr>
            <w:tcW w:w="8789" w:type="dxa"/>
            <w:gridSpan w:val="2"/>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4362"/>
              <w:gridCol w:w="2990"/>
              <w:gridCol w:w="1153"/>
            </w:tblGrid>
            <w:tr w:rsidR="00FD03E9" w:rsidRPr="00C60E6A" w14:paraId="0D652660" w14:textId="77777777" w:rsidTr="00B0510F">
              <w:trPr>
                <w:tblHeader/>
              </w:trPr>
              <w:tc>
                <w:tcPr>
                  <w:tcW w:w="2564" w:type="pct"/>
                  <w:tcBorders>
                    <w:top w:val="single" w:sz="6" w:space="0" w:color="BFBFBF"/>
                    <w:bottom w:val="single" w:sz="6" w:space="0" w:color="BFBFBF"/>
                  </w:tcBorders>
                </w:tcPr>
                <w:p w14:paraId="0D65265D" w14:textId="77777777" w:rsidR="00FD03E9" w:rsidRPr="00C60E6A" w:rsidRDefault="00FD03E9" w:rsidP="00B0510F">
                  <w:pPr>
                    <w:pStyle w:val="TableColumnHeading"/>
                    <w:spacing w:before="0" w:after="0"/>
                    <w:jc w:val="left"/>
                    <w:rPr>
                      <w:szCs w:val="18"/>
                    </w:rPr>
                  </w:pPr>
                  <w:r w:rsidRPr="00C60E6A">
                    <w:rPr>
                      <w:szCs w:val="18"/>
                    </w:rPr>
                    <w:t>Programme / Activity</w:t>
                  </w:r>
                </w:p>
              </w:tc>
              <w:tc>
                <w:tcPr>
                  <w:tcW w:w="1758" w:type="pct"/>
                  <w:tcBorders>
                    <w:top w:val="single" w:sz="6" w:space="0" w:color="BFBFBF"/>
                    <w:bottom w:val="single" w:sz="6" w:space="0" w:color="BFBFBF"/>
                  </w:tcBorders>
                </w:tcPr>
                <w:p w14:paraId="0D65265E" w14:textId="77777777" w:rsidR="00FD03E9" w:rsidRPr="00C60E6A" w:rsidRDefault="00FD03E9" w:rsidP="00C60E6A">
                  <w:pPr>
                    <w:pStyle w:val="TableColumnHeading"/>
                    <w:spacing w:before="0" w:after="40"/>
                    <w:jc w:val="left"/>
                    <w:rPr>
                      <w:szCs w:val="18"/>
                    </w:rPr>
                  </w:pPr>
                  <w:r w:rsidRPr="00C60E6A">
                    <w:rPr>
                      <w:szCs w:val="18"/>
                    </w:rPr>
                    <w:t>Portfolio</w:t>
                  </w:r>
                </w:p>
              </w:tc>
              <w:tc>
                <w:tcPr>
                  <w:tcW w:w="678" w:type="pct"/>
                  <w:tcBorders>
                    <w:top w:val="single" w:sz="6" w:space="0" w:color="BFBFBF"/>
                    <w:bottom w:val="single" w:sz="6" w:space="0" w:color="BFBFBF"/>
                  </w:tcBorders>
                </w:tcPr>
                <w:p w14:paraId="0D65265F" w14:textId="77777777" w:rsidR="00FD03E9" w:rsidRPr="00C60E6A" w:rsidRDefault="00FD03E9" w:rsidP="00C60E6A">
                  <w:pPr>
                    <w:pStyle w:val="TableColumnHeading"/>
                    <w:spacing w:before="0" w:after="40"/>
                    <w:rPr>
                      <w:szCs w:val="18"/>
                    </w:rPr>
                  </w:pPr>
                  <w:r w:rsidRPr="00C60E6A">
                    <w:rPr>
                      <w:szCs w:val="18"/>
                    </w:rPr>
                    <w:t>Budgetary</w:t>
                  </w:r>
                  <w:r w:rsidRPr="00C60E6A">
                    <w:rPr>
                      <w:szCs w:val="18"/>
                    </w:rPr>
                    <w:br/>
                    <w:t>outlay</w:t>
                  </w:r>
                </w:p>
              </w:tc>
            </w:tr>
            <w:tr w:rsidR="00FD03E9" w:rsidRPr="00C60E6A" w14:paraId="0D652664" w14:textId="77777777" w:rsidTr="00B0510F">
              <w:tc>
                <w:tcPr>
                  <w:tcW w:w="2564" w:type="pct"/>
                  <w:tcBorders>
                    <w:top w:val="single" w:sz="6" w:space="0" w:color="BFBFBF"/>
                  </w:tcBorders>
                </w:tcPr>
                <w:p w14:paraId="0D652661" w14:textId="77777777" w:rsidR="00FD03E9" w:rsidRPr="00C60E6A" w:rsidRDefault="00FD03E9" w:rsidP="004775C9">
                  <w:pPr>
                    <w:pStyle w:val="TableBodyText"/>
                    <w:spacing w:before="120"/>
                    <w:ind w:left="262" w:hanging="256"/>
                    <w:jc w:val="left"/>
                    <w:rPr>
                      <w:szCs w:val="18"/>
                    </w:rPr>
                  </w:pPr>
                  <w:r w:rsidRPr="00C60E6A">
                    <w:rPr>
                      <w:szCs w:val="18"/>
                    </w:rPr>
                    <w:t>R&amp;D Tax Incentives – Refundable</w:t>
                  </w:r>
                </w:p>
              </w:tc>
              <w:tc>
                <w:tcPr>
                  <w:tcW w:w="1758" w:type="pct"/>
                  <w:tcBorders>
                    <w:top w:val="single" w:sz="6" w:space="0" w:color="BFBFBF"/>
                  </w:tcBorders>
                </w:tcPr>
                <w:p w14:paraId="0D652662" w14:textId="77777777" w:rsidR="00FD03E9" w:rsidRPr="00C60E6A" w:rsidRDefault="00FD03E9" w:rsidP="004775C9">
                  <w:pPr>
                    <w:pStyle w:val="TableBodyText"/>
                    <w:spacing w:before="120"/>
                    <w:jc w:val="left"/>
                    <w:rPr>
                      <w:szCs w:val="18"/>
                    </w:rPr>
                  </w:pPr>
                  <w:r w:rsidRPr="00C60E6A">
                    <w:rPr>
                      <w:szCs w:val="18"/>
                    </w:rPr>
                    <w:t>Industry, Innovation and Science</w:t>
                  </w:r>
                </w:p>
              </w:tc>
              <w:tc>
                <w:tcPr>
                  <w:tcW w:w="678" w:type="pct"/>
                  <w:tcBorders>
                    <w:top w:val="single" w:sz="6" w:space="0" w:color="BFBFBF"/>
                  </w:tcBorders>
                </w:tcPr>
                <w:p w14:paraId="0D652663" w14:textId="77777777" w:rsidR="00FD03E9" w:rsidRPr="00C60E6A" w:rsidRDefault="002D4E49" w:rsidP="004775C9">
                  <w:pPr>
                    <w:pStyle w:val="TableBodyText"/>
                    <w:spacing w:before="120"/>
                    <w:rPr>
                      <w:szCs w:val="18"/>
                    </w:rPr>
                  </w:pPr>
                  <w:r>
                    <w:rPr>
                      <w:szCs w:val="18"/>
                    </w:rPr>
                    <w:t>2 </w:t>
                  </w:r>
                  <w:r w:rsidR="00FD03E9" w:rsidRPr="00C60E6A">
                    <w:rPr>
                      <w:szCs w:val="18"/>
                    </w:rPr>
                    <w:t>340</w:t>
                  </w:r>
                </w:p>
              </w:tc>
            </w:tr>
            <w:tr w:rsidR="00FD03E9" w:rsidRPr="00C60E6A" w14:paraId="0D652668" w14:textId="77777777" w:rsidTr="00B0510F">
              <w:tc>
                <w:tcPr>
                  <w:tcW w:w="2564" w:type="pct"/>
                </w:tcPr>
                <w:p w14:paraId="0D652665" w14:textId="77777777" w:rsidR="00FD03E9" w:rsidRPr="00C60E6A" w:rsidRDefault="00FD03E9" w:rsidP="004775C9">
                  <w:pPr>
                    <w:pStyle w:val="TableBodyText"/>
                    <w:ind w:left="262" w:hanging="256"/>
                    <w:jc w:val="left"/>
                    <w:rPr>
                      <w:szCs w:val="18"/>
                    </w:rPr>
                  </w:pPr>
                  <w:r w:rsidRPr="00C60E6A">
                    <w:rPr>
                      <w:szCs w:val="18"/>
                    </w:rPr>
                    <w:t>R&amp;D Tax Incentives – Non Refundable</w:t>
                  </w:r>
                  <w:r w:rsidR="00054209">
                    <w:rPr>
                      <w:szCs w:val="18"/>
                    </w:rPr>
                    <w:t xml:space="preserve"> </w:t>
                  </w:r>
                </w:p>
              </w:tc>
              <w:tc>
                <w:tcPr>
                  <w:tcW w:w="1758" w:type="pct"/>
                </w:tcPr>
                <w:p w14:paraId="0D652666"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67" w14:textId="77777777" w:rsidR="00FD03E9" w:rsidRPr="00C60E6A" w:rsidRDefault="00FD03E9" w:rsidP="00C60E6A">
                  <w:pPr>
                    <w:pStyle w:val="TableBodyText"/>
                    <w:rPr>
                      <w:szCs w:val="18"/>
                    </w:rPr>
                  </w:pPr>
                  <w:r w:rsidRPr="00C60E6A">
                    <w:rPr>
                      <w:szCs w:val="18"/>
                    </w:rPr>
                    <w:t>850</w:t>
                  </w:r>
                </w:p>
              </w:tc>
            </w:tr>
            <w:tr w:rsidR="00FD03E9" w:rsidRPr="00C60E6A" w14:paraId="0D65266C" w14:textId="77777777" w:rsidTr="00B0510F">
              <w:tc>
                <w:tcPr>
                  <w:tcW w:w="2564" w:type="pct"/>
                </w:tcPr>
                <w:p w14:paraId="0D652669" w14:textId="77777777" w:rsidR="00FD03E9" w:rsidRPr="00C60E6A" w:rsidRDefault="00FD03E9" w:rsidP="004775C9">
                  <w:pPr>
                    <w:pStyle w:val="TableBodyText"/>
                    <w:ind w:left="262" w:hanging="256"/>
                    <w:jc w:val="left"/>
                    <w:rPr>
                      <w:szCs w:val="18"/>
                    </w:rPr>
                  </w:pPr>
                  <w:r w:rsidRPr="00C60E6A">
                    <w:rPr>
                      <w:szCs w:val="18"/>
                    </w:rPr>
                    <w:t>NHMRC Research Grants</w:t>
                  </w:r>
                </w:p>
              </w:tc>
              <w:tc>
                <w:tcPr>
                  <w:tcW w:w="1758" w:type="pct"/>
                </w:tcPr>
                <w:p w14:paraId="0D65266A" w14:textId="77777777" w:rsidR="00FD03E9" w:rsidRPr="00C60E6A" w:rsidRDefault="00FD03E9" w:rsidP="00C60E6A">
                  <w:pPr>
                    <w:pStyle w:val="TableBodyText"/>
                    <w:jc w:val="left"/>
                    <w:rPr>
                      <w:szCs w:val="18"/>
                    </w:rPr>
                  </w:pPr>
                  <w:r w:rsidRPr="00C60E6A">
                    <w:rPr>
                      <w:szCs w:val="18"/>
                    </w:rPr>
                    <w:t>Health</w:t>
                  </w:r>
                </w:p>
              </w:tc>
              <w:tc>
                <w:tcPr>
                  <w:tcW w:w="678" w:type="pct"/>
                </w:tcPr>
                <w:p w14:paraId="0D65266B" w14:textId="77777777" w:rsidR="00FD03E9" w:rsidRPr="00C60E6A" w:rsidRDefault="00FD03E9" w:rsidP="00C60E6A">
                  <w:pPr>
                    <w:pStyle w:val="TableBodyText"/>
                    <w:rPr>
                      <w:szCs w:val="18"/>
                    </w:rPr>
                  </w:pPr>
                  <w:r w:rsidRPr="00C60E6A">
                    <w:rPr>
                      <w:szCs w:val="18"/>
                    </w:rPr>
                    <w:t>846</w:t>
                  </w:r>
                </w:p>
              </w:tc>
            </w:tr>
            <w:tr w:rsidR="00FD03E9" w:rsidRPr="00C60E6A" w14:paraId="0D652670" w14:textId="77777777" w:rsidTr="00B0510F">
              <w:tc>
                <w:tcPr>
                  <w:tcW w:w="2564" w:type="pct"/>
                </w:tcPr>
                <w:p w14:paraId="0D65266D" w14:textId="77777777" w:rsidR="00FD03E9" w:rsidRPr="00C60E6A" w:rsidRDefault="00FD03E9" w:rsidP="004775C9">
                  <w:pPr>
                    <w:pStyle w:val="TableBodyText"/>
                    <w:ind w:left="262" w:hanging="256"/>
                    <w:jc w:val="left"/>
                    <w:rPr>
                      <w:szCs w:val="18"/>
                    </w:rPr>
                  </w:pPr>
                  <w:r w:rsidRPr="00C60E6A">
                    <w:rPr>
                      <w:szCs w:val="18"/>
                    </w:rPr>
                    <w:t>Australian Research Council (ARC) – National Competitive Grants Program</w:t>
                  </w:r>
                </w:p>
              </w:tc>
              <w:tc>
                <w:tcPr>
                  <w:tcW w:w="1758" w:type="pct"/>
                </w:tcPr>
                <w:p w14:paraId="0D65266E"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6F" w14:textId="77777777" w:rsidR="00FD03E9" w:rsidRPr="00C60E6A" w:rsidRDefault="00FD03E9" w:rsidP="00C60E6A">
                  <w:pPr>
                    <w:pStyle w:val="TableBodyText"/>
                    <w:rPr>
                      <w:szCs w:val="18"/>
                    </w:rPr>
                  </w:pPr>
                  <w:r w:rsidRPr="00C60E6A">
                    <w:rPr>
                      <w:szCs w:val="18"/>
                    </w:rPr>
                    <w:t>816</w:t>
                  </w:r>
                </w:p>
              </w:tc>
            </w:tr>
            <w:tr w:rsidR="00FD03E9" w:rsidRPr="00C60E6A" w14:paraId="0D652674" w14:textId="77777777" w:rsidTr="00B0510F">
              <w:tc>
                <w:tcPr>
                  <w:tcW w:w="2564" w:type="pct"/>
                </w:tcPr>
                <w:p w14:paraId="0D652671" w14:textId="77777777" w:rsidR="00FD03E9" w:rsidRPr="00C60E6A" w:rsidRDefault="00FD03E9" w:rsidP="004775C9">
                  <w:pPr>
                    <w:pStyle w:val="TableBodyText"/>
                    <w:ind w:left="262" w:hanging="256"/>
                    <w:jc w:val="left"/>
                    <w:rPr>
                      <w:szCs w:val="18"/>
                    </w:rPr>
                  </w:pPr>
                  <w:r w:rsidRPr="00C60E6A">
                    <w:rPr>
                      <w:szCs w:val="18"/>
                    </w:rPr>
                    <w:t>Commonwealth Scientific and Industrial Research Organisation (CSIRO)</w:t>
                  </w:r>
                </w:p>
              </w:tc>
              <w:tc>
                <w:tcPr>
                  <w:tcW w:w="1758" w:type="pct"/>
                </w:tcPr>
                <w:p w14:paraId="0D652672"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73" w14:textId="77777777" w:rsidR="00FD03E9" w:rsidRPr="00C60E6A" w:rsidRDefault="00FD03E9" w:rsidP="00C60E6A">
                  <w:pPr>
                    <w:pStyle w:val="TableBodyText"/>
                    <w:rPr>
                      <w:szCs w:val="18"/>
                    </w:rPr>
                  </w:pPr>
                  <w:r w:rsidRPr="00C60E6A">
                    <w:rPr>
                      <w:szCs w:val="18"/>
                    </w:rPr>
                    <w:t>750</w:t>
                  </w:r>
                </w:p>
              </w:tc>
            </w:tr>
            <w:tr w:rsidR="00FD03E9" w:rsidRPr="00C60E6A" w14:paraId="0D652678" w14:textId="77777777" w:rsidTr="00B0510F">
              <w:tc>
                <w:tcPr>
                  <w:tcW w:w="2564" w:type="pct"/>
                </w:tcPr>
                <w:p w14:paraId="0D652675" w14:textId="77777777" w:rsidR="00FD03E9" w:rsidRPr="00C60E6A" w:rsidRDefault="00FD03E9" w:rsidP="004775C9">
                  <w:pPr>
                    <w:pStyle w:val="TableBodyText"/>
                    <w:ind w:left="262" w:hanging="256"/>
                    <w:jc w:val="left"/>
                    <w:rPr>
                      <w:szCs w:val="18"/>
                    </w:rPr>
                  </w:pPr>
                  <w:r w:rsidRPr="00C60E6A">
                    <w:rPr>
                      <w:szCs w:val="18"/>
                    </w:rPr>
                    <w:t>Research Training Scheme</w:t>
                  </w:r>
                </w:p>
              </w:tc>
              <w:tc>
                <w:tcPr>
                  <w:tcW w:w="1758" w:type="pct"/>
                </w:tcPr>
                <w:p w14:paraId="0D652676"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77" w14:textId="77777777" w:rsidR="00FD03E9" w:rsidRPr="00C60E6A" w:rsidRDefault="00FD03E9" w:rsidP="00C60E6A">
                  <w:pPr>
                    <w:pStyle w:val="TableBodyText"/>
                    <w:rPr>
                      <w:szCs w:val="18"/>
                    </w:rPr>
                  </w:pPr>
                  <w:r w:rsidRPr="00C60E6A">
                    <w:rPr>
                      <w:szCs w:val="18"/>
                    </w:rPr>
                    <w:t>684</w:t>
                  </w:r>
                </w:p>
              </w:tc>
            </w:tr>
            <w:tr w:rsidR="00FD03E9" w:rsidRPr="00C60E6A" w14:paraId="0D65267C" w14:textId="77777777" w:rsidTr="00B0510F">
              <w:tc>
                <w:tcPr>
                  <w:tcW w:w="2564" w:type="pct"/>
                </w:tcPr>
                <w:p w14:paraId="0D652679" w14:textId="77777777" w:rsidR="00FD03E9" w:rsidRPr="00C60E6A" w:rsidRDefault="00FD03E9" w:rsidP="004775C9">
                  <w:pPr>
                    <w:pStyle w:val="TableBodyText"/>
                    <w:ind w:left="262" w:hanging="256"/>
                    <w:jc w:val="left"/>
                    <w:rPr>
                      <w:szCs w:val="18"/>
                    </w:rPr>
                  </w:pPr>
                  <w:r w:rsidRPr="00C60E6A">
                    <w:rPr>
                      <w:szCs w:val="18"/>
                    </w:rPr>
                    <w:t>Defence Science and Technology Group (DST Group)</w:t>
                  </w:r>
                </w:p>
              </w:tc>
              <w:tc>
                <w:tcPr>
                  <w:tcW w:w="1758" w:type="pct"/>
                </w:tcPr>
                <w:p w14:paraId="0D65267A" w14:textId="77777777" w:rsidR="00FD03E9" w:rsidRPr="00C60E6A" w:rsidRDefault="00FD03E9" w:rsidP="00C60E6A">
                  <w:pPr>
                    <w:pStyle w:val="TableBodyText"/>
                    <w:jc w:val="left"/>
                    <w:rPr>
                      <w:szCs w:val="18"/>
                    </w:rPr>
                  </w:pPr>
                  <w:r w:rsidRPr="00C60E6A">
                    <w:rPr>
                      <w:szCs w:val="18"/>
                    </w:rPr>
                    <w:t>Defence</w:t>
                  </w:r>
                </w:p>
              </w:tc>
              <w:tc>
                <w:tcPr>
                  <w:tcW w:w="678" w:type="pct"/>
                </w:tcPr>
                <w:p w14:paraId="0D65267B" w14:textId="77777777" w:rsidR="00FD03E9" w:rsidRPr="00C60E6A" w:rsidRDefault="00FD03E9" w:rsidP="00C60E6A">
                  <w:pPr>
                    <w:pStyle w:val="TableBodyText"/>
                    <w:rPr>
                      <w:szCs w:val="18"/>
                    </w:rPr>
                  </w:pPr>
                  <w:r w:rsidRPr="00C60E6A">
                    <w:rPr>
                      <w:szCs w:val="18"/>
                    </w:rPr>
                    <w:t>464</w:t>
                  </w:r>
                </w:p>
              </w:tc>
            </w:tr>
            <w:tr w:rsidR="00FD03E9" w:rsidRPr="00C60E6A" w14:paraId="0D652680" w14:textId="77777777" w:rsidTr="00B0510F">
              <w:tc>
                <w:tcPr>
                  <w:tcW w:w="2564" w:type="pct"/>
                </w:tcPr>
                <w:p w14:paraId="0D65267D" w14:textId="77777777" w:rsidR="00FD03E9" w:rsidRPr="00C60E6A" w:rsidRDefault="00FD03E9" w:rsidP="004775C9">
                  <w:pPr>
                    <w:pStyle w:val="TableBodyText"/>
                    <w:ind w:left="262" w:hanging="256"/>
                    <w:jc w:val="left"/>
                    <w:rPr>
                      <w:szCs w:val="18"/>
                    </w:rPr>
                  </w:pPr>
                  <w:r w:rsidRPr="00C60E6A">
                    <w:rPr>
                      <w:szCs w:val="18"/>
                    </w:rPr>
                    <w:t>Joint Research Engagement Program</w:t>
                  </w:r>
                </w:p>
              </w:tc>
              <w:tc>
                <w:tcPr>
                  <w:tcW w:w="1758" w:type="pct"/>
                </w:tcPr>
                <w:p w14:paraId="0D65267E"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7F" w14:textId="77777777" w:rsidR="00FD03E9" w:rsidRPr="00C60E6A" w:rsidRDefault="00FD03E9" w:rsidP="00C60E6A">
                  <w:pPr>
                    <w:pStyle w:val="TableBodyText"/>
                    <w:rPr>
                      <w:szCs w:val="18"/>
                    </w:rPr>
                  </w:pPr>
                  <w:r w:rsidRPr="00C60E6A">
                    <w:rPr>
                      <w:szCs w:val="18"/>
                    </w:rPr>
                    <w:t>360</w:t>
                  </w:r>
                </w:p>
              </w:tc>
            </w:tr>
            <w:tr w:rsidR="00FD03E9" w:rsidRPr="00C60E6A" w14:paraId="0D652684" w14:textId="77777777" w:rsidTr="00B0510F">
              <w:tc>
                <w:tcPr>
                  <w:tcW w:w="2564" w:type="pct"/>
                </w:tcPr>
                <w:p w14:paraId="0D652681" w14:textId="77777777" w:rsidR="00FD03E9" w:rsidRPr="00C60E6A" w:rsidRDefault="00FD03E9" w:rsidP="004775C9">
                  <w:pPr>
                    <w:pStyle w:val="TableBodyText"/>
                    <w:ind w:left="262" w:hanging="256"/>
                    <w:jc w:val="left"/>
                    <w:rPr>
                      <w:szCs w:val="18"/>
                    </w:rPr>
                  </w:pPr>
                  <w:r w:rsidRPr="00C60E6A">
                    <w:rPr>
                      <w:szCs w:val="18"/>
                    </w:rPr>
                    <w:t xml:space="preserve">Australian Postgraduate Awards </w:t>
                  </w:r>
                </w:p>
              </w:tc>
              <w:tc>
                <w:tcPr>
                  <w:tcW w:w="1758" w:type="pct"/>
                </w:tcPr>
                <w:p w14:paraId="0D652682"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83" w14:textId="77777777" w:rsidR="00FD03E9" w:rsidRPr="00C60E6A" w:rsidRDefault="00FD03E9" w:rsidP="00C60E6A">
                  <w:pPr>
                    <w:pStyle w:val="TableBodyText"/>
                    <w:rPr>
                      <w:szCs w:val="18"/>
                    </w:rPr>
                  </w:pPr>
                  <w:r w:rsidRPr="00C60E6A">
                    <w:rPr>
                      <w:szCs w:val="18"/>
                    </w:rPr>
                    <w:t>282</w:t>
                  </w:r>
                </w:p>
              </w:tc>
            </w:tr>
            <w:tr w:rsidR="00FD03E9" w:rsidRPr="00C60E6A" w14:paraId="0D652688" w14:textId="77777777" w:rsidTr="00B0510F">
              <w:tc>
                <w:tcPr>
                  <w:tcW w:w="2564" w:type="pct"/>
                </w:tcPr>
                <w:p w14:paraId="0D652685" w14:textId="77777777" w:rsidR="00FD03E9" w:rsidRPr="00C60E6A" w:rsidRDefault="00FD03E9" w:rsidP="004775C9">
                  <w:pPr>
                    <w:pStyle w:val="TableBodyText"/>
                    <w:ind w:left="262" w:hanging="256"/>
                    <w:jc w:val="left"/>
                    <w:rPr>
                      <w:szCs w:val="18"/>
                    </w:rPr>
                  </w:pPr>
                  <w:r w:rsidRPr="00C60E6A">
                    <w:rPr>
                      <w:szCs w:val="18"/>
                    </w:rPr>
                    <w:t xml:space="preserve">Research Infrastructure Block Grants </w:t>
                  </w:r>
                </w:p>
              </w:tc>
              <w:tc>
                <w:tcPr>
                  <w:tcW w:w="1758" w:type="pct"/>
                </w:tcPr>
                <w:p w14:paraId="0D652686"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87" w14:textId="77777777" w:rsidR="00FD03E9" w:rsidRPr="00C60E6A" w:rsidRDefault="00FD03E9" w:rsidP="00C60E6A">
                  <w:pPr>
                    <w:pStyle w:val="TableBodyText"/>
                    <w:rPr>
                      <w:szCs w:val="18"/>
                    </w:rPr>
                  </w:pPr>
                  <w:r w:rsidRPr="00C60E6A">
                    <w:rPr>
                      <w:szCs w:val="18"/>
                    </w:rPr>
                    <w:t>242</w:t>
                  </w:r>
                </w:p>
              </w:tc>
            </w:tr>
            <w:tr w:rsidR="00FD03E9" w:rsidRPr="00C60E6A" w14:paraId="0D65268C" w14:textId="77777777" w:rsidTr="00B0510F">
              <w:tc>
                <w:tcPr>
                  <w:tcW w:w="2564" w:type="pct"/>
                </w:tcPr>
                <w:p w14:paraId="0D652689" w14:textId="77777777" w:rsidR="00FD03E9" w:rsidRPr="00C60E6A" w:rsidRDefault="00FD03E9" w:rsidP="004775C9">
                  <w:pPr>
                    <w:pStyle w:val="TableBodyText"/>
                    <w:ind w:left="262" w:hanging="256"/>
                    <w:jc w:val="left"/>
                    <w:rPr>
                      <w:szCs w:val="18"/>
                    </w:rPr>
                  </w:pPr>
                  <w:r w:rsidRPr="00C60E6A">
                    <w:rPr>
                      <w:szCs w:val="18"/>
                    </w:rPr>
                    <w:t>Sustainable Research Excellence in Universities</w:t>
                  </w:r>
                </w:p>
              </w:tc>
              <w:tc>
                <w:tcPr>
                  <w:tcW w:w="1758" w:type="pct"/>
                </w:tcPr>
                <w:p w14:paraId="0D65268A"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8B" w14:textId="77777777" w:rsidR="00FD03E9" w:rsidRPr="00C60E6A" w:rsidRDefault="00FD03E9" w:rsidP="00C60E6A">
                  <w:pPr>
                    <w:pStyle w:val="TableBodyText"/>
                    <w:rPr>
                      <w:szCs w:val="18"/>
                    </w:rPr>
                  </w:pPr>
                  <w:r w:rsidRPr="00C60E6A">
                    <w:rPr>
                      <w:szCs w:val="18"/>
                    </w:rPr>
                    <w:t>239</w:t>
                  </w:r>
                </w:p>
              </w:tc>
            </w:tr>
            <w:tr w:rsidR="00FD03E9" w:rsidRPr="00C60E6A" w14:paraId="0D652690" w14:textId="77777777" w:rsidTr="00B0510F">
              <w:tc>
                <w:tcPr>
                  <w:tcW w:w="2564" w:type="pct"/>
                </w:tcPr>
                <w:p w14:paraId="0D65268D" w14:textId="77777777" w:rsidR="00FD03E9" w:rsidRPr="00C60E6A" w:rsidRDefault="00FD03E9" w:rsidP="004775C9">
                  <w:pPr>
                    <w:pStyle w:val="TableBodyText"/>
                    <w:ind w:left="262" w:hanging="256"/>
                    <w:jc w:val="left"/>
                    <w:rPr>
                      <w:szCs w:val="18"/>
                    </w:rPr>
                  </w:pPr>
                  <w:r w:rsidRPr="00C60E6A">
                    <w:rPr>
                      <w:szCs w:val="18"/>
                    </w:rPr>
                    <w:t>Australian Nuclear Science &amp; Technology Organisation (ANSTO)</w:t>
                  </w:r>
                </w:p>
              </w:tc>
              <w:tc>
                <w:tcPr>
                  <w:tcW w:w="1758" w:type="pct"/>
                </w:tcPr>
                <w:p w14:paraId="0D65268E"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8F" w14:textId="77777777" w:rsidR="00FD03E9" w:rsidRPr="00C60E6A" w:rsidRDefault="00FD03E9" w:rsidP="00C60E6A">
                  <w:pPr>
                    <w:pStyle w:val="TableBodyText"/>
                    <w:rPr>
                      <w:szCs w:val="18"/>
                    </w:rPr>
                  </w:pPr>
                  <w:r w:rsidRPr="00C60E6A">
                    <w:rPr>
                      <w:szCs w:val="18"/>
                    </w:rPr>
                    <w:t>193</w:t>
                  </w:r>
                </w:p>
              </w:tc>
            </w:tr>
            <w:tr w:rsidR="00FD03E9" w:rsidRPr="00C60E6A" w14:paraId="0D652694" w14:textId="77777777" w:rsidTr="00B0510F">
              <w:tc>
                <w:tcPr>
                  <w:tcW w:w="2564" w:type="pct"/>
                </w:tcPr>
                <w:p w14:paraId="0D652691" w14:textId="77777777" w:rsidR="00FD03E9" w:rsidRPr="00C60E6A" w:rsidRDefault="00FD03E9" w:rsidP="004775C9">
                  <w:pPr>
                    <w:pStyle w:val="TableBodyText"/>
                    <w:ind w:left="262" w:hanging="256"/>
                    <w:jc w:val="left"/>
                    <w:rPr>
                      <w:szCs w:val="18"/>
                    </w:rPr>
                  </w:pPr>
                  <w:r w:rsidRPr="00C60E6A">
                    <w:rPr>
                      <w:szCs w:val="18"/>
                    </w:rPr>
                    <w:t>National Institutes Program – ANU Component</w:t>
                  </w:r>
                </w:p>
              </w:tc>
              <w:tc>
                <w:tcPr>
                  <w:tcW w:w="1758" w:type="pct"/>
                </w:tcPr>
                <w:p w14:paraId="0D652692"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93" w14:textId="77777777" w:rsidR="00FD03E9" w:rsidRPr="00C60E6A" w:rsidRDefault="00FD03E9" w:rsidP="00C60E6A">
                  <w:pPr>
                    <w:pStyle w:val="TableBodyText"/>
                    <w:rPr>
                      <w:szCs w:val="18"/>
                    </w:rPr>
                  </w:pPr>
                  <w:r w:rsidRPr="00C60E6A">
                    <w:rPr>
                      <w:szCs w:val="18"/>
                    </w:rPr>
                    <w:t>192</w:t>
                  </w:r>
                </w:p>
              </w:tc>
            </w:tr>
            <w:tr w:rsidR="00FD03E9" w:rsidRPr="00C60E6A" w14:paraId="0D652698" w14:textId="77777777" w:rsidTr="00B0510F">
              <w:tc>
                <w:tcPr>
                  <w:tcW w:w="2564" w:type="pct"/>
                </w:tcPr>
                <w:p w14:paraId="0D652695" w14:textId="77777777" w:rsidR="00FD03E9" w:rsidRPr="00C60E6A" w:rsidRDefault="00FD03E9" w:rsidP="004775C9">
                  <w:pPr>
                    <w:pStyle w:val="TableBodyText"/>
                    <w:ind w:left="262" w:hanging="256"/>
                    <w:jc w:val="left"/>
                    <w:rPr>
                      <w:szCs w:val="18"/>
                    </w:rPr>
                  </w:pPr>
                  <w:r w:rsidRPr="00C60E6A">
                    <w:rPr>
                      <w:szCs w:val="18"/>
                    </w:rPr>
                    <w:t>Australian Renewable Energy Agency (ARENA)</w:t>
                  </w:r>
                </w:p>
              </w:tc>
              <w:tc>
                <w:tcPr>
                  <w:tcW w:w="1758" w:type="pct"/>
                </w:tcPr>
                <w:p w14:paraId="0D652696" w14:textId="77777777" w:rsidR="00FD03E9" w:rsidRPr="00C60E6A" w:rsidRDefault="00FD03E9" w:rsidP="00C60E6A">
                  <w:pPr>
                    <w:pStyle w:val="TableBodyText"/>
                    <w:jc w:val="left"/>
                    <w:rPr>
                      <w:szCs w:val="18"/>
                    </w:rPr>
                  </w:pPr>
                  <w:r w:rsidRPr="00C60E6A">
                    <w:rPr>
                      <w:szCs w:val="18"/>
                    </w:rPr>
                    <w:t>Environment and Energy</w:t>
                  </w:r>
                </w:p>
              </w:tc>
              <w:tc>
                <w:tcPr>
                  <w:tcW w:w="678" w:type="pct"/>
                </w:tcPr>
                <w:p w14:paraId="0D652697" w14:textId="77777777" w:rsidR="00FD03E9" w:rsidRPr="00C60E6A" w:rsidRDefault="00FD03E9" w:rsidP="00C60E6A">
                  <w:pPr>
                    <w:pStyle w:val="TableBodyText"/>
                    <w:rPr>
                      <w:szCs w:val="18"/>
                    </w:rPr>
                  </w:pPr>
                  <w:r w:rsidRPr="00C60E6A">
                    <w:rPr>
                      <w:szCs w:val="18"/>
                    </w:rPr>
                    <w:t>169</w:t>
                  </w:r>
                </w:p>
              </w:tc>
            </w:tr>
            <w:tr w:rsidR="00FD03E9" w:rsidRPr="00C60E6A" w14:paraId="0D65269C" w14:textId="77777777" w:rsidTr="00B0510F">
              <w:tc>
                <w:tcPr>
                  <w:tcW w:w="2564" w:type="pct"/>
                </w:tcPr>
                <w:p w14:paraId="0D652699" w14:textId="77777777" w:rsidR="00FD03E9" w:rsidRPr="00C60E6A" w:rsidRDefault="00FD03E9" w:rsidP="004775C9">
                  <w:pPr>
                    <w:pStyle w:val="TableBodyText"/>
                    <w:ind w:left="262" w:hanging="256"/>
                    <w:jc w:val="left"/>
                    <w:rPr>
                      <w:szCs w:val="18"/>
                    </w:rPr>
                  </w:pPr>
                  <w:r w:rsidRPr="00C60E6A">
                    <w:rPr>
                      <w:szCs w:val="18"/>
                    </w:rPr>
                    <w:t>National Collaborative Research Infrastructure Strategy</w:t>
                  </w:r>
                </w:p>
              </w:tc>
              <w:tc>
                <w:tcPr>
                  <w:tcW w:w="1758" w:type="pct"/>
                </w:tcPr>
                <w:p w14:paraId="0D65269A" w14:textId="77777777" w:rsidR="00FD03E9" w:rsidRPr="00C60E6A" w:rsidRDefault="00FD03E9" w:rsidP="00C60E6A">
                  <w:pPr>
                    <w:pStyle w:val="TableBodyText"/>
                    <w:jc w:val="left"/>
                    <w:rPr>
                      <w:szCs w:val="18"/>
                    </w:rPr>
                  </w:pPr>
                  <w:r w:rsidRPr="00C60E6A">
                    <w:rPr>
                      <w:szCs w:val="18"/>
                    </w:rPr>
                    <w:t>Education and Training</w:t>
                  </w:r>
                </w:p>
              </w:tc>
              <w:tc>
                <w:tcPr>
                  <w:tcW w:w="678" w:type="pct"/>
                </w:tcPr>
                <w:p w14:paraId="0D65269B" w14:textId="77777777" w:rsidR="00FD03E9" w:rsidRPr="00C60E6A" w:rsidRDefault="00FD03E9" w:rsidP="00C60E6A">
                  <w:pPr>
                    <w:pStyle w:val="TableBodyText"/>
                    <w:rPr>
                      <w:szCs w:val="18"/>
                    </w:rPr>
                  </w:pPr>
                  <w:r w:rsidRPr="00C60E6A">
                    <w:rPr>
                      <w:szCs w:val="18"/>
                    </w:rPr>
                    <w:t>150</w:t>
                  </w:r>
                </w:p>
              </w:tc>
            </w:tr>
            <w:tr w:rsidR="00FD03E9" w:rsidRPr="00C60E6A" w14:paraId="0D6526A0" w14:textId="77777777" w:rsidTr="00B0510F">
              <w:tc>
                <w:tcPr>
                  <w:tcW w:w="2564" w:type="pct"/>
                </w:tcPr>
                <w:p w14:paraId="0D65269D" w14:textId="77777777" w:rsidR="00FD03E9" w:rsidRPr="00C60E6A" w:rsidRDefault="00FD03E9" w:rsidP="004775C9">
                  <w:pPr>
                    <w:pStyle w:val="TableBodyText"/>
                    <w:ind w:left="262" w:hanging="256"/>
                    <w:jc w:val="left"/>
                    <w:rPr>
                      <w:szCs w:val="18"/>
                    </w:rPr>
                  </w:pPr>
                  <w:r w:rsidRPr="00C60E6A">
                    <w:rPr>
                      <w:szCs w:val="18"/>
                    </w:rPr>
                    <w:t>Cooperative Research Centres Programme</w:t>
                  </w:r>
                </w:p>
              </w:tc>
              <w:tc>
                <w:tcPr>
                  <w:tcW w:w="1758" w:type="pct"/>
                </w:tcPr>
                <w:p w14:paraId="0D65269E"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9F" w14:textId="77777777" w:rsidR="00FD03E9" w:rsidRPr="00C60E6A" w:rsidRDefault="00FD03E9" w:rsidP="00C60E6A">
                  <w:pPr>
                    <w:pStyle w:val="TableBodyText"/>
                    <w:rPr>
                      <w:szCs w:val="18"/>
                    </w:rPr>
                  </w:pPr>
                  <w:r w:rsidRPr="00C60E6A">
                    <w:rPr>
                      <w:szCs w:val="18"/>
                    </w:rPr>
                    <w:t>141</w:t>
                  </w:r>
                </w:p>
              </w:tc>
            </w:tr>
            <w:tr w:rsidR="00FD03E9" w:rsidRPr="00C60E6A" w14:paraId="0D6526A4" w14:textId="77777777" w:rsidTr="00B0510F">
              <w:tc>
                <w:tcPr>
                  <w:tcW w:w="2564" w:type="pct"/>
                </w:tcPr>
                <w:p w14:paraId="0D6526A1" w14:textId="77777777" w:rsidR="00FD03E9" w:rsidRPr="00C60E6A" w:rsidRDefault="00FD03E9" w:rsidP="004775C9">
                  <w:pPr>
                    <w:pStyle w:val="TableBodyText"/>
                    <w:ind w:left="262" w:hanging="256"/>
                    <w:jc w:val="left"/>
                    <w:rPr>
                      <w:szCs w:val="18"/>
                    </w:rPr>
                  </w:pPr>
                  <w:r w:rsidRPr="00C60E6A">
                    <w:rPr>
                      <w:szCs w:val="18"/>
                    </w:rPr>
                    <w:t>Automotive Transformation Scheme</w:t>
                  </w:r>
                </w:p>
              </w:tc>
              <w:tc>
                <w:tcPr>
                  <w:tcW w:w="1758" w:type="pct"/>
                </w:tcPr>
                <w:p w14:paraId="0D6526A2"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A3" w14:textId="77777777" w:rsidR="00FD03E9" w:rsidRPr="00C60E6A" w:rsidRDefault="00FD03E9" w:rsidP="00C60E6A">
                  <w:pPr>
                    <w:pStyle w:val="TableBodyText"/>
                    <w:rPr>
                      <w:szCs w:val="18"/>
                    </w:rPr>
                  </w:pPr>
                  <w:r w:rsidRPr="00C60E6A">
                    <w:rPr>
                      <w:szCs w:val="18"/>
                    </w:rPr>
                    <w:t>132</w:t>
                  </w:r>
                </w:p>
              </w:tc>
            </w:tr>
            <w:tr w:rsidR="00FD03E9" w:rsidRPr="00C60E6A" w14:paraId="0D6526A8" w14:textId="77777777" w:rsidTr="00B0510F">
              <w:tc>
                <w:tcPr>
                  <w:tcW w:w="2564" w:type="pct"/>
                </w:tcPr>
                <w:p w14:paraId="0D6526A5" w14:textId="77777777" w:rsidR="00FD03E9" w:rsidRPr="00C60E6A" w:rsidRDefault="00FD03E9" w:rsidP="004775C9">
                  <w:pPr>
                    <w:pStyle w:val="TableBodyText"/>
                    <w:ind w:left="262" w:hanging="256"/>
                    <w:jc w:val="left"/>
                    <w:rPr>
                      <w:szCs w:val="18"/>
                    </w:rPr>
                  </w:pPr>
                  <w:r w:rsidRPr="00C60E6A">
                    <w:rPr>
                      <w:szCs w:val="18"/>
                    </w:rPr>
                    <w:t xml:space="preserve">Biomedical Translation Fund </w:t>
                  </w:r>
                </w:p>
              </w:tc>
              <w:tc>
                <w:tcPr>
                  <w:tcW w:w="1758" w:type="pct"/>
                </w:tcPr>
                <w:p w14:paraId="0D6526A6" w14:textId="77777777" w:rsidR="00FD03E9" w:rsidRPr="00C60E6A" w:rsidRDefault="00FD03E9" w:rsidP="00C60E6A">
                  <w:pPr>
                    <w:pStyle w:val="TableBodyText"/>
                    <w:jc w:val="left"/>
                    <w:rPr>
                      <w:szCs w:val="18"/>
                    </w:rPr>
                  </w:pPr>
                  <w:r w:rsidRPr="00C60E6A">
                    <w:rPr>
                      <w:szCs w:val="18"/>
                    </w:rPr>
                    <w:t>Health</w:t>
                  </w:r>
                </w:p>
              </w:tc>
              <w:tc>
                <w:tcPr>
                  <w:tcW w:w="678" w:type="pct"/>
                </w:tcPr>
                <w:p w14:paraId="0D6526A7" w14:textId="77777777" w:rsidR="00FD03E9" w:rsidRPr="00C60E6A" w:rsidRDefault="00FD03E9" w:rsidP="00C60E6A">
                  <w:pPr>
                    <w:pStyle w:val="TableBodyText"/>
                    <w:rPr>
                      <w:szCs w:val="18"/>
                    </w:rPr>
                  </w:pPr>
                  <w:r w:rsidRPr="00C60E6A">
                    <w:rPr>
                      <w:szCs w:val="18"/>
                    </w:rPr>
                    <w:t>125</w:t>
                  </w:r>
                </w:p>
              </w:tc>
            </w:tr>
            <w:tr w:rsidR="00FD03E9" w:rsidRPr="00C60E6A" w14:paraId="0D6526AC" w14:textId="77777777" w:rsidTr="00B0510F">
              <w:tc>
                <w:tcPr>
                  <w:tcW w:w="2564" w:type="pct"/>
                </w:tcPr>
                <w:p w14:paraId="0D6526A9" w14:textId="77777777" w:rsidR="00FD03E9" w:rsidRPr="00C60E6A" w:rsidRDefault="00FD03E9" w:rsidP="004775C9">
                  <w:pPr>
                    <w:pStyle w:val="TableBodyText"/>
                    <w:ind w:left="262" w:hanging="256"/>
                    <w:jc w:val="left"/>
                    <w:rPr>
                      <w:szCs w:val="18"/>
                    </w:rPr>
                  </w:pPr>
                  <w:r w:rsidRPr="00C60E6A">
                    <w:rPr>
                      <w:szCs w:val="18"/>
                    </w:rPr>
                    <w:t>Geoscience Australia</w:t>
                  </w:r>
                </w:p>
              </w:tc>
              <w:tc>
                <w:tcPr>
                  <w:tcW w:w="1758" w:type="pct"/>
                </w:tcPr>
                <w:p w14:paraId="0D6526AA"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AB" w14:textId="77777777" w:rsidR="00FD03E9" w:rsidRPr="00C60E6A" w:rsidRDefault="00FD03E9" w:rsidP="00C60E6A">
                  <w:pPr>
                    <w:pStyle w:val="TableBodyText"/>
                    <w:rPr>
                      <w:szCs w:val="18"/>
                    </w:rPr>
                  </w:pPr>
                  <w:r w:rsidRPr="00C60E6A">
                    <w:rPr>
                      <w:szCs w:val="18"/>
                    </w:rPr>
                    <w:t>121</w:t>
                  </w:r>
                </w:p>
              </w:tc>
            </w:tr>
            <w:tr w:rsidR="00FD03E9" w:rsidRPr="00C60E6A" w14:paraId="0D6526B0" w14:textId="77777777" w:rsidTr="00B0510F">
              <w:tc>
                <w:tcPr>
                  <w:tcW w:w="2564" w:type="pct"/>
                </w:tcPr>
                <w:p w14:paraId="0D6526AD" w14:textId="77777777" w:rsidR="00FD03E9" w:rsidRPr="00C60E6A" w:rsidRDefault="00FD03E9" w:rsidP="004775C9">
                  <w:pPr>
                    <w:pStyle w:val="TableBodyText"/>
                    <w:ind w:left="262" w:hanging="256"/>
                    <w:jc w:val="left"/>
                    <w:rPr>
                      <w:szCs w:val="18"/>
                    </w:rPr>
                  </w:pPr>
                  <w:r w:rsidRPr="00C60E6A">
                    <w:rPr>
                      <w:szCs w:val="18"/>
                    </w:rPr>
                    <w:t>Australian Centre for International Agricultural Research (ACIAR)</w:t>
                  </w:r>
                </w:p>
              </w:tc>
              <w:tc>
                <w:tcPr>
                  <w:tcW w:w="1758" w:type="pct"/>
                </w:tcPr>
                <w:p w14:paraId="0D6526AE" w14:textId="77777777" w:rsidR="00FD03E9" w:rsidRPr="00C60E6A" w:rsidRDefault="00FD03E9" w:rsidP="00C60E6A">
                  <w:pPr>
                    <w:pStyle w:val="TableBodyText"/>
                    <w:jc w:val="left"/>
                    <w:rPr>
                      <w:szCs w:val="18"/>
                    </w:rPr>
                  </w:pPr>
                  <w:r w:rsidRPr="00C60E6A">
                    <w:rPr>
                      <w:szCs w:val="18"/>
                    </w:rPr>
                    <w:t>Foreign Affairs and Trade</w:t>
                  </w:r>
                </w:p>
              </w:tc>
              <w:tc>
                <w:tcPr>
                  <w:tcW w:w="678" w:type="pct"/>
                </w:tcPr>
                <w:p w14:paraId="0D6526AF" w14:textId="77777777" w:rsidR="00FD03E9" w:rsidRPr="00C60E6A" w:rsidRDefault="00FD03E9" w:rsidP="00C60E6A">
                  <w:pPr>
                    <w:pStyle w:val="TableBodyText"/>
                    <w:rPr>
                      <w:szCs w:val="18"/>
                    </w:rPr>
                  </w:pPr>
                  <w:r w:rsidRPr="00C60E6A">
                    <w:rPr>
                      <w:szCs w:val="18"/>
                    </w:rPr>
                    <w:t>94</w:t>
                  </w:r>
                </w:p>
              </w:tc>
            </w:tr>
            <w:tr w:rsidR="00FD03E9" w:rsidRPr="00C60E6A" w14:paraId="0D6526B4" w14:textId="77777777" w:rsidTr="00B0510F">
              <w:tc>
                <w:tcPr>
                  <w:tcW w:w="2564" w:type="pct"/>
                </w:tcPr>
                <w:p w14:paraId="0D6526B1" w14:textId="77777777" w:rsidR="00FD03E9" w:rsidRPr="00C60E6A" w:rsidRDefault="00FD03E9" w:rsidP="004775C9">
                  <w:pPr>
                    <w:pStyle w:val="TableBodyText"/>
                    <w:ind w:left="262" w:hanging="256"/>
                    <w:jc w:val="left"/>
                    <w:rPr>
                      <w:szCs w:val="18"/>
                    </w:rPr>
                  </w:pPr>
                  <w:r w:rsidRPr="00C60E6A">
                    <w:rPr>
                      <w:szCs w:val="18"/>
                    </w:rPr>
                    <w:t>Antarctic Division</w:t>
                  </w:r>
                </w:p>
              </w:tc>
              <w:tc>
                <w:tcPr>
                  <w:tcW w:w="1758" w:type="pct"/>
                </w:tcPr>
                <w:p w14:paraId="0D6526B2" w14:textId="77777777" w:rsidR="00FD03E9" w:rsidRPr="00C60E6A" w:rsidRDefault="00FD03E9" w:rsidP="00C60E6A">
                  <w:pPr>
                    <w:pStyle w:val="TableBodyText"/>
                    <w:jc w:val="left"/>
                    <w:rPr>
                      <w:szCs w:val="18"/>
                    </w:rPr>
                  </w:pPr>
                  <w:r w:rsidRPr="00C60E6A">
                    <w:rPr>
                      <w:szCs w:val="18"/>
                    </w:rPr>
                    <w:t>Environment and Energy</w:t>
                  </w:r>
                </w:p>
              </w:tc>
              <w:tc>
                <w:tcPr>
                  <w:tcW w:w="678" w:type="pct"/>
                </w:tcPr>
                <w:p w14:paraId="0D6526B3" w14:textId="77777777" w:rsidR="00FD03E9" w:rsidRPr="00C60E6A" w:rsidRDefault="00FD03E9" w:rsidP="00C60E6A">
                  <w:pPr>
                    <w:pStyle w:val="TableBodyText"/>
                    <w:rPr>
                      <w:szCs w:val="18"/>
                    </w:rPr>
                  </w:pPr>
                  <w:r w:rsidRPr="00C60E6A">
                    <w:rPr>
                      <w:szCs w:val="18"/>
                    </w:rPr>
                    <w:t>94</w:t>
                  </w:r>
                </w:p>
              </w:tc>
            </w:tr>
            <w:tr w:rsidR="00FD03E9" w:rsidRPr="00C60E6A" w14:paraId="0D6526B8" w14:textId="77777777" w:rsidTr="00B0510F">
              <w:tc>
                <w:tcPr>
                  <w:tcW w:w="2564" w:type="pct"/>
                </w:tcPr>
                <w:p w14:paraId="0D6526B5" w14:textId="77777777" w:rsidR="00FD03E9" w:rsidRPr="00C60E6A" w:rsidRDefault="00FD03E9" w:rsidP="004775C9">
                  <w:pPr>
                    <w:pStyle w:val="TableBodyText"/>
                    <w:ind w:left="262" w:hanging="256"/>
                    <w:jc w:val="left"/>
                    <w:rPr>
                      <w:szCs w:val="18"/>
                    </w:rPr>
                  </w:pPr>
                  <w:r w:rsidRPr="00C60E6A">
                    <w:rPr>
                      <w:szCs w:val="18"/>
                    </w:rPr>
                    <w:t xml:space="preserve">Grains </w:t>
                  </w:r>
                </w:p>
              </w:tc>
              <w:tc>
                <w:tcPr>
                  <w:tcW w:w="1758" w:type="pct"/>
                </w:tcPr>
                <w:p w14:paraId="0D6526B6" w14:textId="77777777" w:rsidR="00FD03E9" w:rsidRPr="00C60E6A" w:rsidRDefault="00FD03E9" w:rsidP="00C60E6A">
                  <w:pPr>
                    <w:pStyle w:val="TableBodyText"/>
                    <w:jc w:val="left"/>
                    <w:rPr>
                      <w:szCs w:val="18"/>
                    </w:rPr>
                  </w:pPr>
                  <w:r w:rsidRPr="00C60E6A">
                    <w:rPr>
                      <w:szCs w:val="18"/>
                    </w:rPr>
                    <w:t>Agriculture and Water Resources</w:t>
                  </w:r>
                </w:p>
              </w:tc>
              <w:tc>
                <w:tcPr>
                  <w:tcW w:w="678" w:type="pct"/>
                </w:tcPr>
                <w:p w14:paraId="0D6526B7" w14:textId="77777777" w:rsidR="00FD03E9" w:rsidRPr="00C60E6A" w:rsidRDefault="00FD03E9" w:rsidP="00C60E6A">
                  <w:pPr>
                    <w:pStyle w:val="TableBodyText"/>
                    <w:rPr>
                      <w:szCs w:val="18"/>
                    </w:rPr>
                  </w:pPr>
                  <w:r w:rsidRPr="00C60E6A">
                    <w:rPr>
                      <w:szCs w:val="18"/>
                    </w:rPr>
                    <w:t>68</w:t>
                  </w:r>
                </w:p>
              </w:tc>
            </w:tr>
            <w:tr w:rsidR="00FD03E9" w:rsidRPr="00C60E6A" w14:paraId="0D6526BC" w14:textId="77777777" w:rsidTr="00B0510F">
              <w:tc>
                <w:tcPr>
                  <w:tcW w:w="2564" w:type="pct"/>
                </w:tcPr>
                <w:p w14:paraId="0D6526B9" w14:textId="77777777" w:rsidR="00FD03E9" w:rsidRPr="00C60E6A" w:rsidRDefault="00FD03E9" w:rsidP="004775C9">
                  <w:pPr>
                    <w:pStyle w:val="TableBodyText"/>
                    <w:ind w:left="262" w:hanging="256"/>
                    <w:jc w:val="left"/>
                    <w:rPr>
                      <w:szCs w:val="18"/>
                    </w:rPr>
                  </w:pPr>
                  <w:r w:rsidRPr="00C60E6A">
                    <w:rPr>
                      <w:szCs w:val="18"/>
                    </w:rPr>
                    <w:t xml:space="preserve">Meat Research </w:t>
                  </w:r>
                </w:p>
              </w:tc>
              <w:tc>
                <w:tcPr>
                  <w:tcW w:w="1758" w:type="pct"/>
                </w:tcPr>
                <w:p w14:paraId="0D6526BA" w14:textId="77777777" w:rsidR="00FD03E9" w:rsidRPr="00C60E6A" w:rsidRDefault="00FD03E9" w:rsidP="00C60E6A">
                  <w:pPr>
                    <w:pStyle w:val="TableBodyText"/>
                    <w:jc w:val="left"/>
                    <w:rPr>
                      <w:szCs w:val="18"/>
                    </w:rPr>
                  </w:pPr>
                  <w:r w:rsidRPr="00C60E6A">
                    <w:rPr>
                      <w:szCs w:val="18"/>
                    </w:rPr>
                    <w:t>Agriculture and Water Resources</w:t>
                  </w:r>
                </w:p>
              </w:tc>
              <w:tc>
                <w:tcPr>
                  <w:tcW w:w="678" w:type="pct"/>
                </w:tcPr>
                <w:p w14:paraId="0D6526BB" w14:textId="77777777" w:rsidR="00FD03E9" w:rsidRPr="00C60E6A" w:rsidRDefault="00FD03E9" w:rsidP="00C60E6A">
                  <w:pPr>
                    <w:pStyle w:val="TableBodyText"/>
                    <w:rPr>
                      <w:szCs w:val="18"/>
                    </w:rPr>
                  </w:pPr>
                  <w:r w:rsidRPr="00C60E6A">
                    <w:rPr>
                      <w:szCs w:val="18"/>
                    </w:rPr>
                    <w:t>60</w:t>
                  </w:r>
                </w:p>
              </w:tc>
            </w:tr>
            <w:tr w:rsidR="00FD03E9" w:rsidRPr="00C60E6A" w14:paraId="0D6526C0" w14:textId="77777777" w:rsidTr="00B0510F">
              <w:tc>
                <w:tcPr>
                  <w:tcW w:w="2564" w:type="pct"/>
                </w:tcPr>
                <w:p w14:paraId="0D6526BD" w14:textId="77777777" w:rsidR="00FD03E9" w:rsidRPr="00C60E6A" w:rsidRDefault="00FD03E9" w:rsidP="004775C9">
                  <w:pPr>
                    <w:pStyle w:val="TableBodyText"/>
                    <w:ind w:left="262" w:hanging="256"/>
                    <w:jc w:val="left"/>
                    <w:rPr>
                      <w:szCs w:val="18"/>
                    </w:rPr>
                  </w:pPr>
                  <w:r w:rsidRPr="00C60E6A">
                    <w:rPr>
                      <w:szCs w:val="18"/>
                    </w:rPr>
                    <w:t>Carbon Capture and Storage (CCS) Flagships</w:t>
                  </w:r>
                </w:p>
              </w:tc>
              <w:tc>
                <w:tcPr>
                  <w:tcW w:w="1758" w:type="pct"/>
                </w:tcPr>
                <w:p w14:paraId="0D6526BE"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BF" w14:textId="77777777" w:rsidR="00FD03E9" w:rsidRPr="00C60E6A" w:rsidRDefault="00FD03E9" w:rsidP="00C60E6A">
                  <w:pPr>
                    <w:pStyle w:val="TableBodyText"/>
                    <w:rPr>
                      <w:szCs w:val="18"/>
                    </w:rPr>
                  </w:pPr>
                  <w:r w:rsidRPr="00C60E6A">
                    <w:rPr>
                      <w:szCs w:val="18"/>
                    </w:rPr>
                    <w:t>44</w:t>
                  </w:r>
                </w:p>
              </w:tc>
            </w:tr>
            <w:tr w:rsidR="00FD03E9" w:rsidRPr="00C60E6A" w14:paraId="0D6526C4" w14:textId="77777777" w:rsidTr="00B0510F">
              <w:tc>
                <w:tcPr>
                  <w:tcW w:w="2564" w:type="pct"/>
                </w:tcPr>
                <w:p w14:paraId="0D6526C1" w14:textId="77777777" w:rsidR="00FD03E9" w:rsidRPr="00C60E6A" w:rsidRDefault="00FD03E9" w:rsidP="004775C9">
                  <w:pPr>
                    <w:pStyle w:val="TableBodyText"/>
                    <w:ind w:left="262" w:hanging="256"/>
                    <w:jc w:val="left"/>
                    <w:rPr>
                      <w:szCs w:val="18"/>
                    </w:rPr>
                  </w:pPr>
                  <w:r w:rsidRPr="00C60E6A">
                    <w:rPr>
                      <w:szCs w:val="18"/>
                    </w:rPr>
                    <w:t xml:space="preserve">Horticulture Research </w:t>
                  </w:r>
                </w:p>
              </w:tc>
              <w:tc>
                <w:tcPr>
                  <w:tcW w:w="1758" w:type="pct"/>
                </w:tcPr>
                <w:p w14:paraId="0D6526C2" w14:textId="77777777" w:rsidR="00FD03E9" w:rsidRPr="00C60E6A" w:rsidRDefault="00FD03E9" w:rsidP="00C60E6A">
                  <w:pPr>
                    <w:pStyle w:val="TableBodyText"/>
                    <w:jc w:val="left"/>
                    <w:rPr>
                      <w:szCs w:val="18"/>
                    </w:rPr>
                  </w:pPr>
                  <w:r w:rsidRPr="00C60E6A">
                    <w:rPr>
                      <w:szCs w:val="18"/>
                    </w:rPr>
                    <w:t>Agriculture and Water Resources</w:t>
                  </w:r>
                </w:p>
              </w:tc>
              <w:tc>
                <w:tcPr>
                  <w:tcW w:w="678" w:type="pct"/>
                </w:tcPr>
                <w:p w14:paraId="0D6526C3" w14:textId="77777777" w:rsidR="00FD03E9" w:rsidRPr="00C60E6A" w:rsidRDefault="00FD03E9" w:rsidP="00C60E6A">
                  <w:pPr>
                    <w:pStyle w:val="TableBodyText"/>
                    <w:rPr>
                      <w:szCs w:val="18"/>
                    </w:rPr>
                  </w:pPr>
                  <w:r w:rsidRPr="00C60E6A">
                    <w:rPr>
                      <w:szCs w:val="18"/>
                    </w:rPr>
                    <w:t>44</w:t>
                  </w:r>
                </w:p>
              </w:tc>
            </w:tr>
            <w:tr w:rsidR="00FD03E9" w:rsidRPr="00C60E6A" w14:paraId="0D6526C8" w14:textId="77777777" w:rsidTr="00B0510F">
              <w:tc>
                <w:tcPr>
                  <w:tcW w:w="2564" w:type="pct"/>
                </w:tcPr>
                <w:p w14:paraId="0D6526C5" w14:textId="77777777" w:rsidR="00FD03E9" w:rsidRPr="00C60E6A" w:rsidRDefault="00FD03E9" w:rsidP="004775C9">
                  <w:pPr>
                    <w:pStyle w:val="TableBodyText"/>
                    <w:ind w:left="262" w:hanging="256"/>
                    <w:jc w:val="left"/>
                    <w:rPr>
                      <w:szCs w:val="18"/>
                    </w:rPr>
                  </w:pPr>
                  <w:r w:rsidRPr="00C60E6A">
                    <w:rPr>
                      <w:szCs w:val="18"/>
                    </w:rPr>
                    <w:t>Innovation Investment Fund including Innovation Investment Follow</w:t>
                  </w:r>
                  <w:r w:rsidR="003F7226">
                    <w:rPr>
                      <w:szCs w:val="18"/>
                    </w:rPr>
                    <w:noBreakHyphen/>
                  </w:r>
                  <w:r w:rsidRPr="00C60E6A">
                    <w:rPr>
                      <w:szCs w:val="18"/>
                    </w:rPr>
                    <w:t>on Fund</w:t>
                  </w:r>
                </w:p>
              </w:tc>
              <w:tc>
                <w:tcPr>
                  <w:tcW w:w="1758" w:type="pct"/>
                </w:tcPr>
                <w:p w14:paraId="0D6526C6"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C7" w14:textId="77777777" w:rsidR="00FD03E9" w:rsidRPr="00C60E6A" w:rsidRDefault="00FD03E9" w:rsidP="00C60E6A">
                  <w:pPr>
                    <w:pStyle w:val="TableBodyText"/>
                    <w:rPr>
                      <w:szCs w:val="18"/>
                    </w:rPr>
                  </w:pPr>
                  <w:r w:rsidRPr="00C60E6A">
                    <w:rPr>
                      <w:szCs w:val="18"/>
                    </w:rPr>
                    <w:t>43</w:t>
                  </w:r>
                </w:p>
              </w:tc>
            </w:tr>
            <w:tr w:rsidR="00FD03E9" w:rsidRPr="00C60E6A" w14:paraId="0D6526CC" w14:textId="77777777" w:rsidTr="00B0510F">
              <w:tc>
                <w:tcPr>
                  <w:tcW w:w="2564" w:type="pct"/>
                </w:tcPr>
                <w:p w14:paraId="0D6526C9" w14:textId="77777777" w:rsidR="00FD03E9" w:rsidRPr="00C60E6A" w:rsidRDefault="00FD03E9" w:rsidP="004775C9">
                  <w:pPr>
                    <w:pStyle w:val="TableBodyText"/>
                    <w:ind w:left="262" w:hanging="256"/>
                    <w:jc w:val="left"/>
                    <w:rPr>
                      <w:szCs w:val="18"/>
                    </w:rPr>
                  </w:pPr>
                  <w:r w:rsidRPr="00C60E6A">
                    <w:rPr>
                      <w:szCs w:val="18"/>
                    </w:rPr>
                    <w:t>Australian Institute of Marine Science (AIMS)</w:t>
                  </w:r>
                </w:p>
              </w:tc>
              <w:tc>
                <w:tcPr>
                  <w:tcW w:w="1758" w:type="pct"/>
                </w:tcPr>
                <w:p w14:paraId="0D6526CA" w14:textId="77777777" w:rsidR="00FD03E9" w:rsidRPr="00C60E6A" w:rsidRDefault="00FD03E9" w:rsidP="00C60E6A">
                  <w:pPr>
                    <w:pStyle w:val="TableBodyText"/>
                    <w:jc w:val="left"/>
                    <w:rPr>
                      <w:szCs w:val="18"/>
                    </w:rPr>
                  </w:pPr>
                  <w:r w:rsidRPr="00C60E6A">
                    <w:rPr>
                      <w:szCs w:val="18"/>
                    </w:rPr>
                    <w:t>Industry, Innovation and Science</w:t>
                  </w:r>
                </w:p>
              </w:tc>
              <w:tc>
                <w:tcPr>
                  <w:tcW w:w="678" w:type="pct"/>
                </w:tcPr>
                <w:p w14:paraId="0D6526CB" w14:textId="77777777" w:rsidR="00FD03E9" w:rsidRPr="00C60E6A" w:rsidRDefault="00FD03E9" w:rsidP="00C60E6A">
                  <w:pPr>
                    <w:pStyle w:val="TableBodyText"/>
                    <w:rPr>
                      <w:szCs w:val="18"/>
                    </w:rPr>
                  </w:pPr>
                  <w:r w:rsidRPr="00C60E6A">
                    <w:rPr>
                      <w:szCs w:val="18"/>
                    </w:rPr>
                    <w:t>40</w:t>
                  </w:r>
                </w:p>
              </w:tc>
            </w:tr>
            <w:tr w:rsidR="00FD03E9" w:rsidRPr="00C60E6A" w14:paraId="0D6526D0" w14:textId="77777777" w:rsidTr="00B0510F">
              <w:tc>
                <w:tcPr>
                  <w:tcW w:w="2564" w:type="pct"/>
                  <w:tcBorders>
                    <w:bottom w:val="single" w:sz="4" w:space="0" w:color="BFBFBF"/>
                  </w:tcBorders>
                </w:tcPr>
                <w:p w14:paraId="0D6526CD" w14:textId="77777777" w:rsidR="00FD03E9" w:rsidRPr="00C60E6A" w:rsidRDefault="00FD03E9" w:rsidP="004775C9">
                  <w:pPr>
                    <w:pStyle w:val="TableBodyText"/>
                    <w:ind w:left="262" w:hanging="256"/>
                    <w:jc w:val="left"/>
                    <w:rPr>
                      <w:szCs w:val="18"/>
                    </w:rPr>
                  </w:pPr>
                  <w:r w:rsidRPr="00C60E6A">
                    <w:rPr>
                      <w:szCs w:val="18"/>
                    </w:rPr>
                    <w:t>DFAT Aid Research and Development</w:t>
                  </w:r>
                </w:p>
              </w:tc>
              <w:tc>
                <w:tcPr>
                  <w:tcW w:w="1758" w:type="pct"/>
                  <w:tcBorders>
                    <w:bottom w:val="single" w:sz="4" w:space="0" w:color="BFBFBF"/>
                  </w:tcBorders>
                </w:tcPr>
                <w:p w14:paraId="0D6526CE" w14:textId="77777777" w:rsidR="00FD03E9" w:rsidRPr="00C60E6A" w:rsidRDefault="00FD03E9" w:rsidP="00C60E6A">
                  <w:pPr>
                    <w:pStyle w:val="TableBodyText"/>
                    <w:jc w:val="left"/>
                    <w:rPr>
                      <w:szCs w:val="18"/>
                    </w:rPr>
                  </w:pPr>
                  <w:r w:rsidRPr="00C60E6A">
                    <w:rPr>
                      <w:szCs w:val="18"/>
                    </w:rPr>
                    <w:t>Foreign Affairs and Trade</w:t>
                  </w:r>
                </w:p>
              </w:tc>
              <w:tc>
                <w:tcPr>
                  <w:tcW w:w="678" w:type="pct"/>
                  <w:tcBorders>
                    <w:bottom w:val="single" w:sz="4" w:space="0" w:color="BFBFBF"/>
                  </w:tcBorders>
                </w:tcPr>
                <w:p w14:paraId="0D6526CF" w14:textId="77777777" w:rsidR="00FD03E9" w:rsidRPr="00C60E6A" w:rsidRDefault="00FD03E9" w:rsidP="00C60E6A">
                  <w:pPr>
                    <w:pStyle w:val="TableBodyText"/>
                    <w:rPr>
                      <w:szCs w:val="18"/>
                    </w:rPr>
                  </w:pPr>
                  <w:r w:rsidRPr="00C60E6A">
                    <w:rPr>
                      <w:szCs w:val="18"/>
                    </w:rPr>
                    <w:t>37</w:t>
                  </w:r>
                </w:p>
              </w:tc>
            </w:tr>
          </w:tbl>
          <w:p w14:paraId="0D6526D1" w14:textId="77777777" w:rsidR="009E4725" w:rsidRDefault="009E4725" w:rsidP="009E4725">
            <w:pPr>
              <w:pStyle w:val="TableBodyText"/>
              <w:jc w:val="left"/>
            </w:pPr>
          </w:p>
        </w:tc>
      </w:tr>
      <w:tr w:rsidR="009E4725" w14:paraId="0D6526D4" w14:textId="77777777" w:rsidTr="00221950">
        <w:tc>
          <w:tcPr>
            <w:tcW w:w="8789" w:type="dxa"/>
            <w:gridSpan w:val="2"/>
            <w:tcBorders>
              <w:top w:val="nil"/>
              <w:left w:val="nil"/>
              <w:bottom w:val="nil"/>
              <w:right w:val="nil"/>
            </w:tcBorders>
            <w:shd w:val="clear" w:color="auto" w:fill="auto"/>
          </w:tcPr>
          <w:p w14:paraId="0D6526D3" w14:textId="77777777" w:rsidR="009E4725" w:rsidRPr="00C60E6A" w:rsidRDefault="00C60E6A" w:rsidP="00B0510F">
            <w:pPr>
              <w:pStyle w:val="Continued"/>
              <w:spacing w:before="80"/>
            </w:pPr>
            <w:r w:rsidRPr="00C60E6A">
              <w:t>(Continued next page)</w:t>
            </w:r>
          </w:p>
        </w:tc>
      </w:tr>
      <w:tr w:rsidR="009E4725" w14:paraId="0D6526D6" w14:textId="77777777" w:rsidTr="00221950">
        <w:tc>
          <w:tcPr>
            <w:tcW w:w="8789" w:type="dxa"/>
            <w:gridSpan w:val="2"/>
            <w:tcBorders>
              <w:top w:val="nil"/>
              <w:left w:val="nil"/>
              <w:bottom w:val="single" w:sz="6" w:space="0" w:color="78A22F"/>
              <w:right w:val="nil"/>
            </w:tcBorders>
            <w:shd w:val="clear" w:color="auto" w:fill="auto"/>
          </w:tcPr>
          <w:p w14:paraId="0D6526D5" w14:textId="77777777" w:rsidR="009E4725" w:rsidRDefault="009E4725" w:rsidP="009E4725">
            <w:pPr>
              <w:pStyle w:val="Box"/>
              <w:spacing w:before="0" w:line="120" w:lineRule="exact"/>
            </w:pPr>
          </w:p>
        </w:tc>
      </w:tr>
      <w:tr w:rsidR="009E4725" w:rsidRPr="000863A5" w14:paraId="0D6526D8" w14:textId="77777777" w:rsidTr="00221950">
        <w:trPr>
          <w:gridAfter w:val="1"/>
          <w:wAfter w:w="142" w:type="dxa"/>
        </w:trPr>
        <w:tc>
          <w:tcPr>
            <w:tcW w:w="8647" w:type="dxa"/>
            <w:tcBorders>
              <w:top w:val="single" w:sz="6" w:space="0" w:color="78A22F"/>
              <w:left w:val="nil"/>
              <w:bottom w:val="nil"/>
              <w:right w:val="nil"/>
            </w:tcBorders>
          </w:tcPr>
          <w:p w14:paraId="0D6526D7" w14:textId="77777777" w:rsidR="009E4725" w:rsidRPr="00626D32" w:rsidRDefault="009E4725" w:rsidP="009E4725">
            <w:pPr>
              <w:pStyle w:val="BoxSpaceBelow"/>
            </w:pPr>
          </w:p>
        </w:tc>
      </w:tr>
      <w:tr w:rsidR="009E4725" w14:paraId="0D6526DA" w14:textId="77777777" w:rsidTr="00221950">
        <w:tc>
          <w:tcPr>
            <w:tcW w:w="8789" w:type="dxa"/>
            <w:gridSpan w:val="2"/>
            <w:tcBorders>
              <w:top w:val="single" w:sz="6" w:space="0" w:color="78A22F"/>
              <w:left w:val="nil"/>
              <w:bottom w:val="nil"/>
              <w:right w:val="nil"/>
            </w:tcBorders>
            <w:shd w:val="clear" w:color="auto" w:fill="auto"/>
          </w:tcPr>
          <w:p w14:paraId="0D6526D9" w14:textId="77777777" w:rsidR="009E4725" w:rsidRPr="00784A05" w:rsidRDefault="009E4725" w:rsidP="009E4725">
            <w:pPr>
              <w:pStyle w:val="TableTitle"/>
            </w:pPr>
            <w:r>
              <w:rPr>
                <w:b w:val="0"/>
              </w:rPr>
              <w:t>Table B.</w:t>
            </w:r>
            <w:r w:rsidR="00F97E1E">
              <w:rPr>
                <w:b w:val="0"/>
                <w:noProof/>
              </w:rPr>
              <w:t>1</w:t>
            </w:r>
            <w:r>
              <w:tab/>
            </w:r>
            <w:r w:rsidRPr="009E4725">
              <w:rPr>
                <w:sz w:val="18"/>
                <w:szCs w:val="18"/>
              </w:rPr>
              <w:t>(continued)</w:t>
            </w:r>
          </w:p>
        </w:tc>
      </w:tr>
      <w:tr w:rsidR="009E4725" w14:paraId="0D652768" w14:textId="77777777" w:rsidTr="00221950">
        <w:tc>
          <w:tcPr>
            <w:tcW w:w="8789" w:type="dxa"/>
            <w:gridSpan w:val="2"/>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4361"/>
              <w:gridCol w:w="3135"/>
              <w:gridCol w:w="1009"/>
            </w:tblGrid>
            <w:tr w:rsidR="00FD03E9" w14:paraId="0D6526DE" w14:textId="77777777" w:rsidTr="00221950">
              <w:trPr>
                <w:tblHeader/>
              </w:trPr>
              <w:tc>
                <w:tcPr>
                  <w:tcW w:w="2564" w:type="pct"/>
                  <w:tcBorders>
                    <w:top w:val="single" w:sz="6" w:space="0" w:color="BFBFBF"/>
                    <w:bottom w:val="single" w:sz="6" w:space="0" w:color="BFBFBF"/>
                  </w:tcBorders>
                </w:tcPr>
                <w:p w14:paraId="0D6526DB" w14:textId="77777777" w:rsidR="00FD03E9" w:rsidRPr="00C60E6A" w:rsidRDefault="00FD03E9" w:rsidP="00FD03E9">
                  <w:pPr>
                    <w:pStyle w:val="TableColumnHeading"/>
                    <w:jc w:val="left"/>
                    <w:rPr>
                      <w:szCs w:val="18"/>
                    </w:rPr>
                  </w:pPr>
                  <w:r w:rsidRPr="00C60E6A">
                    <w:rPr>
                      <w:szCs w:val="18"/>
                    </w:rPr>
                    <w:t>Programme / Activity</w:t>
                  </w:r>
                </w:p>
              </w:tc>
              <w:tc>
                <w:tcPr>
                  <w:tcW w:w="1843" w:type="pct"/>
                  <w:tcBorders>
                    <w:top w:val="single" w:sz="6" w:space="0" w:color="BFBFBF"/>
                    <w:bottom w:val="single" w:sz="6" w:space="0" w:color="BFBFBF"/>
                  </w:tcBorders>
                </w:tcPr>
                <w:p w14:paraId="0D6526DC" w14:textId="77777777" w:rsidR="00FD03E9" w:rsidRPr="00C60E6A" w:rsidRDefault="00FD03E9" w:rsidP="00FD03E9">
                  <w:pPr>
                    <w:pStyle w:val="TableColumnHeading"/>
                    <w:jc w:val="left"/>
                    <w:rPr>
                      <w:szCs w:val="18"/>
                    </w:rPr>
                  </w:pPr>
                  <w:r w:rsidRPr="00C60E6A">
                    <w:rPr>
                      <w:szCs w:val="18"/>
                    </w:rPr>
                    <w:t>Portfolio</w:t>
                  </w:r>
                </w:p>
              </w:tc>
              <w:tc>
                <w:tcPr>
                  <w:tcW w:w="593" w:type="pct"/>
                  <w:tcBorders>
                    <w:top w:val="single" w:sz="6" w:space="0" w:color="BFBFBF"/>
                    <w:bottom w:val="single" w:sz="6" w:space="0" w:color="BFBFBF"/>
                  </w:tcBorders>
                </w:tcPr>
                <w:p w14:paraId="0D6526DD" w14:textId="77777777" w:rsidR="00FD03E9" w:rsidRPr="00C60E6A" w:rsidRDefault="00FD03E9" w:rsidP="00FD03E9">
                  <w:pPr>
                    <w:pStyle w:val="TableColumnHeading"/>
                    <w:rPr>
                      <w:szCs w:val="18"/>
                    </w:rPr>
                  </w:pPr>
                  <w:r w:rsidRPr="00C60E6A">
                    <w:rPr>
                      <w:szCs w:val="18"/>
                    </w:rPr>
                    <w:t>Budgetary</w:t>
                  </w:r>
                  <w:r w:rsidRPr="00C60E6A">
                    <w:rPr>
                      <w:szCs w:val="18"/>
                    </w:rPr>
                    <w:br/>
                    <w:t>outlay</w:t>
                  </w:r>
                </w:p>
              </w:tc>
            </w:tr>
            <w:tr w:rsidR="002D4E49" w14:paraId="0D6526E2" w14:textId="77777777" w:rsidTr="00221950">
              <w:trPr>
                <w:tblHeader/>
              </w:trPr>
              <w:tc>
                <w:tcPr>
                  <w:tcW w:w="2564" w:type="pct"/>
                  <w:tcBorders>
                    <w:top w:val="single" w:sz="6" w:space="0" w:color="BFBFBF"/>
                  </w:tcBorders>
                </w:tcPr>
                <w:p w14:paraId="0D6526DF" w14:textId="77777777" w:rsidR="002D4E49" w:rsidRPr="00C60E6A" w:rsidRDefault="002D4E49" w:rsidP="004775C9">
                  <w:pPr>
                    <w:pStyle w:val="TableBodyText"/>
                    <w:spacing w:before="120"/>
                    <w:ind w:left="262" w:hanging="256"/>
                    <w:jc w:val="left"/>
                    <w:rPr>
                      <w:szCs w:val="18"/>
                    </w:rPr>
                  </w:pPr>
                  <w:r w:rsidRPr="00C60E6A">
                    <w:rPr>
                      <w:szCs w:val="18"/>
                    </w:rPr>
                    <w:t>A Competitive Agriculture Sector – boosting farm profits through rural R&amp;D</w:t>
                  </w:r>
                </w:p>
              </w:tc>
              <w:tc>
                <w:tcPr>
                  <w:tcW w:w="1843" w:type="pct"/>
                  <w:tcBorders>
                    <w:top w:val="single" w:sz="6" w:space="0" w:color="BFBFBF"/>
                  </w:tcBorders>
                </w:tcPr>
                <w:p w14:paraId="0D6526E0" w14:textId="77777777" w:rsidR="002D4E49" w:rsidRPr="00C60E6A" w:rsidRDefault="002D4E49" w:rsidP="004775C9">
                  <w:pPr>
                    <w:pStyle w:val="TableBodyText"/>
                    <w:spacing w:before="120"/>
                    <w:jc w:val="left"/>
                    <w:rPr>
                      <w:szCs w:val="18"/>
                    </w:rPr>
                  </w:pPr>
                  <w:r w:rsidRPr="00C60E6A">
                    <w:rPr>
                      <w:szCs w:val="18"/>
                    </w:rPr>
                    <w:t>Agriculture and Water Resources</w:t>
                  </w:r>
                </w:p>
              </w:tc>
              <w:tc>
                <w:tcPr>
                  <w:tcW w:w="593" w:type="pct"/>
                  <w:tcBorders>
                    <w:top w:val="single" w:sz="6" w:space="0" w:color="BFBFBF"/>
                  </w:tcBorders>
                </w:tcPr>
                <w:p w14:paraId="0D6526E1" w14:textId="77777777" w:rsidR="002D4E49" w:rsidRPr="00C60E6A" w:rsidRDefault="002D4E49" w:rsidP="004775C9">
                  <w:pPr>
                    <w:pStyle w:val="TableBodyText"/>
                    <w:spacing w:before="120"/>
                    <w:rPr>
                      <w:szCs w:val="18"/>
                    </w:rPr>
                  </w:pPr>
                  <w:r w:rsidRPr="00C60E6A">
                    <w:rPr>
                      <w:szCs w:val="18"/>
                    </w:rPr>
                    <w:t>29</w:t>
                  </w:r>
                </w:p>
              </w:tc>
            </w:tr>
            <w:tr w:rsidR="002D4E49" w14:paraId="0D6526E6" w14:textId="77777777" w:rsidTr="00221950">
              <w:trPr>
                <w:tblHeader/>
              </w:trPr>
              <w:tc>
                <w:tcPr>
                  <w:tcW w:w="2564" w:type="pct"/>
                </w:tcPr>
                <w:p w14:paraId="0D6526E3" w14:textId="77777777" w:rsidR="002D4E49" w:rsidRPr="00C60E6A" w:rsidRDefault="002D4E49" w:rsidP="004775C9">
                  <w:pPr>
                    <w:pStyle w:val="TableBodyText"/>
                    <w:ind w:left="262" w:hanging="256"/>
                    <w:jc w:val="left"/>
                    <w:rPr>
                      <w:szCs w:val="18"/>
                    </w:rPr>
                  </w:pPr>
                  <w:r w:rsidRPr="00C60E6A">
                    <w:rPr>
                      <w:szCs w:val="18"/>
                    </w:rPr>
                    <w:t>Entrepreneurs’ Programme – Accelerating Commercialisation</w:t>
                  </w:r>
                </w:p>
              </w:tc>
              <w:tc>
                <w:tcPr>
                  <w:tcW w:w="1843" w:type="pct"/>
                </w:tcPr>
                <w:p w14:paraId="0D6526E4"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6E5" w14:textId="77777777" w:rsidR="002D4E49" w:rsidRPr="00C60E6A" w:rsidRDefault="002D4E49" w:rsidP="002D4E49">
                  <w:pPr>
                    <w:pStyle w:val="TableBodyText"/>
                    <w:rPr>
                      <w:szCs w:val="18"/>
                    </w:rPr>
                  </w:pPr>
                  <w:r w:rsidRPr="00C60E6A">
                    <w:rPr>
                      <w:szCs w:val="18"/>
                    </w:rPr>
                    <w:t>27</w:t>
                  </w:r>
                </w:p>
              </w:tc>
            </w:tr>
            <w:tr w:rsidR="002D4E49" w14:paraId="0D6526EA" w14:textId="77777777" w:rsidTr="00221950">
              <w:trPr>
                <w:tblHeader/>
              </w:trPr>
              <w:tc>
                <w:tcPr>
                  <w:tcW w:w="2564" w:type="pct"/>
                </w:tcPr>
                <w:p w14:paraId="0D6526E7" w14:textId="77777777" w:rsidR="002D4E49" w:rsidRPr="00C60E6A" w:rsidRDefault="002D4E49" w:rsidP="004775C9">
                  <w:pPr>
                    <w:pStyle w:val="TableBodyText"/>
                    <w:ind w:left="262" w:hanging="256"/>
                    <w:jc w:val="left"/>
                    <w:rPr>
                      <w:szCs w:val="18"/>
                    </w:rPr>
                  </w:pPr>
                  <w:r w:rsidRPr="00C60E6A">
                    <w:rPr>
                      <w:szCs w:val="18"/>
                    </w:rPr>
                    <w:t xml:space="preserve">Other Rural Research </w:t>
                  </w:r>
                </w:p>
              </w:tc>
              <w:tc>
                <w:tcPr>
                  <w:tcW w:w="1843" w:type="pct"/>
                </w:tcPr>
                <w:p w14:paraId="0D6526E8"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6E9" w14:textId="77777777" w:rsidR="002D4E49" w:rsidRPr="00C60E6A" w:rsidRDefault="002D4E49" w:rsidP="002D4E49">
                  <w:pPr>
                    <w:pStyle w:val="TableBodyText"/>
                    <w:rPr>
                      <w:szCs w:val="18"/>
                    </w:rPr>
                  </w:pPr>
                  <w:r w:rsidRPr="00C60E6A">
                    <w:rPr>
                      <w:szCs w:val="18"/>
                    </w:rPr>
                    <w:t>25</w:t>
                  </w:r>
                </w:p>
              </w:tc>
            </w:tr>
            <w:tr w:rsidR="002D4E49" w14:paraId="0D6526EE" w14:textId="77777777" w:rsidTr="00221950">
              <w:trPr>
                <w:tblHeader/>
              </w:trPr>
              <w:tc>
                <w:tcPr>
                  <w:tcW w:w="2564" w:type="pct"/>
                </w:tcPr>
                <w:p w14:paraId="0D6526EB" w14:textId="77777777" w:rsidR="002D4E49" w:rsidRPr="00C60E6A" w:rsidRDefault="002D4E49" w:rsidP="004775C9">
                  <w:pPr>
                    <w:pStyle w:val="TableBodyText"/>
                    <w:spacing w:after="0"/>
                    <w:ind w:left="262" w:hanging="256"/>
                    <w:jc w:val="left"/>
                    <w:rPr>
                      <w:szCs w:val="18"/>
                    </w:rPr>
                  </w:pPr>
                  <w:r w:rsidRPr="00C60E6A">
                    <w:rPr>
                      <w:szCs w:val="18"/>
                    </w:rPr>
                    <w:t>Bureau of Meteorology Research Activities</w:t>
                  </w:r>
                </w:p>
              </w:tc>
              <w:tc>
                <w:tcPr>
                  <w:tcW w:w="1843" w:type="pct"/>
                </w:tcPr>
                <w:p w14:paraId="0D6526EC" w14:textId="77777777" w:rsidR="002D4E49" w:rsidRPr="00C60E6A" w:rsidRDefault="002D4E49" w:rsidP="002D4E49">
                  <w:pPr>
                    <w:pStyle w:val="TableBodyText"/>
                    <w:spacing w:after="0"/>
                    <w:jc w:val="left"/>
                    <w:rPr>
                      <w:szCs w:val="18"/>
                    </w:rPr>
                  </w:pPr>
                  <w:r w:rsidRPr="00C60E6A">
                    <w:rPr>
                      <w:szCs w:val="18"/>
                    </w:rPr>
                    <w:t>Environment and Energy</w:t>
                  </w:r>
                </w:p>
              </w:tc>
              <w:tc>
                <w:tcPr>
                  <w:tcW w:w="593" w:type="pct"/>
                </w:tcPr>
                <w:p w14:paraId="0D6526ED" w14:textId="77777777" w:rsidR="002D4E49" w:rsidRPr="00C60E6A" w:rsidRDefault="002D4E49" w:rsidP="002D4E49">
                  <w:pPr>
                    <w:pStyle w:val="TableBodyText"/>
                    <w:spacing w:after="0"/>
                    <w:rPr>
                      <w:szCs w:val="18"/>
                    </w:rPr>
                  </w:pPr>
                  <w:r w:rsidRPr="00C60E6A">
                    <w:rPr>
                      <w:szCs w:val="18"/>
                    </w:rPr>
                    <w:t>24</w:t>
                  </w:r>
                </w:p>
              </w:tc>
            </w:tr>
            <w:tr w:rsidR="002D4E49" w14:paraId="0D6526F2" w14:textId="77777777" w:rsidTr="00221950">
              <w:tc>
                <w:tcPr>
                  <w:tcW w:w="2564" w:type="pct"/>
                </w:tcPr>
                <w:p w14:paraId="0D6526EF" w14:textId="77777777" w:rsidR="002D4E49" w:rsidRPr="00C60E6A" w:rsidRDefault="002D4E49" w:rsidP="004775C9">
                  <w:pPr>
                    <w:pStyle w:val="TableBodyText"/>
                    <w:spacing w:before="120"/>
                    <w:ind w:left="262" w:hanging="256"/>
                    <w:jc w:val="left"/>
                    <w:rPr>
                      <w:szCs w:val="18"/>
                    </w:rPr>
                  </w:pPr>
                  <w:r w:rsidRPr="00C60E6A">
                    <w:rPr>
                      <w:szCs w:val="18"/>
                    </w:rPr>
                    <w:t>Dairy Australia Limited</w:t>
                  </w:r>
                </w:p>
              </w:tc>
              <w:tc>
                <w:tcPr>
                  <w:tcW w:w="1843" w:type="pct"/>
                </w:tcPr>
                <w:p w14:paraId="0D6526F0" w14:textId="77777777" w:rsidR="002D4E49" w:rsidRPr="00C60E6A" w:rsidRDefault="002D4E49" w:rsidP="002D4E49">
                  <w:pPr>
                    <w:pStyle w:val="TableBodyText"/>
                    <w:spacing w:before="120"/>
                    <w:jc w:val="left"/>
                    <w:rPr>
                      <w:szCs w:val="18"/>
                    </w:rPr>
                  </w:pPr>
                  <w:r w:rsidRPr="00C60E6A">
                    <w:rPr>
                      <w:szCs w:val="18"/>
                    </w:rPr>
                    <w:t>Agriculture and Water Resources</w:t>
                  </w:r>
                </w:p>
              </w:tc>
              <w:tc>
                <w:tcPr>
                  <w:tcW w:w="593" w:type="pct"/>
                </w:tcPr>
                <w:p w14:paraId="0D6526F1" w14:textId="77777777" w:rsidR="002D4E49" w:rsidRPr="00C60E6A" w:rsidRDefault="002D4E49" w:rsidP="002D4E49">
                  <w:pPr>
                    <w:pStyle w:val="TableBodyText"/>
                    <w:spacing w:before="120"/>
                    <w:rPr>
                      <w:szCs w:val="18"/>
                    </w:rPr>
                  </w:pPr>
                  <w:r w:rsidRPr="00C60E6A">
                    <w:rPr>
                      <w:szCs w:val="18"/>
                    </w:rPr>
                    <w:t>24</w:t>
                  </w:r>
                </w:p>
              </w:tc>
            </w:tr>
            <w:tr w:rsidR="002D4E49" w14:paraId="0D6526F6" w14:textId="77777777" w:rsidTr="00221950">
              <w:tc>
                <w:tcPr>
                  <w:tcW w:w="2564" w:type="pct"/>
                </w:tcPr>
                <w:p w14:paraId="0D6526F3" w14:textId="77777777" w:rsidR="002D4E49" w:rsidRPr="00C60E6A" w:rsidRDefault="002D4E49" w:rsidP="004775C9">
                  <w:pPr>
                    <w:pStyle w:val="TableBodyText"/>
                    <w:ind w:left="262" w:hanging="256"/>
                    <w:jc w:val="left"/>
                    <w:rPr>
                      <w:szCs w:val="18"/>
                    </w:rPr>
                  </w:pPr>
                  <w:r w:rsidRPr="00C60E6A">
                    <w:rPr>
                      <w:szCs w:val="18"/>
                    </w:rPr>
                    <w:t>International Postgraduate Research Scholarship</w:t>
                  </w:r>
                </w:p>
              </w:tc>
              <w:tc>
                <w:tcPr>
                  <w:tcW w:w="1843" w:type="pct"/>
                </w:tcPr>
                <w:p w14:paraId="0D6526F4" w14:textId="77777777" w:rsidR="002D4E49" w:rsidRPr="00C60E6A" w:rsidRDefault="002D4E49" w:rsidP="002D4E49">
                  <w:pPr>
                    <w:pStyle w:val="TableBodyText"/>
                    <w:jc w:val="left"/>
                    <w:rPr>
                      <w:szCs w:val="18"/>
                    </w:rPr>
                  </w:pPr>
                  <w:r w:rsidRPr="00C60E6A">
                    <w:rPr>
                      <w:szCs w:val="18"/>
                    </w:rPr>
                    <w:t>Education and Training</w:t>
                  </w:r>
                </w:p>
              </w:tc>
              <w:tc>
                <w:tcPr>
                  <w:tcW w:w="593" w:type="pct"/>
                </w:tcPr>
                <w:p w14:paraId="0D6526F5" w14:textId="77777777" w:rsidR="002D4E49" w:rsidRPr="00C60E6A" w:rsidRDefault="002D4E49" w:rsidP="002D4E49">
                  <w:pPr>
                    <w:pStyle w:val="TableBodyText"/>
                    <w:rPr>
                      <w:szCs w:val="18"/>
                    </w:rPr>
                  </w:pPr>
                  <w:r w:rsidRPr="00C60E6A">
                    <w:rPr>
                      <w:szCs w:val="18"/>
                    </w:rPr>
                    <w:t>22</w:t>
                  </w:r>
                </w:p>
              </w:tc>
            </w:tr>
            <w:tr w:rsidR="002D4E49" w14:paraId="0D6526FA" w14:textId="77777777" w:rsidTr="00221950">
              <w:tc>
                <w:tcPr>
                  <w:tcW w:w="2564" w:type="pct"/>
                </w:tcPr>
                <w:p w14:paraId="0D6526F7" w14:textId="77777777" w:rsidR="002D4E49" w:rsidRPr="00C60E6A" w:rsidRDefault="002D4E49" w:rsidP="004775C9">
                  <w:pPr>
                    <w:pStyle w:val="TableBodyText"/>
                    <w:ind w:left="262" w:hanging="256"/>
                    <w:jc w:val="left"/>
                    <w:rPr>
                      <w:szCs w:val="18"/>
                    </w:rPr>
                  </w:pPr>
                  <w:r w:rsidRPr="00C60E6A">
                    <w:rPr>
                      <w:szCs w:val="18"/>
                    </w:rPr>
                    <w:t>National Environmental Science Programme</w:t>
                  </w:r>
                </w:p>
              </w:tc>
              <w:tc>
                <w:tcPr>
                  <w:tcW w:w="1843" w:type="pct"/>
                </w:tcPr>
                <w:p w14:paraId="0D6526F8" w14:textId="77777777" w:rsidR="002D4E49" w:rsidRPr="00C60E6A" w:rsidRDefault="002D4E49" w:rsidP="002D4E49">
                  <w:pPr>
                    <w:pStyle w:val="TableBodyText"/>
                    <w:jc w:val="left"/>
                    <w:rPr>
                      <w:szCs w:val="18"/>
                    </w:rPr>
                  </w:pPr>
                  <w:r w:rsidRPr="00C60E6A">
                    <w:rPr>
                      <w:szCs w:val="18"/>
                    </w:rPr>
                    <w:t>Environment and Energy</w:t>
                  </w:r>
                </w:p>
              </w:tc>
              <w:tc>
                <w:tcPr>
                  <w:tcW w:w="593" w:type="pct"/>
                </w:tcPr>
                <w:p w14:paraId="0D6526F9" w14:textId="77777777" w:rsidR="002D4E49" w:rsidRPr="00C60E6A" w:rsidRDefault="002D4E49" w:rsidP="002D4E49">
                  <w:pPr>
                    <w:pStyle w:val="TableBodyText"/>
                    <w:rPr>
                      <w:szCs w:val="18"/>
                    </w:rPr>
                  </w:pPr>
                  <w:r w:rsidRPr="00C60E6A">
                    <w:rPr>
                      <w:szCs w:val="18"/>
                    </w:rPr>
                    <w:t>22</w:t>
                  </w:r>
                </w:p>
              </w:tc>
            </w:tr>
            <w:tr w:rsidR="002D4E49" w14:paraId="0D6526FE" w14:textId="77777777" w:rsidTr="00221950">
              <w:tc>
                <w:tcPr>
                  <w:tcW w:w="2564" w:type="pct"/>
                </w:tcPr>
                <w:p w14:paraId="0D6526FB" w14:textId="77777777" w:rsidR="002D4E49" w:rsidRPr="00C60E6A" w:rsidRDefault="002D4E49" w:rsidP="004775C9">
                  <w:pPr>
                    <w:pStyle w:val="TableBodyText"/>
                    <w:ind w:left="262" w:hanging="256"/>
                    <w:jc w:val="left"/>
                    <w:rPr>
                      <w:szCs w:val="18"/>
                    </w:rPr>
                  </w:pPr>
                  <w:r w:rsidRPr="00C60E6A">
                    <w:rPr>
                      <w:szCs w:val="18"/>
                    </w:rPr>
                    <w:t>ICT Centre of Excellence</w:t>
                  </w:r>
                </w:p>
              </w:tc>
              <w:tc>
                <w:tcPr>
                  <w:tcW w:w="1843" w:type="pct"/>
                </w:tcPr>
                <w:p w14:paraId="0D6526FC"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6FD" w14:textId="77777777" w:rsidR="002D4E49" w:rsidRPr="00C60E6A" w:rsidRDefault="002D4E49" w:rsidP="002D4E49">
                  <w:pPr>
                    <w:pStyle w:val="TableBodyText"/>
                    <w:rPr>
                      <w:szCs w:val="18"/>
                    </w:rPr>
                  </w:pPr>
                  <w:r w:rsidRPr="00C60E6A">
                    <w:rPr>
                      <w:szCs w:val="18"/>
                    </w:rPr>
                    <w:t>21</w:t>
                  </w:r>
                </w:p>
              </w:tc>
            </w:tr>
            <w:tr w:rsidR="002D4E49" w14:paraId="0D652702" w14:textId="77777777" w:rsidTr="00221950">
              <w:tc>
                <w:tcPr>
                  <w:tcW w:w="2564" w:type="pct"/>
                </w:tcPr>
                <w:p w14:paraId="0D6526FF" w14:textId="77777777" w:rsidR="002D4E49" w:rsidRPr="00C60E6A" w:rsidRDefault="002D4E49" w:rsidP="004775C9">
                  <w:pPr>
                    <w:pStyle w:val="TableBodyText"/>
                    <w:ind w:left="262" w:hanging="256"/>
                    <w:jc w:val="left"/>
                    <w:rPr>
                      <w:szCs w:val="18"/>
                    </w:rPr>
                  </w:pPr>
                  <w:r w:rsidRPr="00C60E6A">
                    <w:rPr>
                      <w:szCs w:val="18"/>
                    </w:rPr>
                    <w:t xml:space="preserve">Fishing Industry Research </w:t>
                  </w:r>
                </w:p>
              </w:tc>
              <w:tc>
                <w:tcPr>
                  <w:tcW w:w="1843" w:type="pct"/>
                </w:tcPr>
                <w:p w14:paraId="0D652700"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01" w14:textId="77777777" w:rsidR="002D4E49" w:rsidRPr="00C60E6A" w:rsidRDefault="002D4E49" w:rsidP="002D4E49">
                  <w:pPr>
                    <w:pStyle w:val="TableBodyText"/>
                    <w:rPr>
                      <w:szCs w:val="18"/>
                    </w:rPr>
                  </w:pPr>
                  <w:r w:rsidRPr="00C60E6A">
                    <w:rPr>
                      <w:szCs w:val="18"/>
                    </w:rPr>
                    <w:t>19</w:t>
                  </w:r>
                </w:p>
              </w:tc>
            </w:tr>
            <w:tr w:rsidR="002D4E49" w14:paraId="0D652706" w14:textId="77777777" w:rsidTr="00221950">
              <w:tc>
                <w:tcPr>
                  <w:tcW w:w="2564" w:type="pct"/>
                </w:tcPr>
                <w:p w14:paraId="0D652703" w14:textId="77777777" w:rsidR="002D4E49" w:rsidRPr="00C60E6A" w:rsidRDefault="002D4E49" w:rsidP="004775C9">
                  <w:pPr>
                    <w:pStyle w:val="TableBodyText"/>
                    <w:ind w:left="262" w:hanging="256"/>
                    <w:jc w:val="left"/>
                    <w:rPr>
                      <w:szCs w:val="18"/>
                    </w:rPr>
                  </w:pPr>
                  <w:r w:rsidRPr="00C60E6A">
                    <w:rPr>
                      <w:szCs w:val="18"/>
                    </w:rPr>
                    <w:t>Office of Water Science</w:t>
                  </w:r>
                </w:p>
              </w:tc>
              <w:tc>
                <w:tcPr>
                  <w:tcW w:w="1843" w:type="pct"/>
                </w:tcPr>
                <w:p w14:paraId="0D652704" w14:textId="77777777" w:rsidR="002D4E49" w:rsidRPr="00C60E6A" w:rsidRDefault="002D4E49" w:rsidP="002D4E49">
                  <w:pPr>
                    <w:pStyle w:val="TableBodyText"/>
                    <w:jc w:val="left"/>
                    <w:rPr>
                      <w:szCs w:val="18"/>
                    </w:rPr>
                  </w:pPr>
                  <w:r w:rsidRPr="00C60E6A">
                    <w:rPr>
                      <w:szCs w:val="18"/>
                    </w:rPr>
                    <w:t>Environment and Energy</w:t>
                  </w:r>
                </w:p>
              </w:tc>
              <w:tc>
                <w:tcPr>
                  <w:tcW w:w="593" w:type="pct"/>
                </w:tcPr>
                <w:p w14:paraId="0D652705" w14:textId="77777777" w:rsidR="002D4E49" w:rsidRPr="00C60E6A" w:rsidRDefault="002D4E49" w:rsidP="002D4E49">
                  <w:pPr>
                    <w:pStyle w:val="TableBodyText"/>
                    <w:rPr>
                      <w:szCs w:val="18"/>
                    </w:rPr>
                  </w:pPr>
                  <w:r w:rsidRPr="00C60E6A">
                    <w:rPr>
                      <w:szCs w:val="18"/>
                    </w:rPr>
                    <w:t>18</w:t>
                  </w:r>
                </w:p>
              </w:tc>
            </w:tr>
            <w:tr w:rsidR="002D4E49" w14:paraId="0D65270A" w14:textId="77777777" w:rsidTr="00221950">
              <w:tc>
                <w:tcPr>
                  <w:tcW w:w="2564" w:type="pct"/>
                </w:tcPr>
                <w:p w14:paraId="0D652707" w14:textId="77777777" w:rsidR="002D4E49" w:rsidRPr="00C60E6A" w:rsidRDefault="002D4E49" w:rsidP="004775C9">
                  <w:pPr>
                    <w:pStyle w:val="TableBodyText"/>
                    <w:ind w:left="262" w:hanging="256"/>
                    <w:jc w:val="left"/>
                    <w:rPr>
                      <w:szCs w:val="18"/>
                    </w:rPr>
                  </w:pPr>
                  <w:r w:rsidRPr="00C60E6A">
                    <w:rPr>
                      <w:szCs w:val="18"/>
                    </w:rPr>
                    <w:t>Supervising Scientist</w:t>
                  </w:r>
                </w:p>
              </w:tc>
              <w:tc>
                <w:tcPr>
                  <w:tcW w:w="1843" w:type="pct"/>
                </w:tcPr>
                <w:p w14:paraId="0D652708" w14:textId="77777777" w:rsidR="002D4E49" w:rsidRPr="00C60E6A" w:rsidRDefault="002D4E49" w:rsidP="002D4E49">
                  <w:pPr>
                    <w:pStyle w:val="TableBodyText"/>
                    <w:jc w:val="left"/>
                    <w:rPr>
                      <w:szCs w:val="18"/>
                    </w:rPr>
                  </w:pPr>
                  <w:r w:rsidRPr="00C60E6A">
                    <w:rPr>
                      <w:szCs w:val="18"/>
                    </w:rPr>
                    <w:t>Environment and Energy</w:t>
                  </w:r>
                </w:p>
              </w:tc>
              <w:tc>
                <w:tcPr>
                  <w:tcW w:w="593" w:type="pct"/>
                </w:tcPr>
                <w:p w14:paraId="0D652709" w14:textId="77777777" w:rsidR="002D4E49" w:rsidRPr="00C60E6A" w:rsidRDefault="002D4E49" w:rsidP="002D4E49">
                  <w:pPr>
                    <w:pStyle w:val="TableBodyText"/>
                    <w:rPr>
                      <w:szCs w:val="18"/>
                    </w:rPr>
                  </w:pPr>
                  <w:r w:rsidRPr="00C60E6A">
                    <w:rPr>
                      <w:szCs w:val="18"/>
                    </w:rPr>
                    <w:t>14</w:t>
                  </w:r>
                </w:p>
              </w:tc>
            </w:tr>
            <w:tr w:rsidR="002D4E49" w14:paraId="0D65270E" w14:textId="77777777" w:rsidTr="00221950">
              <w:tc>
                <w:tcPr>
                  <w:tcW w:w="2564" w:type="pct"/>
                </w:tcPr>
                <w:p w14:paraId="0D65270B" w14:textId="77777777" w:rsidR="002D4E49" w:rsidRPr="00C60E6A" w:rsidRDefault="002D4E49" w:rsidP="004775C9">
                  <w:pPr>
                    <w:pStyle w:val="TableBodyText"/>
                    <w:ind w:left="262" w:hanging="256"/>
                    <w:jc w:val="left"/>
                    <w:rPr>
                      <w:szCs w:val="18"/>
                    </w:rPr>
                  </w:pPr>
                  <w:r w:rsidRPr="00C60E6A">
                    <w:rPr>
                      <w:szCs w:val="18"/>
                    </w:rPr>
                    <w:t xml:space="preserve">Wool Research </w:t>
                  </w:r>
                </w:p>
              </w:tc>
              <w:tc>
                <w:tcPr>
                  <w:tcW w:w="1843" w:type="pct"/>
                </w:tcPr>
                <w:p w14:paraId="0D65270C"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0D" w14:textId="77777777" w:rsidR="002D4E49" w:rsidRPr="00C60E6A" w:rsidRDefault="002D4E49" w:rsidP="002D4E49">
                  <w:pPr>
                    <w:pStyle w:val="TableBodyText"/>
                    <w:rPr>
                      <w:szCs w:val="18"/>
                    </w:rPr>
                  </w:pPr>
                  <w:r w:rsidRPr="00C60E6A">
                    <w:rPr>
                      <w:szCs w:val="18"/>
                    </w:rPr>
                    <w:t>13</w:t>
                  </w:r>
                </w:p>
              </w:tc>
            </w:tr>
            <w:tr w:rsidR="002D4E49" w14:paraId="0D652712" w14:textId="77777777" w:rsidTr="00221950">
              <w:tc>
                <w:tcPr>
                  <w:tcW w:w="2564" w:type="pct"/>
                </w:tcPr>
                <w:p w14:paraId="0D65270F" w14:textId="77777777" w:rsidR="002D4E49" w:rsidRPr="00C60E6A" w:rsidRDefault="002D4E49" w:rsidP="004775C9">
                  <w:pPr>
                    <w:pStyle w:val="TableBodyText"/>
                    <w:ind w:left="262" w:hanging="256"/>
                    <w:jc w:val="left"/>
                    <w:rPr>
                      <w:szCs w:val="18"/>
                    </w:rPr>
                  </w:pPr>
                  <w:r w:rsidRPr="00C60E6A">
                    <w:rPr>
                      <w:szCs w:val="18"/>
                    </w:rPr>
                    <w:t xml:space="preserve">Rural Industries R&amp;D Corporation </w:t>
                  </w:r>
                </w:p>
              </w:tc>
              <w:tc>
                <w:tcPr>
                  <w:tcW w:w="1843" w:type="pct"/>
                </w:tcPr>
                <w:p w14:paraId="0D652710"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11" w14:textId="77777777" w:rsidR="002D4E49" w:rsidRPr="00C60E6A" w:rsidRDefault="002D4E49" w:rsidP="002D4E49">
                  <w:pPr>
                    <w:pStyle w:val="TableBodyText"/>
                    <w:rPr>
                      <w:szCs w:val="18"/>
                    </w:rPr>
                  </w:pPr>
                  <w:r w:rsidRPr="00C60E6A">
                    <w:rPr>
                      <w:szCs w:val="18"/>
                    </w:rPr>
                    <w:t>12</w:t>
                  </w:r>
                </w:p>
              </w:tc>
            </w:tr>
            <w:tr w:rsidR="002D4E49" w14:paraId="0D652716" w14:textId="77777777" w:rsidTr="00221950">
              <w:tc>
                <w:tcPr>
                  <w:tcW w:w="2564" w:type="pct"/>
                </w:tcPr>
                <w:p w14:paraId="0D652713" w14:textId="77777777" w:rsidR="002D4E49" w:rsidRPr="00C60E6A" w:rsidRDefault="002D4E49" w:rsidP="004775C9">
                  <w:pPr>
                    <w:pStyle w:val="TableBodyText"/>
                    <w:ind w:left="262" w:hanging="256"/>
                    <w:jc w:val="left"/>
                    <w:rPr>
                      <w:szCs w:val="18"/>
                    </w:rPr>
                  </w:pPr>
                  <w:r w:rsidRPr="00C60E6A">
                    <w:rPr>
                      <w:szCs w:val="18"/>
                    </w:rPr>
                    <w:t>Industry Growth Centres Initiative</w:t>
                  </w:r>
                  <w:r w:rsidR="003F7226">
                    <w:rPr>
                      <w:szCs w:val="18"/>
                    </w:rPr>
                    <w:noBreakHyphen/>
                  </w:r>
                  <w:r w:rsidRPr="00C60E6A">
                    <w:rPr>
                      <w:szCs w:val="18"/>
                    </w:rPr>
                    <w:t xml:space="preserve"> Commercialisation Fund</w:t>
                  </w:r>
                </w:p>
              </w:tc>
              <w:tc>
                <w:tcPr>
                  <w:tcW w:w="1843" w:type="pct"/>
                </w:tcPr>
                <w:p w14:paraId="0D652714"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15" w14:textId="77777777" w:rsidR="002D4E49" w:rsidRPr="00C60E6A" w:rsidRDefault="002D4E49" w:rsidP="002D4E49">
                  <w:pPr>
                    <w:pStyle w:val="TableBodyText"/>
                    <w:rPr>
                      <w:szCs w:val="18"/>
                    </w:rPr>
                  </w:pPr>
                  <w:r w:rsidRPr="00C60E6A">
                    <w:rPr>
                      <w:szCs w:val="18"/>
                    </w:rPr>
                    <w:t>12</w:t>
                  </w:r>
                </w:p>
              </w:tc>
            </w:tr>
            <w:tr w:rsidR="002D4E49" w14:paraId="0D65271A" w14:textId="77777777" w:rsidTr="00221950">
              <w:tc>
                <w:tcPr>
                  <w:tcW w:w="2564" w:type="pct"/>
                </w:tcPr>
                <w:p w14:paraId="0D652717" w14:textId="77777777" w:rsidR="002D4E49" w:rsidRPr="00C60E6A" w:rsidRDefault="002D4E49" w:rsidP="004775C9">
                  <w:pPr>
                    <w:pStyle w:val="TableBodyText"/>
                    <w:ind w:left="262" w:hanging="256"/>
                    <w:jc w:val="left"/>
                    <w:rPr>
                      <w:szCs w:val="18"/>
                    </w:rPr>
                  </w:pPr>
                  <w:r w:rsidRPr="00C60E6A">
                    <w:rPr>
                      <w:szCs w:val="18"/>
                    </w:rPr>
                    <w:t>Australian Astronomical Observatory (AAO)</w:t>
                  </w:r>
                </w:p>
              </w:tc>
              <w:tc>
                <w:tcPr>
                  <w:tcW w:w="1843" w:type="pct"/>
                </w:tcPr>
                <w:p w14:paraId="0D652718"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19" w14:textId="77777777" w:rsidR="002D4E49" w:rsidRPr="00C60E6A" w:rsidRDefault="002D4E49" w:rsidP="002D4E49">
                  <w:pPr>
                    <w:pStyle w:val="TableBodyText"/>
                    <w:rPr>
                      <w:szCs w:val="18"/>
                    </w:rPr>
                  </w:pPr>
                  <w:r w:rsidRPr="00C60E6A">
                    <w:rPr>
                      <w:szCs w:val="18"/>
                    </w:rPr>
                    <w:t>12</w:t>
                  </w:r>
                </w:p>
              </w:tc>
            </w:tr>
            <w:tr w:rsidR="002D4E49" w14:paraId="0D65271E" w14:textId="77777777" w:rsidTr="00221950">
              <w:tc>
                <w:tcPr>
                  <w:tcW w:w="2564" w:type="pct"/>
                </w:tcPr>
                <w:p w14:paraId="0D65271B" w14:textId="77777777" w:rsidR="002D4E49" w:rsidRPr="00C60E6A" w:rsidRDefault="002D4E49" w:rsidP="004775C9">
                  <w:pPr>
                    <w:pStyle w:val="TableBodyText"/>
                    <w:ind w:left="262" w:hanging="256"/>
                    <w:jc w:val="left"/>
                    <w:rPr>
                      <w:szCs w:val="18"/>
                    </w:rPr>
                  </w:pPr>
                  <w:r w:rsidRPr="00C60E6A">
                    <w:rPr>
                      <w:szCs w:val="18"/>
                    </w:rPr>
                    <w:t>Coal Mining Abatement Technology Support Package</w:t>
                  </w:r>
                </w:p>
              </w:tc>
              <w:tc>
                <w:tcPr>
                  <w:tcW w:w="1843" w:type="pct"/>
                </w:tcPr>
                <w:p w14:paraId="0D65271C"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1D" w14:textId="77777777" w:rsidR="002D4E49" w:rsidRPr="00C60E6A" w:rsidRDefault="002D4E49" w:rsidP="002D4E49">
                  <w:pPr>
                    <w:pStyle w:val="TableBodyText"/>
                    <w:rPr>
                      <w:szCs w:val="18"/>
                    </w:rPr>
                  </w:pPr>
                  <w:r w:rsidRPr="00C60E6A">
                    <w:rPr>
                      <w:szCs w:val="18"/>
                    </w:rPr>
                    <w:t>11</w:t>
                  </w:r>
                </w:p>
              </w:tc>
            </w:tr>
            <w:tr w:rsidR="002D4E49" w14:paraId="0D652722" w14:textId="77777777" w:rsidTr="00221950">
              <w:tc>
                <w:tcPr>
                  <w:tcW w:w="2564" w:type="pct"/>
                </w:tcPr>
                <w:p w14:paraId="0D65271F" w14:textId="77777777" w:rsidR="002D4E49" w:rsidRPr="00C60E6A" w:rsidRDefault="002D4E49" w:rsidP="004775C9">
                  <w:pPr>
                    <w:pStyle w:val="TableBodyText"/>
                    <w:ind w:left="262" w:hanging="256"/>
                    <w:jc w:val="left"/>
                    <w:rPr>
                      <w:szCs w:val="18"/>
                    </w:rPr>
                  </w:pPr>
                  <w:r w:rsidRPr="00C60E6A">
                    <w:rPr>
                      <w:szCs w:val="18"/>
                    </w:rPr>
                    <w:t>Health Surveillance Fund – Research Centres</w:t>
                  </w:r>
                </w:p>
              </w:tc>
              <w:tc>
                <w:tcPr>
                  <w:tcW w:w="1843" w:type="pct"/>
                </w:tcPr>
                <w:p w14:paraId="0D652720" w14:textId="77777777" w:rsidR="002D4E49" w:rsidRPr="00C60E6A" w:rsidRDefault="002D4E49" w:rsidP="002D4E49">
                  <w:pPr>
                    <w:pStyle w:val="TableBodyText"/>
                    <w:jc w:val="left"/>
                    <w:rPr>
                      <w:szCs w:val="18"/>
                    </w:rPr>
                  </w:pPr>
                  <w:r w:rsidRPr="00C60E6A">
                    <w:rPr>
                      <w:szCs w:val="18"/>
                    </w:rPr>
                    <w:t>Health</w:t>
                  </w:r>
                </w:p>
              </w:tc>
              <w:tc>
                <w:tcPr>
                  <w:tcW w:w="593" w:type="pct"/>
                </w:tcPr>
                <w:p w14:paraId="0D652721" w14:textId="77777777" w:rsidR="002D4E49" w:rsidRPr="00C60E6A" w:rsidRDefault="002D4E49" w:rsidP="002D4E49">
                  <w:pPr>
                    <w:pStyle w:val="TableBodyText"/>
                    <w:rPr>
                      <w:szCs w:val="18"/>
                    </w:rPr>
                  </w:pPr>
                  <w:r w:rsidRPr="00C60E6A">
                    <w:rPr>
                      <w:szCs w:val="18"/>
                    </w:rPr>
                    <w:t>10</w:t>
                  </w:r>
                </w:p>
              </w:tc>
            </w:tr>
            <w:tr w:rsidR="002D4E49" w14:paraId="0D652726" w14:textId="77777777" w:rsidTr="00221950">
              <w:tc>
                <w:tcPr>
                  <w:tcW w:w="2564" w:type="pct"/>
                </w:tcPr>
                <w:p w14:paraId="0D652723" w14:textId="77777777" w:rsidR="002D4E49" w:rsidRPr="00C60E6A" w:rsidRDefault="002D4E49" w:rsidP="004775C9">
                  <w:pPr>
                    <w:pStyle w:val="TableBodyText"/>
                    <w:ind w:left="262" w:hanging="256"/>
                    <w:jc w:val="left"/>
                    <w:rPr>
                      <w:szCs w:val="18"/>
                    </w:rPr>
                  </w:pPr>
                  <w:r w:rsidRPr="00C60E6A">
                    <w:rPr>
                      <w:szCs w:val="18"/>
                    </w:rPr>
                    <w:t>Collaborative Research Networks Program</w:t>
                  </w:r>
                </w:p>
              </w:tc>
              <w:tc>
                <w:tcPr>
                  <w:tcW w:w="1843" w:type="pct"/>
                </w:tcPr>
                <w:p w14:paraId="0D652724" w14:textId="77777777" w:rsidR="002D4E49" w:rsidRPr="00C60E6A" w:rsidRDefault="002D4E49" w:rsidP="002D4E49">
                  <w:pPr>
                    <w:pStyle w:val="TableBodyText"/>
                    <w:jc w:val="left"/>
                    <w:rPr>
                      <w:szCs w:val="18"/>
                    </w:rPr>
                  </w:pPr>
                  <w:r w:rsidRPr="00C60E6A">
                    <w:rPr>
                      <w:szCs w:val="18"/>
                    </w:rPr>
                    <w:t>Education and Training</w:t>
                  </w:r>
                </w:p>
              </w:tc>
              <w:tc>
                <w:tcPr>
                  <w:tcW w:w="593" w:type="pct"/>
                </w:tcPr>
                <w:p w14:paraId="0D652725" w14:textId="77777777" w:rsidR="002D4E49" w:rsidRPr="00C60E6A" w:rsidRDefault="002D4E49" w:rsidP="002D4E49">
                  <w:pPr>
                    <w:pStyle w:val="TableBodyText"/>
                    <w:rPr>
                      <w:szCs w:val="18"/>
                    </w:rPr>
                  </w:pPr>
                  <w:r w:rsidRPr="00C60E6A">
                    <w:rPr>
                      <w:szCs w:val="18"/>
                    </w:rPr>
                    <w:t>9</w:t>
                  </w:r>
                </w:p>
              </w:tc>
            </w:tr>
            <w:tr w:rsidR="002D4E49" w14:paraId="0D65272A" w14:textId="77777777" w:rsidTr="00221950">
              <w:tc>
                <w:tcPr>
                  <w:tcW w:w="2564" w:type="pct"/>
                </w:tcPr>
                <w:p w14:paraId="0D652727" w14:textId="77777777" w:rsidR="002D4E49" w:rsidRPr="00C60E6A" w:rsidRDefault="002D4E49" w:rsidP="004775C9">
                  <w:pPr>
                    <w:pStyle w:val="TableBodyText"/>
                    <w:ind w:left="262" w:hanging="256"/>
                    <w:jc w:val="left"/>
                    <w:rPr>
                      <w:szCs w:val="18"/>
                    </w:rPr>
                  </w:pPr>
                  <w:r w:rsidRPr="00C60E6A">
                    <w:rPr>
                      <w:szCs w:val="18"/>
                    </w:rPr>
                    <w:t>Household, Income and Labour Dynamics in Australia (HILDA) Survey</w:t>
                  </w:r>
                </w:p>
              </w:tc>
              <w:tc>
                <w:tcPr>
                  <w:tcW w:w="1843" w:type="pct"/>
                </w:tcPr>
                <w:p w14:paraId="0D652728" w14:textId="77777777" w:rsidR="002D4E49" w:rsidRPr="00C60E6A" w:rsidRDefault="002D4E49" w:rsidP="002D4E49">
                  <w:pPr>
                    <w:pStyle w:val="TableBodyText"/>
                    <w:jc w:val="left"/>
                    <w:rPr>
                      <w:szCs w:val="18"/>
                    </w:rPr>
                  </w:pPr>
                  <w:r w:rsidRPr="00C60E6A">
                    <w:rPr>
                      <w:szCs w:val="18"/>
                    </w:rPr>
                    <w:t>Social Services</w:t>
                  </w:r>
                </w:p>
              </w:tc>
              <w:tc>
                <w:tcPr>
                  <w:tcW w:w="593" w:type="pct"/>
                </w:tcPr>
                <w:p w14:paraId="0D652729" w14:textId="77777777" w:rsidR="002D4E49" w:rsidRPr="00C60E6A" w:rsidRDefault="002D4E49" w:rsidP="002D4E49">
                  <w:pPr>
                    <w:pStyle w:val="TableBodyText"/>
                    <w:rPr>
                      <w:szCs w:val="18"/>
                    </w:rPr>
                  </w:pPr>
                  <w:r w:rsidRPr="00C60E6A">
                    <w:rPr>
                      <w:szCs w:val="18"/>
                    </w:rPr>
                    <w:t>9</w:t>
                  </w:r>
                </w:p>
              </w:tc>
            </w:tr>
            <w:tr w:rsidR="002D4E49" w14:paraId="0D65272E" w14:textId="77777777" w:rsidTr="00221950">
              <w:tc>
                <w:tcPr>
                  <w:tcW w:w="2564" w:type="pct"/>
                </w:tcPr>
                <w:p w14:paraId="0D65272B" w14:textId="77777777" w:rsidR="002D4E49" w:rsidRPr="00C60E6A" w:rsidRDefault="002D4E49" w:rsidP="004775C9">
                  <w:pPr>
                    <w:pStyle w:val="TableBodyText"/>
                    <w:ind w:left="262" w:hanging="256"/>
                    <w:jc w:val="left"/>
                    <w:rPr>
                      <w:szCs w:val="18"/>
                    </w:rPr>
                  </w:pPr>
                  <w:r w:rsidRPr="00C60E6A">
                    <w:rPr>
                      <w:szCs w:val="18"/>
                    </w:rPr>
                    <w:t>Carbon Farming Futures – Filling the Research Gap</w:t>
                  </w:r>
                </w:p>
              </w:tc>
              <w:tc>
                <w:tcPr>
                  <w:tcW w:w="1843" w:type="pct"/>
                </w:tcPr>
                <w:p w14:paraId="0D65272C"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2D" w14:textId="77777777" w:rsidR="002D4E49" w:rsidRPr="00C60E6A" w:rsidRDefault="002D4E49" w:rsidP="002D4E49">
                  <w:pPr>
                    <w:pStyle w:val="TableBodyText"/>
                    <w:rPr>
                      <w:szCs w:val="18"/>
                    </w:rPr>
                  </w:pPr>
                  <w:r w:rsidRPr="00C60E6A">
                    <w:rPr>
                      <w:szCs w:val="18"/>
                    </w:rPr>
                    <w:t>9</w:t>
                  </w:r>
                </w:p>
              </w:tc>
            </w:tr>
            <w:tr w:rsidR="002D4E49" w14:paraId="0D652732" w14:textId="77777777" w:rsidTr="00221950">
              <w:tc>
                <w:tcPr>
                  <w:tcW w:w="2564" w:type="pct"/>
                </w:tcPr>
                <w:p w14:paraId="0D65272F" w14:textId="77777777" w:rsidR="002D4E49" w:rsidRPr="00C60E6A" w:rsidRDefault="002D4E49" w:rsidP="004775C9">
                  <w:pPr>
                    <w:pStyle w:val="TableBodyText"/>
                    <w:ind w:left="262" w:hanging="256"/>
                    <w:jc w:val="left"/>
                    <w:rPr>
                      <w:szCs w:val="18"/>
                    </w:rPr>
                  </w:pPr>
                  <w:r w:rsidRPr="00C60E6A">
                    <w:rPr>
                      <w:szCs w:val="18"/>
                    </w:rPr>
                    <w:t>Longitudinal Survey of Australian Children (LSAC)</w:t>
                  </w:r>
                </w:p>
              </w:tc>
              <w:tc>
                <w:tcPr>
                  <w:tcW w:w="1843" w:type="pct"/>
                </w:tcPr>
                <w:p w14:paraId="0D652730" w14:textId="77777777" w:rsidR="002D4E49" w:rsidRPr="00C60E6A" w:rsidRDefault="002D4E49" w:rsidP="002D4E49">
                  <w:pPr>
                    <w:pStyle w:val="TableBodyText"/>
                    <w:jc w:val="left"/>
                    <w:rPr>
                      <w:szCs w:val="18"/>
                    </w:rPr>
                  </w:pPr>
                  <w:r w:rsidRPr="00C60E6A">
                    <w:rPr>
                      <w:szCs w:val="18"/>
                    </w:rPr>
                    <w:t>Social Services</w:t>
                  </w:r>
                </w:p>
              </w:tc>
              <w:tc>
                <w:tcPr>
                  <w:tcW w:w="593" w:type="pct"/>
                </w:tcPr>
                <w:p w14:paraId="0D652731" w14:textId="77777777" w:rsidR="002D4E49" w:rsidRPr="00C60E6A" w:rsidRDefault="002D4E49" w:rsidP="002D4E49">
                  <w:pPr>
                    <w:pStyle w:val="TableBodyText"/>
                    <w:rPr>
                      <w:szCs w:val="18"/>
                    </w:rPr>
                  </w:pPr>
                  <w:r w:rsidRPr="00C60E6A">
                    <w:rPr>
                      <w:szCs w:val="18"/>
                    </w:rPr>
                    <w:t>8</w:t>
                  </w:r>
                </w:p>
              </w:tc>
            </w:tr>
            <w:tr w:rsidR="002D4E49" w14:paraId="0D652736" w14:textId="77777777" w:rsidTr="00221950">
              <w:tc>
                <w:tcPr>
                  <w:tcW w:w="2564" w:type="pct"/>
                </w:tcPr>
                <w:p w14:paraId="0D652733" w14:textId="77777777" w:rsidR="002D4E49" w:rsidRPr="00C60E6A" w:rsidRDefault="002D4E49" w:rsidP="004775C9">
                  <w:pPr>
                    <w:pStyle w:val="TableBodyText"/>
                    <w:ind w:left="262" w:hanging="256"/>
                    <w:jc w:val="left"/>
                    <w:rPr>
                      <w:szCs w:val="18"/>
                    </w:rPr>
                  </w:pPr>
                  <w:r w:rsidRPr="00C60E6A">
                    <w:rPr>
                      <w:szCs w:val="18"/>
                    </w:rPr>
                    <w:t>Drug and Alcohol Research</w:t>
                  </w:r>
                </w:p>
              </w:tc>
              <w:tc>
                <w:tcPr>
                  <w:tcW w:w="1843" w:type="pct"/>
                </w:tcPr>
                <w:p w14:paraId="0D652734" w14:textId="77777777" w:rsidR="002D4E49" w:rsidRPr="00C60E6A" w:rsidRDefault="002D4E49" w:rsidP="002D4E49">
                  <w:pPr>
                    <w:pStyle w:val="TableBodyText"/>
                    <w:jc w:val="left"/>
                    <w:rPr>
                      <w:szCs w:val="18"/>
                    </w:rPr>
                  </w:pPr>
                  <w:r w:rsidRPr="00C60E6A">
                    <w:rPr>
                      <w:szCs w:val="18"/>
                    </w:rPr>
                    <w:t>Health</w:t>
                  </w:r>
                </w:p>
              </w:tc>
              <w:tc>
                <w:tcPr>
                  <w:tcW w:w="593" w:type="pct"/>
                </w:tcPr>
                <w:p w14:paraId="0D652735" w14:textId="77777777" w:rsidR="002D4E49" w:rsidRPr="00C60E6A" w:rsidRDefault="002D4E49" w:rsidP="002D4E49">
                  <w:pPr>
                    <w:pStyle w:val="TableBodyText"/>
                    <w:rPr>
                      <w:szCs w:val="18"/>
                    </w:rPr>
                  </w:pPr>
                  <w:r w:rsidRPr="00C60E6A">
                    <w:rPr>
                      <w:szCs w:val="18"/>
                    </w:rPr>
                    <w:t>8</w:t>
                  </w:r>
                </w:p>
              </w:tc>
            </w:tr>
            <w:tr w:rsidR="002D4E49" w14:paraId="0D65273A" w14:textId="77777777" w:rsidTr="00221950">
              <w:tc>
                <w:tcPr>
                  <w:tcW w:w="2564" w:type="pct"/>
                </w:tcPr>
                <w:p w14:paraId="0D652737" w14:textId="77777777" w:rsidR="002D4E49" w:rsidRPr="00C60E6A" w:rsidRDefault="002D4E49" w:rsidP="004775C9">
                  <w:pPr>
                    <w:pStyle w:val="TableBodyText"/>
                    <w:ind w:left="262" w:hanging="256"/>
                    <w:jc w:val="left"/>
                    <w:rPr>
                      <w:szCs w:val="18"/>
                    </w:rPr>
                  </w:pPr>
                  <w:r w:rsidRPr="00C60E6A">
                    <w:rPr>
                      <w:szCs w:val="18"/>
                    </w:rPr>
                    <w:t>National Measurement Institute (NMI)</w:t>
                  </w:r>
                </w:p>
              </w:tc>
              <w:tc>
                <w:tcPr>
                  <w:tcW w:w="1843" w:type="pct"/>
                </w:tcPr>
                <w:p w14:paraId="0D652738"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39" w14:textId="77777777" w:rsidR="002D4E49" w:rsidRPr="00C60E6A" w:rsidRDefault="002D4E49" w:rsidP="002D4E49">
                  <w:pPr>
                    <w:pStyle w:val="TableBodyText"/>
                    <w:rPr>
                      <w:szCs w:val="18"/>
                    </w:rPr>
                  </w:pPr>
                  <w:r w:rsidRPr="00C60E6A">
                    <w:rPr>
                      <w:szCs w:val="18"/>
                    </w:rPr>
                    <w:t>8</w:t>
                  </w:r>
                </w:p>
              </w:tc>
            </w:tr>
            <w:tr w:rsidR="002D4E49" w14:paraId="0D65273E" w14:textId="77777777" w:rsidTr="00221950">
              <w:tc>
                <w:tcPr>
                  <w:tcW w:w="2564" w:type="pct"/>
                </w:tcPr>
                <w:p w14:paraId="0D65273B" w14:textId="77777777" w:rsidR="002D4E49" w:rsidRPr="00C60E6A" w:rsidRDefault="002D4E49" w:rsidP="004775C9">
                  <w:pPr>
                    <w:pStyle w:val="TableBodyText"/>
                    <w:ind w:left="262" w:hanging="256"/>
                    <w:jc w:val="left"/>
                    <w:rPr>
                      <w:szCs w:val="18"/>
                    </w:rPr>
                  </w:pPr>
                  <w:r w:rsidRPr="00C60E6A">
                    <w:rPr>
                      <w:szCs w:val="18"/>
                    </w:rPr>
                    <w:t>Commercialisation Australia</w:t>
                  </w:r>
                </w:p>
              </w:tc>
              <w:tc>
                <w:tcPr>
                  <w:tcW w:w="1843" w:type="pct"/>
                </w:tcPr>
                <w:p w14:paraId="0D65273C"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3D" w14:textId="77777777" w:rsidR="002D4E49" w:rsidRPr="00C60E6A" w:rsidRDefault="002D4E49" w:rsidP="002D4E49">
                  <w:pPr>
                    <w:pStyle w:val="TableBodyText"/>
                    <w:rPr>
                      <w:szCs w:val="18"/>
                    </w:rPr>
                  </w:pPr>
                  <w:r w:rsidRPr="00C60E6A">
                    <w:rPr>
                      <w:szCs w:val="18"/>
                    </w:rPr>
                    <w:t>7</w:t>
                  </w:r>
                </w:p>
              </w:tc>
            </w:tr>
            <w:tr w:rsidR="002D4E49" w14:paraId="0D652742" w14:textId="77777777" w:rsidTr="00221950">
              <w:tc>
                <w:tcPr>
                  <w:tcW w:w="2564" w:type="pct"/>
                </w:tcPr>
                <w:p w14:paraId="0D65273F" w14:textId="77777777" w:rsidR="002D4E49" w:rsidRPr="00C60E6A" w:rsidRDefault="002D4E49" w:rsidP="004775C9">
                  <w:pPr>
                    <w:pStyle w:val="TableBodyText"/>
                    <w:ind w:left="262" w:hanging="256"/>
                    <w:jc w:val="left"/>
                    <w:rPr>
                      <w:szCs w:val="18"/>
                    </w:rPr>
                  </w:pPr>
                  <w:r w:rsidRPr="00C60E6A">
                    <w:rPr>
                      <w:szCs w:val="18"/>
                    </w:rPr>
                    <w:t>Support for Cancer Clinical Trials</w:t>
                  </w:r>
                </w:p>
              </w:tc>
              <w:tc>
                <w:tcPr>
                  <w:tcW w:w="1843" w:type="pct"/>
                </w:tcPr>
                <w:p w14:paraId="0D652740" w14:textId="77777777" w:rsidR="002D4E49" w:rsidRPr="00C60E6A" w:rsidRDefault="002D4E49" w:rsidP="002D4E49">
                  <w:pPr>
                    <w:pStyle w:val="TableBodyText"/>
                    <w:jc w:val="left"/>
                    <w:rPr>
                      <w:szCs w:val="18"/>
                    </w:rPr>
                  </w:pPr>
                  <w:r w:rsidRPr="00C60E6A">
                    <w:rPr>
                      <w:szCs w:val="18"/>
                    </w:rPr>
                    <w:t>Health</w:t>
                  </w:r>
                </w:p>
              </w:tc>
              <w:tc>
                <w:tcPr>
                  <w:tcW w:w="593" w:type="pct"/>
                </w:tcPr>
                <w:p w14:paraId="0D652741" w14:textId="77777777" w:rsidR="002D4E49" w:rsidRPr="00C60E6A" w:rsidRDefault="002D4E49" w:rsidP="002D4E49">
                  <w:pPr>
                    <w:pStyle w:val="TableBodyText"/>
                    <w:rPr>
                      <w:szCs w:val="18"/>
                    </w:rPr>
                  </w:pPr>
                  <w:r w:rsidRPr="00C60E6A">
                    <w:rPr>
                      <w:szCs w:val="18"/>
                    </w:rPr>
                    <w:t>7</w:t>
                  </w:r>
                </w:p>
              </w:tc>
            </w:tr>
            <w:tr w:rsidR="002D4E49" w14:paraId="0D652746" w14:textId="77777777" w:rsidTr="00221950">
              <w:tc>
                <w:tcPr>
                  <w:tcW w:w="2564" w:type="pct"/>
                </w:tcPr>
                <w:p w14:paraId="0D652743" w14:textId="77777777" w:rsidR="002D4E49" w:rsidRPr="00C60E6A" w:rsidRDefault="002D4E49" w:rsidP="004775C9">
                  <w:pPr>
                    <w:pStyle w:val="TableBodyText"/>
                    <w:ind w:left="262" w:hanging="256"/>
                    <w:jc w:val="left"/>
                    <w:rPr>
                      <w:szCs w:val="18"/>
                    </w:rPr>
                  </w:pPr>
                  <w:r w:rsidRPr="00C60E6A">
                    <w:rPr>
                      <w:szCs w:val="18"/>
                    </w:rPr>
                    <w:t>Square Kilometre Array Radio Telescope Project</w:t>
                  </w:r>
                </w:p>
              </w:tc>
              <w:tc>
                <w:tcPr>
                  <w:tcW w:w="1843" w:type="pct"/>
                </w:tcPr>
                <w:p w14:paraId="0D652744"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45" w14:textId="77777777" w:rsidR="002D4E49" w:rsidRPr="00C60E6A" w:rsidRDefault="002D4E49" w:rsidP="002D4E49">
                  <w:pPr>
                    <w:pStyle w:val="TableBodyText"/>
                    <w:rPr>
                      <w:szCs w:val="18"/>
                    </w:rPr>
                  </w:pPr>
                  <w:r w:rsidRPr="00C60E6A">
                    <w:rPr>
                      <w:szCs w:val="18"/>
                    </w:rPr>
                    <w:t>7</w:t>
                  </w:r>
                </w:p>
              </w:tc>
            </w:tr>
            <w:tr w:rsidR="002D4E49" w14:paraId="0D65274A" w14:textId="77777777" w:rsidTr="00221950">
              <w:tc>
                <w:tcPr>
                  <w:tcW w:w="2564" w:type="pct"/>
                </w:tcPr>
                <w:p w14:paraId="0D652747" w14:textId="77777777" w:rsidR="002D4E49" w:rsidRPr="00C60E6A" w:rsidRDefault="002D4E49" w:rsidP="004775C9">
                  <w:pPr>
                    <w:pStyle w:val="TableBodyText"/>
                    <w:ind w:left="262" w:hanging="256"/>
                    <w:jc w:val="left"/>
                    <w:rPr>
                      <w:szCs w:val="18"/>
                    </w:rPr>
                  </w:pPr>
                  <w:r w:rsidRPr="00C60E6A">
                    <w:rPr>
                      <w:szCs w:val="18"/>
                    </w:rPr>
                    <w:t>Defence Future Capability Technology Centre Program</w:t>
                  </w:r>
                </w:p>
              </w:tc>
              <w:tc>
                <w:tcPr>
                  <w:tcW w:w="1843" w:type="pct"/>
                </w:tcPr>
                <w:p w14:paraId="0D652748" w14:textId="77777777" w:rsidR="002D4E49" w:rsidRPr="00C60E6A" w:rsidRDefault="002D4E49" w:rsidP="002D4E49">
                  <w:pPr>
                    <w:pStyle w:val="TableBodyText"/>
                    <w:jc w:val="left"/>
                    <w:rPr>
                      <w:szCs w:val="18"/>
                    </w:rPr>
                  </w:pPr>
                  <w:r w:rsidRPr="00C60E6A">
                    <w:rPr>
                      <w:szCs w:val="18"/>
                    </w:rPr>
                    <w:t>Defence</w:t>
                  </w:r>
                </w:p>
              </w:tc>
              <w:tc>
                <w:tcPr>
                  <w:tcW w:w="593" w:type="pct"/>
                </w:tcPr>
                <w:p w14:paraId="0D652749" w14:textId="77777777" w:rsidR="002D4E49" w:rsidRPr="00C60E6A" w:rsidRDefault="002D4E49" w:rsidP="002D4E49">
                  <w:pPr>
                    <w:pStyle w:val="TableBodyText"/>
                    <w:rPr>
                      <w:szCs w:val="18"/>
                    </w:rPr>
                  </w:pPr>
                  <w:r w:rsidRPr="00C60E6A">
                    <w:rPr>
                      <w:szCs w:val="18"/>
                    </w:rPr>
                    <w:t>7</w:t>
                  </w:r>
                </w:p>
              </w:tc>
            </w:tr>
            <w:tr w:rsidR="002D4E49" w14:paraId="0D65274E" w14:textId="77777777" w:rsidTr="00221950">
              <w:tc>
                <w:tcPr>
                  <w:tcW w:w="2564" w:type="pct"/>
                </w:tcPr>
                <w:p w14:paraId="0D65274B" w14:textId="77777777" w:rsidR="002D4E49" w:rsidRPr="00C60E6A" w:rsidRDefault="002D4E49" w:rsidP="004775C9">
                  <w:pPr>
                    <w:pStyle w:val="TableBodyText"/>
                    <w:ind w:left="262" w:hanging="256"/>
                    <w:jc w:val="left"/>
                    <w:rPr>
                      <w:szCs w:val="18"/>
                    </w:rPr>
                  </w:pPr>
                  <w:r w:rsidRPr="00C60E6A">
                    <w:rPr>
                      <w:szCs w:val="18"/>
                    </w:rPr>
                    <w:t xml:space="preserve">Australian Climate Change Science </w:t>
                  </w:r>
                  <w:r w:rsidR="004B12F8" w:rsidRPr="00C60E6A">
                    <w:rPr>
                      <w:szCs w:val="18"/>
                    </w:rPr>
                    <w:t>Program</w:t>
                  </w:r>
                  <w:r w:rsidR="004B12F8">
                    <w:rPr>
                      <w:szCs w:val="18"/>
                    </w:rPr>
                    <w:t>me</w:t>
                  </w:r>
                  <w:r w:rsidR="004B12F8" w:rsidRPr="00C60E6A">
                    <w:rPr>
                      <w:szCs w:val="18"/>
                    </w:rPr>
                    <w:t xml:space="preserve"> </w:t>
                  </w:r>
                  <w:r w:rsidRPr="00C60E6A">
                    <w:rPr>
                      <w:szCs w:val="18"/>
                    </w:rPr>
                    <w:t>(ACCSP)</w:t>
                  </w:r>
                </w:p>
              </w:tc>
              <w:tc>
                <w:tcPr>
                  <w:tcW w:w="1843" w:type="pct"/>
                </w:tcPr>
                <w:p w14:paraId="0D65274C" w14:textId="77777777" w:rsidR="002D4E49" w:rsidRPr="00C60E6A" w:rsidRDefault="002D4E49" w:rsidP="002D4E49">
                  <w:pPr>
                    <w:pStyle w:val="TableBodyText"/>
                    <w:jc w:val="left"/>
                    <w:rPr>
                      <w:szCs w:val="18"/>
                    </w:rPr>
                  </w:pPr>
                  <w:r w:rsidRPr="00C60E6A">
                    <w:rPr>
                      <w:szCs w:val="18"/>
                    </w:rPr>
                    <w:t>Environment and Energy</w:t>
                  </w:r>
                </w:p>
              </w:tc>
              <w:tc>
                <w:tcPr>
                  <w:tcW w:w="593" w:type="pct"/>
                </w:tcPr>
                <w:p w14:paraId="0D65274D" w14:textId="77777777" w:rsidR="002D4E49" w:rsidRPr="00C60E6A" w:rsidRDefault="002D4E49" w:rsidP="002D4E49">
                  <w:pPr>
                    <w:pStyle w:val="TableBodyText"/>
                    <w:rPr>
                      <w:szCs w:val="18"/>
                    </w:rPr>
                  </w:pPr>
                  <w:r w:rsidRPr="00C60E6A">
                    <w:rPr>
                      <w:szCs w:val="18"/>
                    </w:rPr>
                    <w:t>6</w:t>
                  </w:r>
                </w:p>
              </w:tc>
            </w:tr>
            <w:tr w:rsidR="002D4E49" w14:paraId="0D652752" w14:textId="77777777" w:rsidTr="00221950">
              <w:tc>
                <w:tcPr>
                  <w:tcW w:w="2564" w:type="pct"/>
                </w:tcPr>
                <w:p w14:paraId="0D65274F" w14:textId="77777777" w:rsidR="002D4E49" w:rsidRPr="00C60E6A" w:rsidRDefault="002D4E49" w:rsidP="004775C9">
                  <w:pPr>
                    <w:pStyle w:val="TableBodyText"/>
                    <w:ind w:left="262" w:hanging="256"/>
                    <w:jc w:val="left"/>
                    <w:rPr>
                      <w:szCs w:val="18"/>
                    </w:rPr>
                  </w:pPr>
                  <w:r w:rsidRPr="00C60E6A">
                    <w:rPr>
                      <w:szCs w:val="18"/>
                    </w:rPr>
                    <w:t>National Landcare Programme Innovation Grants</w:t>
                  </w:r>
                </w:p>
              </w:tc>
              <w:tc>
                <w:tcPr>
                  <w:tcW w:w="1843" w:type="pct"/>
                </w:tcPr>
                <w:p w14:paraId="0D652750"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51" w14:textId="77777777" w:rsidR="002D4E49" w:rsidRPr="00C60E6A" w:rsidRDefault="002D4E49" w:rsidP="002D4E49">
                  <w:pPr>
                    <w:pStyle w:val="TableBodyText"/>
                    <w:rPr>
                      <w:szCs w:val="18"/>
                    </w:rPr>
                  </w:pPr>
                  <w:r w:rsidRPr="00C60E6A">
                    <w:rPr>
                      <w:szCs w:val="18"/>
                    </w:rPr>
                    <w:t>5</w:t>
                  </w:r>
                </w:p>
              </w:tc>
            </w:tr>
            <w:tr w:rsidR="002D4E49" w14:paraId="0D652756" w14:textId="77777777" w:rsidTr="00221950">
              <w:tc>
                <w:tcPr>
                  <w:tcW w:w="2564" w:type="pct"/>
                </w:tcPr>
                <w:p w14:paraId="0D652753" w14:textId="77777777" w:rsidR="002D4E49" w:rsidRPr="00C60E6A" w:rsidRDefault="002D4E49" w:rsidP="004775C9">
                  <w:pPr>
                    <w:pStyle w:val="TableBodyText"/>
                    <w:ind w:left="262" w:hanging="256"/>
                    <w:jc w:val="left"/>
                    <w:rPr>
                      <w:szCs w:val="18"/>
                    </w:rPr>
                  </w:pPr>
                  <w:r w:rsidRPr="00C60E6A">
                    <w:rPr>
                      <w:szCs w:val="18"/>
                    </w:rPr>
                    <w:t>Priority</w:t>
                  </w:r>
                  <w:r w:rsidR="003F7226">
                    <w:rPr>
                      <w:szCs w:val="18"/>
                    </w:rPr>
                    <w:noBreakHyphen/>
                  </w:r>
                  <w:r w:rsidRPr="00C60E6A">
                    <w:rPr>
                      <w:szCs w:val="18"/>
                    </w:rPr>
                    <w:t>driven Collaborative Cancer Research Scheme</w:t>
                  </w:r>
                </w:p>
              </w:tc>
              <w:tc>
                <w:tcPr>
                  <w:tcW w:w="1843" w:type="pct"/>
                </w:tcPr>
                <w:p w14:paraId="0D652754" w14:textId="77777777" w:rsidR="002D4E49" w:rsidRPr="00C60E6A" w:rsidRDefault="002D4E49" w:rsidP="002D4E49">
                  <w:pPr>
                    <w:pStyle w:val="TableBodyText"/>
                    <w:jc w:val="left"/>
                    <w:rPr>
                      <w:szCs w:val="18"/>
                    </w:rPr>
                  </w:pPr>
                  <w:r w:rsidRPr="00C60E6A">
                    <w:rPr>
                      <w:szCs w:val="18"/>
                    </w:rPr>
                    <w:t>Health</w:t>
                  </w:r>
                </w:p>
              </w:tc>
              <w:tc>
                <w:tcPr>
                  <w:tcW w:w="593" w:type="pct"/>
                </w:tcPr>
                <w:p w14:paraId="0D652755" w14:textId="77777777" w:rsidR="002D4E49" w:rsidRPr="00C60E6A" w:rsidRDefault="002D4E49" w:rsidP="002D4E49">
                  <w:pPr>
                    <w:pStyle w:val="TableBodyText"/>
                    <w:rPr>
                      <w:szCs w:val="18"/>
                    </w:rPr>
                  </w:pPr>
                  <w:r w:rsidRPr="00C60E6A">
                    <w:rPr>
                      <w:szCs w:val="18"/>
                    </w:rPr>
                    <w:t>5</w:t>
                  </w:r>
                </w:p>
              </w:tc>
            </w:tr>
            <w:tr w:rsidR="002D4E49" w14:paraId="0D65275A" w14:textId="77777777" w:rsidTr="00221950">
              <w:tc>
                <w:tcPr>
                  <w:tcW w:w="2564" w:type="pct"/>
                </w:tcPr>
                <w:p w14:paraId="0D652757" w14:textId="77777777" w:rsidR="002D4E49" w:rsidRPr="00C60E6A" w:rsidRDefault="002D4E49" w:rsidP="004775C9">
                  <w:pPr>
                    <w:pStyle w:val="TableBodyText"/>
                    <w:ind w:left="262" w:hanging="256"/>
                    <w:jc w:val="left"/>
                    <w:rPr>
                      <w:szCs w:val="18"/>
                    </w:rPr>
                  </w:pPr>
                  <w:r w:rsidRPr="00C60E6A">
                    <w:rPr>
                      <w:szCs w:val="18"/>
                    </w:rPr>
                    <w:t>Higher Education Research Promotion</w:t>
                  </w:r>
                </w:p>
              </w:tc>
              <w:tc>
                <w:tcPr>
                  <w:tcW w:w="1843" w:type="pct"/>
                </w:tcPr>
                <w:p w14:paraId="0D652758" w14:textId="77777777" w:rsidR="002D4E49" w:rsidRPr="00C60E6A" w:rsidRDefault="002D4E49" w:rsidP="002D4E49">
                  <w:pPr>
                    <w:pStyle w:val="TableBodyText"/>
                    <w:jc w:val="left"/>
                    <w:rPr>
                      <w:szCs w:val="18"/>
                    </w:rPr>
                  </w:pPr>
                  <w:r w:rsidRPr="00C60E6A">
                    <w:rPr>
                      <w:szCs w:val="18"/>
                    </w:rPr>
                    <w:t>Education and Training</w:t>
                  </w:r>
                </w:p>
              </w:tc>
              <w:tc>
                <w:tcPr>
                  <w:tcW w:w="593" w:type="pct"/>
                </w:tcPr>
                <w:p w14:paraId="0D652759" w14:textId="77777777" w:rsidR="002D4E49" w:rsidRPr="00C60E6A" w:rsidRDefault="002D4E49" w:rsidP="002D4E49">
                  <w:pPr>
                    <w:pStyle w:val="TableBodyText"/>
                    <w:rPr>
                      <w:szCs w:val="18"/>
                    </w:rPr>
                  </w:pPr>
                  <w:r w:rsidRPr="00C60E6A">
                    <w:rPr>
                      <w:szCs w:val="18"/>
                    </w:rPr>
                    <w:t>5</w:t>
                  </w:r>
                </w:p>
              </w:tc>
            </w:tr>
            <w:tr w:rsidR="002D4E49" w14:paraId="0D65275E" w14:textId="77777777" w:rsidTr="00221950">
              <w:tc>
                <w:tcPr>
                  <w:tcW w:w="2564" w:type="pct"/>
                </w:tcPr>
                <w:p w14:paraId="0D65275B" w14:textId="77777777" w:rsidR="002D4E49" w:rsidRPr="00C60E6A" w:rsidRDefault="002D4E49" w:rsidP="004775C9">
                  <w:pPr>
                    <w:pStyle w:val="TableBodyText"/>
                    <w:ind w:left="262" w:hanging="256"/>
                    <w:jc w:val="left"/>
                    <w:rPr>
                      <w:szCs w:val="18"/>
                    </w:rPr>
                  </w:pPr>
                  <w:r w:rsidRPr="00C60E6A">
                    <w:rPr>
                      <w:szCs w:val="18"/>
                    </w:rPr>
                    <w:t>Three dedicated Prostate Cancer Research Centres (two centres funded from 2008</w:t>
                  </w:r>
                  <w:r w:rsidR="003F7226">
                    <w:rPr>
                      <w:szCs w:val="18"/>
                    </w:rPr>
                    <w:noBreakHyphen/>
                  </w:r>
                  <w:r w:rsidRPr="00C60E6A">
                    <w:rPr>
                      <w:szCs w:val="18"/>
                    </w:rPr>
                    <w:t>09 and a third from 2013</w:t>
                  </w:r>
                  <w:r w:rsidR="003F7226">
                    <w:rPr>
                      <w:szCs w:val="18"/>
                    </w:rPr>
                    <w:noBreakHyphen/>
                  </w:r>
                  <w:r w:rsidRPr="00C60E6A">
                    <w:rPr>
                      <w:szCs w:val="18"/>
                    </w:rPr>
                    <w:t>14)</w:t>
                  </w:r>
                </w:p>
              </w:tc>
              <w:tc>
                <w:tcPr>
                  <w:tcW w:w="1843" w:type="pct"/>
                </w:tcPr>
                <w:p w14:paraId="0D65275C" w14:textId="77777777" w:rsidR="002D4E49" w:rsidRPr="00C60E6A" w:rsidRDefault="002D4E49" w:rsidP="002D4E49">
                  <w:pPr>
                    <w:pStyle w:val="TableBodyText"/>
                    <w:jc w:val="left"/>
                    <w:rPr>
                      <w:szCs w:val="18"/>
                    </w:rPr>
                  </w:pPr>
                  <w:r w:rsidRPr="00C60E6A">
                    <w:rPr>
                      <w:szCs w:val="18"/>
                    </w:rPr>
                    <w:t>Health</w:t>
                  </w:r>
                </w:p>
              </w:tc>
              <w:tc>
                <w:tcPr>
                  <w:tcW w:w="593" w:type="pct"/>
                </w:tcPr>
                <w:p w14:paraId="0D65275D" w14:textId="77777777" w:rsidR="002D4E49" w:rsidRPr="00C60E6A" w:rsidRDefault="002D4E49" w:rsidP="002D4E49">
                  <w:pPr>
                    <w:pStyle w:val="TableBodyText"/>
                    <w:rPr>
                      <w:szCs w:val="18"/>
                    </w:rPr>
                  </w:pPr>
                  <w:r w:rsidRPr="00C60E6A">
                    <w:rPr>
                      <w:szCs w:val="18"/>
                    </w:rPr>
                    <w:t>5</w:t>
                  </w:r>
                </w:p>
              </w:tc>
            </w:tr>
            <w:tr w:rsidR="002D4E49" w14:paraId="0D652762" w14:textId="77777777" w:rsidTr="00221950">
              <w:tc>
                <w:tcPr>
                  <w:tcW w:w="2564" w:type="pct"/>
                </w:tcPr>
                <w:p w14:paraId="0D65275F" w14:textId="77777777" w:rsidR="002D4E49" w:rsidRPr="00C60E6A" w:rsidRDefault="002D4E49" w:rsidP="004775C9">
                  <w:pPr>
                    <w:pStyle w:val="TableBodyText"/>
                    <w:ind w:left="262" w:hanging="256"/>
                    <w:jc w:val="left"/>
                    <w:rPr>
                      <w:szCs w:val="18"/>
                    </w:rPr>
                  </w:pPr>
                  <w:r w:rsidRPr="00C60E6A">
                    <w:rPr>
                      <w:szCs w:val="18"/>
                    </w:rPr>
                    <w:t>National Low Emissions Coal Initiative</w:t>
                  </w:r>
                </w:p>
              </w:tc>
              <w:tc>
                <w:tcPr>
                  <w:tcW w:w="1843" w:type="pct"/>
                </w:tcPr>
                <w:p w14:paraId="0D652760" w14:textId="77777777" w:rsidR="002D4E49" w:rsidRPr="00C60E6A" w:rsidRDefault="002D4E49" w:rsidP="002D4E49">
                  <w:pPr>
                    <w:pStyle w:val="TableBodyText"/>
                    <w:jc w:val="left"/>
                    <w:rPr>
                      <w:szCs w:val="18"/>
                    </w:rPr>
                  </w:pPr>
                  <w:r w:rsidRPr="00C60E6A">
                    <w:rPr>
                      <w:szCs w:val="18"/>
                    </w:rPr>
                    <w:t>Industry, Innovation and Science</w:t>
                  </w:r>
                </w:p>
              </w:tc>
              <w:tc>
                <w:tcPr>
                  <w:tcW w:w="593" w:type="pct"/>
                </w:tcPr>
                <w:p w14:paraId="0D652761" w14:textId="77777777" w:rsidR="002D4E49" w:rsidRPr="00C60E6A" w:rsidRDefault="002D4E49" w:rsidP="002D4E49">
                  <w:pPr>
                    <w:pStyle w:val="TableBodyText"/>
                    <w:rPr>
                      <w:szCs w:val="18"/>
                    </w:rPr>
                  </w:pPr>
                  <w:r w:rsidRPr="00C60E6A">
                    <w:rPr>
                      <w:szCs w:val="18"/>
                    </w:rPr>
                    <w:t>4</w:t>
                  </w:r>
                </w:p>
              </w:tc>
            </w:tr>
            <w:tr w:rsidR="002D4E49" w14:paraId="0D652766" w14:textId="77777777" w:rsidTr="00221950">
              <w:tc>
                <w:tcPr>
                  <w:tcW w:w="2564" w:type="pct"/>
                  <w:tcBorders>
                    <w:bottom w:val="single" w:sz="4" w:space="0" w:color="BFBFBF"/>
                  </w:tcBorders>
                </w:tcPr>
                <w:p w14:paraId="0D652763" w14:textId="77777777" w:rsidR="002D4E49" w:rsidRPr="00C60E6A" w:rsidRDefault="002D4E49" w:rsidP="004775C9">
                  <w:pPr>
                    <w:pStyle w:val="TableBodyText"/>
                    <w:ind w:left="262" w:hanging="256"/>
                    <w:jc w:val="left"/>
                    <w:rPr>
                      <w:szCs w:val="18"/>
                    </w:rPr>
                  </w:pPr>
                  <w:r w:rsidRPr="00C60E6A">
                    <w:rPr>
                      <w:szCs w:val="18"/>
                    </w:rPr>
                    <w:t>National Acoustic Laboratories</w:t>
                  </w:r>
                </w:p>
              </w:tc>
              <w:tc>
                <w:tcPr>
                  <w:tcW w:w="1843" w:type="pct"/>
                  <w:tcBorders>
                    <w:bottom w:val="single" w:sz="4" w:space="0" w:color="BFBFBF"/>
                  </w:tcBorders>
                </w:tcPr>
                <w:p w14:paraId="0D652764" w14:textId="77777777" w:rsidR="002D4E49" w:rsidRPr="00C60E6A" w:rsidRDefault="002D4E49" w:rsidP="002D4E49">
                  <w:pPr>
                    <w:pStyle w:val="TableBodyText"/>
                    <w:jc w:val="left"/>
                    <w:rPr>
                      <w:szCs w:val="18"/>
                    </w:rPr>
                  </w:pPr>
                  <w:r w:rsidRPr="00C60E6A">
                    <w:rPr>
                      <w:szCs w:val="18"/>
                    </w:rPr>
                    <w:t>Health</w:t>
                  </w:r>
                </w:p>
              </w:tc>
              <w:tc>
                <w:tcPr>
                  <w:tcW w:w="593" w:type="pct"/>
                  <w:tcBorders>
                    <w:bottom w:val="single" w:sz="4" w:space="0" w:color="BFBFBF"/>
                  </w:tcBorders>
                </w:tcPr>
                <w:p w14:paraId="0D652765" w14:textId="77777777" w:rsidR="002D4E49" w:rsidRPr="00C60E6A" w:rsidRDefault="002D4E49" w:rsidP="002D4E49">
                  <w:pPr>
                    <w:pStyle w:val="TableBodyText"/>
                    <w:rPr>
                      <w:szCs w:val="18"/>
                    </w:rPr>
                  </w:pPr>
                  <w:r w:rsidRPr="00C60E6A">
                    <w:rPr>
                      <w:szCs w:val="18"/>
                    </w:rPr>
                    <w:t>4</w:t>
                  </w:r>
                </w:p>
              </w:tc>
            </w:tr>
          </w:tbl>
          <w:p w14:paraId="0D652767" w14:textId="77777777" w:rsidR="009E4725" w:rsidRDefault="009E4725" w:rsidP="009E4725">
            <w:pPr>
              <w:pStyle w:val="TableBodyText"/>
              <w:jc w:val="left"/>
            </w:pPr>
          </w:p>
        </w:tc>
      </w:tr>
      <w:tr w:rsidR="00C60E6A" w:rsidRPr="00C60E6A" w14:paraId="0D65276A" w14:textId="77777777" w:rsidTr="00221950">
        <w:tc>
          <w:tcPr>
            <w:tcW w:w="8789" w:type="dxa"/>
            <w:gridSpan w:val="2"/>
            <w:tcBorders>
              <w:top w:val="nil"/>
              <w:left w:val="nil"/>
              <w:bottom w:val="single" w:sz="4" w:space="0" w:color="78A22F"/>
              <w:right w:val="nil"/>
            </w:tcBorders>
            <w:shd w:val="clear" w:color="auto" w:fill="auto"/>
          </w:tcPr>
          <w:p w14:paraId="0D652769" w14:textId="77777777" w:rsidR="00C60E6A" w:rsidRPr="00C60E6A" w:rsidRDefault="00C60E6A" w:rsidP="00CB78C6">
            <w:pPr>
              <w:pStyle w:val="Continued"/>
              <w:spacing w:before="80"/>
            </w:pPr>
            <w:r w:rsidRPr="00C60E6A">
              <w:t>(Continued next page)</w:t>
            </w:r>
          </w:p>
        </w:tc>
      </w:tr>
      <w:tr w:rsidR="009E4725" w14:paraId="0D65276C" w14:textId="77777777" w:rsidTr="00221950">
        <w:tc>
          <w:tcPr>
            <w:tcW w:w="8789" w:type="dxa"/>
            <w:gridSpan w:val="2"/>
            <w:tcBorders>
              <w:top w:val="single" w:sz="6" w:space="0" w:color="78A22F"/>
              <w:left w:val="nil"/>
              <w:bottom w:val="nil"/>
              <w:right w:val="nil"/>
            </w:tcBorders>
            <w:shd w:val="clear" w:color="auto" w:fill="auto"/>
          </w:tcPr>
          <w:p w14:paraId="0D65276B" w14:textId="77777777" w:rsidR="009E4725" w:rsidRPr="00784A05" w:rsidRDefault="009E4725" w:rsidP="009E4725">
            <w:pPr>
              <w:pStyle w:val="TableTitle"/>
            </w:pPr>
            <w:r>
              <w:rPr>
                <w:b w:val="0"/>
              </w:rPr>
              <w:t>Table B.</w:t>
            </w:r>
            <w:r w:rsidR="00F97E1E">
              <w:rPr>
                <w:b w:val="0"/>
                <w:noProof/>
              </w:rPr>
              <w:t>1</w:t>
            </w:r>
            <w:r>
              <w:tab/>
            </w:r>
            <w:r w:rsidRPr="009E4725">
              <w:rPr>
                <w:sz w:val="18"/>
                <w:szCs w:val="18"/>
              </w:rPr>
              <w:t>(continued)</w:t>
            </w:r>
          </w:p>
        </w:tc>
      </w:tr>
      <w:tr w:rsidR="009E4725" w14:paraId="0D6527E6" w14:textId="77777777" w:rsidTr="00221950">
        <w:tc>
          <w:tcPr>
            <w:tcW w:w="8789" w:type="dxa"/>
            <w:gridSpan w:val="2"/>
            <w:tcBorders>
              <w:top w:val="nil"/>
              <w:left w:val="nil"/>
              <w:bottom w:val="nil"/>
              <w:right w:val="nil"/>
            </w:tcBorders>
            <w:shd w:val="clear" w:color="auto" w:fill="auto"/>
          </w:tcPr>
          <w:tbl>
            <w:tblPr>
              <w:tblW w:w="8363" w:type="dxa"/>
              <w:tblLayout w:type="fixed"/>
              <w:tblCellMar>
                <w:top w:w="28" w:type="dxa"/>
                <w:left w:w="0" w:type="dxa"/>
                <w:right w:w="0" w:type="dxa"/>
              </w:tblCellMar>
              <w:tblLook w:val="0000" w:firstRow="0" w:lastRow="0" w:firstColumn="0" w:lastColumn="0" w:noHBand="0" w:noVBand="0"/>
            </w:tblPr>
            <w:tblGrid>
              <w:gridCol w:w="4111"/>
              <w:gridCol w:w="25"/>
              <w:gridCol w:w="3235"/>
              <w:gridCol w:w="992"/>
            </w:tblGrid>
            <w:tr w:rsidR="00FD03E9" w14:paraId="0D652770" w14:textId="77777777" w:rsidTr="0005747D">
              <w:trPr>
                <w:tblHeader/>
              </w:trPr>
              <w:tc>
                <w:tcPr>
                  <w:tcW w:w="2473" w:type="pct"/>
                  <w:gridSpan w:val="2"/>
                  <w:tcBorders>
                    <w:top w:val="single" w:sz="6" w:space="0" w:color="BFBFBF"/>
                    <w:bottom w:val="single" w:sz="6" w:space="0" w:color="BFBFBF"/>
                  </w:tcBorders>
                </w:tcPr>
                <w:p w14:paraId="0D65276D" w14:textId="77777777" w:rsidR="00FD03E9" w:rsidRPr="00B24561" w:rsidRDefault="00FD03E9" w:rsidP="00FD03E9">
                  <w:pPr>
                    <w:pStyle w:val="TableColumnHeading"/>
                    <w:jc w:val="left"/>
                  </w:pPr>
                  <w:r w:rsidRPr="00B24561">
                    <w:t>Programme / Activity</w:t>
                  </w:r>
                </w:p>
              </w:tc>
              <w:tc>
                <w:tcPr>
                  <w:tcW w:w="1934" w:type="pct"/>
                  <w:tcBorders>
                    <w:top w:val="single" w:sz="6" w:space="0" w:color="BFBFBF"/>
                    <w:bottom w:val="single" w:sz="6" w:space="0" w:color="BFBFBF"/>
                  </w:tcBorders>
                </w:tcPr>
                <w:p w14:paraId="0D65276E" w14:textId="77777777" w:rsidR="00FD03E9" w:rsidRPr="00B24561" w:rsidRDefault="00FD03E9" w:rsidP="00FD03E9">
                  <w:pPr>
                    <w:pStyle w:val="TableColumnHeading"/>
                    <w:jc w:val="left"/>
                  </w:pPr>
                  <w:r w:rsidRPr="00B24561">
                    <w:t>Portfolio</w:t>
                  </w:r>
                </w:p>
              </w:tc>
              <w:tc>
                <w:tcPr>
                  <w:tcW w:w="593" w:type="pct"/>
                  <w:tcBorders>
                    <w:top w:val="single" w:sz="6" w:space="0" w:color="BFBFBF"/>
                    <w:bottom w:val="single" w:sz="6" w:space="0" w:color="BFBFBF"/>
                  </w:tcBorders>
                </w:tcPr>
                <w:p w14:paraId="0D65276F" w14:textId="77777777" w:rsidR="00FD03E9" w:rsidRPr="00B24561" w:rsidRDefault="00FD03E9" w:rsidP="00FD03E9">
                  <w:pPr>
                    <w:pStyle w:val="TableColumnHeading"/>
                  </w:pPr>
                  <w:r>
                    <w:t>Budgetary</w:t>
                  </w:r>
                  <w:r>
                    <w:br/>
                    <w:t>outlay</w:t>
                  </w:r>
                </w:p>
              </w:tc>
            </w:tr>
            <w:tr w:rsidR="002D4E49" w14:paraId="0D652774" w14:textId="77777777" w:rsidTr="0005747D">
              <w:trPr>
                <w:tblHeader/>
              </w:trPr>
              <w:tc>
                <w:tcPr>
                  <w:tcW w:w="2473" w:type="pct"/>
                  <w:gridSpan w:val="2"/>
                  <w:tcBorders>
                    <w:top w:val="single" w:sz="6" w:space="0" w:color="BFBFBF"/>
                  </w:tcBorders>
                </w:tcPr>
                <w:p w14:paraId="0D652771" w14:textId="77777777" w:rsidR="002D4E49" w:rsidRPr="00C60E6A" w:rsidRDefault="002D4E49" w:rsidP="004775C9">
                  <w:pPr>
                    <w:pStyle w:val="TableBodyText"/>
                    <w:spacing w:before="120"/>
                    <w:ind w:left="262" w:hanging="256"/>
                    <w:jc w:val="left"/>
                    <w:rPr>
                      <w:szCs w:val="18"/>
                    </w:rPr>
                  </w:pPr>
                  <w:r w:rsidRPr="00C60E6A">
                    <w:rPr>
                      <w:szCs w:val="18"/>
                    </w:rPr>
                    <w:t>Forestry</w:t>
                  </w:r>
                </w:p>
              </w:tc>
              <w:tc>
                <w:tcPr>
                  <w:tcW w:w="1934" w:type="pct"/>
                  <w:tcBorders>
                    <w:top w:val="single" w:sz="6" w:space="0" w:color="BFBFBF"/>
                  </w:tcBorders>
                </w:tcPr>
                <w:p w14:paraId="0D652772" w14:textId="77777777" w:rsidR="002D4E49" w:rsidRPr="00C60E6A" w:rsidRDefault="002D4E49" w:rsidP="004775C9">
                  <w:pPr>
                    <w:pStyle w:val="TableBodyText"/>
                    <w:spacing w:before="120"/>
                    <w:jc w:val="left"/>
                    <w:rPr>
                      <w:szCs w:val="18"/>
                    </w:rPr>
                  </w:pPr>
                  <w:r w:rsidRPr="00C60E6A">
                    <w:rPr>
                      <w:szCs w:val="18"/>
                    </w:rPr>
                    <w:t>Agriculture and Water Resources</w:t>
                  </w:r>
                </w:p>
              </w:tc>
              <w:tc>
                <w:tcPr>
                  <w:tcW w:w="593" w:type="pct"/>
                  <w:tcBorders>
                    <w:top w:val="single" w:sz="6" w:space="0" w:color="BFBFBF"/>
                  </w:tcBorders>
                </w:tcPr>
                <w:p w14:paraId="0D652773" w14:textId="77777777" w:rsidR="002D4E49" w:rsidRPr="00C60E6A" w:rsidRDefault="002D4E49" w:rsidP="004775C9">
                  <w:pPr>
                    <w:pStyle w:val="TableBodyText"/>
                    <w:spacing w:before="120"/>
                    <w:rPr>
                      <w:szCs w:val="18"/>
                    </w:rPr>
                  </w:pPr>
                  <w:r w:rsidRPr="00C60E6A">
                    <w:rPr>
                      <w:szCs w:val="18"/>
                    </w:rPr>
                    <w:t>4</w:t>
                  </w:r>
                </w:p>
              </w:tc>
            </w:tr>
            <w:tr w:rsidR="002D4E49" w14:paraId="0D652778" w14:textId="77777777" w:rsidTr="0005747D">
              <w:trPr>
                <w:tblHeader/>
              </w:trPr>
              <w:tc>
                <w:tcPr>
                  <w:tcW w:w="2473" w:type="pct"/>
                  <w:gridSpan w:val="2"/>
                </w:tcPr>
                <w:p w14:paraId="0D652775" w14:textId="77777777" w:rsidR="002D4E49" w:rsidRPr="00C60E6A" w:rsidRDefault="002D4E49" w:rsidP="004775C9">
                  <w:pPr>
                    <w:pStyle w:val="TableBodyText"/>
                    <w:ind w:left="262" w:hanging="256"/>
                    <w:jc w:val="left"/>
                    <w:rPr>
                      <w:szCs w:val="18"/>
                    </w:rPr>
                  </w:pPr>
                  <w:r w:rsidRPr="00C60E6A">
                    <w:rPr>
                      <w:szCs w:val="18"/>
                    </w:rPr>
                    <w:t>Carbon Farming Futures – Action on the Ground</w:t>
                  </w:r>
                </w:p>
              </w:tc>
              <w:tc>
                <w:tcPr>
                  <w:tcW w:w="1934" w:type="pct"/>
                </w:tcPr>
                <w:p w14:paraId="0D652776"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77" w14:textId="77777777" w:rsidR="002D4E49" w:rsidRPr="00C60E6A" w:rsidRDefault="002D4E49" w:rsidP="002D4E49">
                  <w:pPr>
                    <w:pStyle w:val="TableBodyText"/>
                    <w:rPr>
                      <w:szCs w:val="18"/>
                    </w:rPr>
                  </w:pPr>
                  <w:r w:rsidRPr="00C60E6A">
                    <w:rPr>
                      <w:szCs w:val="18"/>
                    </w:rPr>
                    <w:t>4</w:t>
                  </w:r>
                </w:p>
              </w:tc>
            </w:tr>
            <w:tr w:rsidR="002D4E49" w14:paraId="0D65277C" w14:textId="77777777" w:rsidTr="0005747D">
              <w:trPr>
                <w:tblHeader/>
              </w:trPr>
              <w:tc>
                <w:tcPr>
                  <w:tcW w:w="2473" w:type="pct"/>
                  <w:gridSpan w:val="2"/>
                </w:tcPr>
                <w:p w14:paraId="0D652779" w14:textId="77777777" w:rsidR="002D4E49" w:rsidRPr="00C60E6A" w:rsidRDefault="002D4E49" w:rsidP="004775C9">
                  <w:pPr>
                    <w:pStyle w:val="TableBodyText"/>
                    <w:ind w:left="262" w:hanging="256"/>
                    <w:jc w:val="left"/>
                    <w:rPr>
                      <w:szCs w:val="18"/>
                    </w:rPr>
                  </w:pPr>
                  <w:r w:rsidRPr="00C60E6A">
                    <w:rPr>
                      <w:szCs w:val="18"/>
                    </w:rPr>
                    <w:t xml:space="preserve">Payments to Austroads/ARRB Transport Research Ltd. </w:t>
                  </w:r>
                </w:p>
              </w:tc>
              <w:tc>
                <w:tcPr>
                  <w:tcW w:w="1934" w:type="pct"/>
                </w:tcPr>
                <w:p w14:paraId="0D65277A" w14:textId="77777777" w:rsidR="002D4E49" w:rsidRPr="00C60E6A" w:rsidRDefault="002D4E49" w:rsidP="002D4E49">
                  <w:pPr>
                    <w:pStyle w:val="TableBodyText"/>
                    <w:jc w:val="left"/>
                    <w:rPr>
                      <w:szCs w:val="18"/>
                    </w:rPr>
                  </w:pPr>
                  <w:r w:rsidRPr="00C60E6A">
                    <w:rPr>
                      <w:szCs w:val="18"/>
                    </w:rPr>
                    <w:t>Infrastructure and Regional Development</w:t>
                  </w:r>
                </w:p>
              </w:tc>
              <w:tc>
                <w:tcPr>
                  <w:tcW w:w="593" w:type="pct"/>
                </w:tcPr>
                <w:p w14:paraId="0D65277B" w14:textId="77777777" w:rsidR="002D4E49" w:rsidRPr="00C60E6A" w:rsidRDefault="002D4E49" w:rsidP="002D4E49">
                  <w:pPr>
                    <w:pStyle w:val="TableBodyText"/>
                    <w:rPr>
                      <w:szCs w:val="18"/>
                    </w:rPr>
                  </w:pPr>
                  <w:r w:rsidRPr="00C60E6A">
                    <w:rPr>
                      <w:szCs w:val="18"/>
                    </w:rPr>
                    <w:t>4</w:t>
                  </w:r>
                </w:p>
              </w:tc>
            </w:tr>
            <w:tr w:rsidR="002D4E49" w14:paraId="0D652780" w14:textId="77777777" w:rsidTr="0005747D">
              <w:trPr>
                <w:tblHeader/>
              </w:trPr>
              <w:tc>
                <w:tcPr>
                  <w:tcW w:w="2473" w:type="pct"/>
                  <w:gridSpan w:val="2"/>
                </w:tcPr>
                <w:p w14:paraId="0D65277D" w14:textId="77777777" w:rsidR="002D4E49" w:rsidRPr="00C60E6A" w:rsidRDefault="002D4E49" w:rsidP="004775C9">
                  <w:pPr>
                    <w:pStyle w:val="TableBodyText"/>
                    <w:ind w:left="262" w:hanging="256"/>
                    <w:jc w:val="left"/>
                    <w:rPr>
                      <w:szCs w:val="18"/>
                    </w:rPr>
                  </w:pPr>
                  <w:r w:rsidRPr="00C60E6A">
                    <w:rPr>
                      <w:szCs w:val="18"/>
                    </w:rPr>
                    <w:t xml:space="preserve">Carbon Farming Futures – Extension and Outreach </w:t>
                  </w:r>
                </w:p>
              </w:tc>
              <w:tc>
                <w:tcPr>
                  <w:tcW w:w="1934" w:type="pct"/>
                </w:tcPr>
                <w:p w14:paraId="0D65277E" w14:textId="77777777" w:rsidR="002D4E49" w:rsidRPr="00C60E6A" w:rsidRDefault="002D4E49" w:rsidP="002D4E49">
                  <w:pPr>
                    <w:pStyle w:val="TableBodyText"/>
                    <w:jc w:val="left"/>
                    <w:rPr>
                      <w:szCs w:val="18"/>
                    </w:rPr>
                  </w:pPr>
                  <w:r w:rsidRPr="00C60E6A">
                    <w:rPr>
                      <w:szCs w:val="18"/>
                    </w:rPr>
                    <w:t>Agriculture and Water Resources</w:t>
                  </w:r>
                </w:p>
              </w:tc>
              <w:tc>
                <w:tcPr>
                  <w:tcW w:w="593" w:type="pct"/>
                </w:tcPr>
                <w:p w14:paraId="0D65277F" w14:textId="77777777" w:rsidR="002D4E49" w:rsidRPr="00C60E6A" w:rsidRDefault="002D4E49" w:rsidP="002D4E49">
                  <w:pPr>
                    <w:pStyle w:val="TableBodyText"/>
                    <w:rPr>
                      <w:szCs w:val="18"/>
                    </w:rPr>
                  </w:pPr>
                  <w:r w:rsidRPr="00C60E6A">
                    <w:rPr>
                      <w:szCs w:val="18"/>
                    </w:rPr>
                    <w:t>4</w:t>
                  </w:r>
                </w:p>
              </w:tc>
            </w:tr>
            <w:tr w:rsidR="002D4E49" w14:paraId="0D652784" w14:textId="77777777" w:rsidTr="0005747D">
              <w:trPr>
                <w:tblHeader/>
              </w:trPr>
              <w:tc>
                <w:tcPr>
                  <w:tcW w:w="2473" w:type="pct"/>
                  <w:gridSpan w:val="2"/>
                </w:tcPr>
                <w:p w14:paraId="0D652781" w14:textId="77777777" w:rsidR="002D4E49" w:rsidRPr="00B24561" w:rsidRDefault="002D4E49" w:rsidP="004775C9">
                  <w:pPr>
                    <w:pStyle w:val="TableBodyText"/>
                    <w:ind w:left="262" w:hanging="256"/>
                    <w:jc w:val="left"/>
                  </w:pPr>
                  <w:r w:rsidRPr="00B24561">
                    <w:t>Industry Growth centres Initiative</w:t>
                  </w:r>
                  <w:r w:rsidR="000D68BB">
                    <w:t xml:space="preserve"> </w:t>
                  </w:r>
                  <w:r w:rsidR="003F7226">
                    <w:noBreakHyphen/>
                  </w:r>
                  <w:r w:rsidRPr="00B24561">
                    <w:t xml:space="preserve"> Project Fund</w:t>
                  </w:r>
                </w:p>
              </w:tc>
              <w:tc>
                <w:tcPr>
                  <w:tcW w:w="1934" w:type="pct"/>
                </w:tcPr>
                <w:p w14:paraId="0D652782" w14:textId="77777777" w:rsidR="002D4E49" w:rsidRPr="00B24561" w:rsidRDefault="002D4E49" w:rsidP="002D4E49">
                  <w:pPr>
                    <w:pStyle w:val="TableBodyText"/>
                    <w:jc w:val="left"/>
                  </w:pPr>
                  <w:r w:rsidRPr="00B24561">
                    <w:t>Industry, Innovation and Science</w:t>
                  </w:r>
                </w:p>
              </w:tc>
              <w:tc>
                <w:tcPr>
                  <w:tcW w:w="593" w:type="pct"/>
                </w:tcPr>
                <w:p w14:paraId="0D652783" w14:textId="77777777" w:rsidR="002D4E49" w:rsidRPr="00B24561" w:rsidRDefault="002D4E49" w:rsidP="002D4E49">
                  <w:pPr>
                    <w:pStyle w:val="TableBodyText"/>
                  </w:pPr>
                  <w:r w:rsidRPr="00B24561">
                    <w:t>4</w:t>
                  </w:r>
                </w:p>
              </w:tc>
            </w:tr>
            <w:tr w:rsidR="002D4E49" w14:paraId="0D652788" w14:textId="77777777" w:rsidTr="0005747D">
              <w:trPr>
                <w:tblHeader/>
              </w:trPr>
              <w:tc>
                <w:tcPr>
                  <w:tcW w:w="2473" w:type="pct"/>
                  <w:gridSpan w:val="2"/>
                </w:tcPr>
                <w:p w14:paraId="0D652785" w14:textId="77777777" w:rsidR="002D4E49" w:rsidRPr="00B24561" w:rsidRDefault="002D4E49" w:rsidP="004775C9">
                  <w:pPr>
                    <w:pStyle w:val="TableBodyText"/>
                    <w:ind w:left="262" w:hanging="256"/>
                    <w:jc w:val="left"/>
                  </w:pPr>
                  <w:r w:rsidRPr="00B24561">
                    <w:t xml:space="preserve">National Climate Change Adaptation Research Facility (NCCARF) </w:t>
                  </w:r>
                  <w:r>
                    <w:t>–</w:t>
                  </w:r>
                  <w:r w:rsidRPr="00B24561">
                    <w:t xml:space="preserve"> support</w:t>
                  </w:r>
                </w:p>
              </w:tc>
              <w:tc>
                <w:tcPr>
                  <w:tcW w:w="1934" w:type="pct"/>
                </w:tcPr>
                <w:p w14:paraId="0D652786" w14:textId="77777777" w:rsidR="002D4E49" w:rsidRPr="00B24561" w:rsidRDefault="002D4E49" w:rsidP="002D4E49">
                  <w:pPr>
                    <w:pStyle w:val="TableBodyText"/>
                    <w:jc w:val="left"/>
                  </w:pPr>
                  <w:r w:rsidRPr="00B24561">
                    <w:t>Environment and Energy</w:t>
                  </w:r>
                </w:p>
              </w:tc>
              <w:tc>
                <w:tcPr>
                  <w:tcW w:w="593" w:type="pct"/>
                </w:tcPr>
                <w:p w14:paraId="0D652787" w14:textId="77777777" w:rsidR="002D4E49" w:rsidRPr="00B24561" w:rsidRDefault="002D4E49" w:rsidP="002D4E49">
                  <w:pPr>
                    <w:pStyle w:val="TableBodyText"/>
                  </w:pPr>
                  <w:r w:rsidRPr="00B24561">
                    <w:t>3</w:t>
                  </w:r>
                </w:p>
              </w:tc>
            </w:tr>
            <w:tr w:rsidR="002D4E49" w14:paraId="0D65278C" w14:textId="77777777" w:rsidTr="0005747D">
              <w:trPr>
                <w:tblHeader/>
              </w:trPr>
              <w:tc>
                <w:tcPr>
                  <w:tcW w:w="2473" w:type="pct"/>
                  <w:gridSpan w:val="2"/>
                </w:tcPr>
                <w:p w14:paraId="0D652789" w14:textId="77777777" w:rsidR="002D4E49" w:rsidRPr="00B24561" w:rsidRDefault="002D4E49" w:rsidP="004775C9">
                  <w:pPr>
                    <w:pStyle w:val="TableBodyText"/>
                    <w:ind w:left="262" w:hanging="256"/>
                    <w:jc w:val="left"/>
                  </w:pPr>
                  <w:r w:rsidRPr="00B24561">
                    <w:t xml:space="preserve">Great Barrier Reef Foundation </w:t>
                  </w:r>
                  <w:r>
                    <w:t>–</w:t>
                  </w:r>
                  <w:r w:rsidRPr="00B24561">
                    <w:t xml:space="preserve"> contribution</w:t>
                  </w:r>
                </w:p>
              </w:tc>
              <w:tc>
                <w:tcPr>
                  <w:tcW w:w="1934" w:type="pct"/>
                </w:tcPr>
                <w:p w14:paraId="0D65278A" w14:textId="77777777" w:rsidR="002D4E49" w:rsidRPr="00B24561" w:rsidRDefault="002D4E49" w:rsidP="002D4E49">
                  <w:pPr>
                    <w:pStyle w:val="TableBodyText"/>
                    <w:jc w:val="left"/>
                  </w:pPr>
                  <w:r w:rsidRPr="00B24561">
                    <w:t>Environment and Energy</w:t>
                  </w:r>
                </w:p>
              </w:tc>
              <w:tc>
                <w:tcPr>
                  <w:tcW w:w="593" w:type="pct"/>
                </w:tcPr>
                <w:p w14:paraId="0D65278B" w14:textId="77777777" w:rsidR="002D4E49" w:rsidRPr="00B24561" w:rsidRDefault="002D4E49" w:rsidP="002D4E49">
                  <w:pPr>
                    <w:pStyle w:val="TableBodyText"/>
                  </w:pPr>
                  <w:r w:rsidRPr="00B24561">
                    <w:t>3</w:t>
                  </w:r>
                </w:p>
              </w:tc>
            </w:tr>
            <w:tr w:rsidR="002D4E49" w14:paraId="0D652790" w14:textId="77777777" w:rsidTr="0005747D">
              <w:trPr>
                <w:tblHeader/>
              </w:trPr>
              <w:tc>
                <w:tcPr>
                  <w:tcW w:w="2473" w:type="pct"/>
                  <w:gridSpan w:val="2"/>
                </w:tcPr>
                <w:p w14:paraId="0D65278D" w14:textId="77777777" w:rsidR="002D4E49" w:rsidRPr="00B24561" w:rsidRDefault="002D4E49" w:rsidP="004775C9">
                  <w:pPr>
                    <w:pStyle w:val="TableBodyText"/>
                    <w:ind w:left="262" w:hanging="256"/>
                    <w:jc w:val="left"/>
                  </w:pPr>
                  <w:r w:rsidRPr="00B24561">
                    <w:t>Competitive Pre</w:t>
                  </w:r>
                  <w:r w:rsidR="003F7226">
                    <w:noBreakHyphen/>
                  </w:r>
                  <w:r w:rsidRPr="00B24561">
                    <w:t>Seed Fund</w:t>
                  </w:r>
                </w:p>
              </w:tc>
              <w:tc>
                <w:tcPr>
                  <w:tcW w:w="1934" w:type="pct"/>
                </w:tcPr>
                <w:p w14:paraId="0D65278E" w14:textId="77777777" w:rsidR="002D4E49" w:rsidRPr="00B24561" w:rsidRDefault="002D4E49" w:rsidP="002D4E49">
                  <w:pPr>
                    <w:pStyle w:val="TableBodyText"/>
                    <w:jc w:val="left"/>
                  </w:pPr>
                  <w:r w:rsidRPr="00B24561">
                    <w:t>Industry, Innovation and Science</w:t>
                  </w:r>
                </w:p>
              </w:tc>
              <w:tc>
                <w:tcPr>
                  <w:tcW w:w="593" w:type="pct"/>
                </w:tcPr>
                <w:p w14:paraId="0D65278F" w14:textId="77777777" w:rsidR="002D4E49" w:rsidRPr="00B24561" w:rsidRDefault="002D4E49" w:rsidP="002D4E49">
                  <w:pPr>
                    <w:pStyle w:val="TableBodyText"/>
                  </w:pPr>
                  <w:r w:rsidRPr="00B24561">
                    <w:t>3</w:t>
                  </w:r>
                </w:p>
              </w:tc>
            </w:tr>
            <w:tr w:rsidR="002D4E49" w14:paraId="0D652794" w14:textId="77777777" w:rsidTr="0005747D">
              <w:trPr>
                <w:tblHeader/>
              </w:trPr>
              <w:tc>
                <w:tcPr>
                  <w:tcW w:w="2473" w:type="pct"/>
                  <w:gridSpan w:val="2"/>
                </w:tcPr>
                <w:p w14:paraId="0D652791" w14:textId="77777777" w:rsidR="002D4E49" w:rsidRPr="00B24561" w:rsidRDefault="002D4E49" w:rsidP="004775C9">
                  <w:pPr>
                    <w:pStyle w:val="TableBodyText"/>
                    <w:ind w:left="262" w:hanging="256"/>
                    <w:jc w:val="left"/>
                  </w:pPr>
                  <w:r w:rsidRPr="00B24561">
                    <w:t>Longitudinal Study of Indigenous Children (LSIC)</w:t>
                  </w:r>
                </w:p>
              </w:tc>
              <w:tc>
                <w:tcPr>
                  <w:tcW w:w="1934" w:type="pct"/>
                </w:tcPr>
                <w:p w14:paraId="0D652792" w14:textId="77777777" w:rsidR="002D4E49" w:rsidRPr="00B24561" w:rsidRDefault="002D4E49" w:rsidP="002D4E49">
                  <w:pPr>
                    <w:pStyle w:val="TableBodyText"/>
                    <w:jc w:val="left"/>
                  </w:pPr>
                  <w:r w:rsidRPr="00B24561">
                    <w:t>Social Services</w:t>
                  </w:r>
                </w:p>
              </w:tc>
              <w:tc>
                <w:tcPr>
                  <w:tcW w:w="593" w:type="pct"/>
                </w:tcPr>
                <w:p w14:paraId="0D652793" w14:textId="77777777" w:rsidR="002D4E49" w:rsidRPr="00B24561" w:rsidRDefault="002D4E49" w:rsidP="002D4E49">
                  <w:pPr>
                    <w:pStyle w:val="TableBodyText"/>
                  </w:pPr>
                  <w:r w:rsidRPr="00B24561">
                    <w:t>3</w:t>
                  </w:r>
                </w:p>
              </w:tc>
            </w:tr>
            <w:tr w:rsidR="002D4E49" w14:paraId="0D652798" w14:textId="77777777" w:rsidTr="0005747D">
              <w:trPr>
                <w:tblHeader/>
              </w:trPr>
              <w:tc>
                <w:tcPr>
                  <w:tcW w:w="2473" w:type="pct"/>
                  <w:gridSpan w:val="2"/>
                </w:tcPr>
                <w:p w14:paraId="0D652795" w14:textId="77777777" w:rsidR="002D4E49" w:rsidRPr="00B24561" w:rsidRDefault="002D4E49" w:rsidP="004775C9">
                  <w:pPr>
                    <w:pStyle w:val="TableBodyText"/>
                    <w:ind w:left="262" w:hanging="256"/>
                    <w:jc w:val="left"/>
                  </w:pPr>
                  <w:r w:rsidRPr="00B24561">
                    <w:t xml:space="preserve">Australian Institute of Criminology (AIC) Research Program </w:t>
                  </w:r>
                </w:p>
              </w:tc>
              <w:tc>
                <w:tcPr>
                  <w:tcW w:w="1934" w:type="pct"/>
                </w:tcPr>
                <w:p w14:paraId="0D652796" w14:textId="77777777" w:rsidR="002D4E49" w:rsidRPr="00B24561" w:rsidRDefault="002D4E49" w:rsidP="002D4E49">
                  <w:pPr>
                    <w:pStyle w:val="TableBodyText"/>
                    <w:jc w:val="left"/>
                  </w:pPr>
                  <w:r w:rsidRPr="00B24561">
                    <w:t>Attorney</w:t>
                  </w:r>
                  <w:r w:rsidR="003F7226">
                    <w:noBreakHyphen/>
                  </w:r>
                  <w:r w:rsidRPr="00B24561">
                    <w:t>General</w:t>
                  </w:r>
                  <w:r>
                    <w:t>’</w:t>
                  </w:r>
                  <w:r w:rsidRPr="00B24561">
                    <w:t>s</w:t>
                  </w:r>
                </w:p>
              </w:tc>
              <w:tc>
                <w:tcPr>
                  <w:tcW w:w="593" w:type="pct"/>
                </w:tcPr>
                <w:p w14:paraId="0D652797" w14:textId="77777777" w:rsidR="002D4E49" w:rsidRPr="00B24561" w:rsidRDefault="002D4E49" w:rsidP="002D4E49">
                  <w:pPr>
                    <w:pStyle w:val="TableBodyText"/>
                  </w:pPr>
                  <w:r w:rsidRPr="00B24561">
                    <w:t>3</w:t>
                  </w:r>
                </w:p>
              </w:tc>
            </w:tr>
            <w:tr w:rsidR="002D4E49" w14:paraId="0D65279C" w14:textId="77777777" w:rsidTr="0005747D">
              <w:trPr>
                <w:tblHeader/>
              </w:trPr>
              <w:tc>
                <w:tcPr>
                  <w:tcW w:w="2473" w:type="pct"/>
                  <w:gridSpan w:val="2"/>
                </w:tcPr>
                <w:p w14:paraId="0D652799" w14:textId="77777777" w:rsidR="002D4E49" w:rsidRPr="00B24561" w:rsidRDefault="002D4E49" w:rsidP="004775C9">
                  <w:pPr>
                    <w:pStyle w:val="TableBodyText"/>
                    <w:ind w:left="262" w:hanging="256"/>
                    <w:jc w:val="left"/>
                  </w:pPr>
                  <w:r w:rsidRPr="00B24561">
                    <w:t>Entrepreneurs</w:t>
                  </w:r>
                  <w:r>
                    <w:t>’</w:t>
                  </w:r>
                  <w:r w:rsidRPr="00B24561">
                    <w:t xml:space="preserve"> Programme </w:t>
                  </w:r>
                  <w:r>
                    <w:t>–</w:t>
                  </w:r>
                  <w:r w:rsidRPr="00B24561">
                    <w:t xml:space="preserve"> Innovation Connections</w:t>
                  </w:r>
                </w:p>
              </w:tc>
              <w:tc>
                <w:tcPr>
                  <w:tcW w:w="1934" w:type="pct"/>
                </w:tcPr>
                <w:p w14:paraId="0D65279A" w14:textId="77777777" w:rsidR="002D4E49" w:rsidRPr="00B24561" w:rsidRDefault="002D4E49" w:rsidP="002D4E49">
                  <w:pPr>
                    <w:pStyle w:val="TableBodyText"/>
                    <w:jc w:val="left"/>
                  </w:pPr>
                  <w:r w:rsidRPr="00B24561">
                    <w:t>Industry, Innovation and Science</w:t>
                  </w:r>
                </w:p>
              </w:tc>
              <w:tc>
                <w:tcPr>
                  <w:tcW w:w="593" w:type="pct"/>
                </w:tcPr>
                <w:p w14:paraId="0D65279B" w14:textId="77777777" w:rsidR="002D4E49" w:rsidRPr="00B24561" w:rsidRDefault="002D4E49" w:rsidP="002D4E49">
                  <w:pPr>
                    <w:pStyle w:val="TableBodyText"/>
                  </w:pPr>
                  <w:r w:rsidRPr="00B24561">
                    <w:t>3</w:t>
                  </w:r>
                </w:p>
              </w:tc>
            </w:tr>
            <w:tr w:rsidR="002D4E49" w14:paraId="0D6527A0" w14:textId="77777777" w:rsidTr="0005747D">
              <w:tc>
                <w:tcPr>
                  <w:tcW w:w="2473" w:type="pct"/>
                  <w:gridSpan w:val="2"/>
                </w:tcPr>
                <w:p w14:paraId="0D65279D" w14:textId="77777777" w:rsidR="002D4E49" w:rsidRPr="00B24561" w:rsidRDefault="002D4E49" w:rsidP="004775C9">
                  <w:pPr>
                    <w:pStyle w:val="TableBodyText"/>
                    <w:ind w:left="262" w:hanging="256"/>
                    <w:jc w:val="left"/>
                  </w:pPr>
                  <w:r w:rsidRPr="00B24561">
                    <w:t>Australia</w:t>
                  </w:r>
                  <w:r w:rsidR="003F7226">
                    <w:noBreakHyphen/>
                  </w:r>
                  <w:r w:rsidRPr="00B24561">
                    <w:t xml:space="preserve">India Strategic Research Fund </w:t>
                  </w:r>
                </w:p>
              </w:tc>
              <w:tc>
                <w:tcPr>
                  <w:tcW w:w="1934" w:type="pct"/>
                </w:tcPr>
                <w:p w14:paraId="0D65279E" w14:textId="77777777" w:rsidR="002D4E49" w:rsidRPr="00B24561" w:rsidRDefault="002D4E49" w:rsidP="002D4E49">
                  <w:pPr>
                    <w:pStyle w:val="TableBodyText"/>
                    <w:jc w:val="left"/>
                  </w:pPr>
                  <w:r w:rsidRPr="00B24561">
                    <w:t>Industry, Innovation and Science</w:t>
                  </w:r>
                </w:p>
              </w:tc>
              <w:tc>
                <w:tcPr>
                  <w:tcW w:w="593" w:type="pct"/>
                </w:tcPr>
                <w:p w14:paraId="0D65279F" w14:textId="77777777" w:rsidR="002D4E49" w:rsidRPr="00B24561" w:rsidRDefault="002D4E49" w:rsidP="002D4E49">
                  <w:pPr>
                    <w:pStyle w:val="TableBodyText"/>
                  </w:pPr>
                  <w:r w:rsidRPr="00B24561">
                    <w:t>3</w:t>
                  </w:r>
                </w:p>
              </w:tc>
            </w:tr>
            <w:tr w:rsidR="002D4E49" w14:paraId="0D6527A4" w14:textId="77777777" w:rsidTr="0005747D">
              <w:tc>
                <w:tcPr>
                  <w:tcW w:w="2473" w:type="pct"/>
                  <w:gridSpan w:val="2"/>
                </w:tcPr>
                <w:p w14:paraId="0D6527A1" w14:textId="77777777" w:rsidR="002D4E49" w:rsidRPr="00B24561" w:rsidRDefault="002D4E49" w:rsidP="004775C9">
                  <w:pPr>
                    <w:pStyle w:val="TableBodyText"/>
                    <w:ind w:left="262" w:hanging="256"/>
                    <w:jc w:val="left"/>
                  </w:pPr>
                  <w:r w:rsidRPr="00B24561">
                    <w:t>Establishment of an ICT</w:t>
                  </w:r>
                  <w:r w:rsidR="003F7226">
                    <w:noBreakHyphen/>
                  </w:r>
                  <w:r w:rsidRPr="00B24561">
                    <w:t xml:space="preserve">enabled Research Laboratory </w:t>
                  </w:r>
                  <w:r>
                    <w:t>–</w:t>
                  </w:r>
                  <w:r w:rsidRPr="00B24561">
                    <w:t xml:space="preserve"> Commonwealth Assistance</w:t>
                  </w:r>
                </w:p>
              </w:tc>
              <w:tc>
                <w:tcPr>
                  <w:tcW w:w="1934" w:type="pct"/>
                </w:tcPr>
                <w:p w14:paraId="0D6527A2" w14:textId="77777777" w:rsidR="002D4E49" w:rsidRPr="00B24561" w:rsidRDefault="002D4E49" w:rsidP="002D4E49">
                  <w:pPr>
                    <w:pStyle w:val="TableBodyText"/>
                    <w:jc w:val="left"/>
                  </w:pPr>
                  <w:r w:rsidRPr="00B24561">
                    <w:t>Industry, Innovation and Science</w:t>
                  </w:r>
                </w:p>
              </w:tc>
              <w:tc>
                <w:tcPr>
                  <w:tcW w:w="593" w:type="pct"/>
                </w:tcPr>
                <w:p w14:paraId="0D6527A3" w14:textId="77777777" w:rsidR="002D4E49" w:rsidRPr="00B24561" w:rsidRDefault="002D4E49" w:rsidP="002D4E49">
                  <w:pPr>
                    <w:pStyle w:val="TableBodyText"/>
                  </w:pPr>
                  <w:r w:rsidRPr="00B24561">
                    <w:t>3</w:t>
                  </w:r>
                </w:p>
              </w:tc>
            </w:tr>
            <w:tr w:rsidR="002D4E49" w14:paraId="0D6527A8" w14:textId="77777777" w:rsidTr="0005747D">
              <w:tc>
                <w:tcPr>
                  <w:tcW w:w="2473" w:type="pct"/>
                  <w:gridSpan w:val="2"/>
                </w:tcPr>
                <w:p w14:paraId="0D6527A5" w14:textId="77777777" w:rsidR="002D4E49" w:rsidRPr="00B24561" w:rsidRDefault="002D4E49" w:rsidP="004775C9">
                  <w:pPr>
                    <w:pStyle w:val="TableBodyText"/>
                    <w:ind w:left="262" w:hanging="256"/>
                    <w:jc w:val="left"/>
                  </w:pPr>
                  <w:r w:rsidRPr="00B24561">
                    <w:t xml:space="preserve">Australian Sports Commission (ASC) Research Programs </w:t>
                  </w:r>
                  <w:r>
                    <w:t>–</w:t>
                  </w:r>
                  <w:r w:rsidRPr="00B24561">
                    <w:t xml:space="preserve"> Intramural</w:t>
                  </w:r>
                </w:p>
              </w:tc>
              <w:tc>
                <w:tcPr>
                  <w:tcW w:w="1934" w:type="pct"/>
                </w:tcPr>
                <w:p w14:paraId="0D6527A6" w14:textId="77777777" w:rsidR="002D4E49" w:rsidRPr="00B24561" w:rsidRDefault="002D4E49" w:rsidP="002D4E49">
                  <w:pPr>
                    <w:pStyle w:val="TableBodyText"/>
                    <w:jc w:val="left"/>
                  </w:pPr>
                  <w:r w:rsidRPr="00B24561">
                    <w:t>Health</w:t>
                  </w:r>
                </w:p>
              </w:tc>
              <w:tc>
                <w:tcPr>
                  <w:tcW w:w="593" w:type="pct"/>
                </w:tcPr>
                <w:p w14:paraId="0D6527A7" w14:textId="77777777" w:rsidR="002D4E49" w:rsidRPr="00B24561" w:rsidRDefault="002D4E49" w:rsidP="002D4E49">
                  <w:pPr>
                    <w:pStyle w:val="TableBodyText"/>
                  </w:pPr>
                  <w:r w:rsidRPr="00B24561">
                    <w:t>3</w:t>
                  </w:r>
                </w:p>
              </w:tc>
            </w:tr>
            <w:tr w:rsidR="002D4E49" w14:paraId="0D6527AC" w14:textId="77777777" w:rsidTr="0005747D">
              <w:tc>
                <w:tcPr>
                  <w:tcW w:w="2473" w:type="pct"/>
                  <w:gridSpan w:val="2"/>
                </w:tcPr>
                <w:p w14:paraId="0D6527A9" w14:textId="77777777" w:rsidR="002D4E49" w:rsidRPr="00B24561" w:rsidRDefault="002D4E49" w:rsidP="004775C9">
                  <w:pPr>
                    <w:pStyle w:val="TableBodyText"/>
                    <w:ind w:left="262" w:hanging="256"/>
                    <w:jc w:val="left"/>
                  </w:pPr>
                  <w:r w:rsidRPr="00B24561">
                    <w:t xml:space="preserve">Australian War Memorial </w:t>
                  </w:r>
                  <w:r>
                    <w:t>–</w:t>
                  </w:r>
                  <w:r w:rsidRPr="00B24561">
                    <w:t xml:space="preserve"> Official Histories</w:t>
                  </w:r>
                </w:p>
              </w:tc>
              <w:tc>
                <w:tcPr>
                  <w:tcW w:w="1934" w:type="pct"/>
                </w:tcPr>
                <w:p w14:paraId="0D6527AA" w14:textId="77777777" w:rsidR="002D4E49" w:rsidRPr="00B24561" w:rsidRDefault="002D4E49" w:rsidP="002D4E49">
                  <w:pPr>
                    <w:pStyle w:val="TableBodyText"/>
                    <w:jc w:val="left"/>
                  </w:pPr>
                  <w:r w:rsidRPr="00B24561">
                    <w:t>Veterans</w:t>
                  </w:r>
                  <w:r>
                    <w:t>’</w:t>
                  </w:r>
                  <w:r w:rsidRPr="00B24561">
                    <w:t xml:space="preserve"> Affairs</w:t>
                  </w:r>
                </w:p>
              </w:tc>
              <w:tc>
                <w:tcPr>
                  <w:tcW w:w="593" w:type="pct"/>
                </w:tcPr>
                <w:p w14:paraId="0D6527AB" w14:textId="77777777" w:rsidR="002D4E49" w:rsidRPr="00B24561" w:rsidRDefault="002D4E49" w:rsidP="002D4E49">
                  <w:pPr>
                    <w:pStyle w:val="TableBodyText"/>
                  </w:pPr>
                  <w:r w:rsidRPr="00B24561">
                    <w:t>3</w:t>
                  </w:r>
                </w:p>
              </w:tc>
            </w:tr>
            <w:tr w:rsidR="00741E2E" w14:paraId="255B9812" w14:textId="77777777" w:rsidTr="0005747D">
              <w:tc>
                <w:tcPr>
                  <w:tcW w:w="2473" w:type="pct"/>
                  <w:gridSpan w:val="2"/>
                </w:tcPr>
                <w:p w14:paraId="19CCB036" w14:textId="77777777" w:rsidR="00741E2E" w:rsidRPr="00B24561" w:rsidRDefault="00741E2E" w:rsidP="00B72418">
                  <w:pPr>
                    <w:pStyle w:val="TableBodyText"/>
                    <w:ind w:left="262" w:hanging="256"/>
                    <w:jc w:val="left"/>
                  </w:pPr>
                  <w:r w:rsidRPr="00B24561">
                    <w:t>ANROWS core funding</w:t>
                  </w:r>
                </w:p>
              </w:tc>
              <w:tc>
                <w:tcPr>
                  <w:tcW w:w="1934" w:type="pct"/>
                </w:tcPr>
                <w:p w14:paraId="5C90C522" w14:textId="77777777" w:rsidR="00741E2E" w:rsidRPr="00B24561" w:rsidRDefault="00741E2E" w:rsidP="00B72418">
                  <w:pPr>
                    <w:pStyle w:val="TableBodyText"/>
                    <w:jc w:val="left"/>
                  </w:pPr>
                  <w:r w:rsidRPr="00B24561">
                    <w:t>Social Services</w:t>
                  </w:r>
                </w:p>
              </w:tc>
              <w:tc>
                <w:tcPr>
                  <w:tcW w:w="593" w:type="pct"/>
                </w:tcPr>
                <w:p w14:paraId="38E78810" w14:textId="77777777" w:rsidR="00741E2E" w:rsidRPr="00B24561" w:rsidRDefault="00741E2E" w:rsidP="00B72418">
                  <w:pPr>
                    <w:pStyle w:val="TableBodyText"/>
                  </w:pPr>
                  <w:r w:rsidRPr="00B24561">
                    <w:t>2</w:t>
                  </w:r>
                </w:p>
              </w:tc>
            </w:tr>
            <w:tr w:rsidR="00741E2E" w14:paraId="3571EBF2" w14:textId="77777777" w:rsidTr="0005747D">
              <w:tc>
                <w:tcPr>
                  <w:tcW w:w="2473" w:type="pct"/>
                  <w:gridSpan w:val="2"/>
                </w:tcPr>
                <w:p w14:paraId="16716623" w14:textId="77777777" w:rsidR="00741E2E" w:rsidRPr="00B24561" w:rsidRDefault="00741E2E" w:rsidP="00B72418">
                  <w:pPr>
                    <w:pStyle w:val="TableBodyText"/>
                    <w:ind w:left="262" w:hanging="256"/>
                    <w:jc w:val="left"/>
                  </w:pPr>
                  <w:r w:rsidRPr="00B24561">
                    <w:t>Australian Biological Resources Study</w:t>
                  </w:r>
                </w:p>
              </w:tc>
              <w:tc>
                <w:tcPr>
                  <w:tcW w:w="1934" w:type="pct"/>
                </w:tcPr>
                <w:p w14:paraId="17680B6F" w14:textId="77777777" w:rsidR="00741E2E" w:rsidRPr="00B24561" w:rsidRDefault="00741E2E" w:rsidP="00B72418">
                  <w:pPr>
                    <w:pStyle w:val="TableBodyText"/>
                    <w:jc w:val="left"/>
                  </w:pPr>
                  <w:r w:rsidRPr="00B24561">
                    <w:t>Environment and Energy</w:t>
                  </w:r>
                </w:p>
              </w:tc>
              <w:tc>
                <w:tcPr>
                  <w:tcW w:w="593" w:type="pct"/>
                </w:tcPr>
                <w:p w14:paraId="0D8B5614" w14:textId="77777777" w:rsidR="00741E2E" w:rsidRPr="00B24561" w:rsidRDefault="00741E2E" w:rsidP="00B72418">
                  <w:pPr>
                    <w:pStyle w:val="TableBodyText"/>
                  </w:pPr>
                  <w:r w:rsidRPr="00B24561">
                    <w:t>2</w:t>
                  </w:r>
                </w:p>
              </w:tc>
            </w:tr>
            <w:tr w:rsidR="002D4E49" w14:paraId="0D6527B4" w14:textId="77777777" w:rsidTr="0005747D">
              <w:tc>
                <w:tcPr>
                  <w:tcW w:w="2473" w:type="pct"/>
                  <w:gridSpan w:val="2"/>
                </w:tcPr>
                <w:p w14:paraId="0D6527B1" w14:textId="77777777" w:rsidR="002D4E49" w:rsidRPr="00B24561" w:rsidRDefault="002D4E49" w:rsidP="004775C9">
                  <w:pPr>
                    <w:pStyle w:val="TableBodyText"/>
                    <w:ind w:left="262" w:hanging="256"/>
                    <w:jc w:val="left"/>
                  </w:pPr>
                  <w:r w:rsidRPr="00B24561">
                    <w:t>Australian Longitudinal Study on Male Health</w:t>
                  </w:r>
                </w:p>
              </w:tc>
              <w:tc>
                <w:tcPr>
                  <w:tcW w:w="1934" w:type="pct"/>
                </w:tcPr>
                <w:p w14:paraId="0D6527B2" w14:textId="77777777" w:rsidR="002D4E49" w:rsidRPr="00B24561" w:rsidRDefault="002D4E49" w:rsidP="002D4E49">
                  <w:pPr>
                    <w:pStyle w:val="TableBodyText"/>
                    <w:jc w:val="left"/>
                  </w:pPr>
                  <w:r w:rsidRPr="00B24561">
                    <w:t>Health</w:t>
                  </w:r>
                </w:p>
              </w:tc>
              <w:tc>
                <w:tcPr>
                  <w:tcW w:w="593" w:type="pct"/>
                </w:tcPr>
                <w:p w14:paraId="0D6527B3" w14:textId="77777777" w:rsidR="002D4E49" w:rsidRPr="00B24561" w:rsidRDefault="002D4E49" w:rsidP="002D4E49">
                  <w:pPr>
                    <w:pStyle w:val="TableBodyText"/>
                  </w:pPr>
                  <w:r w:rsidRPr="00B24561">
                    <w:t>2</w:t>
                  </w:r>
                </w:p>
              </w:tc>
            </w:tr>
            <w:tr w:rsidR="002D4E49" w14:paraId="0D6527C0" w14:textId="77777777" w:rsidTr="0005747D">
              <w:tc>
                <w:tcPr>
                  <w:tcW w:w="2473" w:type="pct"/>
                  <w:gridSpan w:val="2"/>
                </w:tcPr>
                <w:p w14:paraId="0D6527BD" w14:textId="77777777" w:rsidR="002D4E49" w:rsidRPr="00B24561" w:rsidRDefault="002D4E49" w:rsidP="004775C9">
                  <w:pPr>
                    <w:pStyle w:val="TableBodyText"/>
                    <w:ind w:left="262" w:hanging="256"/>
                    <w:jc w:val="left"/>
                  </w:pPr>
                  <w:r w:rsidRPr="00B24561">
                    <w:t xml:space="preserve">Australian Radiation Protection and Nuclear Safety Agency (ARPANSA) </w:t>
                  </w:r>
                  <w:r>
                    <w:t>–</w:t>
                  </w:r>
                  <w:r w:rsidRPr="00B24561">
                    <w:t xml:space="preserve"> Radiation in Health Care </w:t>
                  </w:r>
                  <w:r>
                    <w:t>–</w:t>
                  </w:r>
                  <w:r w:rsidRPr="00B24561">
                    <w:t xml:space="preserve"> Safe and Better Use</w:t>
                  </w:r>
                </w:p>
              </w:tc>
              <w:tc>
                <w:tcPr>
                  <w:tcW w:w="1934" w:type="pct"/>
                </w:tcPr>
                <w:p w14:paraId="0D6527BE" w14:textId="77777777" w:rsidR="002D4E49" w:rsidRPr="00B24561" w:rsidRDefault="002D4E49" w:rsidP="002D4E49">
                  <w:pPr>
                    <w:pStyle w:val="TableBodyText"/>
                    <w:jc w:val="left"/>
                  </w:pPr>
                  <w:r w:rsidRPr="00B24561">
                    <w:t>Health</w:t>
                  </w:r>
                </w:p>
              </w:tc>
              <w:tc>
                <w:tcPr>
                  <w:tcW w:w="593" w:type="pct"/>
                </w:tcPr>
                <w:p w14:paraId="0D6527BF" w14:textId="77777777" w:rsidR="002D4E49" w:rsidRPr="00B24561" w:rsidRDefault="002D4E49" w:rsidP="002D4E49">
                  <w:pPr>
                    <w:pStyle w:val="TableBodyText"/>
                  </w:pPr>
                  <w:r w:rsidRPr="00B24561">
                    <w:t>2</w:t>
                  </w:r>
                </w:p>
              </w:tc>
            </w:tr>
            <w:tr w:rsidR="00741E2E" w14:paraId="55CA5914" w14:textId="77777777" w:rsidTr="0005747D">
              <w:tc>
                <w:tcPr>
                  <w:tcW w:w="2473" w:type="pct"/>
                  <w:gridSpan w:val="2"/>
                </w:tcPr>
                <w:p w14:paraId="6DC5E31F" w14:textId="77777777" w:rsidR="00741E2E" w:rsidRPr="00B24561" w:rsidRDefault="00741E2E" w:rsidP="00B72418">
                  <w:pPr>
                    <w:pStyle w:val="TableBodyText"/>
                    <w:ind w:left="262" w:hanging="256"/>
                    <w:jc w:val="left"/>
                  </w:pPr>
                  <w:r w:rsidRPr="00B24561">
                    <w:t xml:space="preserve">Australian Sports Commission (ASC) Research Programs </w:t>
                  </w:r>
                  <w:r>
                    <w:t>–</w:t>
                  </w:r>
                  <w:r w:rsidRPr="00B24561">
                    <w:t xml:space="preserve"> Extramural</w:t>
                  </w:r>
                </w:p>
              </w:tc>
              <w:tc>
                <w:tcPr>
                  <w:tcW w:w="1934" w:type="pct"/>
                </w:tcPr>
                <w:p w14:paraId="5BA70ED3" w14:textId="77777777" w:rsidR="00741E2E" w:rsidRPr="00B24561" w:rsidRDefault="00741E2E" w:rsidP="00B72418">
                  <w:pPr>
                    <w:pStyle w:val="TableBodyText"/>
                    <w:jc w:val="left"/>
                  </w:pPr>
                  <w:r w:rsidRPr="00B24561">
                    <w:t>Health</w:t>
                  </w:r>
                </w:p>
              </w:tc>
              <w:tc>
                <w:tcPr>
                  <w:tcW w:w="593" w:type="pct"/>
                </w:tcPr>
                <w:p w14:paraId="32F0AA84" w14:textId="77777777" w:rsidR="00741E2E" w:rsidRPr="00B24561" w:rsidRDefault="00741E2E" w:rsidP="00B72418">
                  <w:pPr>
                    <w:pStyle w:val="TableBodyText"/>
                  </w:pPr>
                  <w:r w:rsidRPr="00B24561">
                    <w:t>2</w:t>
                  </w:r>
                </w:p>
              </w:tc>
            </w:tr>
            <w:tr w:rsidR="002D4E49" w14:paraId="0D6527C4" w14:textId="77777777" w:rsidTr="0005747D">
              <w:tc>
                <w:tcPr>
                  <w:tcW w:w="2473" w:type="pct"/>
                  <w:gridSpan w:val="2"/>
                </w:tcPr>
                <w:p w14:paraId="0D6527C1" w14:textId="77777777" w:rsidR="002D4E49" w:rsidRPr="00B24561" w:rsidRDefault="002D4E49" w:rsidP="004775C9">
                  <w:pPr>
                    <w:pStyle w:val="TableBodyText"/>
                    <w:ind w:left="262" w:hanging="256"/>
                    <w:jc w:val="left"/>
                  </w:pPr>
                  <w:r w:rsidRPr="00B24561">
                    <w:t xml:space="preserve">Centres of Excellence </w:t>
                  </w:r>
                  <w:r>
                    <w:t>–</w:t>
                  </w:r>
                  <w:r w:rsidRPr="00B24561">
                    <w:t xml:space="preserve"> Biosecurity Risk Analysis and Research</w:t>
                  </w:r>
                </w:p>
              </w:tc>
              <w:tc>
                <w:tcPr>
                  <w:tcW w:w="1934" w:type="pct"/>
                </w:tcPr>
                <w:p w14:paraId="0D6527C2" w14:textId="77777777" w:rsidR="002D4E49" w:rsidRPr="00B24561" w:rsidRDefault="002D4E49" w:rsidP="002D4E49">
                  <w:pPr>
                    <w:pStyle w:val="TableBodyText"/>
                    <w:jc w:val="left"/>
                  </w:pPr>
                  <w:r w:rsidRPr="00B24561">
                    <w:t>Agriculture and Water Resources</w:t>
                  </w:r>
                </w:p>
              </w:tc>
              <w:tc>
                <w:tcPr>
                  <w:tcW w:w="593" w:type="pct"/>
                </w:tcPr>
                <w:p w14:paraId="0D6527C3" w14:textId="77777777" w:rsidR="002D4E49" w:rsidRPr="00B24561" w:rsidRDefault="002D4E49" w:rsidP="002D4E49">
                  <w:pPr>
                    <w:pStyle w:val="TableBodyText"/>
                  </w:pPr>
                  <w:r w:rsidRPr="00B24561">
                    <w:t>2</w:t>
                  </w:r>
                </w:p>
              </w:tc>
            </w:tr>
            <w:tr w:rsidR="002D4E49" w14:paraId="0D6527C8" w14:textId="77777777" w:rsidTr="0005747D">
              <w:tc>
                <w:tcPr>
                  <w:tcW w:w="2473" w:type="pct"/>
                  <w:gridSpan w:val="2"/>
                </w:tcPr>
                <w:p w14:paraId="0D6527C5" w14:textId="77777777" w:rsidR="002D4E49" w:rsidRPr="00B24561" w:rsidRDefault="002D4E49" w:rsidP="004775C9">
                  <w:pPr>
                    <w:pStyle w:val="TableBodyText"/>
                    <w:ind w:left="262" w:hanging="256"/>
                    <w:jc w:val="left"/>
                  </w:pPr>
                  <w:r w:rsidRPr="00B24561">
                    <w:t>Clean Technology Innovation Programme</w:t>
                  </w:r>
                </w:p>
              </w:tc>
              <w:tc>
                <w:tcPr>
                  <w:tcW w:w="1934" w:type="pct"/>
                </w:tcPr>
                <w:p w14:paraId="0D6527C6" w14:textId="77777777" w:rsidR="002D4E49" w:rsidRPr="00B24561" w:rsidRDefault="002D4E49" w:rsidP="002D4E49">
                  <w:pPr>
                    <w:pStyle w:val="TableBodyText"/>
                    <w:jc w:val="left"/>
                  </w:pPr>
                  <w:r w:rsidRPr="00B24561">
                    <w:t>Industry, Innovation and Science</w:t>
                  </w:r>
                </w:p>
              </w:tc>
              <w:tc>
                <w:tcPr>
                  <w:tcW w:w="593" w:type="pct"/>
                </w:tcPr>
                <w:p w14:paraId="0D6527C7" w14:textId="77777777" w:rsidR="002D4E49" w:rsidRPr="00B24561" w:rsidRDefault="002D4E49" w:rsidP="002D4E49">
                  <w:pPr>
                    <w:pStyle w:val="TableBodyText"/>
                  </w:pPr>
                  <w:r w:rsidRPr="00B24561">
                    <w:t>2</w:t>
                  </w:r>
                </w:p>
              </w:tc>
            </w:tr>
            <w:tr w:rsidR="00741E2E" w14:paraId="34927D06" w14:textId="77777777" w:rsidTr="0005747D">
              <w:tc>
                <w:tcPr>
                  <w:tcW w:w="2473" w:type="pct"/>
                  <w:gridSpan w:val="2"/>
                </w:tcPr>
                <w:p w14:paraId="2B23B69C" w14:textId="77777777" w:rsidR="00741E2E" w:rsidRPr="00B24561" w:rsidRDefault="00741E2E" w:rsidP="00B72418">
                  <w:pPr>
                    <w:pStyle w:val="TableBodyText"/>
                    <w:ind w:left="262" w:hanging="256"/>
                    <w:jc w:val="left"/>
                  </w:pPr>
                  <w:r w:rsidRPr="00B24561">
                    <w:t>Department of Veterans</w:t>
                  </w:r>
                  <w:r>
                    <w:t>’</w:t>
                  </w:r>
                  <w:r w:rsidRPr="00B24561">
                    <w:t xml:space="preserve"> Affairs Applied Research Program</w:t>
                  </w:r>
                </w:p>
              </w:tc>
              <w:tc>
                <w:tcPr>
                  <w:tcW w:w="1934" w:type="pct"/>
                </w:tcPr>
                <w:p w14:paraId="1421360C" w14:textId="77777777" w:rsidR="00741E2E" w:rsidRPr="00B24561" w:rsidRDefault="00741E2E" w:rsidP="00B72418">
                  <w:pPr>
                    <w:pStyle w:val="TableBodyText"/>
                    <w:jc w:val="left"/>
                  </w:pPr>
                  <w:r w:rsidRPr="00B24561">
                    <w:t>Veterans</w:t>
                  </w:r>
                  <w:r>
                    <w:t>’</w:t>
                  </w:r>
                  <w:r w:rsidRPr="00B24561">
                    <w:t xml:space="preserve"> Affairs</w:t>
                  </w:r>
                </w:p>
              </w:tc>
              <w:tc>
                <w:tcPr>
                  <w:tcW w:w="593" w:type="pct"/>
                </w:tcPr>
                <w:p w14:paraId="592326C0" w14:textId="77777777" w:rsidR="00741E2E" w:rsidRPr="00B24561" w:rsidRDefault="00741E2E" w:rsidP="00B72418">
                  <w:pPr>
                    <w:pStyle w:val="TableBodyText"/>
                  </w:pPr>
                  <w:r w:rsidRPr="00B24561">
                    <w:t>2</w:t>
                  </w:r>
                </w:p>
              </w:tc>
            </w:tr>
            <w:tr w:rsidR="00741E2E" w14:paraId="6A4E3B39" w14:textId="77777777" w:rsidTr="0005747D">
              <w:tc>
                <w:tcPr>
                  <w:tcW w:w="2473" w:type="pct"/>
                  <w:gridSpan w:val="2"/>
                </w:tcPr>
                <w:p w14:paraId="13D8E204" w14:textId="77777777" w:rsidR="00741E2E" w:rsidRPr="00B24561" w:rsidRDefault="00741E2E" w:rsidP="00B72418">
                  <w:pPr>
                    <w:pStyle w:val="TableBodyText"/>
                    <w:ind w:left="262" w:hanging="256"/>
                    <w:jc w:val="left"/>
                  </w:pPr>
                  <w:r w:rsidRPr="00B24561">
                    <w:t>Environmental Water Knowledge and Research</w:t>
                  </w:r>
                </w:p>
              </w:tc>
              <w:tc>
                <w:tcPr>
                  <w:tcW w:w="1934" w:type="pct"/>
                </w:tcPr>
                <w:p w14:paraId="02637FF6" w14:textId="77777777" w:rsidR="00741E2E" w:rsidRPr="00B24561" w:rsidRDefault="00741E2E" w:rsidP="00B72418">
                  <w:pPr>
                    <w:pStyle w:val="TableBodyText"/>
                    <w:jc w:val="left"/>
                  </w:pPr>
                  <w:r w:rsidRPr="00B24561">
                    <w:t>Environment and Energy</w:t>
                  </w:r>
                </w:p>
              </w:tc>
              <w:tc>
                <w:tcPr>
                  <w:tcW w:w="593" w:type="pct"/>
                </w:tcPr>
                <w:p w14:paraId="3E309EF0" w14:textId="77777777" w:rsidR="00741E2E" w:rsidRPr="00B24561" w:rsidRDefault="00741E2E" w:rsidP="00B72418">
                  <w:pPr>
                    <w:pStyle w:val="TableBodyText"/>
                  </w:pPr>
                  <w:r w:rsidRPr="00B24561">
                    <w:t>2</w:t>
                  </w:r>
                </w:p>
              </w:tc>
            </w:tr>
            <w:tr w:rsidR="00741E2E" w14:paraId="151E14DE" w14:textId="77777777" w:rsidTr="0005747D">
              <w:tc>
                <w:tcPr>
                  <w:tcW w:w="2473" w:type="pct"/>
                  <w:gridSpan w:val="2"/>
                </w:tcPr>
                <w:p w14:paraId="7FE8AF99" w14:textId="77777777" w:rsidR="00741E2E" w:rsidRPr="00B24561" w:rsidRDefault="00741E2E" w:rsidP="00B72418">
                  <w:pPr>
                    <w:pStyle w:val="TableBodyText"/>
                    <w:ind w:left="262" w:hanging="256"/>
                    <w:jc w:val="left"/>
                  </w:pPr>
                  <w:r w:rsidRPr="00B24561">
                    <w:t>Global Connections Fund</w:t>
                  </w:r>
                </w:p>
              </w:tc>
              <w:tc>
                <w:tcPr>
                  <w:tcW w:w="1934" w:type="pct"/>
                </w:tcPr>
                <w:p w14:paraId="1CA56CB5" w14:textId="77777777" w:rsidR="00741E2E" w:rsidRPr="00B24561" w:rsidRDefault="00741E2E" w:rsidP="00B72418">
                  <w:pPr>
                    <w:pStyle w:val="TableBodyText"/>
                    <w:jc w:val="left"/>
                  </w:pPr>
                  <w:r w:rsidRPr="00B24561">
                    <w:t>Industry, Innovation and Science</w:t>
                  </w:r>
                </w:p>
              </w:tc>
              <w:tc>
                <w:tcPr>
                  <w:tcW w:w="593" w:type="pct"/>
                </w:tcPr>
                <w:p w14:paraId="1148136E" w14:textId="77777777" w:rsidR="00741E2E" w:rsidRPr="00B24561" w:rsidRDefault="00741E2E" w:rsidP="00B72418">
                  <w:pPr>
                    <w:pStyle w:val="TableBodyText"/>
                  </w:pPr>
                  <w:r w:rsidRPr="00B24561">
                    <w:t>2</w:t>
                  </w:r>
                </w:p>
              </w:tc>
            </w:tr>
            <w:tr w:rsidR="00741E2E" w14:paraId="5B00BA21" w14:textId="77777777" w:rsidTr="0005747D">
              <w:tc>
                <w:tcPr>
                  <w:tcW w:w="2473" w:type="pct"/>
                  <w:gridSpan w:val="2"/>
                </w:tcPr>
                <w:p w14:paraId="15BFF1A6" w14:textId="77777777" w:rsidR="00741E2E" w:rsidRPr="00B24561" w:rsidRDefault="00741E2E" w:rsidP="00B72418">
                  <w:pPr>
                    <w:pStyle w:val="TableBodyText"/>
                    <w:ind w:left="262" w:hanging="256"/>
                    <w:jc w:val="left"/>
                  </w:pPr>
                  <w:r w:rsidRPr="00B24561">
                    <w:t>International Whaling Commission Southern Ocean Research Partnership</w:t>
                  </w:r>
                </w:p>
              </w:tc>
              <w:tc>
                <w:tcPr>
                  <w:tcW w:w="1934" w:type="pct"/>
                </w:tcPr>
                <w:p w14:paraId="7FA636A8" w14:textId="77777777" w:rsidR="00741E2E" w:rsidRPr="00B24561" w:rsidRDefault="00741E2E" w:rsidP="00B72418">
                  <w:pPr>
                    <w:pStyle w:val="TableBodyText"/>
                    <w:jc w:val="left"/>
                  </w:pPr>
                  <w:r w:rsidRPr="00B24561">
                    <w:t>Environment and Energy</w:t>
                  </w:r>
                </w:p>
              </w:tc>
              <w:tc>
                <w:tcPr>
                  <w:tcW w:w="593" w:type="pct"/>
                </w:tcPr>
                <w:p w14:paraId="268BC491" w14:textId="77777777" w:rsidR="00741E2E" w:rsidRPr="00B24561" w:rsidRDefault="00741E2E" w:rsidP="00B72418">
                  <w:pPr>
                    <w:pStyle w:val="TableBodyText"/>
                  </w:pPr>
                  <w:r w:rsidRPr="00B24561">
                    <w:t>2</w:t>
                  </w:r>
                </w:p>
              </w:tc>
            </w:tr>
            <w:tr w:rsidR="002D4E49" w14:paraId="0D6527CC" w14:textId="77777777" w:rsidTr="0005747D">
              <w:tc>
                <w:tcPr>
                  <w:tcW w:w="2473" w:type="pct"/>
                  <w:gridSpan w:val="2"/>
                </w:tcPr>
                <w:p w14:paraId="0D6527C9" w14:textId="77777777" w:rsidR="002D4E49" w:rsidRPr="00B24561" w:rsidRDefault="002D4E49" w:rsidP="004775C9">
                  <w:pPr>
                    <w:pStyle w:val="TableBodyText"/>
                    <w:ind w:left="262" w:hanging="256"/>
                    <w:jc w:val="left"/>
                  </w:pPr>
                  <w:r w:rsidRPr="00B24561">
                    <w:t>National Disability Research and Development Agenda</w:t>
                  </w:r>
                </w:p>
              </w:tc>
              <w:tc>
                <w:tcPr>
                  <w:tcW w:w="1934" w:type="pct"/>
                </w:tcPr>
                <w:p w14:paraId="0D6527CA" w14:textId="77777777" w:rsidR="002D4E49" w:rsidRPr="00B24561" w:rsidRDefault="002D4E49" w:rsidP="002D4E49">
                  <w:pPr>
                    <w:pStyle w:val="TableBodyText"/>
                    <w:jc w:val="left"/>
                  </w:pPr>
                  <w:r w:rsidRPr="00B24561">
                    <w:t>Social Services</w:t>
                  </w:r>
                </w:p>
              </w:tc>
              <w:tc>
                <w:tcPr>
                  <w:tcW w:w="593" w:type="pct"/>
                </w:tcPr>
                <w:p w14:paraId="0D6527CB" w14:textId="77777777" w:rsidR="002D4E49" w:rsidRPr="00B24561" w:rsidRDefault="002D4E49" w:rsidP="002D4E49">
                  <w:pPr>
                    <w:pStyle w:val="TableBodyText"/>
                  </w:pPr>
                  <w:r w:rsidRPr="00B24561">
                    <w:t>2</w:t>
                  </w:r>
                </w:p>
              </w:tc>
            </w:tr>
            <w:tr w:rsidR="002D4E49" w14:paraId="0D6527D4" w14:textId="77777777" w:rsidTr="0005747D">
              <w:tc>
                <w:tcPr>
                  <w:tcW w:w="2473" w:type="pct"/>
                  <w:gridSpan w:val="2"/>
                </w:tcPr>
                <w:p w14:paraId="0D6527D1" w14:textId="77777777" w:rsidR="002D4E49" w:rsidRPr="00B24561" w:rsidRDefault="002D4E49" w:rsidP="004775C9">
                  <w:pPr>
                    <w:pStyle w:val="TableBodyText"/>
                    <w:ind w:left="262" w:hanging="256"/>
                    <w:jc w:val="left"/>
                  </w:pPr>
                  <w:r w:rsidRPr="00B24561">
                    <w:t>National Health Survey</w:t>
                  </w:r>
                </w:p>
              </w:tc>
              <w:tc>
                <w:tcPr>
                  <w:tcW w:w="1934" w:type="pct"/>
                </w:tcPr>
                <w:p w14:paraId="0D6527D2" w14:textId="77777777" w:rsidR="002D4E49" w:rsidRPr="00B24561" w:rsidRDefault="002D4E49" w:rsidP="002D4E49">
                  <w:pPr>
                    <w:pStyle w:val="TableBodyText"/>
                    <w:jc w:val="left"/>
                  </w:pPr>
                  <w:r w:rsidRPr="00B24561">
                    <w:t>Health</w:t>
                  </w:r>
                </w:p>
              </w:tc>
              <w:tc>
                <w:tcPr>
                  <w:tcW w:w="593" w:type="pct"/>
                </w:tcPr>
                <w:p w14:paraId="0D6527D3" w14:textId="77777777" w:rsidR="002D4E49" w:rsidRPr="00B24561" w:rsidRDefault="002D4E49" w:rsidP="002D4E49">
                  <w:pPr>
                    <w:pStyle w:val="TableBodyText"/>
                  </w:pPr>
                  <w:r w:rsidRPr="00B24561">
                    <w:t>2</w:t>
                  </w:r>
                </w:p>
              </w:tc>
            </w:tr>
            <w:tr w:rsidR="00F818F8" w14:paraId="117D1655" w14:textId="77777777" w:rsidTr="0005747D">
              <w:trPr>
                <w:tblHeader/>
              </w:trPr>
              <w:tc>
                <w:tcPr>
                  <w:tcW w:w="2458" w:type="pct"/>
                </w:tcPr>
                <w:p w14:paraId="443A44CD" w14:textId="77777777" w:rsidR="00741E2E" w:rsidRPr="00B24561" w:rsidRDefault="00741E2E" w:rsidP="00B72418">
                  <w:pPr>
                    <w:pStyle w:val="TableBodyText"/>
                    <w:ind w:left="262" w:hanging="256"/>
                    <w:jc w:val="left"/>
                  </w:pPr>
                  <w:r w:rsidRPr="00B24561">
                    <w:t>ANCAP</w:t>
                  </w:r>
                  <w:r>
                    <w:noBreakHyphen/>
                  </w:r>
                  <w:r w:rsidRPr="00B24561">
                    <w:t>Vehicle Testing/Stars on Cars</w:t>
                  </w:r>
                </w:p>
              </w:tc>
              <w:tc>
                <w:tcPr>
                  <w:tcW w:w="1948" w:type="pct"/>
                  <w:gridSpan w:val="2"/>
                </w:tcPr>
                <w:p w14:paraId="0A6E49FD" w14:textId="77777777" w:rsidR="00741E2E" w:rsidRPr="00B24561" w:rsidRDefault="00741E2E" w:rsidP="00B72418">
                  <w:pPr>
                    <w:pStyle w:val="TableBodyText"/>
                    <w:jc w:val="left"/>
                  </w:pPr>
                  <w:r w:rsidRPr="00B24561">
                    <w:t>Infrastructure and Regional Development</w:t>
                  </w:r>
                </w:p>
              </w:tc>
              <w:tc>
                <w:tcPr>
                  <w:tcW w:w="593" w:type="pct"/>
                </w:tcPr>
                <w:p w14:paraId="44191666" w14:textId="77777777" w:rsidR="00741E2E" w:rsidRPr="00B24561" w:rsidRDefault="00741E2E" w:rsidP="00B72418">
                  <w:pPr>
                    <w:pStyle w:val="TableBodyText"/>
                  </w:pPr>
                  <w:r w:rsidRPr="00B24561">
                    <w:t>1</w:t>
                  </w:r>
                </w:p>
              </w:tc>
            </w:tr>
            <w:tr w:rsidR="00F818F8" w14:paraId="3FB6CE9C" w14:textId="77777777" w:rsidTr="0005747D">
              <w:tc>
                <w:tcPr>
                  <w:tcW w:w="2458" w:type="pct"/>
                  <w:tcBorders>
                    <w:bottom w:val="single" w:sz="2" w:space="0" w:color="BFBFBF"/>
                  </w:tcBorders>
                  <w:shd w:val="clear" w:color="auto" w:fill="auto"/>
                </w:tcPr>
                <w:p w14:paraId="3EBA4AF6" w14:textId="77777777" w:rsidR="00F818F8" w:rsidRPr="00B24561" w:rsidRDefault="00F818F8" w:rsidP="00B72418">
                  <w:pPr>
                    <w:pStyle w:val="TableBodyText"/>
                    <w:ind w:left="262" w:hanging="256"/>
                    <w:jc w:val="left"/>
                  </w:pPr>
                  <w:r w:rsidRPr="00B24561">
                    <w:t xml:space="preserve">ARC Linkage Grant </w:t>
                  </w:r>
                  <w:r>
                    <w:t>–</w:t>
                  </w:r>
                  <w:r w:rsidRPr="00B24561">
                    <w:t xml:space="preserve"> Creating the conditions for collective impact: transforming the child serving system in disadvantaged communities.</w:t>
                  </w:r>
                </w:p>
              </w:tc>
              <w:tc>
                <w:tcPr>
                  <w:tcW w:w="1948" w:type="pct"/>
                  <w:gridSpan w:val="2"/>
                  <w:tcBorders>
                    <w:bottom w:val="single" w:sz="2" w:space="0" w:color="BFBFBF"/>
                  </w:tcBorders>
                  <w:shd w:val="clear" w:color="auto" w:fill="auto"/>
                </w:tcPr>
                <w:p w14:paraId="0BDA9504" w14:textId="77777777" w:rsidR="00F818F8" w:rsidRPr="00B24561" w:rsidRDefault="00F818F8" w:rsidP="00B72418">
                  <w:pPr>
                    <w:pStyle w:val="TableBodyText"/>
                    <w:jc w:val="left"/>
                  </w:pPr>
                  <w:r w:rsidRPr="00B24561">
                    <w:t>Social Services</w:t>
                  </w:r>
                </w:p>
              </w:tc>
              <w:tc>
                <w:tcPr>
                  <w:tcW w:w="594" w:type="pct"/>
                  <w:tcBorders>
                    <w:bottom w:val="single" w:sz="2" w:space="0" w:color="BFBFBF"/>
                  </w:tcBorders>
                  <w:shd w:val="clear" w:color="auto" w:fill="auto"/>
                </w:tcPr>
                <w:p w14:paraId="5B935F2B" w14:textId="77777777" w:rsidR="00F818F8" w:rsidRPr="00B24561" w:rsidRDefault="00F818F8" w:rsidP="00B72418">
                  <w:pPr>
                    <w:pStyle w:val="TableBodyText"/>
                  </w:pPr>
                  <w:r w:rsidRPr="00B24561">
                    <w:t>1</w:t>
                  </w:r>
                </w:p>
              </w:tc>
            </w:tr>
          </w:tbl>
          <w:p w14:paraId="0D6527E5" w14:textId="77777777" w:rsidR="009E4725" w:rsidRDefault="009E4725" w:rsidP="009E4725">
            <w:pPr>
              <w:pStyle w:val="TableBodyText"/>
              <w:jc w:val="left"/>
            </w:pPr>
          </w:p>
        </w:tc>
      </w:tr>
      <w:tr w:rsidR="00C60E6A" w:rsidRPr="00C60E6A" w14:paraId="0D6527E8" w14:textId="77777777" w:rsidTr="006F73CD">
        <w:tc>
          <w:tcPr>
            <w:tcW w:w="8789" w:type="dxa"/>
            <w:gridSpan w:val="2"/>
            <w:tcBorders>
              <w:top w:val="nil"/>
              <w:left w:val="nil"/>
              <w:bottom w:val="single" w:sz="6" w:space="0" w:color="78A22F"/>
              <w:right w:val="nil"/>
            </w:tcBorders>
            <w:shd w:val="clear" w:color="auto" w:fill="auto"/>
          </w:tcPr>
          <w:p w14:paraId="0D6527E7" w14:textId="77777777" w:rsidR="00C60E6A" w:rsidRPr="00C60E6A" w:rsidRDefault="00C60E6A" w:rsidP="00CB78C6">
            <w:pPr>
              <w:pStyle w:val="Continued"/>
              <w:spacing w:before="120"/>
            </w:pPr>
            <w:r w:rsidRPr="00C60E6A">
              <w:t>(Continued next page)</w:t>
            </w:r>
          </w:p>
        </w:tc>
      </w:tr>
      <w:tr w:rsidR="009E4725" w14:paraId="0D6527EA" w14:textId="77777777" w:rsidTr="006F73CD">
        <w:tc>
          <w:tcPr>
            <w:tcW w:w="8789" w:type="dxa"/>
            <w:gridSpan w:val="2"/>
            <w:tcBorders>
              <w:top w:val="single" w:sz="6" w:space="0" w:color="78A22F"/>
              <w:left w:val="nil"/>
              <w:bottom w:val="nil"/>
              <w:right w:val="nil"/>
            </w:tcBorders>
            <w:shd w:val="clear" w:color="auto" w:fill="auto"/>
          </w:tcPr>
          <w:p w14:paraId="0D6527E9" w14:textId="77777777" w:rsidR="009E4725" w:rsidRPr="00784A05" w:rsidRDefault="009E4725" w:rsidP="00B0510F">
            <w:pPr>
              <w:pStyle w:val="TableTitle"/>
              <w:spacing w:before="0" w:after="0"/>
            </w:pPr>
            <w:r>
              <w:rPr>
                <w:b w:val="0"/>
              </w:rPr>
              <w:t>Table B.</w:t>
            </w:r>
            <w:r w:rsidR="00F97E1E">
              <w:rPr>
                <w:b w:val="0"/>
                <w:noProof/>
              </w:rPr>
              <w:t>1</w:t>
            </w:r>
            <w:r>
              <w:tab/>
            </w:r>
            <w:r w:rsidRPr="009E4725">
              <w:rPr>
                <w:sz w:val="18"/>
                <w:szCs w:val="18"/>
              </w:rPr>
              <w:t>(continued)</w:t>
            </w:r>
          </w:p>
        </w:tc>
      </w:tr>
      <w:tr w:rsidR="001566AA" w14:paraId="0D652860" w14:textId="77777777" w:rsidTr="006F73CD">
        <w:tc>
          <w:tcPr>
            <w:tcW w:w="8789" w:type="dxa"/>
            <w:gridSpan w:val="2"/>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Description w:val="Table used for design: contains a nested table with data/information."/>
            </w:tblPr>
            <w:tblGrid>
              <w:gridCol w:w="4374"/>
              <w:gridCol w:w="22"/>
              <w:gridCol w:w="3121"/>
              <w:gridCol w:w="973"/>
              <w:gridCol w:w="15"/>
            </w:tblGrid>
            <w:tr w:rsidR="005722BF" w14:paraId="0D6527EE" w14:textId="77777777" w:rsidTr="0005747D">
              <w:trPr>
                <w:gridAfter w:val="1"/>
                <w:wAfter w:w="9" w:type="pct"/>
                <w:tblHeader/>
              </w:trPr>
              <w:tc>
                <w:tcPr>
                  <w:tcW w:w="2571" w:type="pct"/>
                  <w:tcBorders>
                    <w:top w:val="single" w:sz="6" w:space="0" w:color="BFBFBF"/>
                    <w:bottom w:val="single" w:sz="6" w:space="0" w:color="BFBFBF"/>
                  </w:tcBorders>
                </w:tcPr>
                <w:p w14:paraId="0D6527EB" w14:textId="77777777" w:rsidR="001566AA" w:rsidRPr="00B24561" w:rsidRDefault="001566AA" w:rsidP="0034583E">
                  <w:pPr>
                    <w:pStyle w:val="TableColumnHeading"/>
                    <w:jc w:val="left"/>
                  </w:pPr>
                  <w:r w:rsidRPr="00B24561">
                    <w:t>Programme / Activity</w:t>
                  </w:r>
                </w:p>
              </w:tc>
              <w:tc>
                <w:tcPr>
                  <w:tcW w:w="1848" w:type="pct"/>
                  <w:gridSpan w:val="2"/>
                  <w:tcBorders>
                    <w:top w:val="single" w:sz="6" w:space="0" w:color="BFBFBF"/>
                    <w:bottom w:val="single" w:sz="6" w:space="0" w:color="BFBFBF"/>
                  </w:tcBorders>
                </w:tcPr>
                <w:p w14:paraId="0D6527EC" w14:textId="77777777" w:rsidR="001566AA" w:rsidRPr="00B24561" w:rsidRDefault="001566AA" w:rsidP="0034583E">
                  <w:pPr>
                    <w:pStyle w:val="TableColumnHeading"/>
                    <w:jc w:val="left"/>
                  </w:pPr>
                  <w:r w:rsidRPr="00B24561">
                    <w:t>Portfolio</w:t>
                  </w:r>
                </w:p>
              </w:tc>
              <w:tc>
                <w:tcPr>
                  <w:tcW w:w="572" w:type="pct"/>
                  <w:tcBorders>
                    <w:top w:val="single" w:sz="6" w:space="0" w:color="BFBFBF"/>
                    <w:bottom w:val="single" w:sz="6" w:space="0" w:color="BFBFBF"/>
                  </w:tcBorders>
                </w:tcPr>
                <w:p w14:paraId="0D6527ED" w14:textId="77777777" w:rsidR="001566AA" w:rsidRPr="00B24561" w:rsidRDefault="001566AA" w:rsidP="0034583E">
                  <w:pPr>
                    <w:pStyle w:val="TableColumnHeading"/>
                  </w:pPr>
                  <w:r>
                    <w:t>Budgetary</w:t>
                  </w:r>
                  <w:r>
                    <w:br/>
                    <w:t>outlay</w:t>
                  </w:r>
                </w:p>
              </w:tc>
            </w:tr>
            <w:tr w:rsidR="00F818F8" w14:paraId="50F3856F" w14:textId="77777777" w:rsidTr="0005747D">
              <w:trPr>
                <w:gridAfter w:val="1"/>
                <w:wAfter w:w="9" w:type="pct"/>
              </w:trPr>
              <w:tc>
                <w:tcPr>
                  <w:tcW w:w="2571" w:type="pct"/>
                </w:tcPr>
                <w:p w14:paraId="789BED39" w14:textId="5BF9B329" w:rsidR="00F818F8" w:rsidRPr="00B24561" w:rsidRDefault="00F818F8" w:rsidP="00B72418">
                  <w:pPr>
                    <w:pStyle w:val="TableBodyText"/>
                    <w:ind w:left="262" w:hanging="256"/>
                    <w:jc w:val="left"/>
                  </w:pPr>
                  <w:r w:rsidRPr="00B24561">
                    <w:t>Australian Civil</w:t>
                  </w:r>
                  <w:r>
                    <w:noBreakHyphen/>
                  </w:r>
                  <w:r w:rsidRPr="00B24561">
                    <w:t xml:space="preserve">Military Centre </w:t>
                  </w:r>
                  <w:r>
                    <w:t>–</w:t>
                  </w:r>
                  <w:r w:rsidRPr="00B24561">
                    <w:t xml:space="preserve"> Research and Lessons Learnt</w:t>
                  </w:r>
                </w:p>
              </w:tc>
              <w:tc>
                <w:tcPr>
                  <w:tcW w:w="1848" w:type="pct"/>
                  <w:gridSpan w:val="2"/>
                </w:tcPr>
                <w:p w14:paraId="10E8A2B7" w14:textId="77777777" w:rsidR="00F818F8" w:rsidRPr="00B24561" w:rsidRDefault="00F818F8" w:rsidP="00B72418">
                  <w:pPr>
                    <w:pStyle w:val="TableBodyText"/>
                    <w:jc w:val="left"/>
                  </w:pPr>
                  <w:r w:rsidRPr="00B24561">
                    <w:t>Defence</w:t>
                  </w:r>
                </w:p>
              </w:tc>
              <w:tc>
                <w:tcPr>
                  <w:tcW w:w="572" w:type="pct"/>
                </w:tcPr>
                <w:p w14:paraId="47B6F576" w14:textId="77777777" w:rsidR="00F818F8" w:rsidRPr="00B24561" w:rsidRDefault="00F818F8" w:rsidP="00B72418">
                  <w:pPr>
                    <w:pStyle w:val="TableBodyText"/>
                  </w:pPr>
                  <w:r w:rsidRPr="00B24561">
                    <w:t>1</w:t>
                  </w:r>
                </w:p>
              </w:tc>
            </w:tr>
            <w:tr w:rsidR="00741E2E" w14:paraId="36401922" w14:textId="77777777" w:rsidTr="0005747D">
              <w:trPr>
                <w:gridAfter w:val="1"/>
                <w:wAfter w:w="9" w:type="pct"/>
              </w:trPr>
              <w:tc>
                <w:tcPr>
                  <w:tcW w:w="2571" w:type="pct"/>
                </w:tcPr>
                <w:p w14:paraId="36643815" w14:textId="77777777" w:rsidR="00741E2E" w:rsidRPr="00B24561" w:rsidRDefault="00741E2E" w:rsidP="00B72418">
                  <w:pPr>
                    <w:pStyle w:val="TableBodyText"/>
                    <w:ind w:left="262" w:hanging="256"/>
                    <w:jc w:val="left"/>
                  </w:pPr>
                  <w:r w:rsidRPr="00B24561">
                    <w:t>Australia Consensus</w:t>
                  </w:r>
                </w:p>
              </w:tc>
              <w:tc>
                <w:tcPr>
                  <w:tcW w:w="1848" w:type="pct"/>
                  <w:gridSpan w:val="2"/>
                </w:tcPr>
                <w:p w14:paraId="3DC8464F" w14:textId="77777777" w:rsidR="00741E2E" w:rsidRPr="00B24561" w:rsidRDefault="00741E2E" w:rsidP="00B72418">
                  <w:pPr>
                    <w:pStyle w:val="TableBodyText"/>
                    <w:jc w:val="left"/>
                  </w:pPr>
                  <w:r w:rsidRPr="00B24561">
                    <w:t>Education and Training</w:t>
                  </w:r>
                </w:p>
              </w:tc>
              <w:tc>
                <w:tcPr>
                  <w:tcW w:w="572" w:type="pct"/>
                </w:tcPr>
                <w:p w14:paraId="473E25E2" w14:textId="77777777" w:rsidR="00741E2E" w:rsidRPr="00B24561" w:rsidRDefault="00741E2E" w:rsidP="00B72418">
                  <w:pPr>
                    <w:pStyle w:val="TableBodyText"/>
                  </w:pPr>
                  <w:r w:rsidRPr="00B24561">
                    <w:t>1</w:t>
                  </w:r>
                </w:p>
              </w:tc>
            </w:tr>
            <w:tr w:rsidR="00741E2E" w14:paraId="56E530F6" w14:textId="77777777" w:rsidTr="0005747D">
              <w:trPr>
                <w:gridAfter w:val="1"/>
                <w:wAfter w:w="9" w:type="pct"/>
                <w:tblHeader/>
              </w:trPr>
              <w:tc>
                <w:tcPr>
                  <w:tcW w:w="2571" w:type="pct"/>
                </w:tcPr>
                <w:p w14:paraId="3764A305" w14:textId="77777777" w:rsidR="00741E2E" w:rsidRPr="00B24561" w:rsidRDefault="00741E2E" w:rsidP="00B72418">
                  <w:pPr>
                    <w:pStyle w:val="TableBodyText"/>
                    <w:ind w:left="262" w:hanging="256"/>
                    <w:jc w:val="left"/>
                  </w:pPr>
                  <w:r w:rsidRPr="00B24561">
                    <w:t>Australian Institute of Aboriginal and Torres Strait Islander Studies (AIATSIS)</w:t>
                  </w:r>
                </w:p>
              </w:tc>
              <w:tc>
                <w:tcPr>
                  <w:tcW w:w="1848" w:type="pct"/>
                  <w:gridSpan w:val="2"/>
                </w:tcPr>
                <w:p w14:paraId="2ACEC591" w14:textId="77777777" w:rsidR="00741E2E" w:rsidRPr="00B24561" w:rsidRDefault="00741E2E" w:rsidP="00B72418">
                  <w:pPr>
                    <w:pStyle w:val="TableBodyText"/>
                    <w:jc w:val="left"/>
                  </w:pPr>
                  <w:r w:rsidRPr="00B24561">
                    <w:t>Education and Training</w:t>
                  </w:r>
                </w:p>
              </w:tc>
              <w:tc>
                <w:tcPr>
                  <w:tcW w:w="572" w:type="pct"/>
                </w:tcPr>
                <w:p w14:paraId="597E21D8" w14:textId="77777777" w:rsidR="00741E2E" w:rsidRPr="00B24561" w:rsidRDefault="00741E2E" w:rsidP="00B72418">
                  <w:pPr>
                    <w:pStyle w:val="TableBodyText"/>
                  </w:pPr>
                  <w:r w:rsidRPr="00B24561">
                    <w:t>1</w:t>
                  </w:r>
                </w:p>
              </w:tc>
            </w:tr>
            <w:tr w:rsidR="00741E2E" w14:paraId="10F53420" w14:textId="77777777" w:rsidTr="0005747D">
              <w:trPr>
                <w:gridAfter w:val="1"/>
                <w:wAfter w:w="9" w:type="pct"/>
              </w:trPr>
              <w:tc>
                <w:tcPr>
                  <w:tcW w:w="2571" w:type="pct"/>
                </w:tcPr>
                <w:p w14:paraId="2FE8C490" w14:textId="0BBAA02D" w:rsidR="00741E2E" w:rsidRPr="00B24561" w:rsidRDefault="00741E2E" w:rsidP="00B72418">
                  <w:pPr>
                    <w:pStyle w:val="TableBodyText"/>
                    <w:ind w:left="262" w:hanging="256"/>
                    <w:jc w:val="left"/>
                  </w:pPr>
                  <w:r w:rsidRPr="00B24561">
                    <w:t xml:space="preserve">Australian Institute of Criminology (AIC) </w:t>
                  </w:r>
                  <w:r>
                    <w:t>–</w:t>
                  </w:r>
                  <w:r w:rsidRPr="00B24561">
                    <w:t xml:space="preserve"> Criminology Research Grant Program </w:t>
                  </w:r>
                </w:p>
              </w:tc>
              <w:tc>
                <w:tcPr>
                  <w:tcW w:w="1848" w:type="pct"/>
                  <w:gridSpan w:val="2"/>
                </w:tcPr>
                <w:p w14:paraId="0FC9A527" w14:textId="77777777" w:rsidR="00741E2E" w:rsidRPr="00B24561" w:rsidRDefault="00741E2E" w:rsidP="00B72418">
                  <w:pPr>
                    <w:pStyle w:val="TableBodyText"/>
                    <w:jc w:val="left"/>
                  </w:pPr>
                  <w:r w:rsidRPr="00B24561">
                    <w:t>Attorney</w:t>
                  </w:r>
                  <w:r>
                    <w:noBreakHyphen/>
                  </w:r>
                  <w:r w:rsidRPr="00B24561">
                    <w:t>General</w:t>
                  </w:r>
                  <w:r>
                    <w:t>’</w:t>
                  </w:r>
                  <w:r w:rsidRPr="00B24561">
                    <w:t>s</w:t>
                  </w:r>
                </w:p>
              </w:tc>
              <w:tc>
                <w:tcPr>
                  <w:tcW w:w="572" w:type="pct"/>
                </w:tcPr>
                <w:p w14:paraId="45D17EAB" w14:textId="77777777" w:rsidR="00741E2E" w:rsidRPr="00B24561" w:rsidRDefault="00741E2E" w:rsidP="00B72418">
                  <w:pPr>
                    <w:pStyle w:val="TableBodyText"/>
                  </w:pPr>
                  <w:r w:rsidRPr="00B24561">
                    <w:t>1</w:t>
                  </w:r>
                </w:p>
              </w:tc>
            </w:tr>
            <w:tr w:rsidR="00741E2E" w14:paraId="2036D24D" w14:textId="77777777" w:rsidTr="0005747D">
              <w:trPr>
                <w:gridAfter w:val="1"/>
                <w:wAfter w:w="9" w:type="pct"/>
              </w:trPr>
              <w:tc>
                <w:tcPr>
                  <w:tcW w:w="2571" w:type="pct"/>
                </w:tcPr>
                <w:p w14:paraId="688FACEC" w14:textId="77777777" w:rsidR="00741E2E" w:rsidRPr="00B24561" w:rsidRDefault="00741E2E" w:rsidP="00B72418">
                  <w:pPr>
                    <w:pStyle w:val="TableBodyText"/>
                    <w:ind w:left="262" w:hanging="256"/>
                    <w:jc w:val="left"/>
                  </w:pPr>
                  <w:r w:rsidRPr="00B24561">
                    <w:t xml:space="preserve">Australian Institute of Criminology (AIC) </w:t>
                  </w:r>
                  <w:r>
                    <w:t>–</w:t>
                  </w:r>
                  <w:r w:rsidRPr="00B24561">
                    <w:t xml:space="preserve"> National Drug and Law Enforcement Research Program</w:t>
                  </w:r>
                </w:p>
              </w:tc>
              <w:tc>
                <w:tcPr>
                  <w:tcW w:w="1848" w:type="pct"/>
                  <w:gridSpan w:val="2"/>
                </w:tcPr>
                <w:p w14:paraId="6AE9C82D" w14:textId="77777777" w:rsidR="00741E2E" w:rsidRPr="00B24561" w:rsidRDefault="00741E2E" w:rsidP="00B72418">
                  <w:pPr>
                    <w:pStyle w:val="TableBodyText"/>
                    <w:jc w:val="left"/>
                  </w:pPr>
                  <w:r w:rsidRPr="00B24561">
                    <w:t>Attorney</w:t>
                  </w:r>
                  <w:r>
                    <w:noBreakHyphen/>
                  </w:r>
                  <w:r w:rsidRPr="00B24561">
                    <w:t>General</w:t>
                  </w:r>
                  <w:r>
                    <w:t>’</w:t>
                  </w:r>
                  <w:r w:rsidRPr="00B24561">
                    <w:t>s</w:t>
                  </w:r>
                </w:p>
              </w:tc>
              <w:tc>
                <w:tcPr>
                  <w:tcW w:w="572" w:type="pct"/>
                </w:tcPr>
                <w:p w14:paraId="25B15C83" w14:textId="77777777" w:rsidR="00741E2E" w:rsidRPr="00B24561" w:rsidRDefault="00741E2E" w:rsidP="00B72418">
                  <w:pPr>
                    <w:pStyle w:val="TableBodyText"/>
                  </w:pPr>
                  <w:r w:rsidRPr="00B24561">
                    <w:t>1</w:t>
                  </w:r>
                </w:p>
              </w:tc>
            </w:tr>
            <w:tr w:rsidR="001566AA" w14:paraId="0D6527FE" w14:textId="77777777" w:rsidTr="0005747D">
              <w:trPr>
                <w:gridAfter w:val="1"/>
                <w:wAfter w:w="9" w:type="pct"/>
                <w:tblHeader/>
              </w:trPr>
              <w:tc>
                <w:tcPr>
                  <w:tcW w:w="2571" w:type="pct"/>
                </w:tcPr>
                <w:p w14:paraId="0D6527FB" w14:textId="19926002" w:rsidR="001566AA" w:rsidRPr="00B24561" w:rsidRDefault="001566AA" w:rsidP="004775C9">
                  <w:pPr>
                    <w:pStyle w:val="TableBodyText"/>
                    <w:ind w:left="262" w:hanging="256"/>
                    <w:jc w:val="left"/>
                  </w:pPr>
                  <w:r w:rsidRPr="00B24561">
                    <w:t>Australian Longitudinal Study on Women</w:t>
                  </w:r>
                  <w:r>
                    <w:t>’</w:t>
                  </w:r>
                  <w:r w:rsidRPr="00B24561">
                    <w:t>s Health</w:t>
                  </w:r>
                </w:p>
              </w:tc>
              <w:tc>
                <w:tcPr>
                  <w:tcW w:w="1848" w:type="pct"/>
                  <w:gridSpan w:val="2"/>
                </w:tcPr>
                <w:p w14:paraId="0D6527FC" w14:textId="77777777" w:rsidR="001566AA" w:rsidRPr="00B24561" w:rsidRDefault="001566AA" w:rsidP="0034583E">
                  <w:pPr>
                    <w:pStyle w:val="TableBodyText"/>
                    <w:jc w:val="left"/>
                  </w:pPr>
                  <w:r w:rsidRPr="00B24561">
                    <w:t>Health</w:t>
                  </w:r>
                </w:p>
              </w:tc>
              <w:tc>
                <w:tcPr>
                  <w:tcW w:w="572" w:type="pct"/>
                </w:tcPr>
                <w:p w14:paraId="0D6527FD" w14:textId="3B425C0E" w:rsidR="001566AA" w:rsidRPr="00B24561" w:rsidRDefault="001566AA" w:rsidP="0034583E">
                  <w:pPr>
                    <w:pStyle w:val="TableBodyText"/>
                  </w:pPr>
                  <w:r w:rsidRPr="00B24561">
                    <w:t>1</w:t>
                  </w:r>
                </w:p>
              </w:tc>
            </w:tr>
            <w:tr w:rsidR="00741E2E" w14:paraId="28C8AD1F" w14:textId="77777777" w:rsidTr="0005747D">
              <w:trPr>
                <w:gridAfter w:val="1"/>
                <w:wAfter w:w="9" w:type="pct"/>
                <w:tblHeader/>
              </w:trPr>
              <w:tc>
                <w:tcPr>
                  <w:tcW w:w="2571" w:type="pct"/>
                </w:tcPr>
                <w:p w14:paraId="14DCD98B" w14:textId="77777777" w:rsidR="00741E2E" w:rsidRPr="00B24561" w:rsidRDefault="00741E2E" w:rsidP="00B72418">
                  <w:pPr>
                    <w:pStyle w:val="TableBodyText"/>
                    <w:ind w:left="262" w:hanging="256"/>
                    <w:jc w:val="left"/>
                  </w:pPr>
                  <w:r w:rsidRPr="00B24561">
                    <w:t>Australian National Preventive Health Agency Research Fund</w:t>
                  </w:r>
                </w:p>
              </w:tc>
              <w:tc>
                <w:tcPr>
                  <w:tcW w:w="1848" w:type="pct"/>
                  <w:gridSpan w:val="2"/>
                </w:tcPr>
                <w:p w14:paraId="7792539A" w14:textId="77777777" w:rsidR="00741E2E" w:rsidRPr="00B24561" w:rsidRDefault="00741E2E" w:rsidP="00B72418">
                  <w:pPr>
                    <w:pStyle w:val="TableBodyText"/>
                    <w:jc w:val="left"/>
                  </w:pPr>
                  <w:r w:rsidRPr="00B24561">
                    <w:t>Health</w:t>
                  </w:r>
                </w:p>
              </w:tc>
              <w:tc>
                <w:tcPr>
                  <w:tcW w:w="572" w:type="pct"/>
                </w:tcPr>
                <w:p w14:paraId="439E3E4B" w14:textId="77777777" w:rsidR="00741E2E" w:rsidRPr="00B24561" w:rsidRDefault="00741E2E" w:rsidP="00B72418">
                  <w:pPr>
                    <w:pStyle w:val="TableBodyText"/>
                  </w:pPr>
                  <w:r w:rsidRPr="00B24561">
                    <w:t>1</w:t>
                  </w:r>
                </w:p>
              </w:tc>
            </w:tr>
            <w:tr w:rsidR="00F818F8" w14:paraId="0AAC2556" w14:textId="77777777" w:rsidTr="0005747D">
              <w:tc>
                <w:tcPr>
                  <w:tcW w:w="2584" w:type="pct"/>
                  <w:gridSpan w:val="2"/>
                  <w:tcBorders>
                    <w:bottom w:val="single" w:sz="4" w:space="0" w:color="BFBFBF"/>
                  </w:tcBorders>
                </w:tcPr>
                <w:p w14:paraId="0383C14F" w14:textId="77777777" w:rsidR="00F818F8" w:rsidRPr="00CD38BB" w:rsidRDefault="00F818F8" w:rsidP="00B72418">
                  <w:pPr>
                    <w:pStyle w:val="TableBodyText"/>
                    <w:ind w:left="262" w:hanging="256"/>
                    <w:jc w:val="left"/>
                  </w:pPr>
                  <w:r w:rsidRPr="00CD38BB">
                    <w:t>Building a New Life in Australia (BNLA) Longitudinal Study of Humanitarian Migrants (Australian Institute of Family Studies)</w:t>
                  </w:r>
                </w:p>
              </w:tc>
              <w:tc>
                <w:tcPr>
                  <w:tcW w:w="1835" w:type="pct"/>
                  <w:tcBorders>
                    <w:bottom w:val="single" w:sz="4" w:space="0" w:color="BFBFBF"/>
                  </w:tcBorders>
                </w:tcPr>
                <w:p w14:paraId="709BB2C9" w14:textId="77777777" w:rsidR="00F818F8" w:rsidRPr="00B24561" w:rsidRDefault="00F818F8" w:rsidP="00B72418">
                  <w:pPr>
                    <w:pStyle w:val="TableBodyText"/>
                    <w:jc w:val="left"/>
                  </w:pPr>
                  <w:r w:rsidRPr="00B24561">
                    <w:t>Social Services</w:t>
                  </w:r>
                </w:p>
              </w:tc>
              <w:tc>
                <w:tcPr>
                  <w:tcW w:w="581" w:type="pct"/>
                  <w:gridSpan w:val="2"/>
                  <w:tcBorders>
                    <w:bottom w:val="single" w:sz="4" w:space="0" w:color="BFBFBF"/>
                  </w:tcBorders>
                </w:tcPr>
                <w:p w14:paraId="2026C6FA" w14:textId="77777777" w:rsidR="00F818F8" w:rsidRPr="00B24561" w:rsidRDefault="00F818F8" w:rsidP="00B72418">
                  <w:pPr>
                    <w:pStyle w:val="TableBodyText"/>
                  </w:pPr>
                  <w:r w:rsidRPr="00B24561">
                    <w:t>1</w:t>
                  </w:r>
                </w:p>
              </w:tc>
            </w:tr>
            <w:tr w:rsidR="00741E2E" w14:paraId="284F01F4" w14:textId="77777777" w:rsidTr="0005747D">
              <w:trPr>
                <w:gridAfter w:val="1"/>
                <w:wAfter w:w="9" w:type="pct"/>
                <w:tblHeader/>
              </w:trPr>
              <w:tc>
                <w:tcPr>
                  <w:tcW w:w="2571" w:type="pct"/>
                </w:tcPr>
                <w:p w14:paraId="76EC6FFB" w14:textId="16AB7FFC" w:rsidR="00741E2E" w:rsidRPr="00B24561" w:rsidRDefault="00741E2E" w:rsidP="00B72418">
                  <w:pPr>
                    <w:pStyle w:val="TableBodyText"/>
                    <w:ind w:left="262" w:hanging="256"/>
                    <w:jc w:val="left"/>
                  </w:pPr>
                  <w:r w:rsidRPr="00B24561">
                    <w:t>Bush Blitz Strategic Taxonomy Grants Scheme</w:t>
                  </w:r>
                </w:p>
              </w:tc>
              <w:tc>
                <w:tcPr>
                  <w:tcW w:w="1848" w:type="pct"/>
                  <w:gridSpan w:val="2"/>
                </w:tcPr>
                <w:p w14:paraId="6790E91E" w14:textId="77777777" w:rsidR="00741E2E" w:rsidRPr="00B24561" w:rsidRDefault="00741E2E" w:rsidP="00B72418">
                  <w:pPr>
                    <w:pStyle w:val="TableBodyText"/>
                    <w:jc w:val="left"/>
                  </w:pPr>
                  <w:r w:rsidRPr="00B24561">
                    <w:t>Environment and Energy</w:t>
                  </w:r>
                </w:p>
              </w:tc>
              <w:tc>
                <w:tcPr>
                  <w:tcW w:w="572" w:type="pct"/>
                </w:tcPr>
                <w:p w14:paraId="3D4C0455" w14:textId="77777777" w:rsidR="00741E2E" w:rsidRPr="00B24561" w:rsidRDefault="00741E2E" w:rsidP="00B72418">
                  <w:pPr>
                    <w:pStyle w:val="TableBodyText"/>
                  </w:pPr>
                  <w:r w:rsidRPr="00B24561">
                    <w:t>1</w:t>
                  </w:r>
                </w:p>
              </w:tc>
            </w:tr>
            <w:tr w:rsidR="00741E2E" w14:paraId="0BFC0924" w14:textId="77777777" w:rsidTr="0005747D">
              <w:trPr>
                <w:gridAfter w:val="1"/>
                <w:wAfter w:w="9" w:type="pct"/>
              </w:trPr>
              <w:tc>
                <w:tcPr>
                  <w:tcW w:w="2571" w:type="pct"/>
                </w:tcPr>
                <w:p w14:paraId="366827CB" w14:textId="77777777" w:rsidR="00741E2E" w:rsidRPr="00B24561" w:rsidRDefault="00741E2E" w:rsidP="00B72418">
                  <w:pPr>
                    <w:pStyle w:val="TableBodyText"/>
                    <w:ind w:left="262" w:hanging="256"/>
                    <w:jc w:val="left"/>
                  </w:pPr>
                  <w:r w:rsidRPr="00B24561">
                    <w:t>Cancer data to improve cancer care</w:t>
                  </w:r>
                </w:p>
              </w:tc>
              <w:tc>
                <w:tcPr>
                  <w:tcW w:w="1848" w:type="pct"/>
                  <w:gridSpan w:val="2"/>
                </w:tcPr>
                <w:p w14:paraId="54CB5FCD" w14:textId="77777777" w:rsidR="00741E2E" w:rsidRPr="00B24561" w:rsidRDefault="00741E2E" w:rsidP="00B72418">
                  <w:pPr>
                    <w:pStyle w:val="TableBodyText"/>
                    <w:jc w:val="left"/>
                  </w:pPr>
                  <w:r w:rsidRPr="00B24561">
                    <w:t>Health</w:t>
                  </w:r>
                </w:p>
              </w:tc>
              <w:tc>
                <w:tcPr>
                  <w:tcW w:w="572" w:type="pct"/>
                </w:tcPr>
                <w:p w14:paraId="19271923" w14:textId="77777777" w:rsidR="00741E2E" w:rsidRPr="00B24561" w:rsidRDefault="00741E2E" w:rsidP="00B72418">
                  <w:pPr>
                    <w:pStyle w:val="TableBodyText"/>
                  </w:pPr>
                  <w:r w:rsidRPr="00B24561">
                    <w:t>1</w:t>
                  </w:r>
                </w:p>
              </w:tc>
            </w:tr>
            <w:tr w:rsidR="00F818F8" w14:paraId="6C6D0DB4" w14:textId="77777777" w:rsidTr="0005747D">
              <w:trPr>
                <w:gridAfter w:val="1"/>
                <w:wAfter w:w="9" w:type="pct"/>
              </w:trPr>
              <w:tc>
                <w:tcPr>
                  <w:tcW w:w="2571" w:type="pct"/>
                </w:tcPr>
                <w:p w14:paraId="11197424" w14:textId="77777777" w:rsidR="00F818F8" w:rsidRPr="00B24561" w:rsidRDefault="00F818F8" w:rsidP="00B72418">
                  <w:pPr>
                    <w:pStyle w:val="TableBodyText"/>
                    <w:ind w:left="262" w:hanging="256"/>
                    <w:jc w:val="left"/>
                  </w:pPr>
                  <w:r w:rsidRPr="00B24561">
                    <w:t>Commonwealth</w:t>
                  </w:r>
                  <w:r>
                    <w:noBreakHyphen/>
                  </w:r>
                  <w:r w:rsidRPr="00B24561">
                    <w:t>ANU Strategic Relationship</w:t>
                  </w:r>
                </w:p>
              </w:tc>
              <w:tc>
                <w:tcPr>
                  <w:tcW w:w="1848" w:type="pct"/>
                  <w:gridSpan w:val="2"/>
                </w:tcPr>
                <w:p w14:paraId="1889544F" w14:textId="77777777" w:rsidR="00F818F8" w:rsidRPr="00B24561" w:rsidRDefault="00F818F8" w:rsidP="00B72418">
                  <w:pPr>
                    <w:pStyle w:val="TableBodyText"/>
                    <w:jc w:val="left"/>
                  </w:pPr>
                  <w:r w:rsidRPr="00B24561">
                    <w:t>Education and Training</w:t>
                  </w:r>
                </w:p>
              </w:tc>
              <w:tc>
                <w:tcPr>
                  <w:tcW w:w="572" w:type="pct"/>
                </w:tcPr>
                <w:p w14:paraId="67741C42" w14:textId="77777777" w:rsidR="00F818F8" w:rsidRPr="00B24561" w:rsidRDefault="00F818F8" w:rsidP="00B72418">
                  <w:pPr>
                    <w:pStyle w:val="TableBodyText"/>
                  </w:pPr>
                  <w:r w:rsidRPr="00B24561">
                    <w:t>1</w:t>
                  </w:r>
                </w:p>
              </w:tc>
            </w:tr>
            <w:tr w:rsidR="00741E2E" w14:paraId="04D8B408" w14:textId="77777777" w:rsidTr="0005747D">
              <w:trPr>
                <w:gridAfter w:val="1"/>
                <w:wAfter w:w="9" w:type="pct"/>
                <w:tblHeader/>
              </w:trPr>
              <w:tc>
                <w:tcPr>
                  <w:tcW w:w="2571" w:type="pct"/>
                </w:tcPr>
                <w:p w14:paraId="4357FFFB" w14:textId="77777777" w:rsidR="00741E2E" w:rsidRPr="00B24561" w:rsidRDefault="00741E2E" w:rsidP="00B72418">
                  <w:pPr>
                    <w:pStyle w:val="TableBodyText"/>
                    <w:ind w:left="262" w:hanging="256"/>
                    <w:jc w:val="left"/>
                  </w:pPr>
                  <w:r w:rsidRPr="00B24561">
                    <w:t>Established Pest Animals and Weeds Initiative</w:t>
                  </w:r>
                </w:p>
              </w:tc>
              <w:tc>
                <w:tcPr>
                  <w:tcW w:w="1848" w:type="pct"/>
                  <w:gridSpan w:val="2"/>
                </w:tcPr>
                <w:p w14:paraId="22042351" w14:textId="77777777" w:rsidR="00741E2E" w:rsidRPr="00B24561" w:rsidRDefault="00741E2E" w:rsidP="00B72418">
                  <w:pPr>
                    <w:pStyle w:val="TableBodyText"/>
                    <w:jc w:val="left"/>
                  </w:pPr>
                  <w:r w:rsidRPr="00B24561">
                    <w:t>Agriculture and Water Resources</w:t>
                  </w:r>
                </w:p>
              </w:tc>
              <w:tc>
                <w:tcPr>
                  <w:tcW w:w="572" w:type="pct"/>
                </w:tcPr>
                <w:p w14:paraId="13CB99D1" w14:textId="77777777" w:rsidR="00741E2E" w:rsidRPr="00B24561" w:rsidRDefault="00741E2E" w:rsidP="00B72418">
                  <w:pPr>
                    <w:pStyle w:val="TableBodyText"/>
                  </w:pPr>
                  <w:r w:rsidRPr="00B24561">
                    <w:t>1</w:t>
                  </w:r>
                </w:p>
              </w:tc>
            </w:tr>
            <w:tr w:rsidR="00741E2E" w14:paraId="26AF3CDE" w14:textId="77777777" w:rsidTr="0005747D">
              <w:trPr>
                <w:gridAfter w:val="1"/>
                <w:wAfter w:w="9" w:type="pct"/>
                <w:tblHeader/>
              </w:trPr>
              <w:tc>
                <w:tcPr>
                  <w:tcW w:w="2571" w:type="pct"/>
                </w:tcPr>
                <w:p w14:paraId="25471C3A" w14:textId="77777777" w:rsidR="00741E2E" w:rsidRPr="00B24561" w:rsidRDefault="00741E2E" w:rsidP="00B72418">
                  <w:pPr>
                    <w:pStyle w:val="TableBodyText"/>
                    <w:ind w:left="262" w:hanging="256"/>
                    <w:jc w:val="left"/>
                  </w:pPr>
                  <w:r w:rsidRPr="00B24561">
                    <w:t>Great Barrier Reef Marine Park Authority</w:t>
                  </w:r>
                </w:p>
              </w:tc>
              <w:tc>
                <w:tcPr>
                  <w:tcW w:w="1848" w:type="pct"/>
                  <w:gridSpan w:val="2"/>
                </w:tcPr>
                <w:p w14:paraId="34129CD6" w14:textId="77777777" w:rsidR="00741E2E" w:rsidRPr="00B24561" w:rsidRDefault="00741E2E" w:rsidP="00B72418">
                  <w:pPr>
                    <w:pStyle w:val="TableBodyText"/>
                    <w:jc w:val="left"/>
                  </w:pPr>
                  <w:r w:rsidRPr="00B24561">
                    <w:t>Environment and Energy</w:t>
                  </w:r>
                </w:p>
              </w:tc>
              <w:tc>
                <w:tcPr>
                  <w:tcW w:w="572" w:type="pct"/>
                </w:tcPr>
                <w:p w14:paraId="49178752" w14:textId="77777777" w:rsidR="00741E2E" w:rsidRPr="00B24561" w:rsidRDefault="00741E2E" w:rsidP="00B72418">
                  <w:pPr>
                    <w:pStyle w:val="TableBodyText"/>
                  </w:pPr>
                  <w:r w:rsidRPr="00B24561">
                    <w:t>1</w:t>
                  </w:r>
                </w:p>
              </w:tc>
            </w:tr>
            <w:tr w:rsidR="00F818F8" w14:paraId="1A43220F" w14:textId="77777777" w:rsidTr="0005747D">
              <w:trPr>
                <w:gridAfter w:val="1"/>
                <w:wAfter w:w="9" w:type="pct"/>
              </w:trPr>
              <w:tc>
                <w:tcPr>
                  <w:tcW w:w="2571" w:type="pct"/>
                </w:tcPr>
                <w:p w14:paraId="73F641E3" w14:textId="77777777" w:rsidR="00F818F8" w:rsidRPr="00B24561" w:rsidRDefault="00F818F8" w:rsidP="00B72418">
                  <w:pPr>
                    <w:pStyle w:val="TableBodyText"/>
                    <w:ind w:left="262" w:hanging="256"/>
                    <w:jc w:val="left"/>
                  </w:pPr>
                  <w:r w:rsidRPr="00B24561">
                    <w:t>Giving Australia</w:t>
                  </w:r>
                </w:p>
              </w:tc>
              <w:tc>
                <w:tcPr>
                  <w:tcW w:w="1848" w:type="pct"/>
                  <w:gridSpan w:val="2"/>
                </w:tcPr>
                <w:p w14:paraId="494A8C63" w14:textId="77777777" w:rsidR="00F818F8" w:rsidRPr="00B24561" w:rsidRDefault="00F818F8" w:rsidP="00B72418">
                  <w:pPr>
                    <w:pStyle w:val="TableBodyText"/>
                    <w:jc w:val="left"/>
                  </w:pPr>
                  <w:r w:rsidRPr="00B24561">
                    <w:t>Social Services</w:t>
                  </w:r>
                </w:p>
              </w:tc>
              <w:tc>
                <w:tcPr>
                  <w:tcW w:w="572" w:type="pct"/>
                </w:tcPr>
                <w:p w14:paraId="4BF89399" w14:textId="77777777" w:rsidR="00F818F8" w:rsidRPr="00B24561" w:rsidRDefault="00F818F8" w:rsidP="00B72418">
                  <w:pPr>
                    <w:pStyle w:val="TableBodyText"/>
                  </w:pPr>
                  <w:r w:rsidRPr="00B24561">
                    <w:t>1</w:t>
                  </w:r>
                </w:p>
              </w:tc>
            </w:tr>
            <w:tr w:rsidR="00F818F8" w14:paraId="4F3B976B" w14:textId="77777777" w:rsidTr="0005747D">
              <w:trPr>
                <w:gridAfter w:val="1"/>
                <w:wAfter w:w="9" w:type="pct"/>
              </w:trPr>
              <w:tc>
                <w:tcPr>
                  <w:tcW w:w="2571" w:type="pct"/>
                </w:tcPr>
                <w:p w14:paraId="70AAE528" w14:textId="77777777" w:rsidR="00F818F8" w:rsidRPr="00B24561" w:rsidRDefault="00F818F8" w:rsidP="00B72418">
                  <w:pPr>
                    <w:pStyle w:val="TableBodyText"/>
                    <w:ind w:left="262" w:hanging="256"/>
                    <w:jc w:val="left"/>
                  </w:pPr>
                  <w:r w:rsidRPr="00B24561">
                    <w:t>Improving lung cancer outcomes</w:t>
                  </w:r>
                </w:p>
              </w:tc>
              <w:tc>
                <w:tcPr>
                  <w:tcW w:w="1848" w:type="pct"/>
                  <w:gridSpan w:val="2"/>
                </w:tcPr>
                <w:p w14:paraId="6726326E" w14:textId="77777777" w:rsidR="00F818F8" w:rsidRPr="00B24561" w:rsidRDefault="00F818F8" w:rsidP="00B72418">
                  <w:pPr>
                    <w:pStyle w:val="TableBodyText"/>
                    <w:jc w:val="left"/>
                  </w:pPr>
                  <w:r w:rsidRPr="00B24561">
                    <w:t>Health</w:t>
                  </w:r>
                </w:p>
              </w:tc>
              <w:tc>
                <w:tcPr>
                  <w:tcW w:w="572" w:type="pct"/>
                </w:tcPr>
                <w:p w14:paraId="3F698C63" w14:textId="77777777" w:rsidR="00F818F8" w:rsidRPr="00B24561" w:rsidRDefault="00F818F8" w:rsidP="00B72418">
                  <w:pPr>
                    <w:pStyle w:val="TableBodyText"/>
                  </w:pPr>
                  <w:r w:rsidRPr="00B24561">
                    <w:t>1</w:t>
                  </w:r>
                </w:p>
              </w:tc>
            </w:tr>
            <w:tr w:rsidR="00F818F8" w14:paraId="70B468D7" w14:textId="77777777" w:rsidTr="0005747D">
              <w:trPr>
                <w:gridAfter w:val="1"/>
                <w:wAfter w:w="9" w:type="pct"/>
              </w:trPr>
              <w:tc>
                <w:tcPr>
                  <w:tcW w:w="2571" w:type="pct"/>
                </w:tcPr>
                <w:p w14:paraId="73E55347" w14:textId="77777777" w:rsidR="00F818F8" w:rsidRPr="00B24561" w:rsidRDefault="00F818F8" w:rsidP="00B72418">
                  <w:pPr>
                    <w:pStyle w:val="TableBodyText"/>
                    <w:ind w:left="262" w:hanging="256"/>
                    <w:jc w:val="left"/>
                  </w:pPr>
                  <w:r w:rsidRPr="00B24561">
                    <w:t xml:space="preserve">Joint Force Integration </w:t>
                  </w:r>
                  <w:r>
                    <w:t>–</w:t>
                  </w:r>
                  <w:r w:rsidRPr="00B24561">
                    <w:t xml:space="preserve"> IMD Study</w:t>
                  </w:r>
                </w:p>
              </w:tc>
              <w:tc>
                <w:tcPr>
                  <w:tcW w:w="1848" w:type="pct"/>
                  <w:gridSpan w:val="2"/>
                </w:tcPr>
                <w:p w14:paraId="3FB8B74A" w14:textId="77777777" w:rsidR="00F818F8" w:rsidRPr="00B24561" w:rsidRDefault="00F818F8" w:rsidP="00B72418">
                  <w:pPr>
                    <w:pStyle w:val="TableBodyText"/>
                    <w:jc w:val="left"/>
                  </w:pPr>
                  <w:r w:rsidRPr="00B24561">
                    <w:t>Defence</w:t>
                  </w:r>
                </w:p>
              </w:tc>
              <w:tc>
                <w:tcPr>
                  <w:tcW w:w="572" w:type="pct"/>
                </w:tcPr>
                <w:p w14:paraId="2C5C6C53" w14:textId="77777777" w:rsidR="00F818F8" w:rsidRPr="00B24561" w:rsidRDefault="00F818F8" w:rsidP="00B72418">
                  <w:pPr>
                    <w:pStyle w:val="TableBodyText"/>
                  </w:pPr>
                  <w:r w:rsidRPr="00B24561">
                    <w:t>1</w:t>
                  </w:r>
                </w:p>
              </w:tc>
            </w:tr>
            <w:tr w:rsidR="001566AA" w14:paraId="0D652802" w14:textId="77777777" w:rsidTr="0005747D">
              <w:trPr>
                <w:gridAfter w:val="1"/>
                <w:wAfter w:w="9" w:type="pct"/>
                <w:tblHeader/>
              </w:trPr>
              <w:tc>
                <w:tcPr>
                  <w:tcW w:w="2571" w:type="pct"/>
                </w:tcPr>
                <w:p w14:paraId="0D6527FF" w14:textId="77777777" w:rsidR="001566AA" w:rsidRPr="00B24561" w:rsidRDefault="001566AA" w:rsidP="004775C9">
                  <w:pPr>
                    <w:pStyle w:val="TableBodyText"/>
                    <w:ind w:left="262" w:hanging="256"/>
                    <w:jc w:val="left"/>
                  </w:pPr>
                  <w:r w:rsidRPr="00B24561">
                    <w:t>Maintaining support for women with gynaecological cancers</w:t>
                  </w:r>
                </w:p>
              </w:tc>
              <w:tc>
                <w:tcPr>
                  <w:tcW w:w="1848" w:type="pct"/>
                  <w:gridSpan w:val="2"/>
                </w:tcPr>
                <w:p w14:paraId="0D652800" w14:textId="77777777" w:rsidR="001566AA" w:rsidRPr="00B24561" w:rsidRDefault="001566AA" w:rsidP="0034583E">
                  <w:pPr>
                    <w:pStyle w:val="TableBodyText"/>
                    <w:jc w:val="left"/>
                  </w:pPr>
                  <w:r w:rsidRPr="00B24561">
                    <w:t>Health</w:t>
                  </w:r>
                </w:p>
              </w:tc>
              <w:tc>
                <w:tcPr>
                  <w:tcW w:w="572" w:type="pct"/>
                </w:tcPr>
                <w:p w14:paraId="0D652801" w14:textId="77777777" w:rsidR="001566AA" w:rsidRPr="00B24561" w:rsidRDefault="001566AA" w:rsidP="0034583E">
                  <w:pPr>
                    <w:pStyle w:val="TableBodyText"/>
                  </w:pPr>
                  <w:r w:rsidRPr="00B24561">
                    <w:t>1</w:t>
                  </w:r>
                </w:p>
              </w:tc>
            </w:tr>
            <w:tr w:rsidR="00F818F8" w14:paraId="7D805632" w14:textId="77777777" w:rsidTr="00F818F8">
              <w:trPr>
                <w:gridAfter w:val="1"/>
                <w:wAfter w:w="9" w:type="pct"/>
                <w:tblHeader/>
              </w:trPr>
              <w:tc>
                <w:tcPr>
                  <w:tcW w:w="2571" w:type="pct"/>
                </w:tcPr>
                <w:p w14:paraId="4240044D" w14:textId="77777777" w:rsidR="00F818F8" w:rsidRPr="00B24561" w:rsidRDefault="00F818F8" w:rsidP="00B72418">
                  <w:pPr>
                    <w:pStyle w:val="TableBodyText"/>
                    <w:ind w:left="262" w:hanging="256"/>
                    <w:jc w:val="left"/>
                  </w:pPr>
                  <w:r w:rsidRPr="00B24561">
                    <w:t>Mechanical Fuel Load Reduction Trial</w:t>
                  </w:r>
                </w:p>
              </w:tc>
              <w:tc>
                <w:tcPr>
                  <w:tcW w:w="1848" w:type="pct"/>
                  <w:gridSpan w:val="2"/>
                </w:tcPr>
                <w:p w14:paraId="2CF1CEE6" w14:textId="77777777" w:rsidR="00F818F8" w:rsidRPr="00B24561" w:rsidRDefault="00F818F8" w:rsidP="00B72418">
                  <w:pPr>
                    <w:pStyle w:val="TableBodyText"/>
                    <w:jc w:val="left"/>
                  </w:pPr>
                  <w:r w:rsidRPr="00B24561">
                    <w:t>Agriculture and Water Resources</w:t>
                  </w:r>
                </w:p>
              </w:tc>
              <w:tc>
                <w:tcPr>
                  <w:tcW w:w="572" w:type="pct"/>
                </w:tcPr>
                <w:p w14:paraId="539B07A0" w14:textId="77777777" w:rsidR="00F818F8" w:rsidRPr="00B24561" w:rsidRDefault="00F818F8" w:rsidP="00B72418">
                  <w:pPr>
                    <w:pStyle w:val="TableBodyText"/>
                  </w:pPr>
                  <w:r w:rsidRPr="00B24561">
                    <w:t>1</w:t>
                  </w:r>
                </w:p>
              </w:tc>
            </w:tr>
            <w:tr w:rsidR="00741E2E" w14:paraId="62218083" w14:textId="77777777" w:rsidTr="0005747D">
              <w:trPr>
                <w:gridAfter w:val="1"/>
                <w:wAfter w:w="9" w:type="pct"/>
                <w:tblHeader/>
              </w:trPr>
              <w:tc>
                <w:tcPr>
                  <w:tcW w:w="2571" w:type="pct"/>
                </w:tcPr>
                <w:p w14:paraId="0F143250" w14:textId="77777777" w:rsidR="00741E2E" w:rsidRPr="00B24561" w:rsidRDefault="00741E2E" w:rsidP="00B72418">
                  <w:pPr>
                    <w:pStyle w:val="TableBodyText"/>
                    <w:ind w:left="262" w:hanging="256"/>
                    <w:jc w:val="left"/>
                  </w:pPr>
                  <w:r w:rsidRPr="00B24561">
                    <w:t>Natural Resource Management Planning for Climate Change</w:t>
                  </w:r>
                </w:p>
              </w:tc>
              <w:tc>
                <w:tcPr>
                  <w:tcW w:w="1848" w:type="pct"/>
                  <w:gridSpan w:val="2"/>
                </w:tcPr>
                <w:p w14:paraId="14DAEB7A" w14:textId="77777777" w:rsidR="00741E2E" w:rsidRPr="00B24561" w:rsidRDefault="00741E2E" w:rsidP="00B72418">
                  <w:pPr>
                    <w:pStyle w:val="TableBodyText"/>
                    <w:jc w:val="left"/>
                  </w:pPr>
                  <w:r w:rsidRPr="00B24561">
                    <w:t>Environment and Energy</w:t>
                  </w:r>
                </w:p>
              </w:tc>
              <w:tc>
                <w:tcPr>
                  <w:tcW w:w="572" w:type="pct"/>
                </w:tcPr>
                <w:p w14:paraId="2D885494" w14:textId="77777777" w:rsidR="00741E2E" w:rsidRPr="00B24561" w:rsidRDefault="00741E2E" w:rsidP="00B72418">
                  <w:pPr>
                    <w:pStyle w:val="TableBodyText"/>
                  </w:pPr>
                  <w:r w:rsidRPr="00B24561">
                    <w:t>1</w:t>
                  </w:r>
                </w:p>
              </w:tc>
            </w:tr>
            <w:tr w:rsidR="001566AA" w14:paraId="0D65280A" w14:textId="77777777" w:rsidTr="0005747D">
              <w:trPr>
                <w:gridAfter w:val="1"/>
                <w:wAfter w:w="9" w:type="pct"/>
                <w:tblHeader/>
              </w:trPr>
              <w:tc>
                <w:tcPr>
                  <w:tcW w:w="2571" w:type="pct"/>
                </w:tcPr>
                <w:p w14:paraId="0D652807" w14:textId="77777777" w:rsidR="001566AA" w:rsidRPr="00B24561" w:rsidRDefault="001566AA" w:rsidP="004775C9">
                  <w:pPr>
                    <w:pStyle w:val="TableBodyText"/>
                    <w:ind w:left="262" w:hanging="256"/>
                    <w:jc w:val="left"/>
                  </w:pPr>
                  <w:r w:rsidRPr="00B24561">
                    <w:t>National Survey on Community Attitudes to Violence Against Women (VicHealth and then ANROWS from June 2016)</w:t>
                  </w:r>
                </w:p>
              </w:tc>
              <w:tc>
                <w:tcPr>
                  <w:tcW w:w="1848" w:type="pct"/>
                  <w:gridSpan w:val="2"/>
                </w:tcPr>
                <w:p w14:paraId="0D652808" w14:textId="77777777" w:rsidR="001566AA" w:rsidRPr="00B24561" w:rsidRDefault="001566AA" w:rsidP="0034583E">
                  <w:pPr>
                    <w:pStyle w:val="TableBodyText"/>
                    <w:jc w:val="left"/>
                  </w:pPr>
                  <w:r w:rsidRPr="00B24561">
                    <w:t>Social Services</w:t>
                  </w:r>
                </w:p>
              </w:tc>
              <w:tc>
                <w:tcPr>
                  <w:tcW w:w="572" w:type="pct"/>
                </w:tcPr>
                <w:p w14:paraId="0D652809" w14:textId="77777777" w:rsidR="001566AA" w:rsidRPr="00B24561" w:rsidRDefault="001566AA" w:rsidP="0034583E">
                  <w:pPr>
                    <w:pStyle w:val="TableBodyText"/>
                  </w:pPr>
                  <w:r w:rsidRPr="00B24561">
                    <w:t>1</w:t>
                  </w:r>
                </w:p>
              </w:tc>
            </w:tr>
            <w:tr w:rsidR="00F818F8" w14:paraId="5408248B" w14:textId="77777777" w:rsidTr="00B72418">
              <w:trPr>
                <w:gridAfter w:val="1"/>
                <w:wAfter w:w="9" w:type="pct"/>
                <w:tblHeader/>
              </w:trPr>
              <w:tc>
                <w:tcPr>
                  <w:tcW w:w="2571" w:type="pct"/>
                </w:tcPr>
                <w:p w14:paraId="3D1A33A6" w14:textId="77777777" w:rsidR="00F818F8" w:rsidRPr="00B24561" w:rsidRDefault="00F818F8" w:rsidP="00B72418">
                  <w:pPr>
                    <w:pStyle w:val="TableBodyText"/>
                    <w:ind w:left="262" w:hanging="256"/>
                    <w:jc w:val="left"/>
                  </w:pPr>
                  <w:r w:rsidRPr="00B24561">
                    <w:t>National Centre for Immunisation Research and Surveillance</w:t>
                  </w:r>
                </w:p>
              </w:tc>
              <w:tc>
                <w:tcPr>
                  <w:tcW w:w="1848" w:type="pct"/>
                  <w:gridSpan w:val="2"/>
                </w:tcPr>
                <w:p w14:paraId="313C35C1" w14:textId="77777777" w:rsidR="00F818F8" w:rsidRPr="00B24561" w:rsidRDefault="00F818F8" w:rsidP="00B72418">
                  <w:pPr>
                    <w:pStyle w:val="TableBodyText"/>
                    <w:jc w:val="left"/>
                  </w:pPr>
                  <w:r w:rsidRPr="00B24561">
                    <w:t>Health</w:t>
                  </w:r>
                </w:p>
              </w:tc>
              <w:tc>
                <w:tcPr>
                  <w:tcW w:w="572" w:type="pct"/>
                </w:tcPr>
                <w:p w14:paraId="6DE70DC5" w14:textId="77777777" w:rsidR="00F818F8" w:rsidRPr="00B24561" w:rsidRDefault="00F818F8" w:rsidP="00B72418">
                  <w:pPr>
                    <w:pStyle w:val="TableBodyText"/>
                  </w:pPr>
                  <w:r w:rsidRPr="00B24561">
                    <w:t>1</w:t>
                  </w:r>
                </w:p>
              </w:tc>
            </w:tr>
            <w:tr w:rsidR="00741E2E" w14:paraId="5343B937" w14:textId="77777777" w:rsidTr="0005747D">
              <w:trPr>
                <w:gridAfter w:val="1"/>
                <w:wAfter w:w="9" w:type="pct"/>
                <w:tblHeader/>
              </w:trPr>
              <w:tc>
                <w:tcPr>
                  <w:tcW w:w="2571" w:type="pct"/>
                </w:tcPr>
                <w:p w14:paraId="4CBA9E73" w14:textId="77777777" w:rsidR="00741E2E" w:rsidRPr="00B24561" w:rsidRDefault="00741E2E" w:rsidP="00B72418">
                  <w:pPr>
                    <w:pStyle w:val="TableBodyText"/>
                    <w:ind w:left="262" w:hanging="256"/>
                    <w:jc w:val="left"/>
                  </w:pPr>
                  <w:r w:rsidRPr="00B24561">
                    <w:t xml:space="preserve">Phoenix Australia </w:t>
                  </w:r>
                  <w:r>
                    <w:t>–</w:t>
                  </w:r>
                  <w:r w:rsidRPr="00B24561">
                    <w:t xml:space="preserve"> Centre for Posttraumatic Mental Health</w:t>
                  </w:r>
                </w:p>
              </w:tc>
              <w:tc>
                <w:tcPr>
                  <w:tcW w:w="1848" w:type="pct"/>
                  <w:gridSpan w:val="2"/>
                </w:tcPr>
                <w:p w14:paraId="2E5D7566" w14:textId="77777777" w:rsidR="00741E2E" w:rsidRPr="00B24561" w:rsidRDefault="00741E2E" w:rsidP="00B72418">
                  <w:pPr>
                    <w:pStyle w:val="TableBodyText"/>
                    <w:jc w:val="left"/>
                  </w:pPr>
                  <w:r w:rsidRPr="00B24561">
                    <w:t>Veterans</w:t>
                  </w:r>
                  <w:r>
                    <w:t>’</w:t>
                  </w:r>
                  <w:r w:rsidRPr="00B24561">
                    <w:t xml:space="preserve"> Affairs</w:t>
                  </w:r>
                </w:p>
              </w:tc>
              <w:tc>
                <w:tcPr>
                  <w:tcW w:w="572" w:type="pct"/>
                </w:tcPr>
                <w:p w14:paraId="526DA444" w14:textId="77777777" w:rsidR="00741E2E" w:rsidRPr="00B24561" w:rsidRDefault="00741E2E" w:rsidP="00B72418">
                  <w:pPr>
                    <w:pStyle w:val="TableBodyText"/>
                  </w:pPr>
                  <w:r w:rsidRPr="00B24561">
                    <w:t>1</w:t>
                  </w:r>
                </w:p>
              </w:tc>
            </w:tr>
            <w:tr w:rsidR="00F818F8" w14:paraId="786F5FC0" w14:textId="77777777" w:rsidTr="0005747D">
              <w:trPr>
                <w:gridAfter w:val="1"/>
                <w:wAfter w:w="9" w:type="pct"/>
              </w:trPr>
              <w:tc>
                <w:tcPr>
                  <w:tcW w:w="2571" w:type="pct"/>
                </w:tcPr>
                <w:p w14:paraId="21C9AF8A" w14:textId="77777777" w:rsidR="00F818F8" w:rsidRPr="00B24561" w:rsidRDefault="00F818F8" w:rsidP="00B72418">
                  <w:pPr>
                    <w:pStyle w:val="TableBodyText"/>
                    <w:ind w:left="262" w:hanging="256"/>
                    <w:jc w:val="left"/>
                  </w:pPr>
                  <w:r w:rsidRPr="00B24561">
                    <w:t xml:space="preserve">Primary Health Care Research Evaluation and Development </w:t>
                  </w:r>
                  <w:r>
                    <w:t>–</w:t>
                  </w:r>
                  <w:r w:rsidRPr="00B24561">
                    <w:t xml:space="preserve"> Primary Health Care Research and Information Service</w:t>
                  </w:r>
                </w:p>
              </w:tc>
              <w:tc>
                <w:tcPr>
                  <w:tcW w:w="1848" w:type="pct"/>
                  <w:gridSpan w:val="2"/>
                </w:tcPr>
                <w:p w14:paraId="516000AC" w14:textId="77777777" w:rsidR="00F818F8" w:rsidRPr="00B24561" w:rsidRDefault="00F818F8" w:rsidP="00B72418">
                  <w:pPr>
                    <w:pStyle w:val="TableBodyText"/>
                    <w:jc w:val="left"/>
                  </w:pPr>
                  <w:r w:rsidRPr="00B24561">
                    <w:t>Health</w:t>
                  </w:r>
                </w:p>
              </w:tc>
              <w:tc>
                <w:tcPr>
                  <w:tcW w:w="572" w:type="pct"/>
                </w:tcPr>
                <w:p w14:paraId="6B06A185" w14:textId="77777777" w:rsidR="00F818F8" w:rsidRPr="00B24561" w:rsidRDefault="00F818F8" w:rsidP="00B72418">
                  <w:pPr>
                    <w:pStyle w:val="TableBodyText"/>
                  </w:pPr>
                  <w:r w:rsidRPr="00B24561">
                    <w:t>1</w:t>
                  </w:r>
                </w:p>
              </w:tc>
            </w:tr>
            <w:tr w:rsidR="005722BF" w14:paraId="0D65282E" w14:textId="77777777" w:rsidTr="0005747D">
              <w:trPr>
                <w:gridAfter w:val="1"/>
                <w:wAfter w:w="9" w:type="pct"/>
              </w:trPr>
              <w:tc>
                <w:tcPr>
                  <w:tcW w:w="2571" w:type="pct"/>
                </w:tcPr>
                <w:p w14:paraId="0D65282B" w14:textId="77777777" w:rsidR="001566AA" w:rsidRPr="00B24561" w:rsidRDefault="001566AA" w:rsidP="004775C9">
                  <w:pPr>
                    <w:pStyle w:val="TableBodyText"/>
                    <w:ind w:left="262" w:hanging="256"/>
                    <w:jc w:val="left"/>
                  </w:pPr>
                  <w:r w:rsidRPr="00B24561">
                    <w:t>Research under the National Framework for Protecting Australia</w:t>
                  </w:r>
                  <w:r>
                    <w:t>’</w:t>
                  </w:r>
                  <w:r w:rsidRPr="00B24561">
                    <w:t>s Children 2009</w:t>
                  </w:r>
                  <w:r w:rsidR="003F7226">
                    <w:t>–</w:t>
                  </w:r>
                  <w:r w:rsidRPr="00B24561">
                    <w:t>2020</w:t>
                  </w:r>
                </w:p>
              </w:tc>
              <w:tc>
                <w:tcPr>
                  <w:tcW w:w="1848" w:type="pct"/>
                  <w:gridSpan w:val="2"/>
                </w:tcPr>
                <w:p w14:paraId="0D65282C" w14:textId="77777777" w:rsidR="001566AA" w:rsidRPr="00B24561" w:rsidRDefault="001566AA" w:rsidP="0034583E">
                  <w:pPr>
                    <w:pStyle w:val="TableBodyText"/>
                    <w:jc w:val="left"/>
                  </w:pPr>
                  <w:r w:rsidRPr="00B24561">
                    <w:t>Social Services</w:t>
                  </w:r>
                </w:p>
              </w:tc>
              <w:tc>
                <w:tcPr>
                  <w:tcW w:w="572" w:type="pct"/>
                </w:tcPr>
                <w:p w14:paraId="0D65282D" w14:textId="77777777" w:rsidR="001566AA" w:rsidRPr="00B24561" w:rsidRDefault="001566AA" w:rsidP="0034583E">
                  <w:pPr>
                    <w:pStyle w:val="TableBodyText"/>
                  </w:pPr>
                  <w:r w:rsidRPr="00B24561">
                    <w:t>1</w:t>
                  </w:r>
                </w:p>
              </w:tc>
            </w:tr>
            <w:tr w:rsidR="00741E2E" w14:paraId="293AF8DA" w14:textId="77777777" w:rsidTr="0005747D">
              <w:trPr>
                <w:gridAfter w:val="1"/>
                <w:wAfter w:w="9" w:type="pct"/>
                <w:tblHeader/>
              </w:trPr>
              <w:tc>
                <w:tcPr>
                  <w:tcW w:w="2571" w:type="pct"/>
                  <w:tcBorders>
                    <w:top w:val="single" w:sz="6" w:space="0" w:color="BFBFBF"/>
                  </w:tcBorders>
                </w:tcPr>
                <w:p w14:paraId="6D7FEF6B" w14:textId="77777777" w:rsidR="00741E2E" w:rsidRPr="00B24561" w:rsidRDefault="00741E2E" w:rsidP="00B72418">
                  <w:pPr>
                    <w:pStyle w:val="TableBodyText"/>
                    <w:spacing w:before="120"/>
                    <w:ind w:left="262" w:hanging="256"/>
                    <w:jc w:val="left"/>
                  </w:pPr>
                  <w:r w:rsidRPr="00B24561">
                    <w:t>Veteran Health Research</w:t>
                  </w:r>
                </w:p>
              </w:tc>
              <w:tc>
                <w:tcPr>
                  <w:tcW w:w="1848" w:type="pct"/>
                  <w:gridSpan w:val="2"/>
                  <w:tcBorders>
                    <w:top w:val="single" w:sz="6" w:space="0" w:color="BFBFBF"/>
                  </w:tcBorders>
                </w:tcPr>
                <w:p w14:paraId="6010DA93" w14:textId="77777777" w:rsidR="00741E2E" w:rsidRPr="00B24561" w:rsidRDefault="00741E2E" w:rsidP="00B72418">
                  <w:pPr>
                    <w:pStyle w:val="TableBodyText"/>
                    <w:spacing w:before="120"/>
                    <w:jc w:val="left"/>
                  </w:pPr>
                  <w:r w:rsidRPr="00B24561">
                    <w:t>Veterans</w:t>
                  </w:r>
                  <w:r>
                    <w:t>’</w:t>
                  </w:r>
                  <w:r w:rsidRPr="00B24561">
                    <w:t xml:space="preserve"> Affairs</w:t>
                  </w:r>
                </w:p>
              </w:tc>
              <w:tc>
                <w:tcPr>
                  <w:tcW w:w="572" w:type="pct"/>
                  <w:tcBorders>
                    <w:top w:val="single" w:sz="6" w:space="0" w:color="BFBFBF"/>
                  </w:tcBorders>
                </w:tcPr>
                <w:p w14:paraId="019E193D" w14:textId="77777777" w:rsidR="00741E2E" w:rsidRPr="00B24561" w:rsidRDefault="00741E2E" w:rsidP="00B72418">
                  <w:pPr>
                    <w:pStyle w:val="TableBodyText"/>
                    <w:spacing w:before="120"/>
                  </w:pPr>
                  <w:r w:rsidRPr="00B24561">
                    <w:t>1</w:t>
                  </w:r>
                </w:p>
              </w:tc>
            </w:tr>
            <w:tr w:rsidR="001566AA" w14:paraId="0D65285A" w14:textId="77777777" w:rsidTr="0005747D">
              <w:trPr>
                <w:gridAfter w:val="1"/>
                <w:wAfter w:w="9" w:type="pct"/>
              </w:trPr>
              <w:tc>
                <w:tcPr>
                  <w:tcW w:w="2571" w:type="pct"/>
                </w:tcPr>
                <w:p w14:paraId="0D652857" w14:textId="77777777" w:rsidR="001566AA" w:rsidRPr="00B24561" w:rsidRDefault="001566AA" w:rsidP="004775C9">
                  <w:pPr>
                    <w:pStyle w:val="TableBodyText"/>
                    <w:ind w:left="262" w:hanging="256"/>
                    <w:jc w:val="left"/>
                  </w:pPr>
                  <w:r w:rsidRPr="00B24561">
                    <w:t>R&amp;D Refundable Tax Offset</w:t>
                  </w:r>
                </w:p>
              </w:tc>
              <w:tc>
                <w:tcPr>
                  <w:tcW w:w="1848" w:type="pct"/>
                  <w:gridSpan w:val="2"/>
                </w:tcPr>
                <w:p w14:paraId="0D652858" w14:textId="77777777" w:rsidR="001566AA" w:rsidRPr="00B24561" w:rsidRDefault="001566AA" w:rsidP="0034583E">
                  <w:pPr>
                    <w:pStyle w:val="TableBodyText"/>
                    <w:jc w:val="left"/>
                  </w:pPr>
                  <w:r w:rsidRPr="00B24561">
                    <w:t>Industry, Innovation and Science</w:t>
                  </w:r>
                </w:p>
              </w:tc>
              <w:tc>
                <w:tcPr>
                  <w:tcW w:w="572" w:type="pct"/>
                </w:tcPr>
                <w:p w14:paraId="0D652859" w14:textId="77777777" w:rsidR="001566AA" w:rsidRDefault="003F7226" w:rsidP="0034583E">
                  <w:pPr>
                    <w:pStyle w:val="TableBodyText"/>
                  </w:pPr>
                  <w:r>
                    <w:noBreakHyphen/>
                  </w:r>
                  <w:r w:rsidR="001566AA" w:rsidRPr="00B24561">
                    <w:t>25</w:t>
                  </w:r>
                </w:p>
              </w:tc>
            </w:tr>
            <w:tr w:rsidR="001566AA" w14:paraId="0D65285E" w14:textId="77777777" w:rsidTr="0005747D">
              <w:trPr>
                <w:gridAfter w:val="1"/>
                <w:wAfter w:w="9" w:type="pct"/>
              </w:trPr>
              <w:tc>
                <w:tcPr>
                  <w:tcW w:w="2571" w:type="pct"/>
                  <w:tcBorders>
                    <w:bottom w:val="single" w:sz="4" w:space="0" w:color="BFBFBF"/>
                  </w:tcBorders>
                </w:tcPr>
                <w:p w14:paraId="0D65285B" w14:textId="77777777" w:rsidR="001566AA" w:rsidRPr="000327A4" w:rsidRDefault="001566AA" w:rsidP="0034583E">
                  <w:pPr>
                    <w:pStyle w:val="TableBodyText"/>
                    <w:spacing w:before="120"/>
                    <w:jc w:val="left"/>
                    <w:rPr>
                      <w:b/>
                    </w:rPr>
                  </w:pPr>
                  <w:r w:rsidRPr="000327A4">
                    <w:rPr>
                      <w:b/>
                    </w:rPr>
                    <w:t>Total</w:t>
                  </w:r>
                </w:p>
              </w:tc>
              <w:tc>
                <w:tcPr>
                  <w:tcW w:w="1848" w:type="pct"/>
                  <w:gridSpan w:val="2"/>
                  <w:tcBorders>
                    <w:bottom w:val="single" w:sz="4" w:space="0" w:color="BFBFBF"/>
                  </w:tcBorders>
                </w:tcPr>
                <w:p w14:paraId="0D65285C" w14:textId="77777777" w:rsidR="001566AA" w:rsidRPr="000327A4" w:rsidRDefault="001566AA" w:rsidP="0034583E">
                  <w:pPr>
                    <w:pStyle w:val="TableBodyText"/>
                    <w:spacing w:before="120"/>
                    <w:jc w:val="left"/>
                    <w:rPr>
                      <w:b/>
                    </w:rPr>
                  </w:pPr>
                </w:p>
              </w:tc>
              <w:tc>
                <w:tcPr>
                  <w:tcW w:w="572" w:type="pct"/>
                  <w:tcBorders>
                    <w:bottom w:val="single" w:sz="4" w:space="0" w:color="BFBFBF"/>
                  </w:tcBorders>
                </w:tcPr>
                <w:p w14:paraId="0D65285D" w14:textId="77777777" w:rsidR="001566AA" w:rsidRPr="000327A4" w:rsidRDefault="007129A2" w:rsidP="007129A2">
                  <w:pPr>
                    <w:pStyle w:val="TableBodyText"/>
                    <w:spacing w:before="120"/>
                    <w:rPr>
                      <w:b/>
                    </w:rPr>
                  </w:pPr>
                  <w:r>
                    <w:rPr>
                      <w:b/>
                    </w:rPr>
                    <w:t>10 124</w:t>
                  </w:r>
                </w:p>
              </w:tc>
            </w:tr>
          </w:tbl>
          <w:p w14:paraId="0D65285F" w14:textId="77777777" w:rsidR="001566AA" w:rsidRDefault="001566AA" w:rsidP="0034583E">
            <w:pPr>
              <w:pStyle w:val="TableBodyText"/>
              <w:jc w:val="left"/>
            </w:pPr>
          </w:p>
        </w:tc>
      </w:tr>
      <w:tr w:rsidR="001566AA" w14:paraId="0D652862" w14:textId="77777777" w:rsidTr="00221950">
        <w:trPr>
          <w:gridAfter w:val="1"/>
          <w:wAfter w:w="142" w:type="dxa"/>
        </w:trPr>
        <w:tc>
          <w:tcPr>
            <w:tcW w:w="8647" w:type="dxa"/>
            <w:tcBorders>
              <w:top w:val="nil"/>
              <w:left w:val="nil"/>
              <w:bottom w:val="single" w:sz="6" w:space="0" w:color="78A22F"/>
              <w:right w:val="nil"/>
            </w:tcBorders>
            <w:shd w:val="clear" w:color="auto" w:fill="auto"/>
          </w:tcPr>
          <w:p w14:paraId="0D652861" w14:textId="77777777" w:rsidR="001566AA" w:rsidRDefault="001566AA" w:rsidP="001566AA">
            <w:pPr>
              <w:pStyle w:val="Source"/>
            </w:pPr>
            <w:r>
              <w:rPr>
                <w:i/>
              </w:rPr>
              <w:t>Source</w:t>
            </w:r>
            <w:r w:rsidRPr="00167F06">
              <w:t xml:space="preserve">: </w:t>
            </w:r>
            <w:r w:rsidR="00665254">
              <w:t>DIIS </w:t>
            </w:r>
            <w:r w:rsidR="00665254" w:rsidRPr="000B4AAC">
              <w:rPr>
                <w:rFonts w:cs="Arial"/>
              </w:rPr>
              <w:t>(2016)</w:t>
            </w:r>
            <w:r w:rsidR="00665254">
              <w:t>.</w:t>
            </w:r>
          </w:p>
        </w:tc>
      </w:tr>
      <w:tr w:rsidR="001566AA" w14:paraId="0D652864" w14:textId="77777777" w:rsidTr="00221950">
        <w:trPr>
          <w:gridAfter w:val="1"/>
          <w:wAfter w:w="142" w:type="dxa"/>
        </w:trPr>
        <w:tc>
          <w:tcPr>
            <w:tcW w:w="8647" w:type="dxa"/>
            <w:tcBorders>
              <w:top w:val="single" w:sz="6" w:space="0" w:color="78A22F"/>
              <w:left w:val="nil"/>
              <w:bottom w:val="nil"/>
              <w:right w:val="nil"/>
            </w:tcBorders>
            <w:shd w:val="clear" w:color="auto" w:fill="auto"/>
          </w:tcPr>
          <w:p w14:paraId="0D652863" w14:textId="77777777" w:rsidR="001566AA" w:rsidRDefault="001566AA" w:rsidP="001566AA">
            <w:pPr>
              <w:pStyle w:val="TableTitle"/>
              <w:spacing w:before="0" w:after="0" w:line="120" w:lineRule="exact"/>
              <w:rPr>
                <w:b w:val="0"/>
              </w:rPr>
            </w:pPr>
          </w:p>
        </w:tc>
      </w:tr>
    </w:tbl>
    <w:p w14:paraId="0D652865" w14:textId="77777777" w:rsidR="006617B9" w:rsidRDefault="006617B9" w:rsidP="006617B9">
      <w:pPr>
        <w:pStyle w:val="Source"/>
      </w:pPr>
    </w:p>
    <w:p w14:paraId="0D652866" w14:textId="77777777" w:rsidR="00861A22" w:rsidRDefault="00861A22" w:rsidP="00120072">
      <w:pPr>
        <w:pStyle w:val="BodyText"/>
        <w:sectPr w:rsidR="00861A22" w:rsidSect="00D340E0">
          <w:type w:val="oddPage"/>
          <w:pgSz w:w="11907" w:h="16840" w:code="9"/>
          <w:pgMar w:top="1985" w:right="1304" w:bottom="1247" w:left="1814" w:header="1701" w:footer="397" w:gutter="0"/>
          <w:pgNumType w:chapSep="period"/>
          <w:cols w:space="720"/>
        </w:sectPr>
      </w:pPr>
    </w:p>
    <w:p w14:paraId="0D652867" w14:textId="289B85C7" w:rsidR="00D434A0" w:rsidRDefault="001668C5" w:rsidP="003473EA">
      <w:pPr>
        <w:pStyle w:val="Heading1"/>
      </w:pPr>
      <w:bookmarkStart w:id="30" w:name="_Toc488850413"/>
      <w:r>
        <w:t>References</w:t>
      </w:r>
      <w:bookmarkEnd w:id="30"/>
    </w:p>
    <w:p w14:paraId="0D652868" w14:textId="2A52F15E" w:rsidR="00646933" w:rsidRPr="00646933" w:rsidRDefault="00646933" w:rsidP="00B0510F">
      <w:pPr>
        <w:pStyle w:val="Reference"/>
      </w:pPr>
      <w:r w:rsidRPr="00646933">
        <w:t xml:space="preserve">ARC (Australian Research Council) 2016, </w:t>
      </w:r>
      <w:r w:rsidRPr="00646933">
        <w:rPr>
          <w:i/>
          <w:iCs/>
        </w:rPr>
        <w:t>Annual Report 2015</w:t>
      </w:r>
      <w:r w:rsidR="00D451C0">
        <w:rPr>
          <w:i/>
          <w:iCs/>
        </w:rPr>
        <w:noBreakHyphen/>
      </w:r>
      <w:r w:rsidRPr="00646933">
        <w:rPr>
          <w:i/>
          <w:iCs/>
        </w:rPr>
        <w:t>16</w:t>
      </w:r>
      <w:r w:rsidRPr="00646933">
        <w:t>.</w:t>
      </w:r>
    </w:p>
    <w:p w14:paraId="0D652869" w14:textId="77777777" w:rsidR="00646933" w:rsidRPr="00646933" w:rsidRDefault="00646933" w:rsidP="00B0510F">
      <w:pPr>
        <w:pStyle w:val="Reference"/>
      </w:pPr>
      <w:r w:rsidRPr="00646933">
        <w:t xml:space="preserve">Commonwealth of Australia 2015, </w:t>
      </w:r>
      <w:r w:rsidRPr="00646933">
        <w:rPr>
          <w:i/>
          <w:iCs/>
        </w:rPr>
        <w:t>National Innovation and Science Agenda</w:t>
      </w:r>
      <w:r w:rsidRPr="00646933">
        <w:t>, Department of the Prime Minister and Cabinet.</w:t>
      </w:r>
    </w:p>
    <w:p w14:paraId="0D65286A" w14:textId="77777777" w:rsidR="00646933" w:rsidRPr="00646933" w:rsidRDefault="00646933" w:rsidP="00B0510F">
      <w:pPr>
        <w:pStyle w:val="Reference"/>
      </w:pPr>
      <w:r w:rsidRPr="00646933">
        <w:t xml:space="preserve">Cooperative Research Centres Association 2016, </w:t>
      </w:r>
      <w:r w:rsidRPr="00646933">
        <w:rPr>
          <w:i/>
          <w:iCs/>
        </w:rPr>
        <w:t>About the CRC Programme</w:t>
      </w:r>
      <w:r w:rsidRPr="00646933">
        <w:t>.</w:t>
      </w:r>
    </w:p>
    <w:p w14:paraId="0D65286B" w14:textId="77777777" w:rsidR="00646933" w:rsidRPr="00646933" w:rsidRDefault="00646933" w:rsidP="00B0510F">
      <w:pPr>
        <w:pStyle w:val="Reference"/>
      </w:pPr>
      <w:r w:rsidRPr="00646933">
        <w:t xml:space="preserve">Cornell University, INSEAD and WIPO (Cornell University, Institut Européen d’Administration des Affaires and World Intellectual Property Organization) 2016, </w:t>
      </w:r>
      <w:r w:rsidRPr="00646933">
        <w:rPr>
          <w:i/>
          <w:iCs/>
        </w:rPr>
        <w:t>The Global Innovation Index 2016: Winning with Global Innovation</w:t>
      </w:r>
      <w:r w:rsidRPr="00646933">
        <w:t>.</w:t>
      </w:r>
    </w:p>
    <w:p w14:paraId="0D65286C" w14:textId="1EE9995B" w:rsidR="00646933" w:rsidRPr="00646933" w:rsidRDefault="00646933" w:rsidP="00B0510F">
      <w:pPr>
        <w:pStyle w:val="Reference"/>
      </w:pPr>
      <w:r w:rsidRPr="00646933">
        <w:t xml:space="preserve">Department of Agriculture and Water Resources 2016, </w:t>
      </w:r>
      <w:r w:rsidRPr="00646933">
        <w:rPr>
          <w:i/>
          <w:iCs/>
        </w:rPr>
        <w:t>Research and Development Corporations and Companies</w:t>
      </w:r>
      <w:r w:rsidRPr="00646933">
        <w:t>, www.agriculture.gov.au/ag</w:t>
      </w:r>
      <w:r w:rsidR="00D451C0">
        <w:noBreakHyphen/>
      </w:r>
      <w:r w:rsidRPr="00646933">
        <w:t>farm</w:t>
      </w:r>
      <w:r w:rsidR="00D451C0">
        <w:noBreakHyphen/>
      </w:r>
      <w:r w:rsidRPr="00646933">
        <w:t xml:space="preserve">food/innovation/research_and_development_corporations_and_companies (accessed </w:t>
      </w:r>
      <w:r w:rsidR="0050291F" w:rsidRPr="00646933">
        <w:t>19</w:t>
      </w:r>
      <w:r w:rsidR="0050291F">
        <w:t> </w:t>
      </w:r>
      <w:r w:rsidRPr="00646933">
        <w:t>January 2017).</w:t>
      </w:r>
    </w:p>
    <w:p w14:paraId="0D65286D" w14:textId="77777777" w:rsidR="00646933" w:rsidRPr="00646933" w:rsidRDefault="00646933" w:rsidP="00B0510F">
      <w:pPr>
        <w:pStyle w:val="Reference"/>
      </w:pPr>
      <w:r w:rsidRPr="00646933">
        <w:t xml:space="preserve">DIIS (Department of Industry Innovation and Science) 2015, </w:t>
      </w:r>
      <w:r w:rsidRPr="00646933">
        <w:rPr>
          <w:i/>
          <w:iCs/>
        </w:rPr>
        <w:t>National Survey of Research Commercialisation, Data Summary 2012–2014</w:t>
      </w:r>
      <w:r w:rsidRPr="00646933">
        <w:t>.</w:t>
      </w:r>
    </w:p>
    <w:p w14:paraId="0D65286E" w14:textId="399C0191" w:rsidR="00646933" w:rsidRPr="00646933" w:rsidRDefault="00021536" w:rsidP="00B0510F">
      <w:pPr>
        <w:pStyle w:val="Reference"/>
      </w:pPr>
      <w:r>
        <w:t>——</w:t>
      </w:r>
      <w:r w:rsidR="00230AE6">
        <w:t> </w:t>
      </w:r>
      <w:r w:rsidR="00646933" w:rsidRPr="00646933">
        <w:t xml:space="preserve">2016, </w:t>
      </w:r>
      <w:r w:rsidR="00646933" w:rsidRPr="00646933">
        <w:rPr>
          <w:i/>
          <w:iCs/>
        </w:rPr>
        <w:t>2016</w:t>
      </w:r>
      <w:r w:rsidR="00D451C0">
        <w:rPr>
          <w:i/>
          <w:iCs/>
        </w:rPr>
        <w:noBreakHyphen/>
      </w:r>
      <w:r w:rsidR="00646933" w:rsidRPr="00646933">
        <w:rPr>
          <w:i/>
          <w:iCs/>
        </w:rPr>
        <w:t>17 Science, Research and Innovation Budget Tables</w:t>
      </w:r>
      <w:r w:rsidR="00646933" w:rsidRPr="00646933">
        <w:t>, 18</w:t>
      </w:r>
      <w:r w:rsidR="0050291F">
        <w:t> </w:t>
      </w:r>
      <w:r w:rsidR="00646933" w:rsidRPr="00646933">
        <w:t>August.</w:t>
      </w:r>
    </w:p>
    <w:p w14:paraId="0D65286F" w14:textId="77777777" w:rsidR="00646933" w:rsidRPr="00646933" w:rsidRDefault="00646933" w:rsidP="00B0510F">
      <w:pPr>
        <w:pStyle w:val="Reference"/>
      </w:pPr>
      <w:r w:rsidRPr="00646933">
        <w:t xml:space="preserve">DoH (Department of Health) </w:t>
      </w:r>
      <w:r w:rsidR="006D7A6E">
        <w:t>2017</w:t>
      </w:r>
      <w:r w:rsidRPr="00646933">
        <w:t xml:space="preserve">, </w:t>
      </w:r>
      <w:r w:rsidRPr="00646933">
        <w:rPr>
          <w:i/>
          <w:iCs/>
        </w:rPr>
        <w:t>List of Independent Medical Research Institutes</w:t>
      </w:r>
      <w:r w:rsidRPr="00646933">
        <w:t>.</w:t>
      </w:r>
    </w:p>
    <w:p w14:paraId="0D652870" w14:textId="7CC8350C" w:rsidR="00646933" w:rsidRPr="00646933" w:rsidRDefault="00646933" w:rsidP="00B0510F">
      <w:pPr>
        <w:pStyle w:val="Reference"/>
      </w:pPr>
      <w:r w:rsidRPr="00646933">
        <w:t xml:space="preserve">Ferris, B., Finkel, A. and Fraser, J. 2016, </w:t>
      </w:r>
      <w:r w:rsidRPr="00646933">
        <w:rPr>
          <w:i/>
          <w:iCs/>
        </w:rPr>
        <w:t>Review of the R&amp;D Tax Incentive</w:t>
      </w:r>
      <w:r w:rsidRPr="00646933">
        <w:t>, 4</w:t>
      </w:r>
      <w:r w:rsidR="0050291F">
        <w:t> </w:t>
      </w:r>
      <w:r w:rsidRPr="00646933">
        <w:t>April, Department of Industry Innovation Science Research and Tertiary Education.</w:t>
      </w:r>
    </w:p>
    <w:p w14:paraId="0D652871" w14:textId="77777777" w:rsidR="00646933" w:rsidRPr="00646933" w:rsidRDefault="00646933" w:rsidP="00B0510F">
      <w:pPr>
        <w:pStyle w:val="Reference"/>
      </w:pPr>
      <w:r w:rsidRPr="00646933">
        <w:t xml:space="preserve">IP Australia 2016, </w:t>
      </w:r>
      <w:r w:rsidRPr="00646933">
        <w:rPr>
          <w:i/>
          <w:iCs/>
        </w:rPr>
        <w:t>Australian Intellectual Property Report 2016</w:t>
      </w:r>
      <w:r w:rsidRPr="00646933">
        <w:t>.</w:t>
      </w:r>
    </w:p>
    <w:p w14:paraId="0D652872" w14:textId="77777777" w:rsidR="00646933" w:rsidRPr="00646933" w:rsidRDefault="00646933" w:rsidP="00B0510F">
      <w:pPr>
        <w:pStyle w:val="Reference"/>
      </w:pPr>
      <w:r w:rsidRPr="00646933">
        <w:t xml:space="preserve">NHMRC (National Health and Medical Research Council) 2016, </w:t>
      </w:r>
      <w:r w:rsidRPr="00646933">
        <w:rPr>
          <w:i/>
          <w:iCs/>
        </w:rPr>
        <w:t>Annual Report 2015–2016</w:t>
      </w:r>
      <w:r w:rsidRPr="00646933">
        <w:t>, Annual Report, NH172.</w:t>
      </w:r>
    </w:p>
    <w:p w14:paraId="0D652873" w14:textId="303B93D9" w:rsidR="00646933" w:rsidRPr="00646933" w:rsidRDefault="00021536" w:rsidP="00B0510F">
      <w:pPr>
        <w:pStyle w:val="Reference"/>
      </w:pPr>
      <w:r>
        <w:t>——</w:t>
      </w:r>
      <w:r w:rsidR="00230AE6">
        <w:t> </w:t>
      </w:r>
      <w:r w:rsidR="00646933" w:rsidRPr="00646933">
        <w:t xml:space="preserve">2017, </w:t>
      </w:r>
      <w:r w:rsidR="00646933" w:rsidRPr="00646933">
        <w:rPr>
          <w:i/>
          <w:iCs/>
        </w:rPr>
        <w:t>Results of the 2016 NHMRC Grant Application Round</w:t>
      </w:r>
      <w:r w:rsidR="00646933" w:rsidRPr="00646933">
        <w:t>.</w:t>
      </w:r>
    </w:p>
    <w:p w14:paraId="0D652874" w14:textId="72644697" w:rsidR="00646933" w:rsidRPr="00646933" w:rsidRDefault="00646933" w:rsidP="00B0510F">
      <w:pPr>
        <w:pStyle w:val="Reference"/>
      </w:pPr>
      <w:r w:rsidRPr="00646933">
        <w:t>OECD (Organisation for Economic Co</w:t>
      </w:r>
      <w:r w:rsidR="00D451C0">
        <w:noBreakHyphen/>
      </w:r>
      <w:r w:rsidRPr="00646933">
        <w:t xml:space="preserve">operation and Development) 2017, </w:t>
      </w:r>
      <w:r w:rsidRPr="00646933">
        <w:rPr>
          <w:i/>
          <w:iCs/>
        </w:rPr>
        <w:t>OECD Economic Surveys: Australia</w:t>
      </w:r>
      <w:r w:rsidRPr="00646933">
        <w:t>, March.</w:t>
      </w:r>
    </w:p>
    <w:p w14:paraId="0D652875" w14:textId="77777777" w:rsidR="00646933" w:rsidRPr="00646933" w:rsidRDefault="00646933" w:rsidP="00B0510F">
      <w:pPr>
        <w:pStyle w:val="Reference"/>
      </w:pPr>
      <w:r w:rsidRPr="00646933">
        <w:t xml:space="preserve">PC (Productivity Commission) 2007, </w:t>
      </w:r>
      <w:r w:rsidRPr="00646933">
        <w:rPr>
          <w:i/>
          <w:iCs/>
        </w:rPr>
        <w:t>Public Support for Science and Innovation</w:t>
      </w:r>
      <w:r w:rsidRPr="00646933">
        <w:t>, Research Report.</w:t>
      </w:r>
    </w:p>
    <w:p w14:paraId="0D652876" w14:textId="5D98B23F" w:rsidR="00646933" w:rsidRPr="00646933" w:rsidRDefault="00021536" w:rsidP="00B0510F">
      <w:pPr>
        <w:pStyle w:val="Reference"/>
      </w:pPr>
      <w:r>
        <w:t>——</w:t>
      </w:r>
      <w:r w:rsidR="00230AE6">
        <w:t> </w:t>
      </w:r>
      <w:r w:rsidR="00646933" w:rsidRPr="00646933">
        <w:t xml:space="preserve">2013, </w:t>
      </w:r>
      <w:r w:rsidR="00646933" w:rsidRPr="00646933">
        <w:rPr>
          <w:i/>
          <w:iCs/>
        </w:rPr>
        <w:t>Trade and Assistance Review 2011</w:t>
      </w:r>
      <w:r w:rsidR="00D451C0">
        <w:rPr>
          <w:i/>
          <w:iCs/>
        </w:rPr>
        <w:noBreakHyphen/>
      </w:r>
      <w:r w:rsidR="00646933" w:rsidRPr="00646933">
        <w:rPr>
          <w:i/>
          <w:iCs/>
        </w:rPr>
        <w:t>12</w:t>
      </w:r>
      <w:r w:rsidR="00646933" w:rsidRPr="00646933">
        <w:t>, June.</w:t>
      </w:r>
    </w:p>
    <w:p w14:paraId="0D652877" w14:textId="77777777" w:rsidR="006E4A03" w:rsidRDefault="00646933" w:rsidP="00B0510F">
      <w:pPr>
        <w:pStyle w:val="Reference"/>
      </w:pPr>
      <w:r w:rsidRPr="00646933">
        <w:t xml:space="preserve">Schwab, K. 2015, </w:t>
      </w:r>
      <w:r w:rsidRPr="00646933">
        <w:rPr>
          <w:i/>
          <w:iCs/>
        </w:rPr>
        <w:t>The Global Competitiveness Report 2015–2016</w:t>
      </w:r>
      <w:r w:rsidRPr="00646933">
        <w:t>, World Economic Forum.</w:t>
      </w:r>
    </w:p>
    <w:p w14:paraId="0D652878" w14:textId="3A3D9DC3" w:rsidR="00021536" w:rsidRPr="00021536" w:rsidRDefault="00021536" w:rsidP="00021536">
      <w:pPr>
        <w:pStyle w:val="Reference"/>
      </w:pPr>
      <w:r>
        <w:t>——</w:t>
      </w:r>
      <w:r w:rsidR="00230AE6">
        <w:t> </w:t>
      </w:r>
      <w:r w:rsidRPr="00021536">
        <w:rPr>
          <w:spacing w:val="-2"/>
        </w:rPr>
        <w:t>2016, Intellectual Property Arrangements, Inquiry Report, 23 September, Report no.</w:t>
      </w:r>
      <w:r w:rsidR="0050291F">
        <w:rPr>
          <w:spacing w:val="-2"/>
        </w:rPr>
        <w:t> </w:t>
      </w:r>
      <w:r w:rsidRPr="00021536">
        <w:rPr>
          <w:spacing w:val="-2"/>
        </w:rPr>
        <w:t>78.</w:t>
      </w:r>
    </w:p>
    <w:sectPr w:rsidR="00021536" w:rsidRPr="00021536" w:rsidSect="005722BF">
      <w:type w:val="oddPag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52894" w14:textId="77777777" w:rsidR="00221950" w:rsidRDefault="00221950">
      <w:r>
        <w:separator/>
      </w:r>
    </w:p>
  </w:endnote>
  <w:endnote w:type="continuationSeparator" w:id="0">
    <w:p w14:paraId="0D652895" w14:textId="77777777" w:rsidR="00221950" w:rsidRDefault="00221950">
      <w:r>
        <w:continuationSeparator/>
      </w:r>
    </w:p>
  </w:endnote>
  <w:endnote w:type="continuationNotice" w:id="1">
    <w:p w14:paraId="0D652896" w14:textId="77777777" w:rsidR="00221950" w:rsidRDefault="00221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2897" w14:textId="77777777" w:rsidR="00221950" w:rsidRDefault="00221950" w:rsidP="0019293B">
    <w:pPr>
      <w:pStyle w:val="FooterEnd"/>
    </w:pPr>
  </w:p>
  <w:p w14:paraId="0D652898" w14:textId="77777777" w:rsidR="00221950" w:rsidRDefault="0022195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2899" w14:textId="77777777" w:rsidR="00221950" w:rsidRDefault="00221950">
    <w:pPr>
      <w:pStyle w:val="FooterEnd"/>
    </w:pPr>
  </w:p>
  <w:p w14:paraId="0D65289A" w14:textId="77777777" w:rsidR="00221950" w:rsidRDefault="00221950">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950" w14:paraId="0D6528A6" w14:textId="77777777" w:rsidTr="005F48ED">
      <w:trPr>
        <w:trHeight w:hRule="exact" w:val="567"/>
      </w:trPr>
      <w:tc>
        <w:tcPr>
          <w:tcW w:w="510" w:type="dxa"/>
        </w:tcPr>
        <w:p w14:paraId="0D6528A3" w14:textId="77777777" w:rsidR="00221950" w:rsidRPr="00A24443" w:rsidRDefault="0022195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A6DDA">
            <w:rPr>
              <w:rStyle w:val="PageNumber"/>
              <w:caps w:val="0"/>
              <w:noProof/>
            </w:rPr>
            <w:t>6</w:t>
          </w:r>
          <w:r w:rsidRPr="00A24443">
            <w:rPr>
              <w:rStyle w:val="PageNumber"/>
              <w:caps w:val="0"/>
            </w:rPr>
            <w:fldChar w:fldCharType="end"/>
          </w:r>
        </w:p>
      </w:tc>
      <w:tc>
        <w:tcPr>
          <w:tcW w:w="7767" w:type="dxa"/>
        </w:tcPr>
        <w:p w14:paraId="0D6528A4" w14:textId="77777777" w:rsidR="00221950" w:rsidRPr="0013739A" w:rsidRDefault="00221950" w:rsidP="0013739A">
          <w:pPr>
            <w:pStyle w:val="Footer"/>
            <w:rPr>
              <w:rFonts w:cs="Arial"/>
            </w:rPr>
          </w:pPr>
          <w:r>
            <w:rPr>
              <w:rFonts w:cs="Arial"/>
            </w:rPr>
            <w:t>Productivity Review</w:t>
          </w:r>
          <w:bookmarkStart w:id="7" w:name="DraftReportEven"/>
          <w:bookmarkEnd w:id="7"/>
        </w:p>
      </w:tc>
      <w:tc>
        <w:tcPr>
          <w:tcW w:w="510" w:type="dxa"/>
        </w:tcPr>
        <w:p w14:paraId="0D6528A5" w14:textId="77777777" w:rsidR="00221950" w:rsidRDefault="00221950" w:rsidP="0019293B">
          <w:pPr>
            <w:pStyle w:val="Footer"/>
          </w:pPr>
        </w:p>
      </w:tc>
    </w:tr>
  </w:tbl>
  <w:p w14:paraId="0D6528A7" w14:textId="77777777" w:rsidR="00221950" w:rsidRDefault="00221950"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950" w14:paraId="0D6528AB" w14:textId="77777777" w:rsidTr="005F48ED">
      <w:trPr>
        <w:trHeight w:hRule="exact" w:val="567"/>
      </w:trPr>
      <w:tc>
        <w:tcPr>
          <w:tcW w:w="510" w:type="dxa"/>
        </w:tcPr>
        <w:p w14:paraId="0D6528A8" w14:textId="77777777" w:rsidR="00221950" w:rsidRDefault="00221950">
          <w:pPr>
            <w:pStyle w:val="Footer"/>
            <w:ind w:right="360" w:firstLine="360"/>
          </w:pPr>
        </w:p>
      </w:tc>
      <w:tc>
        <w:tcPr>
          <w:tcW w:w="7767" w:type="dxa"/>
        </w:tcPr>
        <w:p w14:paraId="0D6528A9" w14:textId="66C9D9C8" w:rsidR="00221950" w:rsidRPr="00BA5B14" w:rsidRDefault="00221950" w:rsidP="006E3D75">
          <w:pPr>
            <w:pStyle w:val="Footer"/>
            <w:jc w:val="right"/>
            <w:rPr>
              <w:rFonts w:cs="Arial"/>
            </w:rPr>
          </w:pPr>
          <w:r>
            <w:rPr>
              <w:rFonts w:cs="Arial"/>
            </w:rPr>
            <w:t>SP 12 – AN OVERVIEW OF INNOVATION POLICY</w:t>
          </w:r>
        </w:p>
      </w:tc>
      <w:tc>
        <w:tcPr>
          <w:tcW w:w="510" w:type="dxa"/>
        </w:tcPr>
        <w:p w14:paraId="0D6528AA" w14:textId="77777777" w:rsidR="00221950" w:rsidRPr="007448F7" w:rsidRDefault="0022195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A6DDA">
            <w:rPr>
              <w:rStyle w:val="PageNumber"/>
              <w:caps w:val="0"/>
              <w:noProof/>
            </w:rPr>
            <w:t>5</w:t>
          </w:r>
          <w:r w:rsidRPr="00A24443">
            <w:rPr>
              <w:rStyle w:val="PageNumber"/>
              <w:caps w:val="0"/>
            </w:rPr>
            <w:fldChar w:fldCharType="end"/>
          </w:r>
        </w:p>
      </w:tc>
    </w:tr>
  </w:tbl>
  <w:p w14:paraId="0D6528AC" w14:textId="77777777" w:rsidR="00221950" w:rsidRDefault="00221950">
    <w:pPr>
      <w:pStyle w:val="FooterEnd"/>
    </w:pPr>
  </w:p>
  <w:p w14:paraId="0D6528AD" w14:textId="77777777" w:rsidR="00221950" w:rsidRDefault="0022195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2891" w14:textId="77777777" w:rsidR="00221950" w:rsidRDefault="00221950">
      <w:r>
        <w:separator/>
      </w:r>
    </w:p>
  </w:footnote>
  <w:footnote w:type="continuationSeparator" w:id="0">
    <w:p w14:paraId="0D652892" w14:textId="77777777" w:rsidR="00221950" w:rsidRDefault="00221950">
      <w:r>
        <w:continuationSeparator/>
      </w:r>
    </w:p>
  </w:footnote>
  <w:footnote w:type="continuationNotice" w:id="1">
    <w:p w14:paraId="0D652893" w14:textId="77777777" w:rsidR="00221950" w:rsidRDefault="00221950"/>
  </w:footnote>
  <w:footnote w:id="2">
    <w:p w14:paraId="0D6528AE" w14:textId="75882A0E" w:rsidR="00221950" w:rsidRDefault="00221950">
      <w:pPr>
        <w:pStyle w:val="FootnoteText"/>
      </w:pPr>
      <w:r w:rsidRPr="002A779A">
        <w:rPr>
          <w:rStyle w:val="FootnoteReference"/>
        </w:rPr>
        <w:footnoteRef/>
      </w:r>
      <w:r>
        <w:tab/>
        <w:t>Financial data reported in this supporting paper are ‘estimated actuals’ for the financial year 2015</w:t>
      </w:r>
      <w:r>
        <w:noBreakHyphen/>
        <w:t>16, and generally sourced from the 2016</w:t>
      </w:r>
      <w:r>
        <w:noBreakHyphen/>
        <w:t>17 budget papers for the Department of Industry, Innovation and Science to enable comparability across programmes. There may be overlap in the expenditures reported across sections, as some funding consists of multiple strands (such as that for the National Health and Medical Research Council (NHMRC)).</w:t>
      </w:r>
    </w:p>
  </w:footnote>
  <w:footnote w:id="3">
    <w:p w14:paraId="0D6528AF" w14:textId="1EBDA4E4" w:rsidR="00221950" w:rsidRDefault="00221950">
      <w:pPr>
        <w:pStyle w:val="FootnoteText"/>
      </w:pPr>
      <w:r w:rsidRPr="002A779A">
        <w:rPr>
          <w:rStyle w:val="FootnoteReference"/>
        </w:rPr>
        <w:footnoteRef/>
      </w:r>
      <w:r>
        <w:tab/>
        <w:t>This stream replaced the Joint Research Engagement program, Research Infrastructure Block Grants and the Sustainable Research Excellence grants.</w:t>
      </w:r>
    </w:p>
  </w:footnote>
  <w:footnote w:id="4">
    <w:p w14:paraId="0D6528B0" w14:textId="77777777" w:rsidR="00221950" w:rsidRDefault="00221950" w:rsidP="002B0A04">
      <w:pPr>
        <w:pStyle w:val="FootnoteText"/>
      </w:pPr>
      <w:r w:rsidRPr="002A779A">
        <w:rPr>
          <w:rStyle w:val="FootnoteReference"/>
        </w:rPr>
        <w:footnoteRef/>
      </w:r>
      <w:r>
        <w:tab/>
        <w:t>This stream replaced the Australian Postgraduate Awards, International Postgraduate Research Scholarships and the Research Training Scheme.</w:t>
      </w:r>
    </w:p>
  </w:footnote>
  <w:footnote w:id="5">
    <w:p w14:paraId="0D6528B1" w14:textId="77777777" w:rsidR="00221950" w:rsidRDefault="00221950">
      <w:pPr>
        <w:pStyle w:val="FootnoteText"/>
      </w:pPr>
      <w:r w:rsidRPr="002A779A">
        <w:rPr>
          <w:rStyle w:val="FootnoteReference"/>
        </w:rPr>
        <w:footnoteRef/>
      </w:r>
      <w:r>
        <w:tab/>
        <w:t xml:space="preserve">The Department of Health lists 67 independent medical research institutes in Australia </w:t>
      </w:r>
      <w:r w:rsidRPr="0077082E">
        <w:rPr>
          <w:szCs w:val="24"/>
        </w:rPr>
        <w:t>(DoH </w:t>
      </w:r>
      <w:r>
        <w:rPr>
          <w:szCs w:val="24"/>
        </w:rPr>
        <w:t>2017</w:t>
      </w:r>
      <w:r w:rsidRPr="0077082E">
        <w:rPr>
          <w:szCs w:val="24"/>
        </w:rPr>
        <w:t>)</w:t>
      </w:r>
      <w:r>
        <w:t>.</w:t>
      </w:r>
    </w:p>
  </w:footnote>
  <w:footnote w:id="6">
    <w:p w14:paraId="0D6528B2" w14:textId="77777777" w:rsidR="00221950" w:rsidRDefault="00221950" w:rsidP="006C5353">
      <w:pPr>
        <w:pStyle w:val="FootnoteText"/>
      </w:pPr>
      <w:r w:rsidRPr="002A779A">
        <w:rPr>
          <w:rStyle w:val="FootnoteReference"/>
        </w:rPr>
        <w:footnoteRef/>
      </w:r>
      <w:r>
        <w:tab/>
      </w:r>
      <w:r w:rsidRPr="00453DD9">
        <w:t>A licence agreement formalises the transfer of technology between two parties, where the owner of the technology grants rights to the other party. An option agreement grants the potential licensee a time period during which it may evaluate the technology and negotiate the terms of a licence agreement. An assignment agreement conveys all right</w:t>
      </w:r>
      <w:r>
        <w:t>s</w:t>
      </w:r>
      <w:r w:rsidRPr="00453DD9">
        <w:t>, title and interest in the licenced subject matter to the named assignee.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21950" w14:paraId="0D65289D" w14:textId="77777777">
      <w:tc>
        <w:tcPr>
          <w:tcW w:w="2155" w:type="dxa"/>
          <w:tcBorders>
            <w:top w:val="single" w:sz="24" w:space="0" w:color="auto"/>
          </w:tcBorders>
        </w:tcPr>
        <w:p w14:paraId="0D65289B" w14:textId="77777777" w:rsidR="00221950" w:rsidRDefault="00221950" w:rsidP="0019293B">
          <w:pPr>
            <w:pStyle w:val="HeaderEven"/>
          </w:pPr>
        </w:p>
      </w:tc>
      <w:tc>
        <w:tcPr>
          <w:tcW w:w="6634" w:type="dxa"/>
          <w:tcBorders>
            <w:top w:val="single" w:sz="6" w:space="0" w:color="auto"/>
          </w:tcBorders>
        </w:tcPr>
        <w:p w14:paraId="0D65289C" w14:textId="77777777" w:rsidR="00221950" w:rsidRDefault="00221950" w:rsidP="0019293B">
          <w:pPr>
            <w:pStyle w:val="HeaderEven"/>
          </w:pPr>
        </w:p>
      </w:tc>
    </w:tr>
  </w:tbl>
  <w:p w14:paraId="0D65289E" w14:textId="77777777" w:rsidR="00221950" w:rsidRDefault="0022195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21950" w14:paraId="0D6528A1" w14:textId="77777777">
      <w:tc>
        <w:tcPr>
          <w:tcW w:w="6634" w:type="dxa"/>
          <w:tcBorders>
            <w:top w:val="single" w:sz="6" w:space="0" w:color="auto"/>
          </w:tcBorders>
        </w:tcPr>
        <w:p w14:paraId="0D65289F" w14:textId="77777777" w:rsidR="00221950" w:rsidRDefault="00221950" w:rsidP="00E669E2">
          <w:pPr>
            <w:pStyle w:val="HeaderOdd"/>
          </w:pPr>
        </w:p>
      </w:tc>
      <w:tc>
        <w:tcPr>
          <w:tcW w:w="2155" w:type="dxa"/>
          <w:tcBorders>
            <w:top w:val="single" w:sz="24" w:space="0" w:color="auto"/>
          </w:tcBorders>
        </w:tcPr>
        <w:p w14:paraId="0D6528A0" w14:textId="77777777" w:rsidR="00221950" w:rsidRDefault="00221950" w:rsidP="00E669E2">
          <w:pPr>
            <w:pStyle w:val="HeaderOdd"/>
          </w:pPr>
        </w:p>
      </w:tc>
    </w:tr>
  </w:tbl>
  <w:p w14:paraId="0D6528A2" w14:textId="77777777" w:rsidR="00221950" w:rsidRDefault="0022195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7441E3"/>
    <w:multiLevelType w:val="hybridMultilevel"/>
    <w:tmpl w:val="548C1736"/>
    <w:lvl w:ilvl="0" w:tplc="B7D27DD2">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D12B6"/>
    <w:multiLevelType w:val="hybridMultilevel"/>
    <w:tmpl w:val="9E34C83A"/>
    <w:lvl w:ilvl="0" w:tplc="C2D0416E">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5"/>
  </w:num>
  <w:num w:numId="4">
    <w:abstractNumId w:val="3"/>
  </w:num>
  <w:num w:numId="5">
    <w:abstractNumId w:val="20"/>
  </w:num>
  <w:num w:numId="6">
    <w:abstractNumId w:val="17"/>
  </w:num>
  <w:num w:numId="7">
    <w:abstractNumId w:val="7"/>
  </w:num>
  <w:num w:numId="8">
    <w:abstractNumId w:val="16"/>
  </w:num>
  <w:num w:numId="9">
    <w:abstractNumId w:val="6"/>
  </w:num>
  <w:num w:numId="10">
    <w:abstractNumId w:val="5"/>
  </w:num>
  <w:num w:numId="11">
    <w:abstractNumId w:val="11"/>
  </w:num>
  <w:num w:numId="12">
    <w:abstractNumId w:val="12"/>
  </w:num>
  <w:num w:numId="13">
    <w:abstractNumId w:val="4"/>
  </w:num>
  <w:num w:numId="14">
    <w:abstractNumId w:val="18"/>
  </w:num>
  <w:num w:numId="15">
    <w:abstractNumId w:val="21"/>
  </w:num>
  <w:num w:numId="16">
    <w:abstractNumId w:val="14"/>
  </w:num>
  <w:num w:numId="17">
    <w:abstractNumId w:val="2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8"/>
  </w:num>
  <w:num w:numId="22">
    <w:abstractNumId w:val="3"/>
  </w:num>
  <w:num w:numId="23">
    <w:abstractNumId w:val="3"/>
  </w:num>
  <w:num w:numId="24">
    <w:abstractNumId w:val="3"/>
  </w:num>
  <w:num w:numId="25">
    <w:abstractNumId w:val="3"/>
  </w:num>
  <w:num w:numId="26">
    <w:abstractNumId w:val="3"/>
  </w:num>
  <w:num w:numId="27">
    <w:abstractNumId w:val="9"/>
  </w:num>
  <w:num w:numId="28">
    <w:abstractNumId w:val="6"/>
  </w:num>
  <w:num w:numId="29">
    <w:abstractNumId w:val="6"/>
  </w:num>
  <w:num w:numId="30">
    <w:abstractNumId w:val="6"/>
  </w:num>
  <w:num w:numId="31">
    <w:abstractNumId w:val="6"/>
  </w:num>
  <w:num w:numId="32">
    <w:abstractNumId w:val="6"/>
  </w:num>
  <w:num w:numId="3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nnovation"/>
    <w:docVar w:name="ShortReportTitle" w:val="Productivity Review"/>
  </w:docVars>
  <w:rsids>
    <w:rsidRoot w:val="001668C5"/>
    <w:rsid w:val="000036DC"/>
    <w:rsid w:val="000037B9"/>
    <w:rsid w:val="00012102"/>
    <w:rsid w:val="00012CB7"/>
    <w:rsid w:val="00015E9B"/>
    <w:rsid w:val="00020647"/>
    <w:rsid w:val="00021536"/>
    <w:rsid w:val="000227D5"/>
    <w:rsid w:val="00023F53"/>
    <w:rsid w:val="000245AA"/>
    <w:rsid w:val="00027FC2"/>
    <w:rsid w:val="00033CD2"/>
    <w:rsid w:val="0003664B"/>
    <w:rsid w:val="0004111F"/>
    <w:rsid w:val="00053DAB"/>
    <w:rsid w:val="00054209"/>
    <w:rsid w:val="00055077"/>
    <w:rsid w:val="000565B3"/>
    <w:rsid w:val="0005747D"/>
    <w:rsid w:val="00062F92"/>
    <w:rsid w:val="00066262"/>
    <w:rsid w:val="0007150B"/>
    <w:rsid w:val="000749D5"/>
    <w:rsid w:val="00075FF8"/>
    <w:rsid w:val="000832D2"/>
    <w:rsid w:val="000938F5"/>
    <w:rsid w:val="00094226"/>
    <w:rsid w:val="00095663"/>
    <w:rsid w:val="00096886"/>
    <w:rsid w:val="00096E55"/>
    <w:rsid w:val="0009783E"/>
    <w:rsid w:val="000A2A11"/>
    <w:rsid w:val="000A6DDA"/>
    <w:rsid w:val="000B1022"/>
    <w:rsid w:val="000B4AAC"/>
    <w:rsid w:val="000B601B"/>
    <w:rsid w:val="000C207E"/>
    <w:rsid w:val="000C22D9"/>
    <w:rsid w:val="000C2509"/>
    <w:rsid w:val="000C42EB"/>
    <w:rsid w:val="000C71DD"/>
    <w:rsid w:val="000D41E9"/>
    <w:rsid w:val="000D68BB"/>
    <w:rsid w:val="000E3920"/>
    <w:rsid w:val="000E443B"/>
    <w:rsid w:val="000E6CE0"/>
    <w:rsid w:val="000F0035"/>
    <w:rsid w:val="000F04E7"/>
    <w:rsid w:val="000F060A"/>
    <w:rsid w:val="000F1BFE"/>
    <w:rsid w:val="000F420B"/>
    <w:rsid w:val="000F539C"/>
    <w:rsid w:val="00100310"/>
    <w:rsid w:val="0010369D"/>
    <w:rsid w:val="00106FC9"/>
    <w:rsid w:val="00110116"/>
    <w:rsid w:val="00120072"/>
    <w:rsid w:val="00122F5C"/>
    <w:rsid w:val="00123E8C"/>
    <w:rsid w:val="00126EB8"/>
    <w:rsid w:val="001274D4"/>
    <w:rsid w:val="001320C8"/>
    <w:rsid w:val="001363AA"/>
    <w:rsid w:val="00136A30"/>
    <w:rsid w:val="0013739A"/>
    <w:rsid w:val="00142165"/>
    <w:rsid w:val="001566AA"/>
    <w:rsid w:val="0015722C"/>
    <w:rsid w:val="00162048"/>
    <w:rsid w:val="00162434"/>
    <w:rsid w:val="00165209"/>
    <w:rsid w:val="001668C5"/>
    <w:rsid w:val="001732D0"/>
    <w:rsid w:val="00182D4F"/>
    <w:rsid w:val="001834E3"/>
    <w:rsid w:val="00183E82"/>
    <w:rsid w:val="001878BB"/>
    <w:rsid w:val="00187B07"/>
    <w:rsid w:val="00191AE0"/>
    <w:rsid w:val="0019293B"/>
    <w:rsid w:val="0019426B"/>
    <w:rsid w:val="001A05AE"/>
    <w:rsid w:val="001A127C"/>
    <w:rsid w:val="001A2C9B"/>
    <w:rsid w:val="001A2E44"/>
    <w:rsid w:val="001A6A4B"/>
    <w:rsid w:val="001B02DC"/>
    <w:rsid w:val="001B486D"/>
    <w:rsid w:val="001B4F0D"/>
    <w:rsid w:val="001B6D9E"/>
    <w:rsid w:val="001C0865"/>
    <w:rsid w:val="001C09D4"/>
    <w:rsid w:val="001C0AED"/>
    <w:rsid w:val="001C3ABA"/>
    <w:rsid w:val="001C5111"/>
    <w:rsid w:val="001D06C4"/>
    <w:rsid w:val="001D0F73"/>
    <w:rsid w:val="001D22BF"/>
    <w:rsid w:val="001D4372"/>
    <w:rsid w:val="001D7B1C"/>
    <w:rsid w:val="001E5B32"/>
    <w:rsid w:val="001E7BE8"/>
    <w:rsid w:val="001F0248"/>
    <w:rsid w:val="001F3EB3"/>
    <w:rsid w:val="001F4F86"/>
    <w:rsid w:val="001F620B"/>
    <w:rsid w:val="001F65A7"/>
    <w:rsid w:val="001F76A0"/>
    <w:rsid w:val="00202C2C"/>
    <w:rsid w:val="00202E9A"/>
    <w:rsid w:val="00203050"/>
    <w:rsid w:val="00210874"/>
    <w:rsid w:val="00210C6C"/>
    <w:rsid w:val="00211967"/>
    <w:rsid w:val="00212962"/>
    <w:rsid w:val="00213155"/>
    <w:rsid w:val="002135AB"/>
    <w:rsid w:val="002144BE"/>
    <w:rsid w:val="00221950"/>
    <w:rsid w:val="00222106"/>
    <w:rsid w:val="00222F77"/>
    <w:rsid w:val="00227FC3"/>
    <w:rsid w:val="00230AE6"/>
    <w:rsid w:val="00233A9F"/>
    <w:rsid w:val="002349AA"/>
    <w:rsid w:val="00236B61"/>
    <w:rsid w:val="00242279"/>
    <w:rsid w:val="00243997"/>
    <w:rsid w:val="0024402F"/>
    <w:rsid w:val="00244FCE"/>
    <w:rsid w:val="0024516C"/>
    <w:rsid w:val="00245C82"/>
    <w:rsid w:val="00247F8F"/>
    <w:rsid w:val="002515CF"/>
    <w:rsid w:val="002557DC"/>
    <w:rsid w:val="00262FCB"/>
    <w:rsid w:val="00265A58"/>
    <w:rsid w:val="00272067"/>
    <w:rsid w:val="002724BA"/>
    <w:rsid w:val="00283C7A"/>
    <w:rsid w:val="00284756"/>
    <w:rsid w:val="002855F9"/>
    <w:rsid w:val="0029031B"/>
    <w:rsid w:val="00291B40"/>
    <w:rsid w:val="00293EA2"/>
    <w:rsid w:val="00294229"/>
    <w:rsid w:val="00295A43"/>
    <w:rsid w:val="002A0AF0"/>
    <w:rsid w:val="002A1A48"/>
    <w:rsid w:val="002A4AFE"/>
    <w:rsid w:val="002A779A"/>
    <w:rsid w:val="002B0A04"/>
    <w:rsid w:val="002B273F"/>
    <w:rsid w:val="002B30EE"/>
    <w:rsid w:val="002B4008"/>
    <w:rsid w:val="002C1971"/>
    <w:rsid w:val="002C439F"/>
    <w:rsid w:val="002D0C42"/>
    <w:rsid w:val="002D0E8E"/>
    <w:rsid w:val="002D4E49"/>
    <w:rsid w:val="002D565E"/>
    <w:rsid w:val="002F4E93"/>
    <w:rsid w:val="002F5746"/>
    <w:rsid w:val="00301189"/>
    <w:rsid w:val="00301E4A"/>
    <w:rsid w:val="00313404"/>
    <w:rsid w:val="003168B8"/>
    <w:rsid w:val="00316B76"/>
    <w:rsid w:val="00316D90"/>
    <w:rsid w:val="0031704D"/>
    <w:rsid w:val="00320669"/>
    <w:rsid w:val="00322D64"/>
    <w:rsid w:val="00323E09"/>
    <w:rsid w:val="00324769"/>
    <w:rsid w:val="00326D49"/>
    <w:rsid w:val="00333932"/>
    <w:rsid w:val="00342735"/>
    <w:rsid w:val="00344AC4"/>
    <w:rsid w:val="0034583E"/>
    <w:rsid w:val="003473EA"/>
    <w:rsid w:val="003518AA"/>
    <w:rsid w:val="00352165"/>
    <w:rsid w:val="00353182"/>
    <w:rsid w:val="0035455F"/>
    <w:rsid w:val="003565D9"/>
    <w:rsid w:val="003602E1"/>
    <w:rsid w:val="0036389C"/>
    <w:rsid w:val="0037026F"/>
    <w:rsid w:val="003708DE"/>
    <w:rsid w:val="00371240"/>
    <w:rsid w:val="00374407"/>
    <w:rsid w:val="00374731"/>
    <w:rsid w:val="00376E59"/>
    <w:rsid w:val="00377EC1"/>
    <w:rsid w:val="00380340"/>
    <w:rsid w:val="00381141"/>
    <w:rsid w:val="003865D6"/>
    <w:rsid w:val="00386C13"/>
    <w:rsid w:val="00386F1A"/>
    <w:rsid w:val="003919F9"/>
    <w:rsid w:val="00391D4E"/>
    <w:rsid w:val="003920CF"/>
    <w:rsid w:val="003A7938"/>
    <w:rsid w:val="003B1887"/>
    <w:rsid w:val="003B2362"/>
    <w:rsid w:val="003B23C2"/>
    <w:rsid w:val="003B2F39"/>
    <w:rsid w:val="003B4515"/>
    <w:rsid w:val="003C2644"/>
    <w:rsid w:val="003C38B5"/>
    <w:rsid w:val="003C5D99"/>
    <w:rsid w:val="003D1087"/>
    <w:rsid w:val="003D3931"/>
    <w:rsid w:val="003D4D85"/>
    <w:rsid w:val="003E2930"/>
    <w:rsid w:val="003E2F59"/>
    <w:rsid w:val="003E746B"/>
    <w:rsid w:val="003F0789"/>
    <w:rsid w:val="003F0A77"/>
    <w:rsid w:val="003F7226"/>
    <w:rsid w:val="003F7435"/>
    <w:rsid w:val="004004E1"/>
    <w:rsid w:val="00401882"/>
    <w:rsid w:val="004100C8"/>
    <w:rsid w:val="00410ECC"/>
    <w:rsid w:val="00411DBD"/>
    <w:rsid w:val="00411EED"/>
    <w:rsid w:val="00412ACE"/>
    <w:rsid w:val="004135E5"/>
    <w:rsid w:val="004145D2"/>
    <w:rsid w:val="00415241"/>
    <w:rsid w:val="004155DB"/>
    <w:rsid w:val="00417168"/>
    <w:rsid w:val="004212E1"/>
    <w:rsid w:val="00426CB4"/>
    <w:rsid w:val="0043109E"/>
    <w:rsid w:val="00431249"/>
    <w:rsid w:val="00434C19"/>
    <w:rsid w:val="00435BBC"/>
    <w:rsid w:val="00450810"/>
    <w:rsid w:val="0045119D"/>
    <w:rsid w:val="00453DD9"/>
    <w:rsid w:val="00460F20"/>
    <w:rsid w:val="00462C59"/>
    <w:rsid w:val="004637B7"/>
    <w:rsid w:val="00463803"/>
    <w:rsid w:val="00467BE2"/>
    <w:rsid w:val="00470737"/>
    <w:rsid w:val="004714F4"/>
    <w:rsid w:val="00472071"/>
    <w:rsid w:val="00474135"/>
    <w:rsid w:val="00476DA0"/>
    <w:rsid w:val="00477144"/>
    <w:rsid w:val="004775C9"/>
    <w:rsid w:val="00477F2A"/>
    <w:rsid w:val="004803DA"/>
    <w:rsid w:val="004877FA"/>
    <w:rsid w:val="00491380"/>
    <w:rsid w:val="004916C1"/>
    <w:rsid w:val="0049459F"/>
    <w:rsid w:val="004973A3"/>
    <w:rsid w:val="004A06DD"/>
    <w:rsid w:val="004A3615"/>
    <w:rsid w:val="004A38DD"/>
    <w:rsid w:val="004A74A4"/>
    <w:rsid w:val="004B12F8"/>
    <w:rsid w:val="004B3652"/>
    <w:rsid w:val="004B3852"/>
    <w:rsid w:val="004B3C99"/>
    <w:rsid w:val="004B43AE"/>
    <w:rsid w:val="004B58BB"/>
    <w:rsid w:val="004B67AA"/>
    <w:rsid w:val="004B71E8"/>
    <w:rsid w:val="004B724C"/>
    <w:rsid w:val="004C30ED"/>
    <w:rsid w:val="004C554F"/>
    <w:rsid w:val="004C572B"/>
    <w:rsid w:val="004D5675"/>
    <w:rsid w:val="004E1134"/>
    <w:rsid w:val="004E2BF7"/>
    <w:rsid w:val="004E3403"/>
    <w:rsid w:val="004E5779"/>
    <w:rsid w:val="004F04C3"/>
    <w:rsid w:val="0050162D"/>
    <w:rsid w:val="0050291F"/>
    <w:rsid w:val="0050641D"/>
    <w:rsid w:val="00507EFA"/>
    <w:rsid w:val="00517795"/>
    <w:rsid w:val="005177B0"/>
    <w:rsid w:val="00523639"/>
    <w:rsid w:val="0052550F"/>
    <w:rsid w:val="00525522"/>
    <w:rsid w:val="005309B4"/>
    <w:rsid w:val="00531FE5"/>
    <w:rsid w:val="00532A3A"/>
    <w:rsid w:val="005402FA"/>
    <w:rsid w:val="00542D53"/>
    <w:rsid w:val="00543576"/>
    <w:rsid w:val="00544E0E"/>
    <w:rsid w:val="00551FE2"/>
    <w:rsid w:val="00561F71"/>
    <w:rsid w:val="0056477A"/>
    <w:rsid w:val="00566975"/>
    <w:rsid w:val="00570EF1"/>
    <w:rsid w:val="005722BF"/>
    <w:rsid w:val="005729BD"/>
    <w:rsid w:val="00573437"/>
    <w:rsid w:val="00573BCD"/>
    <w:rsid w:val="00573BE3"/>
    <w:rsid w:val="00580154"/>
    <w:rsid w:val="005818C4"/>
    <w:rsid w:val="00582907"/>
    <w:rsid w:val="00583C39"/>
    <w:rsid w:val="00584F25"/>
    <w:rsid w:val="00586A90"/>
    <w:rsid w:val="00587F28"/>
    <w:rsid w:val="005909CF"/>
    <w:rsid w:val="00591E71"/>
    <w:rsid w:val="005A0D41"/>
    <w:rsid w:val="005A4EED"/>
    <w:rsid w:val="005B1A5E"/>
    <w:rsid w:val="005B727C"/>
    <w:rsid w:val="005D1646"/>
    <w:rsid w:val="005D329F"/>
    <w:rsid w:val="005E3045"/>
    <w:rsid w:val="005F0870"/>
    <w:rsid w:val="005F48ED"/>
    <w:rsid w:val="005F5004"/>
    <w:rsid w:val="00606E78"/>
    <w:rsid w:val="00607BF1"/>
    <w:rsid w:val="00612EE5"/>
    <w:rsid w:val="00616DF9"/>
    <w:rsid w:val="0062262E"/>
    <w:rsid w:val="0062308E"/>
    <w:rsid w:val="00624240"/>
    <w:rsid w:val="00625E7A"/>
    <w:rsid w:val="00630233"/>
    <w:rsid w:val="00630D4D"/>
    <w:rsid w:val="00632A74"/>
    <w:rsid w:val="006352FA"/>
    <w:rsid w:val="00646933"/>
    <w:rsid w:val="00646F74"/>
    <w:rsid w:val="0065011C"/>
    <w:rsid w:val="006509DA"/>
    <w:rsid w:val="00654D42"/>
    <w:rsid w:val="00654E60"/>
    <w:rsid w:val="00654F17"/>
    <w:rsid w:val="006617B9"/>
    <w:rsid w:val="0066337A"/>
    <w:rsid w:val="00665254"/>
    <w:rsid w:val="00666E02"/>
    <w:rsid w:val="0067258B"/>
    <w:rsid w:val="00672924"/>
    <w:rsid w:val="00675BFE"/>
    <w:rsid w:val="00676AD6"/>
    <w:rsid w:val="006772C1"/>
    <w:rsid w:val="00680527"/>
    <w:rsid w:val="006825A5"/>
    <w:rsid w:val="00684CA8"/>
    <w:rsid w:val="00686720"/>
    <w:rsid w:val="00692C2A"/>
    <w:rsid w:val="00695B6F"/>
    <w:rsid w:val="006A42C5"/>
    <w:rsid w:val="006A4655"/>
    <w:rsid w:val="006A6340"/>
    <w:rsid w:val="006B1363"/>
    <w:rsid w:val="006B225C"/>
    <w:rsid w:val="006B2B3C"/>
    <w:rsid w:val="006C16D4"/>
    <w:rsid w:val="006C1D81"/>
    <w:rsid w:val="006C5353"/>
    <w:rsid w:val="006C5C58"/>
    <w:rsid w:val="006C7038"/>
    <w:rsid w:val="006D0201"/>
    <w:rsid w:val="006D1498"/>
    <w:rsid w:val="006D7A6E"/>
    <w:rsid w:val="006D7DCF"/>
    <w:rsid w:val="006E2F6E"/>
    <w:rsid w:val="006E3D75"/>
    <w:rsid w:val="006E4A03"/>
    <w:rsid w:val="006E73EF"/>
    <w:rsid w:val="006F73CD"/>
    <w:rsid w:val="0070470E"/>
    <w:rsid w:val="00705674"/>
    <w:rsid w:val="00706439"/>
    <w:rsid w:val="007079C9"/>
    <w:rsid w:val="00707A5A"/>
    <w:rsid w:val="00707D6D"/>
    <w:rsid w:val="007129A2"/>
    <w:rsid w:val="0071332C"/>
    <w:rsid w:val="00714633"/>
    <w:rsid w:val="00714D4D"/>
    <w:rsid w:val="0072157D"/>
    <w:rsid w:val="0072593C"/>
    <w:rsid w:val="007266D3"/>
    <w:rsid w:val="00726B69"/>
    <w:rsid w:val="007304AC"/>
    <w:rsid w:val="0073129F"/>
    <w:rsid w:val="00732029"/>
    <w:rsid w:val="00741E2E"/>
    <w:rsid w:val="0074510D"/>
    <w:rsid w:val="00751C54"/>
    <w:rsid w:val="007604BB"/>
    <w:rsid w:val="00763A8F"/>
    <w:rsid w:val="007646B2"/>
    <w:rsid w:val="00765D7A"/>
    <w:rsid w:val="0077082E"/>
    <w:rsid w:val="00772909"/>
    <w:rsid w:val="00772F90"/>
    <w:rsid w:val="00785232"/>
    <w:rsid w:val="00792F25"/>
    <w:rsid w:val="0079701E"/>
    <w:rsid w:val="007A0884"/>
    <w:rsid w:val="007A1FC5"/>
    <w:rsid w:val="007A21EB"/>
    <w:rsid w:val="007B1A93"/>
    <w:rsid w:val="007B4978"/>
    <w:rsid w:val="007C36C9"/>
    <w:rsid w:val="007C4F1A"/>
    <w:rsid w:val="007D5438"/>
    <w:rsid w:val="007D6401"/>
    <w:rsid w:val="007E01E4"/>
    <w:rsid w:val="007E56A8"/>
    <w:rsid w:val="007E5A82"/>
    <w:rsid w:val="007E7A12"/>
    <w:rsid w:val="007F7107"/>
    <w:rsid w:val="00800D4C"/>
    <w:rsid w:val="0080184A"/>
    <w:rsid w:val="0081030F"/>
    <w:rsid w:val="0081043E"/>
    <w:rsid w:val="00811410"/>
    <w:rsid w:val="008123DA"/>
    <w:rsid w:val="00812F4A"/>
    <w:rsid w:val="0082087D"/>
    <w:rsid w:val="008259C4"/>
    <w:rsid w:val="008332F3"/>
    <w:rsid w:val="00833A3D"/>
    <w:rsid w:val="00835771"/>
    <w:rsid w:val="0083606B"/>
    <w:rsid w:val="00842933"/>
    <w:rsid w:val="008448F0"/>
    <w:rsid w:val="00846741"/>
    <w:rsid w:val="00854A2B"/>
    <w:rsid w:val="0085658B"/>
    <w:rsid w:val="0086082C"/>
    <w:rsid w:val="00861A22"/>
    <w:rsid w:val="00862CFA"/>
    <w:rsid w:val="00864ADC"/>
    <w:rsid w:val="0086710C"/>
    <w:rsid w:val="00867448"/>
    <w:rsid w:val="0087174E"/>
    <w:rsid w:val="00874D73"/>
    <w:rsid w:val="00874E96"/>
    <w:rsid w:val="0087552C"/>
    <w:rsid w:val="00875CBB"/>
    <w:rsid w:val="0087600F"/>
    <w:rsid w:val="00876FAD"/>
    <w:rsid w:val="00880153"/>
    <w:rsid w:val="00880F97"/>
    <w:rsid w:val="0088133A"/>
    <w:rsid w:val="008866DC"/>
    <w:rsid w:val="00887508"/>
    <w:rsid w:val="0089285E"/>
    <w:rsid w:val="0089436C"/>
    <w:rsid w:val="00894442"/>
    <w:rsid w:val="00897DB2"/>
    <w:rsid w:val="008A3CB4"/>
    <w:rsid w:val="008C12BC"/>
    <w:rsid w:val="008C31B7"/>
    <w:rsid w:val="008C4371"/>
    <w:rsid w:val="008C46ED"/>
    <w:rsid w:val="008D365C"/>
    <w:rsid w:val="008D7622"/>
    <w:rsid w:val="008E0438"/>
    <w:rsid w:val="008E0D6B"/>
    <w:rsid w:val="009021A6"/>
    <w:rsid w:val="009030BF"/>
    <w:rsid w:val="00903B52"/>
    <w:rsid w:val="0091032F"/>
    <w:rsid w:val="00913D66"/>
    <w:rsid w:val="00914368"/>
    <w:rsid w:val="00931076"/>
    <w:rsid w:val="0093153D"/>
    <w:rsid w:val="009345D9"/>
    <w:rsid w:val="00934B15"/>
    <w:rsid w:val="009372D2"/>
    <w:rsid w:val="00940C87"/>
    <w:rsid w:val="00940E5E"/>
    <w:rsid w:val="00942B62"/>
    <w:rsid w:val="00943586"/>
    <w:rsid w:val="00952C12"/>
    <w:rsid w:val="0095323B"/>
    <w:rsid w:val="00954277"/>
    <w:rsid w:val="00956A0C"/>
    <w:rsid w:val="00956BD9"/>
    <w:rsid w:val="00962489"/>
    <w:rsid w:val="0096522B"/>
    <w:rsid w:val="00965791"/>
    <w:rsid w:val="0096640C"/>
    <w:rsid w:val="00967CD3"/>
    <w:rsid w:val="00970801"/>
    <w:rsid w:val="00972987"/>
    <w:rsid w:val="0097670F"/>
    <w:rsid w:val="00977A2F"/>
    <w:rsid w:val="00982C71"/>
    <w:rsid w:val="009855F1"/>
    <w:rsid w:val="0099066D"/>
    <w:rsid w:val="00990A07"/>
    <w:rsid w:val="00990C2C"/>
    <w:rsid w:val="009A06DA"/>
    <w:rsid w:val="009A1A04"/>
    <w:rsid w:val="009A21BD"/>
    <w:rsid w:val="009A4255"/>
    <w:rsid w:val="009A5171"/>
    <w:rsid w:val="009C34CB"/>
    <w:rsid w:val="009C35C9"/>
    <w:rsid w:val="009D1F40"/>
    <w:rsid w:val="009D39E1"/>
    <w:rsid w:val="009E0FA5"/>
    <w:rsid w:val="009E1844"/>
    <w:rsid w:val="009E2806"/>
    <w:rsid w:val="009E4725"/>
    <w:rsid w:val="009E74B3"/>
    <w:rsid w:val="009F0D1B"/>
    <w:rsid w:val="009F3041"/>
    <w:rsid w:val="009F5BBD"/>
    <w:rsid w:val="009F696D"/>
    <w:rsid w:val="009F6BC6"/>
    <w:rsid w:val="009F74EF"/>
    <w:rsid w:val="00A02826"/>
    <w:rsid w:val="00A07BCD"/>
    <w:rsid w:val="00A1454B"/>
    <w:rsid w:val="00A14C4A"/>
    <w:rsid w:val="00A15626"/>
    <w:rsid w:val="00A15D5A"/>
    <w:rsid w:val="00A17328"/>
    <w:rsid w:val="00A23A20"/>
    <w:rsid w:val="00A24382"/>
    <w:rsid w:val="00A24443"/>
    <w:rsid w:val="00A245C8"/>
    <w:rsid w:val="00A24999"/>
    <w:rsid w:val="00A268B9"/>
    <w:rsid w:val="00A2703A"/>
    <w:rsid w:val="00A313B3"/>
    <w:rsid w:val="00A31A1F"/>
    <w:rsid w:val="00A33DFF"/>
    <w:rsid w:val="00A35115"/>
    <w:rsid w:val="00A36D9A"/>
    <w:rsid w:val="00A3717B"/>
    <w:rsid w:val="00A451DC"/>
    <w:rsid w:val="00A5014D"/>
    <w:rsid w:val="00A50F8B"/>
    <w:rsid w:val="00A515D3"/>
    <w:rsid w:val="00A51916"/>
    <w:rsid w:val="00A541FC"/>
    <w:rsid w:val="00A54596"/>
    <w:rsid w:val="00A554AB"/>
    <w:rsid w:val="00A57062"/>
    <w:rsid w:val="00A61CA3"/>
    <w:rsid w:val="00A650FA"/>
    <w:rsid w:val="00A67781"/>
    <w:rsid w:val="00A761F9"/>
    <w:rsid w:val="00A90254"/>
    <w:rsid w:val="00A91E78"/>
    <w:rsid w:val="00A92B53"/>
    <w:rsid w:val="00A9398C"/>
    <w:rsid w:val="00A94EE3"/>
    <w:rsid w:val="00A94FA6"/>
    <w:rsid w:val="00AA49A0"/>
    <w:rsid w:val="00AA6710"/>
    <w:rsid w:val="00AA6A29"/>
    <w:rsid w:val="00AB0681"/>
    <w:rsid w:val="00AC0DF5"/>
    <w:rsid w:val="00AC22CB"/>
    <w:rsid w:val="00AC22F3"/>
    <w:rsid w:val="00AC3A15"/>
    <w:rsid w:val="00AD1018"/>
    <w:rsid w:val="00AD2B82"/>
    <w:rsid w:val="00AD520B"/>
    <w:rsid w:val="00AE10C2"/>
    <w:rsid w:val="00AE3BCC"/>
    <w:rsid w:val="00AE3C18"/>
    <w:rsid w:val="00B00C07"/>
    <w:rsid w:val="00B016DC"/>
    <w:rsid w:val="00B0185D"/>
    <w:rsid w:val="00B0510F"/>
    <w:rsid w:val="00B06523"/>
    <w:rsid w:val="00B13031"/>
    <w:rsid w:val="00B1373E"/>
    <w:rsid w:val="00B145D8"/>
    <w:rsid w:val="00B16F86"/>
    <w:rsid w:val="00B2423B"/>
    <w:rsid w:val="00B33B9E"/>
    <w:rsid w:val="00B3678A"/>
    <w:rsid w:val="00B4049B"/>
    <w:rsid w:val="00B42246"/>
    <w:rsid w:val="00B425C3"/>
    <w:rsid w:val="00B4373D"/>
    <w:rsid w:val="00B440AD"/>
    <w:rsid w:val="00B44FBB"/>
    <w:rsid w:val="00B46A15"/>
    <w:rsid w:val="00B479BB"/>
    <w:rsid w:val="00B47AD5"/>
    <w:rsid w:val="00B50086"/>
    <w:rsid w:val="00B514F2"/>
    <w:rsid w:val="00B5291C"/>
    <w:rsid w:val="00B53E7E"/>
    <w:rsid w:val="00B62D0B"/>
    <w:rsid w:val="00B6342E"/>
    <w:rsid w:val="00B6558E"/>
    <w:rsid w:val="00B7113F"/>
    <w:rsid w:val="00B72418"/>
    <w:rsid w:val="00B7660A"/>
    <w:rsid w:val="00B76D5E"/>
    <w:rsid w:val="00B85CAF"/>
    <w:rsid w:val="00B87270"/>
    <w:rsid w:val="00B87F69"/>
    <w:rsid w:val="00B94B44"/>
    <w:rsid w:val="00B95E4F"/>
    <w:rsid w:val="00BA2A0F"/>
    <w:rsid w:val="00BA2BCF"/>
    <w:rsid w:val="00BA5B14"/>
    <w:rsid w:val="00BA6B66"/>
    <w:rsid w:val="00BA73B6"/>
    <w:rsid w:val="00BA7E27"/>
    <w:rsid w:val="00BB1341"/>
    <w:rsid w:val="00BB2603"/>
    <w:rsid w:val="00BB3D06"/>
    <w:rsid w:val="00BB4FCD"/>
    <w:rsid w:val="00BC04E9"/>
    <w:rsid w:val="00BC463B"/>
    <w:rsid w:val="00BC51A5"/>
    <w:rsid w:val="00BC6093"/>
    <w:rsid w:val="00BC6AB9"/>
    <w:rsid w:val="00BD0BEA"/>
    <w:rsid w:val="00BD13EA"/>
    <w:rsid w:val="00BD60DB"/>
    <w:rsid w:val="00BD6363"/>
    <w:rsid w:val="00BE0D77"/>
    <w:rsid w:val="00BE21D1"/>
    <w:rsid w:val="00BE2F08"/>
    <w:rsid w:val="00BE37E5"/>
    <w:rsid w:val="00BE3808"/>
    <w:rsid w:val="00BF00F9"/>
    <w:rsid w:val="00BF2BF2"/>
    <w:rsid w:val="00C02A95"/>
    <w:rsid w:val="00C03175"/>
    <w:rsid w:val="00C03B88"/>
    <w:rsid w:val="00C062E9"/>
    <w:rsid w:val="00C07B64"/>
    <w:rsid w:val="00C10E24"/>
    <w:rsid w:val="00C13721"/>
    <w:rsid w:val="00C14FE4"/>
    <w:rsid w:val="00C2231F"/>
    <w:rsid w:val="00C260D8"/>
    <w:rsid w:val="00C3066D"/>
    <w:rsid w:val="00C3451F"/>
    <w:rsid w:val="00C42B4A"/>
    <w:rsid w:val="00C45275"/>
    <w:rsid w:val="00C47FDD"/>
    <w:rsid w:val="00C5104F"/>
    <w:rsid w:val="00C52416"/>
    <w:rsid w:val="00C53596"/>
    <w:rsid w:val="00C543F4"/>
    <w:rsid w:val="00C60E6A"/>
    <w:rsid w:val="00C61685"/>
    <w:rsid w:val="00C618C4"/>
    <w:rsid w:val="00C6291C"/>
    <w:rsid w:val="00C633CB"/>
    <w:rsid w:val="00C64AB5"/>
    <w:rsid w:val="00C664CD"/>
    <w:rsid w:val="00C7225D"/>
    <w:rsid w:val="00C736B7"/>
    <w:rsid w:val="00C74049"/>
    <w:rsid w:val="00C743DA"/>
    <w:rsid w:val="00C74CA9"/>
    <w:rsid w:val="00C81D4A"/>
    <w:rsid w:val="00C86DDE"/>
    <w:rsid w:val="00C8762C"/>
    <w:rsid w:val="00C90C91"/>
    <w:rsid w:val="00C92EF3"/>
    <w:rsid w:val="00C9525D"/>
    <w:rsid w:val="00CA00F9"/>
    <w:rsid w:val="00CA042D"/>
    <w:rsid w:val="00CA13BB"/>
    <w:rsid w:val="00CA14EF"/>
    <w:rsid w:val="00CA2961"/>
    <w:rsid w:val="00CB4CE3"/>
    <w:rsid w:val="00CB50D7"/>
    <w:rsid w:val="00CB65EF"/>
    <w:rsid w:val="00CB7177"/>
    <w:rsid w:val="00CB78C6"/>
    <w:rsid w:val="00CB7CED"/>
    <w:rsid w:val="00CC070F"/>
    <w:rsid w:val="00CC1998"/>
    <w:rsid w:val="00CC2652"/>
    <w:rsid w:val="00CC406B"/>
    <w:rsid w:val="00CC4946"/>
    <w:rsid w:val="00CC64A1"/>
    <w:rsid w:val="00CD38BB"/>
    <w:rsid w:val="00CE06CC"/>
    <w:rsid w:val="00CE5C69"/>
    <w:rsid w:val="00CE7D07"/>
    <w:rsid w:val="00CF05D1"/>
    <w:rsid w:val="00CF1A97"/>
    <w:rsid w:val="00CF3B11"/>
    <w:rsid w:val="00CF3D02"/>
    <w:rsid w:val="00CF47F6"/>
    <w:rsid w:val="00D010BD"/>
    <w:rsid w:val="00D1164E"/>
    <w:rsid w:val="00D20C0A"/>
    <w:rsid w:val="00D270A4"/>
    <w:rsid w:val="00D3129E"/>
    <w:rsid w:val="00D31FE9"/>
    <w:rsid w:val="00D340E0"/>
    <w:rsid w:val="00D34E1B"/>
    <w:rsid w:val="00D36790"/>
    <w:rsid w:val="00D36AE4"/>
    <w:rsid w:val="00D376BA"/>
    <w:rsid w:val="00D377DA"/>
    <w:rsid w:val="00D431E9"/>
    <w:rsid w:val="00D434A0"/>
    <w:rsid w:val="00D43ABC"/>
    <w:rsid w:val="00D44857"/>
    <w:rsid w:val="00D451C0"/>
    <w:rsid w:val="00D45634"/>
    <w:rsid w:val="00D5568A"/>
    <w:rsid w:val="00D63D73"/>
    <w:rsid w:val="00D64452"/>
    <w:rsid w:val="00D66E1E"/>
    <w:rsid w:val="00D70696"/>
    <w:rsid w:val="00D73551"/>
    <w:rsid w:val="00D75722"/>
    <w:rsid w:val="00D80CF5"/>
    <w:rsid w:val="00D83CC8"/>
    <w:rsid w:val="00D8604B"/>
    <w:rsid w:val="00D90FF4"/>
    <w:rsid w:val="00DA338A"/>
    <w:rsid w:val="00DA5BBA"/>
    <w:rsid w:val="00DB250C"/>
    <w:rsid w:val="00DB26D2"/>
    <w:rsid w:val="00DB3572"/>
    <w:rsid w:val="00DB60A6"/>
    <w:rsid w:val="00DB67C9"/>
    <w:rsid w:val="00DB73F0"/>
    <w:rsid w:val="00DC011F"/>
    <w:rsid w:val="00DC08C2"/>
    <w:rsid w:val="00DC0C95"/>
    <w:rsid w:val="00DC4F0B"/>
    <w:rsid w:val="00DD0D2F"/>
    <w:rsid w:val="00DD2E87"/>
    <w:rsid w:val="00DD3CF7"/>
    <w:rsid w:val="00DD6580"/>
    <w:rsid w:val="00DD7AFA"/>
    <w:rsid w:val="00DE4789"/>
    <w:rsid w:val="00DE5448"/>
    <w:rsid w:val="00DE65B6"/>
    <w:rsid w:val="00DF3BE1"/>
    <w:rsid w:val="00DF4B71"/>
    <w:rsid w:val="00E0092D"/>
    <w:rsid w:val="00E01D7F"/>
    <w:rsid w:val="00E03884"/>
    <w:rsid w:val="00E03F2B"/>
    <w:rsid w:val="00E05C03"/>
    <w:rsid w:val="00E121EB"/>
    <w:rsid w:val="00E17C72"/>
    <w:rsid w:val="00E20BF6"/>
    <w:rsid w:val="00E21FC6"/>
    <w:rsid w:val="00E225CB"/>
    <w:rsid w:val="00E22926"/>
    <w:rsid w:val="00E23730"/>
    <w:rsid w:val="00E23B24"/>
    <w:rsid w:val="00E245F3"/>
    <w:rsid w:val="00E26BB6"/>
    <w:rsid w:val="00E4207E"/>
    <w:rsid w:val="00E421C9"/>
    <w:rsid w:val="00E42633"/>
    <w:rsid w:val="00E431A9"/>
    <w:rsid w:val="00E45C17"/>
    <w:rsid w:val="00E533D9"/>
    <w:rsid w:val="00E54A5C"/>
    <w:rsid w:val="00E55B4C"/>
    <w:rsid w:val="00E600AA"/>
    <w:rsid w:val="00E669E2"/>
    <w:rsid w:val="00E738D0"/>
    <w:rsid w:val="00E73BF0"/>
    <w:rsid w:val="00E7610D"/>
    <w:rsid w:val="00E76135"/>
    <w:rsid w:val="00E82F4F"/>
    <w:rsid w:val="00E864DF"/>
    <w:rsid w:val="00E901D1"/>
    <w:rsid w:val="00E9037E"/>
    <w:rsid w:val="00E91342"/>
    <w:rsid w:val="00EA4135"/>
    <w:rsid w:val="00EA60CE"/>
    <w:rsid w:val="00EB006D"/>
    <w:rsid w:val="00EB2366"/>
    <w:rsid w:val="00EB2CC3"/>
    <w:rsid w:val="00EB7731"/>
    <w:rsid w:val="00EB7FF5"/>
    <w:rsid w:val="00EC2844"/>
    <w:rsid w:val="00EC3F48"/>
    <w:rsid w:val="00EC5500"/>
    <w:rsid w:val="00EC5838"/>
    <w:rsid w:val="00EC5845"/>
    <w:rsid w:val="00EC6998"/>
    <w:rsid w:val="00ED18F8"/>
    <w:rsid w:val="00EE572C"/>
    <w:rsid w:val="00EE6EDA"/>
    <w:rsid w:val="00EE778E"/>
    <w:rsid w:val="00EF120D"/>
    <w:rsid w:val="00EF3F89"/>
    <w:rsid w:val="00EF6719"/>
    <w:rsid w:val="00EF6C6C"/>
    <w:rsid w:val="00EF6D7A"/>
    <w:rsid w:val="00F037E9"/>
    <w:rsid w:val="00F04F8B"/>
    <w:rsid w:val="00F056FC"/>
    <w:rsid w:val="00F0632F"/>
    <w:rsid w:val="00F069AE"/>
    <w:rsid w:val="00F10476"/>
    <w:rsid w:val="00F13557"/>
    <w:rsid w:val="00F135D8"/>
    <w:rsid w:val="00F16C5B"/>
    <w:rsid w:val="00F16D48"/>
    <w:rsid w:val="00F208BF"/>
    <w:rsid w:val="00F20A4E"/>
    <w:rsid w:val="00F216FA"/>
    <w:rsid w:val="00F23A46"/>
    <w:rsid w:val="00F24973"/>
    <w:rsid w:val="00F30C72"/>
    <w:rsid w:val="00F31299"/>
    <w:rsid w:val="00F3324F"/>
    <w:rsid w:val="00F3534A"/>
    <w:rsid w:val="00F35BFB"/>
    <w:rsid w:val="00F36ACC"/>
    <w:rsid w:val="00F4207C"/>
    <w:rsid w:val="00F45D78"/>
    <w:rsid w:val="00F514AE"/>
    <w:rsid w:val="00F51609"/>
    <w:rsid w:val="00F527BF"/>
    <w:rsid w:val="00F54867"/>
    <w:rsid w:val="00F55725"/>
    <w:rsid w:val="00F55C25"/>
    <w:rsid w:val="00F571AF"/>
    <w:rsid w:val="00F64AA0"/>
    <w:rsid w:val="00F653F9"/>
    <w:rsid w:val="00F73727"/>
    <w:rsid w:val="00F766A7"/>
    <w:rsid w:val="00F76A38"/>
    <w:rsid w:val="00F7718E"/>
    <w:rsid w:val="00F81006"/>
    <w:rsid w:val="00F818F8"/>
    <w:rsid w:val="00F85325"/>
    <w:rsid w:val="00F87671"/>
    <w:rsid w:val="00F9075A"/>
    <w:rsid w:val="00F91DED"/>
    <w:rsid w:val="00F9651B"/>
    <w:rsid w:val="00F97E1E"/>
    <w:rsid w:val="00FA3B44"/>
    <w:rsid w:val="00FA4D35"/>
    <w:rsid w:val="00FA6778"/>
    <w:rsid w:val="00FA7227"/>
    <w:rsid w:val="00FB22E9"/>
    <w:rsid w:val="00FB2D59"/>
    <w:rsid w:val="00FC1E9A"/>
    <w:rsid w:val="00FC303E"/>
    <w:rsid w:val="00FD03E9"/>
    <w:rsid w:val="00FD0739"/>
    <w:rsid w:val="00FD1623"/>
    <w:rsid w:val="00FD21C5"/>
    <w:rsid w:val="00FD22B1"/>
    <w:rsid w:val="00FD270E"/>
    <w:rsid w:val="00FD33F1"/>
    <w:rsid w:val="00FD3566"/>
    <w:rsid w:val="00FE0B4F"/>
    <w:rsid w:val="00FE32CF"/>
    <w:rsid w:val="00FE5397"/>
    <w:rsid w:val="00FF27D2"/>
    <w:rsid w:val="00FF5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D6520B6"/>
  <w15:docId w15:val="{167B8299-E1AA-4F67-93A3-2190454C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uiPriority w:val="20"/>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1668C5"/>
    <w:rPr>
      <w:rFonts w:ascii="Arial" w:hAnsi="Arial"/>
      <w:b/>
      <w:sz w:val="26"/>
    </w:rPr>
  </w:style>
  <w:style w:type="character" w:customStyle="1" w:styleId="Heading4Char">
    <w:name w:val="Heading 4 Char"/>
    <w:basedOn w:val="DefaultParagraphFont"/>
    <w:link w:val="Heading4"/>
    <w:rsid w:val="00F208BF"/>
    <w:rPr>
      <w:rFonts w:ascii="Arial" w:hAnsi="Arial"/>
      <w:sz w:val="24"/>
    </w:rPr>
  </w:style>
  <w:style w:type="character" w:styleId="Hyperlink">
    <w:name w:val="Hyperlink"/>
    <w:basedOn w:val="DefaultParagraphFont"/>
    <w:uiPriority w:val="99"/>
    <w:rsid w:val="0035455F"/>
    <w:rPr>
      <w:color w:val="78A22F" w:themeColor="hyperlink"/>
      <w:u w:val="single"/>
    </w:rPr>
  </w:style>
  <w:style w:type="character" w:customStyle="1" w:styleId="FootnoteTextChar">
    <w:name w:val="Footnote Text Char"/>
    <w:basedOn w:val="DefaultParagraphFont"/>
    <w:link w:val="FootnoteText"/>
    <w:rsid w:val="0045119D"/>
  </w:style>
  <w:style w:type="paragraph" w:customStyle="1" w:styleId="Heading2NotTOC">
    <w:name w:val="Heading 2 Not TOC"/>
    <w:basedOn w:val="Heading2"/>
    <w:next w:val="BodyText"/>
    <w:rsid w:val="00EB006D"/>
  </w:style>
  <w:style w:type="paragraph" w:customStyle="1" w:styleId="Heading1NotTOC">
    <w:name w:val="Heading 1 Not TOC"/>
    <w:basedOn w:val="Heading1"/>
    <w:next w:val="BodyText"/>
    <w:rsid w:val="00EB006D"/>
    <w:rPr>
      <w:kern w:val="28"/>
      <w:szCs w:val="26"/>
      <w:lang w:eastAsia="en-US"/>
    </w:rPr>
  </w:style>
  <w:style w:type="character" w:customStyle="1" w:styleId="st1">
    <w:name w:val="st1"/>
    <w:basedOn w:val="DefaultParagraphFont"/>
    <w:rsid w:val="00E533D9"/>
  </w:style>
  <w:style w:type="paragraph" w:styleId="Bibliography">
    <w:name w:val="Bibliography"/>
    <w:basedOn w:val="Normal"/>
    <w:next w:val="Normal"/>
    <w:uiPriority w:val="37"/>
    <w:unhideWhenUsed/>
    <w:rsid w:val="003473EA"/>
    <w:pPr>
      <w:spacing w:after="240"/>
      <w:ind w:left="720" w:hanging="720"/>
    </w:pPr>
  </w:style>
  <w:style w:type="paragraph" w:styleId="CommentSubject">
    <w:name w:val="annotation subject"/>
    <w:basedOn w:val="CommentText"/>
    <w:next w:val="CommentText"/>
    <w:link w:val="CommentSubjectChar"/>
    <w:semiHidden/>
    <w:unhideWhenUsed/>
    <w:rsid w:val="00DB250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B250C"/>
    <w:rPr>
      <w:szCs w:val="24"/>
    </w:rPr>
  </w:style>
  <w:style w:type="character" w:customStyle="1" w:styleId="CommentSubjectChar">
    <w:name w:val="Comment Subject Char"/>
    <w:basedOn w:val="CommentTextChar"/>
    <w:link w:val="CommentSubject"/>
    <w:semiHidden/>
    <w:rsid w:val="00DB250C"/>
    <w:rPr>
      <w:b/>
      <w:bCs/>
      <w:szCs w:val="24"/>
    </w:rPr>
  </w:style>
  <w:style w:type="paragraph" w:styleId="Revision">
    <w:name w:val="Revision"/>
    <w:hidden/>
    <w:uiPriority w:val="99"/>
    <w:semiHidden/>
    <w:rsid w:val="000037B9"/>
    <w:rPr>
      <w:sz w:val="24"/>
      <w:szCs w:val="24"/>
    </w:rPr>
  </w:style>
  <w:style w:type="paragraph" w:styleId="EndnoteText">
    <w:name w:val="endnote text"/>
    <w:basedOn w:val="Normal"/>
    <w:link w:val="EndnoteTextChar"/>
    <w:semiHidden/>
    <w:unhideWhenUsed/>
    <w:rsid w:val="00532A3A"/>
    <w:rPr>
      <w:sz w:val="20"/>
      <w:szCs w:val="20"/>
    </w:rPr>
  </w:style>
  <w:style w:type="character" w:customStyle="1" w:styleId="EndnoteTextChar">
    <w:name w:val="Endnote Text Char"/>
    <w:basedOn w:val="DefaultParagraphFont"/>
    <w:link w:val="EndnoteText"/>
    <w:semiHidden/>
    <w:rsid w:val="00532A3A"/>
  </w:style>
  <w:style w:type="character" w:styleId="EndnoteReference">
    <w:name w:val="endnote reference"/>
    <w:basedOn w:val="DefaultParagraphFont"/>
    <w:semiHidden/>
    <w:unhideWhenUsed/>
    <w:rsid w:val="00532A3A"/>
    <w:rPr>
      <w:vertAlign w:val="superscript"/>
    </w:rPr>
  </w:style>
  <w:style w:type="paragraph" w:customStyle="1" w:styleId="Copyrightsubtitle">
    <w:name w:val="Copyright subtitle"/>
    <w:basedOn w:val="BodyText"/>
    <w:rsid w:val="00F04F8B"/>
    <w:rPr>
      <w:rFonts w:ascii="Arial" w:hAnsi="Arial"/>
      <w:b/>
      <w:sz w:val="22"/>
      <w:szCs w:val="25"/>
    </w:rPr>
  </w:style>
  <w:style w:type="paragraph" w:customStyle="1" w:styleId="Copyrightbodytext">
    <w:name w:val="Copyright bodytext"/>
    <w:basedOn w:val="BodyText"/>
    <w:link w:val="CopyrightbodytextChar"/>
    <w:qFormat/>
    <w:rsid w:val="00F04F8B"/>
    <w:pPr>
      <w:spacing w:before="60"/>
    </w:pPr>
  </w:style>
  <w:style w:type="character" w:customStyle="1" w:styleId="CopyrightbodytextChar">
    <w:name w:val="Copyright bodytext Char"/>
    <w:basedOn w:val="BodyTextChar"/>
    <w:link w:val="Copyrightbodytext"/>
    <w:rsid w:val="00F04F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4618">
      <w:bodyDiv w:val="1"/>
      <w:marLeft w:val="0"/>
      <w:marRight w:val="0"/>
      <w:marTop w:val="0"/>
      <w:marBottom w:val="0"/>
      <w:divBdr>
        <w:top w:val="none" w:sz="0" w:space="0" w:color="auto"/>
        <w:left w:val="none" w:sz="0" w:space="0" w:color="auto"/>
        <w:bottom w:val="none" w:sz="0" w:space="0" w:color="auto"/>
        <w:right w:val="none" w:sz="0" w:space="0" w:color="auto"/>
      </w:divBdr>
    </w:div>
    <w:div w:id="68432880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1811223">
      <w:bodyDiv w:val="1"/>
      <w:marLeft w:val="0"/>
      <w:marRight w:val="0"/>
      <w:marTop w:val="0"/>
      <w:marBottom w:val="0"/>
      <w:divBdr>
        <w:top w:val="none" w:sz="0" w:space="0" w:color="auto"/>
        <w:left w:val="none" w:sz="0" w:space="0" w:color="auto"/>
        <w:bottom w:val="none" w:sz="0" w:space="0" w:color="auto"/>
        <w:right w:val="none" w:sz="0" w:space="0" w:color="auto"/>
      </w:divBdr>
      <w:divsChild>
        <w:div w:id="273564199">
          <w:marLeft w:val="0"/>
          <w:marRight w:val="0"/>
          <w:marTop w:val="0"/>
          <w:marBottom w:val="0"/>
          <w:divBdr>
            <w:top w:val="none" w:sz="0" w:space="0" w:color="auto"/>
            <w:left w:val="none" w:sz="0" w:space="0" w:color="auto"/>
            <w:bottom w:val="none" w:sz="0" w:space="0" w:color="auto"/>
            <w:right w:val="none" w:sz="0" w:space="0" w:color="auto"/>
          </w:divBdr>
          <w:divsChild>
            <w:div w:id="2095055859">
              <w:marLeft w:val="0"/>
              <w:marRight w:val="0"/>
              <w:marTop w:val="0"/>
              <w:marBottom w:val="0"/>
              <w:divBdr>
                <w:top w:val="none" w:sz="0" w:space="0" w:color="auto"/>
                <w:left w:val="none" w:sz="0" w:space="0" w:color="auto"/>
                <w:bottom w:val="none" w:sz="0" w:space="0" w:color="auto"/>
                <w:right w:val="none" w:sz="0" w:space="0" w:color="auto"/>
              </w:divBdr>
              <w:divsChild>
                <w:div w:id="1647969213">
                  <w:marLeft w:val="0"/>
                  <w:marRight w:val="0"/>
                  <w:marTop w:val="0"/>
                  <w:marBottom w:val="0"/>
                  <w:divBdr>
                    <w:top w:val="none" w:sz="0" w:space="0" w:color="auto"/>
                    <w:left w:val="none" w:sz="0" w:space="0" w:color="auto"/>
                    <w:bottom w:val="none" w:sz="0" w:space="0" w:color="auto"/>
                    <w:right w:val="none" w:sz="0" w:space="0" w:color="auto"/>
                  </w:divBdr>
                  <w:divsChild>
                    <w:div w:id="368187339">
                      <w:marLeft w:val="0"/>
                      <w:marRight w:val="0"/>
                      <w:marTop w:val="0"/>
                      <w:marBottom w:val="0"/>
                      <w:divBdr>
                        <w:top w:val="none" w:sz="0" w:space="0" w:color="auto"/>
                        <w:left w:val="none" w:sz="0" w:space="0" w:color="auto"/>
                        <w:bottom w:val="none" w:sz="0" w:space="0" w:color="auto"/>
                        <w:right w:val="none" w:sz="0" w:space="0" w:color="auto"/>
                      </w:divBdr>
                      <w:divsChild>
                        <w:div w:id="733313016">
                          <w:marLeft w:val="0"/>
                          <w:marRight w:val="0"/>
                          <w:marTop w:val="0"/>
                          <w:marBottom w:val="0"/>
                          <w:divBdr>
                            <w:top w:val="none" w:sz="0" w:space="0" w:color="auto"/>
                            <w:left w:val="none" w:sz="0" w:space="0" w:color="auto"/>
                            <w:bottom w:val="none" w:sz="0" w:space="0" w:color="auto"/>
                            <w:right w:val="none" w:sz="0" w:space="0" w:color="auto"/>
                          </w:divBdr>
                          <w:divsChild>
                            <w:div w:id="1971326958">
                              <w:marLeft w:val="0"/>
                              <w:marRight w:val="0"/>
                              <w:marTop w:val="0"/>
                              <w:marBottom w:val="0"/>
                              <w:divBdr>
                                <w:top w:val="none" w:sz="0" w:space="0" w:color="auto"/>
                                <w:left w:val="none" w:sz="0" w:space="0" w:color="auto"/>
                                <w:bottom w:val="none" w:sz="0" w:space="0" w:color="auto"/>
                                <w:right w:val="none" w:sz="0" w:space="0" w:color="auto"/>
                              </w:divBdr>
                              <w:divsChild>
                                <w:div w:id="516118494">
                                  <w:marLeft w:val="0"/>
                                  <w:marRight w:val="0"/>
                                  <w:marTop w:val="0"/>
                                  <w:marBottom w:val="0"/>
                                  <w:divBdr>
                                    <w:top w:val="none" w:sz="0" w:space="0" w:color="auto"/>
                                    <w:left w:val="none" w:sz="0" w:space="0" w:color="auto"/>
                                    <w:bottom w:val="none" w:sz="0" w:space="0" w:color="auto"/>
                                    <w:right w:val="none" w:sz="0" w:space="0" w:color="auto"/>
                                  </w:divBdr>
                                  <w:divsChild>
                                    <w:div w:id="791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ports" ma:contentTypeID="0x0101007916246811615643A710C6FEAFF56A871104006E3BDAB9F67AF64BB2EC3946D13B8675" ma:contentTypeVersion="15" ma:contentTypeDescription="" ma:contentTypeScope="" ma:versionID="db48918a113756321c78c81870ea9f1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b18e4d98b20a7a670c4a06565f8bc84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Value>Compiled</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documentManagement>
</p:properties>
</file>

<file path=customXml/item5.xml><?xml version="1.0" encoding="utf-8"?>
<?mso-contentType ?>
<SharedContentType xmlns="Microsoft.SharePoint.Taxonomy.ContentTypeSync" SourceId="70da5c63-8548-4ac8-9616-83b0f373280e" ContentTypeId="0x0101007916246811615643A710C6FEAFF56A87110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9199-E8BB-4441-978A-5677C0DD6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F4E16-EE4F-4C50-BEFD-40D5D0A1CC75}">
  <ds:schemaRefs>
    <ds:schemaRef ds:uri="http://schemas.microsoft.com/sharepoint/events"/>
  </ds:schemaRefs>
</ds:datastoreItem>
</file>

<file path=customXml/itemProps3.xml><?xml version="1.0" encoding="utf-8"?>
<ds:datastoreItem xmlns:ds="http://schemas.openxmlformats.org/officeDocument/2006/customXml" ds:itemID="{536141E0-7C9A-485D-B3E6-8318536D4EC1}">
  <ds:schemaRefs>
    <ds:schemaRef ds:uri="http://schemas.microsoft.com/office/2006/metadata/customXsn"/>
  </ds:schemaRefs>
</ds:datastoreItem>
</file>

<file path=customXml/itemProps4.xml><?xml version="1.0" encoding="utf-8"?>
<ds:datastoreItem xmlns:ds="http://schemas.openxmlformats.org/officeDocument/2006/customXml" ds:itemID="{67D038C3-EEBA-454B-BE55-ED1381079D1B}">
  <ds:schemaRefs>
    <ds:schemaRef ds:uri="http://purl.org/dc/elements/1.1/"/>
    <ds:schemaRef ds:uri="http://purl.org/dc/terms/"/>
    <ds:schemaRef ds:uri="http://purl.org/dc/dcmitype/"/>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75C61A4-4D68-4BCC-92EB-4DE9FBA054E2}">
  <ds:schemaRefs>
    <ds:schemaRef ds:uri="Microsoft.SharePoint.Taxonomy.ContentTypeSync"/>
  </ds:schemaRefs>
</ds:datastoreItem>
</file>

<file path=customXml/itemProps6.xml><?xml version="1.0" encoding="utf-8"?>
<ds:datastoreItem xmlns:ds="http://schemas.openxmlformats.org/officeDocument/2006/customXml" ds:itemID="{482F994C-C4FE-4554-8ED3-2D1D947013F6}">
  <ds:schemaRefs>
    <ds:schemaRef ds:uri="http://schemas.microsoft.com/sharepoint/v3/contenttype/forms"/>
  </ds:schemaRefs>
</ds:datastoreItem>
</file>

<file path=customXml/itemProps7.xml><?xml version="1.0" encoding="utf-8"?>
<ds:datastoreItem xmlns:ds="http://schemas.openxmlformats.org/officeDocument/2006/customXml" ds:itemID="{2C165B64-F2A0-4DDE-8F72-12B4378C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178</TotalTime>
  <Pages>43</Pages>
  <Words>10889</Words>
  <Characters>62069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Supporting paper 12: An overview of innovation policy</vt:lpstr>
    </vt:vector>
  </TitlesOfParts>
  <Company>Productivity Commission</Company>
  <LinksUpToDate>false</LinksUpToDate>
  <CharactersWithSpaces>72813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12: An overview of innovation policy</dc:title>
  <dc:subject>Productivity Review</dc:subject>
  <dc:creator>Productivity Commission</dc:creator>
  <cp:keywords/>
  <dc:description>15.</dc:description>
  <cp:lastModifiedBy>Productivity Commission</cp:lastModifiedBy>
  <cp:revision>31</cp:revision>
  <cp:lastPrinted>2017-09-06T08:29:00Z</cp:lastPrinted>
  <dcterms:created xsi:type="dcterms:W3CDTF">2017-08-02T00:49:00Z</dcterms:created>
  <dcterms:modified xsi:type="dcterms:W3CDTF">2017-10-05T05:03:00Z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 value="true"/&gt;&lt;pref name="automaticJournalAbbreviations" value="true"/&gt;&lt;pref name="noteType" value=""/&gt;&lt;/prefs&gt;&lt;/data&gt;</vt:lpwstr>
  </property>
  <property fmtid="{D5CDD505-2E9C-101B-9397-08002B2CF9AE}" pid="3" name="ContentTypeId">
    <vt:lpwstr>0x0101007916246811615643A710C6FEAFF56A871104006E3BDAB9F67AF64BB2EC3946D13B8675</vt:lpwstr>
  </property>
  <property fmtid="{D5CDD505-2E9C-101B-9397-08002B2CF9AE}" pid="4" name="Record Tag">
    <vt:lpwstr>270;#Final Report|2ba7de50-4c1d-4453-9bfb-2c08018fad73</vt:lpwstr>
  </property>
  <property fmtid="{D5CDD505-2E9C-101B-9397-08002B2CF9AE}" pid="5" name="TaxKeyword">
    <vt:lpwstr/>
  </property>
  <property fmtid="{D5CDD505-2E9C-101B-9397-08002B2CF9AE}" pid="6" name="ZOTERO_PREF_1">
    <vt:lpwstr>&lt;data data-version="3" zotero-version="4.0.29.10"&gt;&lt;session id="IBChVEK2"/&gt;&lt;style id="http://www.zotero.org/styles/unisa-harvard" hasBibliography="1" bibliographyStyleHasBeenSet="1"/&gt;&lt;prefs&gt;&lt;pref name="fieldType" value="Field"/&gt;&lt;pref name="storeReferences"</vt:lpwstr>
  </property>
</Properties>
</file>