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8205CD" w14:textId="77777777" w:rsidR="00D95F04" w:rsidRPr="008C7FC0" w:rsidRDefault="00D95F04" w:rsidP="00D95F04">
      <w:pPr>
        <w:pStyle w:val="Heading1"/>
        <w:rPr>
          <w:color w:val="FFFFFF" w:themeColor="background1"/>
        </w:rPr>
      </w:pPr>
      <w:bookmarkStart w:id="0" w:name="_Toc488940669"/>
      <w:bookmarkStart w:id="1" w:name="_GoBack"/>
      <w:r>
        <w:rPr>
          <w:noProof/>
          <w:color w:val="FFFFFF" w:themeColor="background1"/>
        </w:rPr>
        <w:drawing>
          <wp:anchor distT="0" distB="0" distL="114300" distR="114300" simplePos="0" relativeHeight="251678720" behindDoc="0" locked="0" layoutInCell="1" allowOverlap="1" wp14:anchorId="0C0E9F2A" wp14:editId="43BB13F5">
            <wp:simplePos x="0" y="0"/>
            <wp:positionH relativeFrom="page">
              <wp:align>center</wp:align>
            </wp:positionH>
            <wp:positionV relativeFrom="page">
              <wp:align>center</wp:align>
            </wp:positionV>
            <wp:extent cx="7558767" cy="10691998"/>
            <wp:effectExtent l="0" t="0" r="4445" b="0"/>
            <wp:wrapNone/>
            <wp:docPr id="5" name="Picture 5" descr="Cover of Supporting paper 2: Non-market sector produ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prod-review-supporting-papers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8767" cy="10691998"/>
                    </a:xfrm>
                    <a:prstGeom prst="rect">
                      <a:avLst/>
                    </a:prstGeom>
                  </pic:spPr>
                </pic:pic>
              </a:graphicData>
            </a:graphic>
            <wp14:sizeRelH relativeFrom="margin">
              <wp14:pctWidth>0</wp14:pctWidth>
            </wp14:sizeRelH>
            <wp14:sizeRelV relativeFrom="margin">
              <wp14:pctHeight>0</wp14:pctHeight>
            </wp14:sizeRelV>
          </wp:anchor>
        </w:drawing>
      </w:r>
      <w:bookmarkEnd w:id="1"/>
      <w:r w:rsidRPr="008C7FC0">
        <w:rPr>
          <w:color w:val="FFFFFF" w:themeColor="background1"/>
        </w:rPr>
        <w:t>Non-market sector productivity</w:t>
      </w:r>
      <w:bookmarkEnd w:id="0"/>
    </w:p>
    <w:p w14:paraId="02256B8F" w14:textId="77777777" w:rsidR="00D95F04" w:rsidRDefault="00D95F04" w:rsidP="00D95F04">
      <w:pPr>
        <w:pStyle w:val="BodyText"/>
        <w:rPr>
          <w:rFonts w:ascii="Arial" w:hAnsi="Arial"/>
          <w:sz w:val="22"/>
          <w:szCs w:val="26"/>
        </w:rPr>
      </w:pPr>
      <w:r w:rsidRPr="008C7FC0">
        <w:rPr>
          <w:color w:val="FFFFFF" w:themeColor="background1"/>
        </w:rPr>
        <w:t>Shifting the Dial: 5 year Productivity Review — Supporting Paper No.2, Canberra, August 2017</w:t>
      </w:r>
      <w:r>
        <w:br w:type="page"/>
      </w:r>
    </w:p>
    <w:bookmarkStart w:id="2" w:name="cov"/>
    <w:bookmarkEnd w:id="2"/>
    <w:p w14:paraId="709BF781" w14:textId="77777777" w:rsidR="00D95F04" w:rsidRDefault="00D95F04" w:rsidP="00D95F04">
      <w:pPr>
        <w:pStyle w:val="Copyrightsubtitle"/>
        <w:spacing w:before="0"/>
      </w:pPr>
      <w:r w:rsidRPr="008C305F">
        <w:lastRenderedPageBreak/>
        <w:fldChar w:fldCharType="begin"/>
      </w:r>
      <w:r w:rsidRPr="008C305F">
        <w:instrText>SYMBOL 227 \f "Symbol"</w:instrText>
      </w:r>
      <w:r w:rsidRPr="008C305F">
        <w:fldChar w:fldCharType="end"/>
      </w:r>
      <w:r w:rsidRPr="008C305F">
        <w:t xml:space="preserve"> Commonwealth of Australia </w:t>
      </w:r>
      <w:r>
        <w:t>2017</w:t>
      </w:r>
    </w:p>
    <w:p w14:paraId="2A7316AA" w14:textId="77777777" w:rsidR="00D95F04" w:rsidRPr="007809B8" w:rsidRDefault="00D95F04" w:rsidP="00D95F04">
      <w:pPr>
        <w:pStyle w:val="BodyText"/>
        <w:tabs>
          <w:tab w:val="left" w:pos="851"/>
        </w:tabs>
        <w:spacing w:before="80" w:after="80"/>
        <w:jc w:val="left"/>
        <w:rPr>
          <w:b/>
        </w:rPr>
      </w:pPr>
      <w:r>
        <w:rPr>
          <w:b/>
        </w:rPr>
        <w:t>ISBN</w:t>
      </w:r>
      <w:r>
        <w:rPr>
          <w:b/>
        </w:rPr>
        <w:tab/>
      </w:r>
      <w:r w:rsidRPr="00F60462">
        <w:rPr>
          <w:b/>
        </w:rPr>
        <w:t>978-1-74037-625-9</w:t>
      </w:r>
      <w:r>
        <w:rPr>
          <w:b/>
        </w:rPr>
        <w:t xml:space="preserve"> (PDF)</w:t>
      </w:r>
    </w:p>
    <w:p w14:paraId="1C393979" w14:textId="77777777" w:rsidR="00D95F04" w:rsidRDefault="00D95F04" w:rsidP="00D95F04">
      <w:pPr>
        <w:pStyle w:val="BodyText"/>
        <w:spacing w:before="120" w:after="120"/>
      </w:pPr>
      <w:r w:rsidRPr="00862D8F">
        <w:rPr>
          <w:noProof/>
          <w:sz w:val="22"/>
          <w:szCs w:val="22"/>
        </w:rPr>
        <w:drawing>
          <wp:inline distT="0" distB="0" distL="0" distR="0" wp14:anchorId="2498D261" wp14:editId="15CB9747">
            <wp:extent cx="843280" cy="295043"/>
            <wp:effectExtent l="0" t="0" r="0" b="0"/>
            <wp:docPr id="7" name="Picture 7"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5A5E95E5" w14:textId="2BFBE4EB" w:rsidR="00D95F04" w:rsidRPr="008A3857" w:rsidRDefault="00D95F04" w:rsidP="00D95F04">
      <w:pPr>
        <w:pStyle w:val="Copyrightbodytext"/>
      </w:pPr>
      <w:r w:rsidRPr="008A3857">
        <w:t xml:space="preserve">Except for the Commonwealth Coat of Arms and content supplied by third parties, this copyright work is licensed under a Creative Commons Attribution 3.0 Australia licence. To view a copy of this licence, visit </w:t>
      </w:r>
      <w:r w:rsidRPr="00805FD7">
        <w:t>http://creativecommons.org/licenses/by/3.0/au</w:t>
      </w:r>
      <w:r w:rsidRPr="008A3857">
        <w:rPr>
          <w:szCs w:val="24"/>
        </w:rPr>
        <w:t>.</w:t>
      </w:r>
      <w:r w:rsidRPr="008A3857">
        <w:t xml:space="preserve"> In essence, you are free to copy, communicate and adapt the work, as long as you attribute the work to the Productivity Commission (but not in any way that suggests the Commission endorses you or your use) and abide by the other licence terms.</w:t>
      </w:r>
    </w:p>
    <w:p w14:paraId="79A96235" w14:textId="77777777" w:rsidR="00D95F04" w:rsidRPr="008A3857" w:rsidRDefault="00D95F04" w:rsidP="00D95F04">
      <w:pPr>
        <w:pStyle w:val="Copyrightsubtitle"/>
        <w:spacing w:before="160"/>
      </w:pPr>
      <w:r w:rsidRPr="008A3857">
        <w:t>Use of the Commonwealth Coat of Arms</w:t>
      </w:r>
    </w:p>
    <w:p w14:paraId="72297A4B" w14:textId="37B7F631" w:rsidR="00D95F04" w:rsidRPr="008A3857" w:rsidRDefault="00D95F04" w:rsidP="00D95F04">
      <w:pPr>
        <w:pStyle w:val="Copyrightbodytext"/>
      </w:pPr>
      <w:r w:rsidRPr="008A3857">
        <w:t>For terms of use of the Coat of Arms visit the ‘</w:t>
      </w:r>
      <w:r w:rsidRPr="00805FD7">
        <w:t>It’s an Honour</w:t>
      </w:r>
      <w:r w:rsidRPr="008A3857">
        <w:t>’ website</w:t>
      </w:r>
      <w:r w:rsidRPr="00BA0B81">
        <w:t xml:space="preserve">: </w:t>
      </w:r>
      <w:r w:rsidRPr="00805FD7">
        <w:t>http://www.itsanhonour.gov.au</w:t>
      </w:r>
    </w:p>
    <w:p w14:paraId="3C4596F1" w14:textId="77777777" w:rsidR="00D95F04" w:rsidRPr="008A3857" w:rsidRDefault="00D95F04" w:rsidP="00D95F04">
      <w:pPr>
        <w:pStyle w:val="Copyrightsubtitle"/>
        <w:spacing w:before="160"/>
      </w:pPr>
      <w:r w:rsidRPr="008A3857">
        <w:t>Third party copyright</w:t>
      </w:r>
    </w:p>
    <w:p w14:paraId="54BC7397" w14:textId="77777777" w:rsidR="00D95F04" w:rsidRPr="008A3857" w:rsidRDefault="00D95F04" w:rsidP="00D95F04">
      <w:pPr>
        <w:pStyle w:val="Copyrightbodytext"/>
      </w:pPr>
      <w:r w:rsidRPr="008A3857">
        <w:t>Wherever a third party holds copyright in this material, the copyright remains with that party. Their permission may be required to use the material, please contact them directly.</w:t>
      </w:r>
    </w:p>
    <w:p w14:paraId="5CAB521A" w14:textId="77777777" w:rsidR="00D95F04" w:rsidRPr="008A3857" w:rsidRDefault="00D95F04" w:rsidP="00D95F04">
      <w:pPr>
        <w:pStyle w:val="Copyrightsubtitle"/>
        <w:spacing w:before="200"/>
      </w:pPr>
      <w:r w:rsidRPr="008A3857">
        <w:t>Attribution</w:t>
      </w:r>
    </w:p>
    <w:p w14:paraId="33799F04" w14:textId="4DEB59F7" w:rsidR="00D95F04" w:rsidRPr="008A3857" w:rsidRDefault="00D95F04" w:rsidP="00D95F04">
      <w:pPr>
        <w:pStyle w:val="Copyrightbodytext"/>
      </w:pPr>
      <w:r w:rsidRPr="008A3857">
        <w:t xml:space="preserve">This work should be attributed as follows, </w:t>
      </w:r>
      <w:r>
        <w:rPr>
          <w:i/>
        </w:rPr>
        <w:t>So</w:t>
      </w:r>
      <w:r w:rsidR="00905CB1">
        <w:rPr>
          <w:i/>
        </w:rPr>
        <w:t xml:space="preserve">urce: Productivity Commission, </w:t>
      </w:r>
      <w:r w:rsidRPr="005A7AA6">
        <w:rPr>
          <w:i/>
        </w:rPr>
        <w:t xml:space="preserve">Non-market </w:t>
      </w:r>
      <w:r w:rsidR="00905CB1">
        <w:rPr>
          <w:i/>
        </w:rPr>
        <w:t>S</w:t>
      </w:r>
      <w:r w:rsidRPr="005A7AA6">
        <w:rPr>
          <w:i/>
        </w:rPr>
        <w:t xml:space="preserve">ector </w:t>
      </w:r>
      <w:r w:rsidR="00905CB1">
        <w:rPr>
          <w:i/>
        </w:rPr>
        <w:t>P</w:t>
      </w:r>
      <w:r w:rsidRPr="005A7AA6">
        <w:rPr>
          <w:i/>
        </w:rPr>
        <w:t>roductivity</w:t>
      </w:r>
      <w:r>
        <w:rPr>
          <w:i/>
        </w:rPr>
        <w:t>, Shifting the Dial: 5 year Productivity Review</w:t>
      </w:r>
      <w:r w:rsidR="00905CB1">
        <w:t xml:space="preserve">, </w:t>
      </w:r>
      <w:r w:rsidR="00905CB1">
        <w:rPr>
          <w:i/>
        </w:rPr>
        <w:t>Supporting Paper No. </w:t>
      </w:r>
      <w:r>
        <w:rPr>
          <w:i/>
        </w:rPr>
        <w:t>2.</w:t>
      </w:r>
    </w:p>
    <w:p w14:paraId="5BD621AF" w14:textId="1CC9C082" w:rsidR="00D95F04" w:rsidRPr="008A3857" w:rsidRDefault="00D95F04" w:rsidP="00D95F04">
      <w:pPr>
        <w:pStyle w:val="Copyrightbodytext"/>
      </w:pPr>
      <w:r w:rsidRPr="008A3857">
        <w:t xml:space="preserve">If you have adapted, modified or transformed this work in anyway, please use the following, </w:t>
      </w:r>
      <w:r w:rsidRPr="008E242D">
        <w:rPr>
          <w:i/>
        </w:rPr>
        <w:t>Source: based on Productivity Commission</w:t>
      </w:r>
      <w:r>
        <w:rPr>
          <w:i/>
        </w:rPr>
        <w:t xml:space="preserve"> data,</w:t>
      </w:r>
      <w:r w:rsidRPr="00FA5F03">
        <w:rPr>
          <w:i/>
        </w:rPr>
        <w:t xml:space="preserve"> </w:t>
      </w:r>
      <w:r w:rsidRPr="005A7AA6">
        <w:rPr>
          <w:i/>
        </w:rPr>
        <w:t>Non</w:t>
      </w:r>
      <w:r w:rsidR="00AC6D60">
        <w:rPr>
          <w:i/>
        </w:rPr>
        <w:noBreakHyphen/>
      </w:r>
      <w:r w:rsidRPr="005A7AA6">
        <w:rPr>
          <w:i/>
        </w:rPr>
        <w:t xml:space="preserve">market </w:t>
      </w:r>
      <w:r w:rsidR="00905CB1">
        <w:rPr>
          <w:i/>
        </w:rPr>
        <w:t>S</w:t>
      </w:r>
      <w:r w:rsidRPr="005A7AA6">
        <w:rPr>
          <w:i/>
        </w:rPr>
        <w:t xml:space="preserve">ector </w:t>
      </w:r>
      <w:r w:rsidR="00905CB1">
        <w:rPr>
          <w:i/>
        </w:rPr>
        <w:t>P</w:t>
      </w:r>
      <w:r w:rsidRPr="005A7AA6">
        <w:rPr>
          <w:i/>
        </w:rPr>
        <w:t>roductivity</w:t>
      </w:r>
      <w:r>
        <w:rPr>
          <w:i/>
        </w:rPr>
        <w:t>, Shifting the Dial: 5 year Productivity Review</w:t>
      </w:r>
      <w:r w:rsidR="00905CB1">
        <w:t xml:space="preserve">, </w:t>
      </w:r>
      <w:r>
        <w:rPr>
          <w:i/>
        </w:rPr>
        <w:t>Supporting Paper No. 2.</w:t>
      </w:r>
    </w:p>
    <w:p w14:paraId="40D7307C" w14:textId="77777777" w:rsidR="00D95F04" w:rsidRPr="008A3857" w:rsidRDefault="00D95F04" w:rsidP="00D95F04">
      <w:pPr>
        <w:pStyle w:val="Copyrightsubtitle"/>
        <w:spacing w:before="160"/>
      </w:pPr>
      <w:r w:rsidRPr="008A3857">
        <w:t xml:space="preserve">An appropriate </w:t>
      </w:r>
      <w:r>
        <w:t>reference</w:t>
      </w:r>
      <w:r w:rsidRPr="008A3857">
        <w:t xml:space="preserve"> for this publication is:</w:t>
      </w:r>
    </w:p>
    <w:p w14:paraId="1A6BCCD5" w14:textId="11CDC171" w:rsidR="00D95F04" w:rsidRDefault="00D95F04" w:rsidP="00D95F04">
      <w:pPr>
        <w:pStyle w:val="Copyrightbodytext"/>
        <w:rPr>
          <w:b/>
        </w:rPr>
      </w:pPr>
      <w:r>
        <w:t xml:space="preserve">Productivity Commission 2017, </w:t>
      </w:r>
      <w:r w:rsidRPr="005A7AA6">
        <w:rPr>
          <w:i/>
        </w:rPr>
        <w:t>Non</w:t>
      </w:r>
      <w:r w:rsidR="00AC6D60">
        <w:rPr>
          <w:i/>
        </w:rPr>
        <w:noBreakHyphen/>
      </w:r>
      <w:r w:rsidRPr="005A7AA6">
        <w:rPr>
          <w:i/>
        </w:rPr>
        <w:t xml:space="preserve">market </w:t>
      </w:r>
      <w:r w:rsidR="00905CB1">
        <w:rPr>
          <w:i/>
        </w:rPr>
        <w:t>S</w:t>
      </w:r>
      <w:r w:rsidRPr="005A7AA6">
        <w:rPr>
          <w:i/>
        </w:rPr>
        <w:t xml:space="preserve">ector </w:t>
      </w:r>
      <w:r w:rsidR="00905CB1">
        <w:rPr>
          <w:i/>
        </w:rPr>
        <w:t>P</w:t>
      </w:r>
      <w:r w:rsidRPr="005A7AA6">
        <w:rPr>
          <w:i/>
        </w:rPr>
        <w:t>roductivity</w:t>
      </w:r>
      <w:r>
        <w:rPr>
          <w:i/>
        </w:rPr>
        <w:t xml:space="preserve">, </w:t>
      </w:r>
      <w:r>
        <w:t xml:space="preserve">Shifting the Dial: 5 year </w:t>
      </w:r>
      <w:r w:rsidRPr="00713D24">
        <w:t>Productivity Review</w:t>
      </w:r>
      <w:r w:rsidR="004725F2">
        <w:t xml:space="preserve">, </w:t>
      </w:r>
      <w:r w:rsidRPr="00713D24">
        <w:t xml:space="preserve">Supporting Paper No. </w:t>
      </w:r>
      <w:r>
        <w:t>2</w:t>
      </w:r>
      <w:r w:rsidRPr="00713D24">
        <w:t>, Canberra.</w:t>
      </w:r>
    </w:p>
    <w:p w14:paraId="349DBB4E" w14:textId="77777777" w:rsidR="00D95F04" w:rsidRPr="008A3857" w:rsidRDefault="00D95F04" w:rsidP="00D95F04">
      <w:pPr>
        <w:pStyle w:val="Copyrightsubtitle"/>
        <w:spacing w:before="160"/>
      </w:pPr>
      <w:r w:rsidRPr="008A3857">
        <w:t>Publications enquiries</w:t>
      </w:r>
    </w:p>
    <w:p w14:paraId="22277475" w14:textId="77777777" w:rsidR="00D95F04" w:rsidRDefault="00D95F04" w:rsidP="00D95F04">
      <w:pPr>
        <w:pStyle w:val="Copyrightbodytext"/>
      </w:pPr>
      <w:r w:rsidRPr="008A3857">
        <w:t xml:space="preserve">Media and Publications, </w:t>
      </w:r>
      <w:r>
        <w:rPr>
          <w:szCs w:val="24"/>
        </w:rPr>
        <w:t>phone:</w:t>
      </w:r>
      <w:r w:rsidRPr="00BB5DCF">
        <w:rPr>
          <w:szCs w:val="24"/>
        </w:rPr>
        <w:t xml:space="preserve"> (03) 9653 2244 or email: maps@pc.gov.au</w:t>
      </w:r>
    </w:p>
    <w:p w14:paraId="5EAB6D2A" w14:textId="77777777" w:rsidR="00D95F04" w:rsidRDefault="00D95F04" w:rsidP="00D95F04">
      <w:pPr>
        <w:pStyle w:val="BoxSpaceAbove"/>
        <w:spacing w:before="80"/>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D95F04" w14:paraId="03ED04B5" w14:textId="77777777" w:rsidTr="00D95F04">
        <w:tc>
          <w:tcPr>
            <w:tcW w:w="8771" w:type="dxa"/>
            <w:tcBorders>
              <w:top w:val="single" w:sz="6" w:space="0" w:color="78A22F"/>
              <w:left w:val="nil"/>
              <w:bottom w:val="nil"/>
              <w:right w:val="nil"/>
            </w:tcBorders>
            <w:shd w:val="clear" w:color="auto" w:fill="F2F2F2" w:themeFill="background1" w:themeFillShade="F2"/>
          </w:tcPr>
          <w:p w14:paraId="7187DB17" w14:textId="77777777" w:rsidR="00D95F04" w:rsidRPr="008A3857" w:rsidRDefault="00D95F04" w:rsidP="00D95F04">
            <w:pPr>
              <w:pStyle w:val="BoxTitle"/>
              <w:rPr>
                <w:sz w:val="22"/>
                <w:szCs w:val="22"/>
              </w:rPr>
            </w:pPr>
            <w:r w:rsidRPr="008A3857">
              <w:rPr>
                <w:sz w:val="22"/>
                <w:szCs w:val="22"/>
              </w:rPr>
              <w:t>The Productivity Commission</w:t>
            </w:r>
          </w:p>
        </w:tc>
      </w:tr>
      <w:tr w:rsidR="00D95F04" w14:paraId="2B82C339" w14:textId="77777777" w:rsidTr="00D95F04">
        <w:tc>
          <w:tcPr>
            <w:tcW w:w="8771" w:type="dxa"/>
            <w:tcBorders>
              <w:top w:val="nil"/>
              <w:left w:val="nil"/>
              <w:bottom w:val="nil"/>
              <w:right w:val="nil"/>
            </w:tcBorders>
            <w:shd w:val="clear" w:color="auto" w:fill="F2F2F2" w:themeFill="background1" w:themeFillShade="F2"/>
          </w:tcPr>
          <w:p w14:paraId="36DA5744" w14:textId="7F4759CA" w:rsidR="00D95F04" w:rsidRDefault="00D95F04" w:rsidP="00D95F04">
            <w:pPr>
              <w:pStyle w:val="Box"/>
              <w:spacing w:before="60"/>
            </w:pPr>
            <w:r w:rsidRPr="00BB5DCF">
              <w:t>The Productivity Commission is the Australian Government’s independent research and advisory body on a range of economic, social and environmental issues affecting the welfare of Australians. Its role, expressed most simply, is to help governments ma</w:t>
            </w:r>
            <w:r w:rsidR="000E4FD3">
              <w:t>ke better policies, in the long</w:t>
            </w:r>
            <w:r w:rsidR="000E4FD3">
              <w:noBreakHyphen/>
            </w:r>
            <w:r w:rsidRPr="00BB5DCF">
              <w:t>term interest of the Australian community.</w:t>
            </w:r>
          </w:p>
          <w:p w14:paraId="7152986D" w14:textId="77777777" w:rsidR="00D95F04" w:rsidRDefault="00D95F04" w:rsidP="00D95F04">
            <w:pPr>
              <w:pStyle w:val="Box"/>
              <w:spacing w:before="60"/>
            </w:pPr>
            <w:r w:rsidRPr="00BB5DCF">
              <w:t>The Commission’s independence is underpinned by an Act of Parliament. Its processes and outputs are open to public scrutiny and are driven by concern for the wellbeing of the community as a whole.</w:t>
            </w:r>
          </w:p>
          <w:p w14:paraId="08AE8DCE" w14:textId="37B5751F" w:rsidR="00D95F04" w:rsidRDefault="00D95F04" w:rsidP="00D95F04">
            <w:pPr>
              <w:pStyle w:val="Box"/>
              <w:spacing w:before="60"/>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D95F04" w14:paraId="4A9B927F" w14:textId="77777777" w:rsidTr="00D95F04">
        <w:tc>
          <w:tcPr>
            <w:tcW w:w="8771" w:type="dxa"/>
            <w:tcBorders>
              <w:top w:val="nil"/>
              <w:left w:val="nil"/>
              <w:bottom w:val="single" w:sz="6" w:space="0" w:color="78A22F"/>
              <w:right w:val="nil"/>
            </w:tcBorders>
            <w:shd w:val="clear" w:color="auto" w:fill="F2F2F2" w:themeFill="background1" w:themeFillShade="F2"/>
          </w:tcPr>
          <w:p w14:paraId="52881BB3" w14:textId="77777777" w:rsidR="00D95F04" w:rsidRDefault="00D95F04" w:rsidP="00D95F04">
            <w:pPr>
              <w:pStyle w:val="Box"/>
              <w:spacing w:before="0" w:line="120" w:lineRule="exact"/>
            </w:pPr>
          </w:p>
        </w:tc>
      </w:tr>
    </w:tbl>
    <w:p w14:paraId="4C378B73" w14:textId="77777777" w:rsidR="00D95F04" w:rsidRDefault="00D95F04">
      <w:pPr>
        <w:pStyle w:val="BoxSpaceAbove"/>
      </w:pPr>
    </w:p>
    <w:p w14:paraId="6FF5FFA3" w14:textId="77777777" w:rsidR="00D95F04" w:rsidRDefault="00D95F04">
      <w:pPr>
        <w:sectPr w:rsidR="00D95F04" w:rsidSect="005218B3">
          <w:type w:val="evenPage"/>
          <w:pgSz w:w="11907" w:h="16840" w:code="9"/>
          <w:pgMar w:top="1985" w:right="1304" w:bottom="1247" w:left="1814" w:header="1701" w:footer="397" w:gutter="0"/>
          <w:pgNumType w:start="0" w:chapSep="period"/>
          <w:cols w:space="720"/>
        </w:sectPr>
      </w:pPr>
    </w:p>
    <w:p w14:paraId="0253FABC" w14:textId="6AC6ACE6" w:rsidR="00D95F04" w:rsidRDefault="00D95F04" w:rsidP="00D95F04">
      <w:pPr>
        <w:pStyle w:val="Chapter"/>
      </w:pPr>
      <w:bookmarkStart w:id="3" w:name="_Toc488940670"/>
      <w:r>
        <w:lastRenderedPageBreak/>
        <w:t>Contents</w:t>
      </w:r>
      <w:bookmarkEnd w:id="3"/>
    </w:p>
    <w:p w14:paraId="31A2348F" w14:textId="71CC0324" w:rsidR="00841446" w:rsidRPr="00A40CDA" w:rsidRDefault="00841446" w:rsidP="00841446">
      <w:pPr>
        <w:pStyle w:val="TOC1"/>
      </w:pPr>
      <w:r>
        <w:t xml:space="preserve">Key </w:t>
      </w:r>
      <w:r w:rsidRPr="001D28CC">
        <w:t>points</w:t>
      </w:r>
      <w:r>
        <w:tab/>
        <w:t>2</w:t>
      </w:r>
    </w:p>
    <w:p w14:paraId="36C72FFC" w14:textId="09606723" w:rsidR="00841446" w:rsidRDefault="00841446" w:rsidP="00841446">
      <w:pPr>
        <w:pStyle w:val="TOC1"/>
        <w:spacing w:before="360"/>
      </w:pPr>
      <w:r w:rsidRPr="001D28CC">
        <w:t>Measuring</w:t>
      </w:r>
      <w:r>
        <w:t xml:space="preserve"> productivity in the non</w:t>
      </w:r>
      <w:r w:rsidR="00AC6D60">
        <w:noBreakHyphen/>
      </w:r>
      <w:r>
        <w:t>market sector</w:t>
      </w:r>
      <w:r>
        <w:tab/>
        <w:t>3</w:t>
      </w:r>
    </w:p>
    <w:p w14:paraId="1288AED1" w14:textId="2C8BCD99" w:rsidR="00841446" w:rsidRPr="00D95F04" w:rsidRDefault="00841446" w:rsidP="00841446">
      <w:pPr>
        <w:pStyle w:val="TOC2"/>
        <w:rPr>
          <w:rFonts w:asciiTheme="minorHAnsi" w:eastAsiaTheme="minorEastAsia" w:hAnsiTheme="minorHAnsi" w:cstheme="minorBidi"/>
          <w:b/>
          <w:noProof/>
          <w:sz w:val="22"/>
          <w:szCs w:val="22"/>
          <w:lang w:eastAsia="en-AU"/>
        </w:rPr>
      </w:pPr>
      <w:r w:rsidRPr="00D95F04">
        <w:rPr>
          <w:noProof/>
        </w:rPr>
        <w:t>1</w:t>
      </w:r>
      <w:r w:rsidRPr="00D95F04">
        <w:rPr>
          <w:rFonts w:asciiTheme="minorHAnsi" w:eastAsiaTheme="minorEastAsia" w:hAnsiTheme="minorHAnsi" w:cstheme="minorBidi"/>
          <w:noProof/>
          <w:sz w:val="22"/>
          <w:szCs w:val="22"/>
          <w:lang w:eastAsia="en-AU"/>
        </w:rPr>
        <w:tab/>
      </w:r>
      <w:r w:rsidRPr="00D95F04">
        <w:rPr>
          <w:noProof/>
        </w:rPr>
        <w:t>Productivity and the non</w:t>
      </w:r>
      <w:r w:rsidR="00AC6D60">
        <w:rPr>
          <w:noProof/>
        </w:rPr>
        <w:noBreakHyphen/>
      </w:r>
      <w:r w:rsidRPr="00D95F04">
        <w:rPr>
          <w:noProof/>
        </w:rPr>
        <w:t>market sector</w:t>
      </w:r>
      <w:r w:rsidRPr="00D95F04">
        <w:rPr>
          <w:noProof/>
        </w:rPr>
        <w:tab/>
      </w:r>
      <w:r>
        <w:rPr>
          <w:noProof/>
        </w:rPr>
        <w:t>3</w:t>
      </w:r>
    </w:p>
    <w:p w14:paraId="20A73A5B" w14:textId="77777777" w:rsidR="00841446" w:rsidRPr="00D95F04" w:rsidRDefault="00841446" w:rsidP="00841446">
      <w:pPr>
        <w:pStyle w:val="TOC2"/>
        <w:rPr>
          <w:rFonts w:asciiTheme="minorHAnsi" w:eastAsiaTheme="minorEastAsia" w:hAnsiTheme="minorHAnsi" w:cstheme="minorBidi"/>
          <w:b/>
          <w:noProof/>
          <w:sz w:val="22"/>
          <w:szCs w:val="22"/>
          <w:lang w:eastAsia="en-AU"/>
        </w:rPr>
      </w:pPr>
      <w:r w:rsidRPr="00D95F04">
        <w:rPr>
          <w:noProof/>
        </w:rPr>
        <w:t>2</w:t>
      </w:r>
      <w:r w:rsidRPr="00D95F04">
        <w:rPr>
          <w:rFonts w:asciiTheme="minorHAnsi" w:eastAsiaTheme="minorEastAsia" w:hAnsiTheme="minorHAnsi" w:cstheme="minorBidi"/>
          <w:noProof/>
          <w:sz w:val="22"/>
          <w:szCs w:val="22"/>
          <w:lang w:eastAsia="en-AU"/>
        </w:rPr>
        <w:tab/>
      </w:r>
      <w:r w:rsidRPr="00D95F04">
        <w:rPr>
          <w:noProof/>
        </w:rPr>
        <w:t>Inputs and outputs have been rising</w:t>
      </w:r>
      <w:r w:rsidRPr="00D95F04">
        <w:rPr>
          <w:noProof/>
        </w:rPr>
        <w:tab/>
      </w:r>
      <w:r>
        <w:rPr>
          <w:noProof/>
        </w:rPr>
        <w:t>7</w:t>
      </w:r>
    </w:p>
    <w:p w14:paraId="4A7671E6" w14:textId="77777777" w:rsidR="00841446" w:rsidRPr="00D95F04" w:rsidRDefault="00841446" w:rsidP="00841446">
      <w:pPr>
        <w:pStyle w:val="TOC2"/>
        <w:rPr>
          <w:rFonts w:asciiTheme="minorHAnsi" w:eastAsiaTheme="minorEastAsia" w:hAnsiTheme="minorHAnsi" w:cstheme="minorBidi"/>
          <w:b/>
          <w:noProof/>
          <w:sz w:val="22"/>
          <w:szCs w:val="22"/>
          <w:lang w:eastAsia="en-AU"/>
        </w:rPr>
      </w:pPr>
      <w:r w:rsidRPr="00D95F04">
        <w:rPr>
          <w:noProof/>
        </w:rPr>
        <w:t>3</w:t>
      </w:r>
      <w:r w:rsidRPr="00D95F04">
        <w:rPr>
          <w:rFonts w:asciiTheme="minorHAnsi" w:eastAsiaTheme="minorEastAsia" w:hAnsiTheme="minorHAnsi" w:cstheme="minorBidi"/>
          <w:noProof/>
          <w:sz w:val="22"/>
          <w:szCs w:val="22"/>
          <w:lang w:eastAsia="en-AU"/>
        </w:rPr>
        <w:tab/>
      </w:r>
      <w:r w:rsidRPr="00D95F04">
        <w:rPr>
          <w:noProof/>
        </w:rPr>
        <w:t>The workaround: using direct output measures</w:t>
      </w:r>
      <w:r w:rsidRPr="00D95F04">
        <w:rPr>
          <w:noProof/>
        </w:rPr>
        <w:tab/>
      </w:r>
      <w:r>
        <w:rPr>
          <w:noProof/>
        </w:rPr>
        <w:t>12</w:t>
      </w:r>
    </w:p>
    <w:p w14:paraId="3CFC7147" w14:textId="77777777" w:rsidR="00841446" w:rsidRPr="00D95F04" w:rsidRDefault="00841446" w:rsidP="00841446">
      <w:pPr>
        <w:pStyle w:val="TOC2"/>
        <w:rPr>
          <w:rFonts w:asciiTheme="minorHAnsi" w:eastAsiaTheme="minorEastAsia" w:hAnsiTheme="minorHAnsi" w:cstheme="minorBidi"/>
          <w:b/>
          <w:noProof/>
          <w:sz w:val="22"/>
          <w:szCs w:val="22"/>
          <w:lang w:eastAsia="en-AU"/>
        </w:rPr>
      </w:pPr>
      <w:r w:rsidRPr="00D95F04">
        <w:rPr>
          <w:noProof/>
        </w:rPr>
        <w:t>4</w:t>
      </w:r>
      <w:r w:rsidRPr="00D95F04">
        <w:rPr>
          <w:rFonts w:asciiTheme="minorHAnsi" w:eastAsiaTheme="minorEastAsia" w:hAnsiTheme="minorHAnsi" w:cstheme="minorBidi"/>
          <w:noProof/>
          <w:sz w:val="22"/>
          <w:szCs w:val="22"/>
          <w:lang w:eastAsia="en-AU"/>
        </w:rPr>
        <w:tab/>
      </w:r>
      <w:r w:rsidRPr="00D95F04">
        <w:rPr>
          <w:noProof/>
        </w:rPr>
        <w:t>From theory into practice: existing non</w:t>
      </w:r>
      <w:r w:rsidRPr="00D95F04">
        <w:rPr>
          <w:noProof/>
        </w:rPr>
        <w:noBreakHyphen/>
        <w:t>market sector estimates</w:t>
      </w:r>
      <w:r w:rsidRPr="00D95F04">
        <w:rPr>
          <w:noProof/>
        </w:rPr>
        <w:tab/>
      </w:r>
      <w:r>
        <w:rPr>
          <w:noProof/>
        </w:rPr>
        <w:t>17</w:t>
      </w:r>
    </w:p>
    <w:p w14:paraId="3B9279C6" w14:textId="77777777" w:rsidR="00841446" w:rsidRPr="00D95F04" w:rsidRDefault="00841446" w:rsidP="00841446">
      <w:pPr>
        <w:pStyle w:val="TOC2"/>
        <w:rPr>
          <w:rFonts w:asciiTheme="minorHAnsi" w:eastAsiaTheme="minorEastAsia" w:hAnsiTheme="minorHAnsi" w:cstheme="minorBidi"/>
          <w:b/>
          <w:noProof/>
          <w:sz w:val="22"/>
          <w:szCs w:val="22"/>
          <w:lang w:eastAsia="en-AU"/>
        </w:rPr>
      </w:pPr>
      <w:r w:rsidRPr="00D95F04">
        <w:rPr>
          <w:noProof/>
        </w:rPr>
        <w:t>5</w:t>
      </w:r>
      <w:r w:rsidRPr="00D95F04">
        <w:rPr>
          <w:rFonts w:asciiTheme="minorHAnsi" w:eastAsiaTheme="minorEastAsia" w:hAnsiTheme="minorHAnsi" w:cstheme="minorBidi"/>
          <w:noProof/>
          <w:sz w:val="22"/>
          <w:szCs w:val="22"/>
          <w:lang w:eastAsia="en-AU"/>
        </w:rPr>
        <w:tab/>
      </w:r>
      <w:r w:rsidRPr="00D95F04">
        <w:rPr>
          <w:noProof/>
        </w:rPr>
        <w:t>The direction and applications of future work</w:t>
      </w:r>
      <w:r w:rsidRPr="00D95F04">
        <w:rPr>
          <w:noProof/>
        </w:rPr>
        <w:tab/>
      </w:r>
      <w:r>
        <w:rPr>
          <w:noProof/>
        </w:rPr>
        <w:t>22</w:t>
      </w:r>
    </w:p>
    <w:p w14:paraId="7D56779E" w14:textId="7937EEAB" w:rsidR="00841446" w:rsidRPr="00841446" w:rsidRDefault="00841446" w:rsidP="00841446">
      <w:pPr>
        <w:pStyle w:val="TOC1"/>
        <w:spacing w:before="360"/>
        <w:rPr>
          <w:rFonts w:asciiTheme="minorHAnsi" w:eastAsiaTheme="minorEastAsia" w:hAnsiTheme="minorHAnsi" w:cstheme="minorBidi"/>
          <w:b w:val="0"/>
          <w:noProof/>
          <w:sz w:val="22"/>
          <w:szCs w:val="22"/>
          <w:lang w:eastAsia="en-AU"/>
        </w:rPr>
      </w:pPr>
      <w:r w:rsidRPr="001D28CC">
        <w:rPr>
          <w:noProof/>
        </w:rPr>
        <w:t>References</w:t>
      </w:r>
      <w:r>
        <w:rPr>
          <w:noProof/>
        </w:rPr>
        <w:tab/>
        <w:t>24</w:t>
      </w:r>
    </w:p>
    <w:p w14:paraId="62E3F302" w14:textId="749CFB65" w:rsidR="00D95F04" w:rsidRDefault="00D95F04" w:rsidP="00022325">
      <w:pPr>
        <w:spacing w:after="120"/>
      </w:pPr>
    </w:p>
    <w:p w14:paraId="350E59C6" w14:textId="77777777" w:rsidR="004456D5" w:rsidRDefault="004456D5">
      <w:pPr>
        <w:sectPr w:rsidR="004456D5" w:rsidSect="005218B3">
          <w:headerReference w:type="even" r:id="rId16"/>
          <w:headerReference w:type="default" r:id="rId17"/>
          <w:footerReference w:type="even" r:id="rId18"/>
          <w:footerReference w:type="default" r:id="rId19"/>
          <w:pgSz w:w="11907" w:h="16840" w:code="9"/>
          <w:pgMar w:top="1985" w:right="1304" w:bottom="1247" w:left="1814" w:header="1701" w:footer="397" w:gutter="0"/>
          <w:pgNumType w:start="1" w:chapSep="period"/>
          <w:cols w:space="720"/>
        </w:sectPr>
      </w:pPr>
    </w:p>
    <w:p w14:paraId="3F537246" w14:textId="7A984C1B" w:rsidR="00A520DF" w:rsidRPr="00A71F5E" w:rsidRDefault="00A520DF" w:rsidP="00A71F5E">
      <w:pPr>
        <w:pStyle w:val="BoxSpaceAbove"/>
        <w:spacing w:before="0"/>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A520DF" w14:paraId="4A5B4F0D" w14:textId="77777777" w:rsidTr="000F3F4B">
        <w:tc>
          <w:tcPr>
            <w:tcW w:w="8771" w:type="dxa"/>
            <w:tcBorders>
              <w:top w:val="single" w:sz="6" w:space="0" w:color="78A22F"/>
              <w:left w:val="nil"/>
              <w:bottom w:val="nil"/>
              <w:right w:val="nil"/>
            </w:tcBorders>
            <w:shd w:val="clear" w:color="auto" w:fill="F2F2F2"/>
          </w:tcPr>
          <w:p w14:paraId="7F53BBDF" w14:textId="0331109A" w:rsidR="00A520DF" w:rsidRDefault="00A520DF" w:rsidP="00A520DF">
            <w:pPr>
              <w:pStyle w:val="BoxTitle"/>
            </w:pPr>
            <w:r>
              <w:t>Key points</w:t>
            </w:r>
          </w:p>
        </w:tc>
      </w:tr>
      <w:tr w:rsidR="00A520DF" w14:paraId="5C365B59" w14:textId="77777777" w:rsidTr="000F3F4B">
        <w:tc>
          <w:tcPr>
            <w:tcW w:w="8771" w:type="dxa"/>
            <w:tcBorders>
              <w:top w:val="nil"/>
              <w:left w:val="nil"/>
              <w:bottom w:val="nil"/>
              <w:right w:val="nil"/>
            </w:tcBorders>
            <w:shd w:val="clear" w:color="auto" w:fill="F2F2F2"/>
          </w:tcPr>
          <w:p w14:paraId="1B69A40E" w14:textId="0CB63793" w:rsidR="009D3554" w:rsidRDefault="00540DE5" w:rsidP="00EE3277">
            <w:pPr>
              <w:pStyle w:val="BoxListBullet"/>
            </w:pPr>
            <w:r>
              <w:t>T</w:t>
            </w:r>
            <w:r w:rsidR="00EE3277">
              <w:t>he productivity of the non</w:t>
            </w:r>
            <w:r w:rsidR="00AC6D60">
              <w:noBreakHyphen/>
            </w:r>
            <w:r w:rsidR="00EE3277">
              <w:t xml:space="preserve">market sector — the </w:t>
            </w:r>
            <w:r w:rsidR="003432F1">
              <w:t>health care</w:t>
            </w:r>
            <w:r w:rsidR="00EE3277">
              <w:t xml:space="preserve"> and social </w:t>
            </w:r>
            <w:r w:rsidR="00EC03AF">
              <w:t>services</w:t>
            </w:r>
            <w:r w:rsidR="00EE3277">
              <w:t xml:space="preserve">, education and training, and public administration and safety industries — is not </w:t>
            </w:r>
            <w:r w:rsidR="009D3554">
              <w:t>measured under the existing national accounts framework.</w:t>
            </w:r>
          </w:p>
          <w:p w14:paraId="06B62378" w14:textId="1840C001" w:rsidR="000A3AD2" w:rsidRDefault="000A3AD2" w:rsidP="000A3AD2">
            <w:pPr>
              <w:pStyle w:val="BoxListBullet2"/>
            </w:pPr>
            <w:r>
              <w:t>Although it is likely that both outputs and inputs to the non</w:t>
            </w:r>
            <w:r w:rsidR="00AC6D60">
              <w:noBreakHyphen/>
            </w:r>
            <w:r>
              <w:t>market sector have grown in recent years, the changing ratio between them — their productivity growth — remains unknown.</w:t>
            </w:r>
          </w:p>
          <w:p w14:paraId="147B676C" w14:textId="5A1624A7" w:rsidR="000A3AD2" w:rsidRDefault="000A3AD2" w:rsidP="000A3AD2">
            <w:pPr>
              <w:pStyle w:val="BoxListBullet2"/>
            </w:pPr>
            <w:r>
              <w:t>The crux of the problem is the lack of price information for the predominantly government</w:t>
            </w:r>
            <w:r w:rsidR="00AC6D60">
              <w:noBreakHyphen/>
            </w:r>
            <w:r>
              <w:t>subsidised services.</w:t>
            </w:r>
          </w:p>
          <w:p w14:paraId="5CAABFFB" w14:textId="719610D7" w:rsidR="000A3AD2" w:rsidRDefault="000A3AD2" w:rsidP="000A3AD2">
            <w:pPr>
              <w:pStyle w:val="BoxListBullet"/>
            </w:pPr>
            <w:r>
              <w:t>Measuring the productivity of the non</w:t>
            </w:r>
            <w:r>
              <w:noBreakHyphen/>
              <w:t xml:space="preserve">market sector is important, as it can provide an aggregate measure of the extent to which performance </w:t>
            </w:r>
            <w:r w:rsidR="003E15F2">
              <w:t>in</w:t>
            </w:r>
            <w:r>
              <w:t xml:space="preserve"> the different industries has been improving and taxpayers have been getting increasing value</w:t>
            </w:r>
            <w:r w:rsidR="00AC6D60">
              <w:noBreakHyphen/>
            </w:r>
            <w:r>
              <w:t>for</w:t>
            </w:r>
            <w:r w:rsidR="00AC6D60">
              <w:noBreakHyphen/>
            </w:r>
            <w:r>
              <w:t>money.</w:t>
            </w:r>
          </w:p>
          <w:p w14:paraId="6ACDD6D8" w14:textId="77777777" w:rsidR="001F1669" w:rsidRDefault="000A3AD2" w:rsidP="000A3AD2">
            <w:pPr>
              <w:pStyle w:val="BoxListBullet2"/>
            </w:pPr>
            <w:r>
              <w:t xml:space="preserve">The sector also forms a large and growing part of the economy, increasing the relevance of measuring and monitoring its performance. </w:t>
            </w:r>
          </w:p>
          <w:p w14:paraId="17F60F07" w14:textId="75B8158D" w:rsidR="000A3AD2" w:rsidRDefault="000A3AD2" w:rsidP="00583A87">
            <w:pPr>
              <w:pStyle w:val="BoxListBullet2"/>
            </w:pPr>
            <w:r>
              <w:t>Its inclusion in the national accounts is also necessary to ensure a complete picture of the Australian economy and to adhere to global standards for national accounts reporting.</w:t>
            </w:r>
          </w:p>
          <w:p w14:paraId="7E607DC4" w14:textId="15CF7A9C" w:rsidR="000A3AD2" w:rsidRDefault="000A3AD2" w:rsidP="000A3AD2">
            <w:pPr>
              <w:pStyle w:val="BoxListBullet"/>
            </w:pPr>
            <w:r>
              <w:t>There has been some global progress to develop a methodology for measuring non</w:t>
            </w:r>
            <w:r w:rsidR="00AC6D60">
              <w:noBreakHyphen/>
            </w:r>
            <w:r>
              <w:t>market sector productivity through direct output measures.</w:t>
            </w:r>
          </w:p>
          <w:p w14:paraId="56C5BBAB" w14:textId="64E2E5BE" w:rsidR="000A3AD2" w:rsidRDefault="000A3AD2" w:rsidP="000A3AD2">
            <w:pPr>
              <w:pStyle w:val="BoxListBullet2"/>
            </w:pPr>
            <w:r>
              <w:t xml:space="preserve">Although the methodology differs between countries, it generally involves </w:t>
            </w:r>
            <w:r w:rsidR="001F1669">
              <w:t xml:space="preserve">directly </w:t>
            </w:r>
            <w:r>
              <w:t xml:space="preserve">identifying the output of the different industry sectors, adjusting that output for changes in quality over time and aggregating different outputs into a single weighted index. </w:t>
            </w:r>
          </w:p>
          <w:p w14:paraId="28EC0F14" w14:textId="2CEDBAC9" w:rsidR="000A3AD2" w:rsidRDefault="000A3AD2" w:rsidP="000A3AD2">
            <w:pPr>
              <w:pStyle w:val="BoxListBullet"/>
            </w:pPr>
            <w:r>
              <w:t xml:space="preserve">The Australian Bureau of Statistics is currently working towards measuring the output of the </w:t>
            </w:r>
            <w:r w:rsidR="003432F1">
              <w:t>health care</w:t>
            </w:r>
            <w:r>
              <w:t xml:space="preserve"> sector by </w:t>
            </w:r>
            <w:r w:rsidRPr="00540DE5">
              <w:t>calculat</w:t>
            </w:r>
            <w:r>
              <w:t>ing</w:t>
            </w:r>
            <w:r w:rsidRPr="00540DE5">
              <w:t xml:space="preserve"> health output on the basis of </w:t>
            </w:r>
            <w:r>
              <w:t>diseases</w:t>
            </w:r>
            <w:r>
              <w:noBreakHyphen/>
              <w:t>treated, although there are ongoing methodological issues and data limitations.</w:t>
            </w:r>
          </w:p>
          <w:p w14:paraId="6BC048C8" w14:textId="39544E03" w:rsidR="000A3AD2" w:rsidRDefault="000A3AD2" w:rsidP="000A3AD2">
            <w:pPr>
              <w:pStyle w:val="BoxListBullet"/>
            </w:pPr>
            <w:r>
              <w:t>However, i</w:t>
            </w:r>
            <w:r w:rsidRPr="00540DE5">
              <w:t>nformation on non</w:t>
            </w:r>
            <w:r w:rsidR="00AC6D60">
              <w:noBreakHyphen/>
            </w:r>
            <w:r w:rsidRPr="00540DE5">
              <w:t>market sector productivity</w:t>
            </w:r>
            <w:r w:rsidR="00583A87">
              <w:t xml:space="preserve"> in the national accounts</w:t>
            </w:r>
            <w:r w:rsidRPr="00540DE5">
              <w:t xml:space="preserve"> </w:t>
            </w:r>
            <w:r>
              <w:t>may</w:t>
            </w:r>
            <w:r w:rsidRPr="00540DE5">
              <w:t xml:space="preserve"> not </w:t>
            </w:r>
            <w:r>
              <w:t xml:space="preserve">be </w:t>
            </w:r>
            <w:r w:rsidRPr="00540DE5">
              <w:t>detailed enough to provide much guidance for policy purposes</w:t>
            </w:r>
            <w:r>
              <w:t xml:space="preserve">. </w:t>
            </w:r>
          </w:p>
          <w:p w14:paraId="2BF474EC" w14:textId="007CADF0" w:rsidR="00540DE5" w:rsidRDefault="000A3AD2" w:rsidP="00583A87">
            <w:pPr>
              <w:pStyle w:val="BoxListBullet2"/>
            </w:pPr>
            <w:r>
              <w:t xml:space="preserve">Many of the most important </w:t>
            </w:r>
            <w:r w:rsidR="00D70971">
              <w:t xml:space="preserve">government </w:t>
            </w:r>
            <w:r>
              <w:t xml:space="preserve">choices </w:t>
            </w:r>
            <w:r w:rsidR="00D70971">
              <w:t xml:space="preserve">occur at </w:t>
            </w:r>
            <w:r w:rsidR="00583A87">
              <w:t>a</w:t>
            </w:r>
            <w:r w:rsidR="00D70971">
              <w:t xml:space="preserve"> micro</w:t>
            </w:r>
            <w:r w:rsidR="00AC6D60">
              <w:noBreakHyphen/>
            </w:r>
            <w:r w:rsidR="00D70971">
              <w:t xml:space="preserve">level, particularly those </w:t>
            </w:r>
            <w:r>
              <w:t>that lead to better outcomes for people (such as the best teaching methods, diffusion of good practice between service providers, market stewardship and the allocation of funding). More detailed indicators of non</w:t>
            </w:r>
            <w:r>
              <w:noBreakHyphen/>
              <w:t>market performance are needed for many of these choices.</w:t>
            </w:r>
          </w:p>
        </w:tc>
      </w:tr>
      <w:tr w:rsidR="00A520DF" w14:paraId="378AB09A" w14:textId="77777777" w:rsidTr="000F3F4B">
        <w:tc>
          <w:tcPr>
            <w:tcW w:w="8771" w:type="dxa"/>
            <w:tcBorders>
              <w:top w:val="nil"/>
              <w:left w:val="nil"/>
              <w:bottom w:val="single" w:sz="6" w:space="0" w:color="78A22F"/>
              <w:right w:val="nil"/>
            </w:tcBorders>
            <w:shd w:val="clear" w:color="auto" w:fill="F2F2F2"/>
          </w:tcPr>
          <w:p w14:paraId="6F0BECDC" w14:textId="77777777" w:rsidR="00A520DF" w:rsidRDefault="00A520DF">
            <w:pPr>
              <w:pStyle w:val="Box"/>
              <w:spacing w:before="0" w:line="120" w:lineRule="exact"/>
            </w:pPr>
          </w:p>
        </w:tc>
      </w:tr>
      <w:tr w:rsidR="00A520DF" w:rsidRPr="000863A5" w14:paraId="1DAA2924" w14:textId="77777777" w:rsidTr="000F3F4B">
        <w:tc>
          <w:tcPr>
            <w:tcW w:w="8771" w:type="dxa"/>
            <w:tcBorders>
              <w:top w:val="single" w:sz="6" w:space="0" w:color="78A22F"/>
              <w:left w:val="nil"/>
              <w:bottom w:val="nil"/>
              <w:right w:val="nil"/>
            </w:tcBorders>
          </w:tcPr>
          <w:p w14:paraId="5EA5E760" w14:textId="1BFCC206" w:rsidR="00A520DF" w:rsidRPr="00626D32" w:rsidRDefault="00A520DF" w:rsidP="000F3F4B">
            <w:pPr>
              <w:pStyle w:val="BoxSpaceBelow"/>
            </w:pPr>
          </w:p>
        </w:tc>
      </w:tr>
    </w:tbl>
    <w:p w14:paraId="4E891369" w14:textId="77777777" w:rsidR="00A7084C" w:rsidRDefault="00A7084C" w:rsidP="00A7084C">
      <w:pPr>
        <w:pStyle w:val="BodyText"/>
      </w:pPr>
      <w:r>
        <w:br w:type="page"/>
      </w:r>
    </w:p>
    <w:p w14:paraId="2993A859" w14:textId="06EFA11D" w:rsidR="00F0389F" w:rsidRDefault="00F0389F" w:rsidP="00F0389F">
      <w:pPr>
        <w:pStyle w:val="Heading1nochapterno"/>
        <w:rPr>
          <w:noProof/>
        </w:rPr>
      </w:pPr>
      <w:bookmarkStart w:id="4" w:name="_Toc488923577"/>
      <w:bookmarkStart w:id="5" w:name="_Toc488940671"/>
      <w:r w:rsidRPr="001D28CC">
        <w:lastRenderedPageBreak/>
        <w:t>Measuring</w:t>
      </w:r>
      <w:r>
        <w:t xml:space="preserve"> productivity in the non</w:t>
      </w:r>
      <w:r>
        <w:noBreakHyphen/>
        <w:t>market sector</w:t>
      </w:r>
    </w:p>
    <w:p w14:paraId="213BCC4F" w14:textId="183527BE" w:rsidR="001B138C" w:rsidRDefault="00D95F04" w:rsidP="003B308D">
      <w:pPr>
        <w:pStyle w:val="Heading2"/>
      </w:pPr>
      <w:r>
        <w:rPr>
          <w:noProof/>
        </w:rPr>
        <w:t>1</w:t>
      </w:r>
      <w:r w:rsidR="0076344C">
        <w:tab/>
      </w:r>
      <w:r w:rsidR="00437C8E">
        <w:t>Productivity and t</w:t>
      </w:r>
      <w:r w:rsidR="001B138C">
        <w:t>he non</w:t>
      </w:r>
      <w:r w:rsidR="00AC6D60">
        <w:noBreakHyphen/>
      </w:r>
      <w:r w:rsidR="001B138C">
        <w:t>market sector</w:t>
      </w:r>
      <w:bookmarkEnd w:id="4"/>
      <w:bookmarkEnd w:id="5"/>
    </w:p>
    <w:p w14:paraId="156579A2" w14:textId="1C178555" w:rsidR="00FE2F6A" w:rsidRDefault="00650F23" w:rsidP="00650F23">
      <w:pPr>
        <w:pStyle w:val="BodyText"/>
      </w:pPr>
      <w:r>
        <w:t xml:space="preserve">As part of the terms of reference for this </w:t>
      </w:r>
      <w:r w:rsidRPr="003C61FA">
        <w:t>inquiry</w:t>
      </w:r>
      <w:r>
        <w:t>,</w:t>
      </w:r>
      <w:r w:rsidRPr="003C61FA">
        <w:t xml:space="preserve"> </w:t>
      </w:r>
      <w:r>
        <w:t xml:space="preserve">the Commission has been asked to </w:t>
      </w:r>
      <w:r w:rsidRPr="003C61FA">
        <w:t xml:space="preserve">analyse Australia’s productivity performance in both the </w:t>
      </w:r>
      <w:r w:rsidR="009C395D">
        <w:t>‘</w:t>
      </w:r>
      <w:r w:rsidRPr="003C61FA">
        <w:t>market</w:t>
      </w:r>
      <w:r w:rsidR="009C395D">
        <w:t>’</w:t>
      </w:r>
      <w:r w:rsidRPr="003C61FA">
        <w:t xml:space="preserve"> and </w:t>
      </w:r>
      <w:r w:rsidR="009C395D">
        <w:t>the ‘</w:t>
      </w:r>
      <w:r w:rsidRPr="003C61FA">
        <w:t>non</w:t>
      </w:r>
      <w:r w:rsidR="00AC6D60">
        <w:noBreakHyphen/>
      </w:r>
      <w:r w:rsidRPr="003C61FA">
        <w:t>market</w:t>
      </w:r>
      <w:r w:rsidR="009C395D">
        <w:t>’</w:t>
      </w:r>
      <w:r w:rsidRPr="003C61FA">
        <w:t xml:space="preserve"> sectors</w:t>
      </w:r>
      <w:r>
        <w:t xml:space="preserve">. </w:t>
      </w:r>
      <w:r w:rsidR="00FE2F6A">
        <w:t>A</w:t>
      </w:r>
      <w:r>
        <w:t xml:space="preserve"> range of different measures </w:t>
      </w:r>
      <w:r w:rsidR="009C395D">
        <w:t>outlining</w:t>
      </w:r>
      <w:r>
        <w:t xml:space="preserve"> Australia’s productivity </w:t>
      </w:r>
      <w:r w:rsidR="00FE2F6A">
        <w:t>already exist,</w:t>
      </w:r>
      <w:r w:rsidR="009C395D" w:rsidRPr="003C61FA">
        <w:t xml:space="preserve"> </w:t>
      </w:r>
      <w:r w:rsidR="00FE2F6A">
        <w:t xml:space="preserve">with </w:t>
      </w:r>
      <w:r w:rsidR="00C77284">
        <w:t xml:space="preserve">their </w:t>
      </w:r>
      <w:r w:rsidR="00C77284" w:rsidRPr="003C61FA">
        <w:t>performance</w:t>
      </w:r>
      <w:r w:rsidR="00C77284">
        <w:t xml:space="preserve"> </w:t>
      </w:r>
      <w:r w:rsidR="00E81FF3">
        <w:t>trends examined in c</w:t>
      </w:r>
      <w:r w:rsidR="00B633AE">
        <w:t>hapter</w:t>
      </w:r>
      <w:r w:rsidR="00D93E1D">
        <w:t> </w:t>
      </w:r>
      <w:r w:rsidR="00B633AE">
        <w:t>1 of the main report.</w:t>
      </w:r>
    </w:p>
    <w:p w14:paraId="0ABDADAD" w14:textId="7CF62212" w:rsidR="00650F23" w:rsidRDefault="00FE2F6A" w:rsidP="00650F23">
      <w:pPr>
        <w:pStyle w:val="BodyText"/>
      </w:pPr>
      <w:r>
        <w:t xml:space="preserve">However, the most commonly used measure of productivity — the Australian Bureau of Statistics (ABS) estimates of multifactor productivity (MFP) in the national accounts (a statistical </w:t>
      </w:r>
      <w:r w:rsidRPr="004B6C1E">
        <w:t>summar</w:t>
      </w:r>
      <w:r>
        <w:t xml:space="preserve">y of the economy </w:t>
      </w:r>
      <w:r w:rsidRPr="004B6C1E">
        <w:t xml:space="preserve">and </w:t>
      </w:r>
      <w:r>
        <w:t xml:space="preserve">its </w:t>
      </w:r>
      <w:r w:rsidRPr="004B6C1E">
        <w:t>component</w:t>
      </w:r>
      <w:r>
        <w:t>s) — is confined to a subset of the economy</w:t>
      </w:r>
      <w:r w:rsidRPr="00A3334F">
        <w:t xml:space="preserve"> </w:t>
      </w:r>
      <w:r>
        <w:t xml:space="preserve">referred to as the </w:t>
      </w:r>
      <w:r w:rsidRPr="00A3334F">
        <w:rPr>
          <w:i/>
        </w:rPr>
        <w:t>market sector</w:t>
      </w:r>
      <w:r>
        <w:t>. Th</w:t>
      </w:r>
      <w:r w:rsidR="00E513A2">
        <w:t>is</w:t>
      </w:r>
      <w:r>
        <w:t xml:space="preserve"> </w:t>
      </w:r>
      <w:r w:rsidR="00E513A2">
        <w:t>measure</w:t>
      </w:r>
      <w:r>
        <w:t xml:space="preserve"> of Australia’s productivity</w:t>
      </w:r>
      <w:r w:rsidR="00650F23">
        <w:t xml:space="preserve"> </w:t>
      </w:r>
      <w:r w:rsidR="009C395D">
        <w:t>do</w:t>
      </w:r>
      <w:r w:rsidR="00E513A2">
        <w:t>es</w:t>
      </w:r>
      <w:r w:rsidR="009C395D">
        <w:t xml:space="preserve"> not include </w:t>
      </w:r>
      <w:r w:rsidR="00650F23">
        <w:t>the</w:t>
      </w:r>
      <w:r>
        <w:t xml:space="preserve"> </w:t>
      </w:r>
      <w:r w:rsidR="00E513A2">
        <w:t>performance</w:t>
      </w:r>
      <w:r>
        <w:t xml:space="preserve"> of the</w:t>
      </w:r>
      <w:r w:rsidR="00C77284">
        <w:t xml:space="preserve"> vitally important</w:t>
      </w:r>
      <w:r w:rsidR="00650F23">
        <w:t xml:space="preserve"> </w:t>
      </w:r>
      <w:r>
        <w:rPr>
          <w:i/>
        </w:rPr>
        <w:t>non</w:t>
      </w:r>
      <w:r>
        <w:rPr>
          <w:i/>
        </w:rPr>
        <w:noBreakHyphen/>
      </w:r>
      <w:r w:rsidR="00650F23" w:rsidRPr="00A3334F">
        <w:rPr>
          <w:i/>
        </w:rPr>
        <w:t>market sector</w:t>
      </w:r>
      <w:r w:rsidR="00650F23">
        <w:t xml:space="preserve"> — consisting of the </w:t>
      </w:r>
      <w:r w:rsidR="003432F1">
        <w:t>health care</w:t>
      </w:r>
      <w:r w:rsidR="00650F23" w:rsidRPr="00720632">
        <w:t xml:space="preserve"> </w:t>
      </w:r>
      <w:r w:rsidR="00650F23">
        <w:t>and</w:t>
      </w:r>
      <w:r w:rsidR="00650F23" w:rsidRPr="00720632">
        <w:t xml:space="preserve"> social </w:t>
      </w:r>
      <w:r w:rsidR="00650F23">
        <w:t>services, public administration and safety, and education and training industries.</w:t>
      </w:r>
    </w:p>
    <w:p w14:paraId="2F809FE2" w14:textId="716E2DEF" w:rsidR="003B308D" w:rsidRDefault="00464A4A" w:rsidP="00650F23">
      <w:pPr>
        <w:pStyle w:val="Heading3"/>
      </w:pPr>
      <w:r>
        <w:t>Why is non</w:t>
      </w:r>
      <w:r w:rsidR="00AC6D60">
        <w:noBreakHyphen/>
      </w:r>
      <w:r>
        <w:t xml:space="preserve">market productivity not measured? </w:t>
      </w:r>
    </w:p>
    <w:p w14:paraId="0DEF79D4" w14:textId="504CF2DF" w:rsidR="003C61FA" w:rsidRDefault="009C395D" w:rsidP="001A5445">
      <w:pPr>
        <w:pStyle w:val="BodyText"/>
      </w:pPr>
      <w:r>
        <w:t xml:space="preserve">The main reason </w:t>
      </w:r>
      <w:r w:rsidR="00FE2F6A">
        <w:t>for the different treatment of the non</w:t>
      </w:r>
      <w:r w:rsidR="00AC6D60">
        <w:noBreakHyphen/>
      </w:r>
      <w:r w:rsidR="00FE2F6A">
        <w:t xml:space="preserve">market sector relates to the availability of </w:t>
      </w:r>
      <w:r w:rsidR="003C2DA3">
        <w:t xml:space="preserve">price </w:t>
      </w:r>
      <w:r w:rsidR="00FE2F6A">
        <w:t xml:space="preserve">data. </w:t>
      </w:r>
    </w:p>
    <w:p w14:paraId="26CA7D45" w14:textId="27A791CC" w:rsidR="001A5445" w:rsidRDefault="000411D4" w:rsidP="001A5445">
      <w:pPr>
        <w:pStyle w:val="BodyText"/>
      </w:pPr>
      <w:r>
        <w:t xml:space="preserve">In </w:t>
      </w:r>
      <w:r w:rsidRPr="003C61FA">
        <w:t>the market sector, the exchange of goods and services takes place at observed</w:t>
      </w:r>
      <w:r w:rsidR="003C2DA3">
        <w:t>,</w:t>
      </w:r>
      <w:r w:rsidRPr="003C61FA">
        <w:t xml:space="preserve"> market</w:t>
      </w:r>
      <w:r w:rsidR="003C2DA3">
        <w:noBreakHyphen/>
        <w:t>determined</w:t>
      </w:r>
      <w:r w:rsidRPr="003C61FA">
        <w:t xml:space="preserve"> prices. </w:t>
      </w:r>
      <w:r w:rsidR="001A5445">
        <w:t>The observability of prices is important because first, it ensures that the productivity relates to a ‘good’ that is actually good — that is, people only pay for things they value. In addition, prices solve another problem because they allow aggregation of heterogeneous goods and services into meaningful composites (box</w:t>
      </w:r>
      <w:r w:rsidR="00AC6D60">
        <w:t> </w:t>
      </w:r>
      <w:r w:rsidR="00B633AE">
        <w:t>1</w:t>
      </w:r>
      <w:r w:rsidR="00F0389F">
        <w:t>).</w:t>
      </w:r>
    </w:p>
    <w:p w14:paraId="5B83AD8B" w14:textId="77777777" w:rsidR="00F0389F" w:rsidRDefault="00F0389F" w:rsidP="00F0389F">
      <w:pPr>
        <w:pStyle w:val="BodyText"/>
      </w:pPr>
      <w:r>
        <w:t>However, the goods and services provided by the health care</w:t>
      </w:r>
      <w:r w:rsidRPr="00720632">
        <w:t xml:space="preserve"> </w:t>
      </w:r>
      <w:r>
        <w:t>and</w:t>
      </w:r>
      <w:r w:rsidRPr="00720632">
        <w:t xml:space="preserve"> social </w:t>
      </w:r>
      <w:r>
        <w:t>services, public administration and safety, and education and training industries are often free of charge or heavily subsidised due to significant government involvement.</w:t>
      </w:r>
      <w:r w:rsidRPr="003F6B1C">
        <w:rPr>
          <w:rStyle w:val="FootnoteReference"/>
        </w:rPr>
        <w:footnoteReference w:id="2"/>
      </w:r>
      <w:r>
        <w:t xml:space="preserve"> Lacking prices in the </w:t>
      </w:r>
      <w:r>
        <w:lastRenderedPageBreak/>
        <w:t>non</w:t>
      </w:r>
      <w:r>
        <w:noBreakHyphen/>
        <w:t>market sector, the natural basis for aggregation into composite output measures also disappears, and with it, easily calculable productivity measures.</w:t>
      </w:r>
    </w:p>
    <w:p w14:paraId="26AA8EB3" w14:textId="1233C9AA" w:rsidR="001A5445" w:rsidRPr="00E13F4C" w:rsidRDefault="001A5445" w:rsidP="00F0389F">
      <w:pPr>
        <w:pStyle w:val="BoxSpaceAbove"/>
        <w:spacing w:before="100"/>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1A5445" w14:paraId="11331A9D" w14:textId="77777777" w:rsidTr="00F53FA8">
        <w:tc>
          <w:tcPr>
            <w:tcW w:w="8771" w:type="dxa"/>
            <w:tcBorders>
              <w:top w:val="single" w:sz="6" w:space="0" w:color="78A22F"/>
              <w:left w:val="nil"/>
              <w:bottom w:val="nil"/>
              <w:right w:val="nil"/>
            </w:tcBorders>
            <w:shd w:val="clear" w:color="auto" w:fill="F2F2F2"/>
          </w:tcPr>
          <w:p w14:paraId="78312A5D" w14:textId="42679DE2" w:rsidR="001A5445" w:rsidRDefault="001A5445" w:rsidP="00F53FA8">
            <w:pPr>
              <w:pStyle w:val="BoxTitle"/>
            </w:pPr>
            <w:r>
              <w:rPr>
                <w:b w:val="0"/>
              </w:rPr>
              <w:t xml:space="preserve">Box </w:t>
            </w:r>
            <w:r w:rsidR="00D95F04">
              <w:rPr>
                <w:b w:val="0"/>
                <w:noProof/>
              </w:rPr>
              <w:t>1</w:t>
            </w:r>
            <w:r>
              <w:tab/>
              <w:t>The importance of prices</w:t>
            </w:r>
          </w:p>
        </w:tc>
      </w:tr>
      <w:tr w:rsidR="001A5445" w14:paraId="29A2BE67" w14:textId="77777777" w:rsidTr="00F53FA8">
        <w:tc>
          <w:tcPr>
            <w:tcW w:w="8771" w:type="dxa"/>
            <w:tcBorders>
              <w:top w:val="nil"/>
              <w:left w:val="nil"/>
              <w:bottom w:val="nil"/>
              <w:right w:val="nil"/>
            </w:tcBorders>
            <w:shd w:val="clear" w:color="auto" w:fill="F2F2F2"/>
          </w:tcPr>
          <w:p w14:paraId="7090B101" w14:textId="411C3E0E" w:rsidR="001A5445" w:rsidRDefault="001A5445" w:rsidP="00F53FA8">
            <w:pPr>
              <w:pStyle w:val="Box"/>
            </w:pPr>
            <w:r>
              <w:t>As an</w:t>
            </w:r>
            <w:r w:rsidRPr="00A6449F">
              <w:t xml:space="preserve"> example</w:t>
            </w:r>
            <w:r>
              <w:t xml:space="preserve"> of why </w:t>
            </w:r>
            <w:r w:rsidR="00AA2349">
              <w:t xml:space="preserve">observable market </w:t>
            </w:r>
            <w:r>
              <w:t xml:space="preserve">prices are important, consider </w:t>
            </w:r>
            <w:r w:rsidRPr="00A6449F">
              <w:t xml:space="preserve">a factory producing only </w:t>
            </w:r>
            <w:r>
              <w:t xml:space="preserve">100 </w:t>
            </w:r>
            <w:r w:rsidRPr="00A6449F">
              <w:t xml:space="preserve">expensive SUVs and </w:t>
            </w:r>
            <w:r>
              <w:t xml:space="preserve">100 </w:t>
            </w:r>
            <w:r w:rsidRPr="00A6449F">
              <w:t>cheap hatchbacks</w:t>
            </w:r>
            <w:r>
              <w:t xml:space="preserve"> per year, but where prices are unknown. </w:t>
            </w:r>
          </w:p>
          <w:p w14:paraId="79E36780" w14:textId="0AFF4CDA" w:rsidR="001A5445" w:rsidRDefault="001A5445" w:rsidP="00F53FA8">
            <w:pPr>
              <w:pStyle w:val="Box"/>
            </w:pPr>
            <w:r>
              <w:t xml:space="preserve">In trying to </w:t>
            </w:r>
            <w:r w:rsidR="00AA2349">
              <w:t>meaningfully measure</w:t>
            </w:r>
            <w:r>
              <w:t xml:space="preserve"> </w:t>
            </w:r>
            <w:r w:rsidR="008C5ABE">
              <w:t>what</w:t>
            </w:r>
            <w:r>
              <w:t xml:space="preserve"> the factory</w:t>
            </w:r>
            <w:r w:rsidR="008C5ABE">
              <w:t xml:space="preserve"> produces</w:t>
            </w:r>
            <w:r>
              <w:t xml:space="preserve">, it would not be correct to simply add up the </w:t>
            </w:r>
            <w:r w:rsidRPr="001A5445">
              <w:rPr>
                <w:i/>
              </w:rPr>
              <w:t>number</w:t>
            </w:r>
            <w:r>
              <w:t xml:space="preserve"> of cars produced and </w:t>
            </w:r>
            <w:r w:rsidRPr="00917DE3">
              <w:t>say</w:t>
            </w:r>
            <w:r>
              <w:t xml:space="preserve"> that </w:t>
            </w:r>
            <w:r w:rsidR="008C5ABE">
              <w:t xml:space="preserve">their </w:t>
            </w:r>
            <w:r>
              <w:t xml:space="preserve">production is 200 units, as consumers value SUVs and hatchbacks differently. For instance, if the factory decided to focus only on producing 200 SUVs and no hatchbacks, then the number of units produced would remain </w:t>
            </w:r>
            <w:r w:rsidR="005862FA">
              <w:t xml:space="preserve">at </w:t>
            </w:r>
            <w:r>
              <w:t xml:space="preserve">200, even though consumers </w:t>
            </w:r>
            <w:r w:rsidR="007E1DC3">
              <w:t xml:space="preserve">would </w:t>
            </w:r>
            <w:r>
              <w:t xml:space="preserve">value the factory’s output more. </w:t>
            </w:r>
          </w:p>
          <w:p w14:paraId="2406882C" w14:textId="40698927" w:rsidR="001A5445" w:rsidRDefault="001A5445" w:rsidP="008C5ABE">
            <w:pPr>
              <w:pStyle w:val="Box"/>
            </w:pPr>
            <w:r>
              <w:t xml:space="preserve">Prices solve the problem of trying to aggregate different types of goods and services into a single </w:t>
            </w:r>
            <w:r w:rsidR="008C5ABE">
              <w:t xml:space="preserve">output </w:t>
            </w:r>
            <w:r w:rsidR="007E1DC3">
              <w:t xml:space="preserve">measure </w:t>
            </w:r>
            <w:r>
              <w:t xml:space="preserve">by providing guidance on the relative value of different products. Thus, if the price of an SUV is three times that of a hatchback, then the factory’s output would have increased in value by 50 per cent from swapping to produce only SUVs. </w:t>
            </w:r>
          </w:p>
        </w:tc>
      </w:tr>
      <w:tr w:rsidR="001A5445" w14:paraId="15D81FE9" w14:textId="77777777" w:rsidTr="00F53FA8">
        <w:tc>
          <w:tcPr>
            <w:tcW w:w="8771" w:type="dxa"/>
            <w:tcBorders>
              <w:top w:val="nil"/>
              <w:left w:val="nil"/>
              <w:bottom w:val="single" w:sz="6" w:space="0" w:color="78A22F"/>
              <w:right w:val="nil"/>
            </w:tcBorders>
            <w:shd w:val="clear" w:color="auto" w:fill="F2F2F2"/>
          </w:tcPr>
          <w:p w14:paraId="1656AA83" w14:textId="77777777" w:rsidR="001A5445" w:rsidRDefault="001A5445" w:rsidP="00F53FA8">
            <w:pPr>
              <w:pStyle w:val="Box"/>
              <w:spacing w:before="0" w:line="120" w:lineRule="exact"/>
            </w:pPr>
          </w:p>
        </w:tc>
      </w:tr>
      <w:tr w:rsidR="001A5445" w:rsidRPr="000863A5" w14:paraId="64AA0551" w14:textId="77777777" w:rsidTr="00F53FA8">
        <w:tc>
          <w:tcPr>
            <w:tcW w:w="8771" w:type="dxa"/>
            <w:tcBorders>
              <w:top w:val="single" w:sz="6" w:space="0" w:color="78A22F"/>
              <w:left w:val="nil"/>
              <w:bottom w:val="nil"/>
              <w:right w:val="nil"/>
            </w:tcBorders>
          </w:tcPr>
          <w:p w14:paraId="1F4CE997" w14:textId="2942B2B4" w:rsidR="001A5445" w:rsidRPr="00E13F4C" w:rsidRDefault="001A5445" w:rsidP="00F53FA8">
            <w:pPr>
              <w:pStyle w:val="BoxSpaceBelow"/>
            </w:pPr>
          </w:p>
        </w:tc>
      </w:tr>
    </w:tbl>
    <w:p w14:paraId="3DD35889" w14:textId="0DCAACD8" w:rsidR="00464A4A" w:rsidRDefault="000032AB" w:rsidP="00464A4A">
      <w:pPr>
        <w:pStyle w:val="BodyText"/>
      </w:pPr>
      <w:r>
        <w:t>Because</w:t>
      </w:r>
      <w:r w:rsidR="00464A4A">
        <w:t xml:space="preserve"> of these difficulties, output estimates in the non</w:t>
      </w:r>
      <w:r w:rsidR="00464A4A">
        <w:noBreakHyphen/>
        <w:t>market sector have traditionally been based on the total cost of production (that is, the total cost of inputs, also known as an ‘output</w:t>
      </w:r>
      <w:r w:rsidR="00C10F85">
        <w:t> </w:t>
      </w:r>
      <w:r w:rsidR="00464A4A">
        <w:t>=</w:t>
      </w:r>
      <w:r w:rsidR="00C10F85">
        <w:t> </w:t>
      </w:r>
      <w:r w:rsidR="00464A4A">
        <w:t>input’ model). By definition, this means measured productivity growth is zero,</w:t>
      </w:r>
      <w:r w:rsidR="00464A4A" w:rsidRPr="00E7615A">
        <w:t xml:space="preserve"> </w:t>
      </w:r>
      <w:r w:rsidR="00464A4A">
        <w:t>as output growth is determined directly by growth</w:t>
      </w:r>
      <w:r w:rsidR="00464A4A" w:rsidRPr="0091351C">
        <w:t xml:space="preserve"> </w:t>
      </w:r>
      <w:r w:rsidR="00464A4A">
        <w:t xml:space="preserve">in inputs </w:t>
      </w:r>
      <w:r w:rsidR="00B93C3B" w:rsidRPr="00B93C3B">
        <w:rPr>
          <w:szCs w:val="24"/>
        </w:rPr>
        <w:t>(Dunleavy 2016; PC 2016)</w:t>
      </w:r>
      <w:r w:rsidR="00464A4A">
        <w:t>.</w:t>
      </w:r>
    </w:p>
    <w:p w14:paraId="6FF85290" w14:textId="5D4EB9A5" w:rsidR="00464A4A" w:rsidRDefault="00464A4A" w:rsidP="00464A4A">
      <w:pPr>
        <w:pStyle w:val="BodyText"/>
      </w:pPr>
      <w:r>
        <w:t>There are also challenges in measuring the inputs to the non</w:t>
      </w:r>
      <w:r w:rsidR="00AC6D60">
        <w:noBreakHyphen/>
      </w:r>
      <w:r>
        <w:t xml:space="preserve">market sector, such as </w:t>
      </w:r>
      <w:r w:rsidR="007C305A">
        <w:t xml:space="preserve">adequate </w:t>
      </w:r>
      <w:r>
        <w:t xml:space="preserve">quality adjustment for labour inputs, </w:t>
      </w:r>
      <w:r w:rsidR="000032AB">
        <w:t xml:space="preserve">difficulties measuring the </w:t>
      </w:r>
      <w:r w:rsidR="00E36D54">
        <w:t>actual value of</w:t>
      </w:r>
      <w:r>
        <w:t xml:space="preserve"> capital services </w:t>
      </w:r>
      <w:r w:rsidR="00E36D54">
        <w:t xml:space="preserve">used </w:t>
      </w:r>
      <w:r>
        <w:t>and accounting and definitional differences that affect data collection. However, none of these difficulties are unique to non</w:t>
      </w:r>
      <w:r w:rsidR="00AC6D60">
        <w:noBreakHyphen/>
      </w:r>
      <w:r>
        <w:t>market industries.</w:t>
      </w:r>
    </w:p>
    <w:p w14:paraId="65316DF9" w14:textId="788919E7" w:rsidR="00952368" w:rsidRDefault="009205DA" w:rsidP="00464A4A">
      <w:pPr>
        <w:pStyle w:val="BodyText"/>
      </w:pPr>
      <w:r>
        <w:t>A</w:t>
      </w:r>
      <w:r w:rsidR="00A902D2">
        <w:t xml:space="preserve"> range of other </w:t>
      </w:r>
      <w:r w:rsidR="000C1862">
        <w:t xml:space="preserve">economic </w:t>
      </w:r>
      <w:r w:rsidR="00A902D2">
        <w:t xml:space="preserve">activities </w:t>
      </w:r>
      <w:r w:rsidR="000C1862">
        <w:t xml:space="preserve">are also not measured within productivity statistics </w:t>
      </w:r>
      <w:r w:rsidR="00A902D2">
        <w:t>(box</w:t>
      </w:r>
      <w:r w:rsidR="00AC6D60">
        <w:t> </w:t>
      </w:r>
      <w:r w:rsidR="00B633AE">
        <w:t>2</w:t>
      </w:r>
      <w:r w:rsidR="00A902D2">
        <w:t xml:space="preserve">). </w:t>
      </w:r>
      <w:r w:rsidR="009F380A" w:rsidRPr="003B308D">
        <w:t xml:space="preserve">However, for the purposes of this </w:t>
      </w:r>
      <w:r w:rsidR="009F380A">
        <w:t>inquiry</w:t>
      </w:r>
      <w:r w:rsidR="009F380A" w:rsidRPr="003B308D">
        <w:t xml:space="preserve"> the </w:t>
      </w:r>
      <w:r w:rsidR="000C1862">
        <w:t xml:space="preserve">discussion of </w:t>
      </w:r>
      <w:r w:rsidR="00892FC5">
        <w:t xml:space="preserve">the </w:t>
      </w:r>
      <w:r w:rsidR="009F380A" w:rsidRPr="003B308D">
        <w:t>‘non</w:t>
      </w:r>
      <w:r w:rsidR="00AC6D60">
        <w:noBreakHyphen/>
      </w:r>
      <w:r w:rsidR="009F380A" w:rsidRPr="003B308D">
        <w:t>market sector</w:t>
      </w:r>
      <w:r w:rsidR="00892FC5">
        <w:t>’</w:t>
      </w:r>
      <w:r w:rsidR="000C1862">
        <w:t xml:space="preserve"> </w:t>
      </w:r>
      <w:r w:rsidR="009F380A" w:rsidRPr="003B308D">
        <w:t>is confined to only those industries</w:t>
      </w:r>
      <w:r w:rsidR="008C4534">
        <w:t xml:space="preserve"> defined by the ABS as non</w:t>
      </w:r>
      <w:r w:rsidR="00AC6D60">
        <w:noBreakHyphen/>
      </w:r>
      <w:r w:rsidR="008C4534">
        <w:t>market and</w:t>
      </w:r>
      <w:r w:rsidR="009F380A" w:rsidRPr="003B308D">
        <w:t xml:space="preserve"> </w:t>
      </w:r>
      <w:r w:rsidR="00E36D54">
        <w:t>where governments set zero or highly regulated prices</w:t>
      </w:r>
      <w:r w:rsidR="00E7290E">
        <w:t xml:space="preserve"> — </w:t>
      </w:r>
      <w:r w:rsidR="00E4742B">
        <w:t xml:space="preserve">namely, </w:t>
      </w:r>
      <w:r w:rsidR="00E7290E">
        <w:t xml:space="preserve">the </w:t>
      </w:r>
      <w:r w:rsidR="003432F1">
        <w:t>health care</w:t>
      </w:r>
      <w:r w:rsidR="00E7290E" w:rsidRPr="00720632">
        <w:t xml:space="preserve"> </w:t>
      </w:r>
      <w:r w:rsidR="00E7290E">
        <w:t>and</w:t>
      </w:r>
      <w:r w:rsidR="00E7290E" w:rsidRPr="00720632">
        <w:t xml:space="preserve"> social </w:t>
      </w:r>
      <w:r w:rsidR="00E7290E">
        <w:t>services, public administration and safety, and education and training industries</w:t>
      </w:r>
      <w:r w:rsidR="00E36D54">
        <w:t>. G</w:t>
      </w:r>
      <w:r w:rsidR="009F380A" w:rsidRPr="003B308D">
        <w:t xml:space="preserve">overnments </w:t>
      </w:r>
      <w:r w:rsidR="00892FC5">
        <w:t xml:space="preserve">also </w:t>
      </w:r>
      <w:r w:rsidR="009F380A" w:rsidRPr="003B308D">
        <w:t xml:space="preserve">control most of the levers shaping productivity in </w:t>
      </w:r>
      <w:r w:rsidR="00E36D54">
        <w:t>this</w:t>
      </w:r>
      <w:r w:rsidR="009F380A" w:rsidRPr="003B308D">
        <w:t xml:space="preserve"> sector in their role as purchasers, providers and regulators</w:t>
      </w:r>
      <w:r w:rsidR="00892FC5">
        <w:t xml:space="preserve"> —</w:t>
      </w:r>
      <w:r w:rsidR="009F380A" w:rsidRPr="003B308D">
        <w:t xml:space="preserve"> making it readily amenable to policy action</w:t>
      </w:r>
      <w:r w:rsidR="007A4669">
        <w:t>.</w:t>
      </w:r>
    </w:p>
    <w:p w14:paraId="462ACEC3" w14:textId="77777777" w:rsidR="007A4669" w:rsidRDefault="007A4669" w:rsidP="007A4669">
      <w:pPr>
        <w:pStyle w:val="Heading3"/>
      </w:pPr>
      <w:r>
        <w:t>Why does it matter? — the importance of productivity measurement</w:t>
      </w:r>
    </w:p>
    <w:p w14:paraId="734AF809" w14:textId="77777777" w:rsidR="007A4669" w:rsidRDefault="007A4669" w:rsidP="007A4669">
      <w:pPr>
        <w:pStyle w:val="BodyText"/>
      </w:pPr>
      <w:r>
        <w:t>Despite measurement difficulties, productivity in the non</w:t>
      </w:r>
      <w:r>
        <w:noBreakHyphen/>
        <w:t xml:space="preserve">market sector is important. </w:t>
      </w:r>
    </w:p>
    <w:p w14:paraId="5A5B383B" w14:textId="1E1A7260" w:rsidR="007A4669" w:rsidRDefault="007A4669" w:rsidP="007A4669">
      <w:pPr>
        <w:pStyle w:val="BodyText"/>
      </w:pPr>
      <w:r>
        <w:t>First, as many of the inputs to the non</w:t>
      </w:r>
      <w:r>
        <w:noBreakHyphen/>
        <w:t xml:space="preserve">market sector are funded by Australian taxpayers, </w:t>
      </w:r>
      <w:r w:rsidRPr="00477C35">
        <w:t>productivity</w:t>
      </w:r>
      <w:r>
        <w:t xml:space="preserve"> measures are</w:t>
      </w:r>
      <w:r w:rsidRPr="007E517C">
        <w:t xml:space="preserve"> </w:t>
      </w:r>
      <w:r>
        <w:t>important to demonstrate that taxpayers</w:t>
      </w:r>
      <w:r w:rsidRPr="00477C35">
        <w:t xml:space="preserve"> are </w:t>
      </w:r>
      <w:r>
        <w:t>obtaining</w:t>
      </w:r>
      <w:r w:rsidRPr="00477C35">
        <w:t xml:space="preserve"> </w:t>
      </w:r>
      <w:r>
        <w:t xml:space="preserve">good value for their money through the greatest possible output </w:t>
      </w:r>
      <w:r w:rsidRPr="00D14BD6">
        <w:rPr>
          <w:szCs w:val="24"/>
        </w:rPr>
        <w:t>(Australian Government 2007; Gruen 2012)</w:t>
      </w:r>
      <w:r>
        <w:t>.</w:t>
      </w:r>
    </w:p>
    <w:p w14:paraId="1D1971D4" w14:textId="470E5DD2" w:rsidR="003B308D" w:rsidRDefault="003B308D" w:rsidP="00A71F5E">
      <w:pPr>
        <w:pStyle w:val="BoxSpaceAbove"/>
      </w:pPr>
    </w:p>
    <w:tbl>
      <w:tblPr>
        <w:tblW w:w="4859" w:type="pct"/>
        <w:tblInd w:w="113"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817"/>
      </w:tblGrid>
      <w:tr w:rsidR="007A4669" w14:paraId="14EA3C91" w14:textId="77777777" w:rsidTr="003176ED">
        <w:tc>
          <w:tcPr>
            <w:tcW w:w="5000" w:type="pct"/>
            <w:tcBorders>
              <w:top w:val="single" w:sz="6" w:space="0" w:color="78A22F"/>
              <w:left w:val="nil"/>
              <w:bottom w:val="nil"/>
              <w:right w:val="nil"/>
            </w:tcBorders>
            <w:shd w:val="clear" w:color="auto" w:fill="F2F2F2"/>
          </w:tcPr>
          <w:p w14:paraId="398A97B1" w14:textId="77777777" w:rsidR="007A4669" w:rsidRDefault="007A4669" w:rsidP="003176ED">
            <w:pPr>
              <w:pStyle w:val="BoxTitle"/>
            </w:pPr>
            <w:r>
              <w:rPr>
                <w:b w:val="0"/>
              </w:rPr>
              <w:t>Box 2</w:t>
            </w:r>
            <w:r>
              <w:tab/>
              <w:t>Unmeasured, but not unimportant</w:t>
            </w:r>
          </w:p>
        </w:tc>
      </w:tr>
      <w:tr w:rsidR="007A4669" w14:paraId="4190F8E6" w14:textId="77777777" w:rsidTr="003176ED">
        <w:tc>
          <w:tcPr>
            <w:tcW w:w="5000" w:type="pct"/>
            <w:tcBorders>
              <w:top w:val="nil"/>
              <w:left w:val="nil"/>
              <w:bottom w:val="nil"/>
              <w:right w:val="nil"/>
            </w:tcBorders>
            <w:shd w:val="clear" w:color="auto" w:fill="F2F2F2"/>
          </w:tcPr>
          <w:p w14:paraId="7922434A" w14:textId="77777777" w:rsidR="007A4669" w:rsidRPr="000C1862" w:rsidRDefault="007A4669" w:rsidP="003176ED">
            <w:pPr>
              <w:pStyle w:val="Box"/>
            </w:pPr>
            <w:r w:rsidRPr="000C1862">
              <w:t xml:space="preserve">Within the national accounts, the ownership of dwellings — measured as the housing services provided by dwellings — is another </w:t>
            </w:r>
            <w:r>
              <w:t>‘</w:t>
            </w:r>
            <w:r w:rsidRPr="000C1862">
              <w:t>industry</w:t>
            </w:r>
            <w:r>
              <w:t>’</w:t>
            </w:r>
            <w:r w:rsidRPr="000C1862">
              <w:t xml:space="preserve"> that is also excluded from </w:t>
            </w:r>
            <w:r>
              <w:t xml:space="preserve">most </w:t>
            </w:r>
            <w:r w:rsidRPr="000C1862">
              <w:t xml:space="preserve">productivity analysis. </w:t>
            </w:r>
            <w:r>
              <w:t>This is because t</w:t>
            </w:r>
            <w:r w:rsidRPr="000C1862">
              <w:t xml:space="preserve">he output of this ‘industry’ resembles the flow of services that is obtained from </w:t>
            </w:r>
            <w:r>
              <w:t>a</w:t>
            </w:r>
            <w:r w:rsidRPr="000C1862">
              <w:t xml:space="preserve"> durable good, involving no employment and hence no labour productivity.</w:t>
            </w:r>
          </w:p>
          <w:p w14:paraId="327C6C10" w14:textId="77777777" w:rsidR="007A4669" w:rsidRDefault="007A4669" w:rsidP="003176ED">
            <w:pPr>
              <w:pStyle w:val="Box"/>
            </w:pPr>
            <w:r>
              <w:t>Outside the national accounts, unpaid home production and volunteering are also not included in productivity measures, as they generally occur beyond the ‘production boundary’ and are not included in other national accounts measures either (such as GDP and GNI). Within this area (comprising activities</w:t>
            </w:r>
            <w:r w:rsidRPr="007F1FA8">
              <w:t xml:space="preserve"> such as </w:t>
            </w:r>
            <w:r>
              <w:t>child</w:t>
            </w:r>
            <w:r w:rsidRPr="007F1FA8">
              <w:t>care</w:t>
            </w:r>
            <w:r>
              <w:t>, community services, meal preparation, gardening, housework, and shopping) labour is unpaid and largely unobserved. For many people, the hours spent in such unpaid activities significantly exceed those spent in market production — this pattern is particularly prominent for women with child</w:t>
            </w:r>
            <w:r>
              <w:noBreakHyphen/>
              <w:t xml:space="preserve">caring responsibilities and people aged over 65 years. For example, a woman in a couple with children spends about 55 hours in unpaid work and just over 20 hours in paid work, on average, each week </w:t>
            </w:r>
            <w:r w:rsidRPr="00765F02">
              <w:rPr>
                <w:rFonts w:cs="Arial"/>
                <w:szCs w:val="24"/>
              </w:rPr>
              <w:t>(Wilkins 2014)</w:t>
            </w:r>
            <w:r>
              <w:t>.</w:t>
            </w:r>
          </w:p>
          <w:p w14:paraId="6A4A7727" w14:textId="77777777" w:rsidR="007A4669" w:rsidRDefault="007A4669" w:rsidP="003176ED">
            <w:pPr>
              <w:pStyle w:val="Box"/>
            </w:pPr>
            <w:r>
              <w:t>It is difficult to measure the value of unpaid work given the absence of market</w:t>
            </w:r>
            <w:r>
              <w:noBreakHyphen/>
              <w:t xml:space="preserve">determined wages, but the evidence suggests that unpaid work is a profoundly important source of economic activity. In 2014, the ABS estimated that the market value of unpaid work, including time spent volunteering, was equivalent to between 40 to 60 per cent of GDP in 2006, depending on the method of estimation </w:t>
            </w:r>
            <w:r w:rsidRPr="00765F02">
              <w:rPr>
                <w:rFonts w:cs="Arial"/>
                <w:szCs w:val="24"/>
              </w:rPr>
              <w:t>(ABS 2014)</w:t>
            </w:r>
            <w:r>
              <w:t>.</w:t>
            </w:r>
          </w:p>
          <w:p w14:paraId="45CA0F19" w14:textId="77777777" w:rsidR="007A4669" w:rsidRDefault="007A4669" w:rsidP="003176ED">
            <w:pPr>
              <w:pStyle w:val="Box"/>
            </w:pPr>
            <w:r>
              <w:t>The measurement of the productivity of unpaid work is even more challenging than obtaining approximate indicators of its value. Nevertheless, there is compelling evidence — both direct and indirect — that labour productivity has improved in many unpaid activities over the past century, due to the spread of labour</w:t>
            </w:r>
            <w:r>
              <w:noBreakHyphen/>
              <w:t>saving household appliances such as dishwashers and washing machines. However, the gains (at least in the United States) seem largely confined to the period preceding the 1980s.</w:t>
            </w:r>
          </w:p>
          <w:p w14:paraId="73B21C8D" w14:textId="77777777" w:rsidR="007A4669" w:rsidRDefault="007A4669" w:rsidP="003176ED">
            <w:pPr>
              <w:pStyle w:val="Box"/>
            </w:pPr>
            <w:r w:rsidRPr="008559FA">
              <w:t xml:space="preserve">While the contribution of home production activities to the economy </w:t>
            </w:r>
            <w:r>
              <w:t>has been</w:t>
            </w:r>
            <w:r w:rsidRPr="008559FA">
              <w:t xml:space="preserve"> </w:t>
            </w:r>
            <w:r>
              <w:t>historically</w:t>
            </w:r>
            <w:r w:rsidRPr="008559FA">
              <w:t xml:space="preserve"> undervalue</w:t>
            </w:r>
            <w:r>
              <w:t xml:space="preserve">d in economic statistics, the growing trend of households outsourcing these activities to the market sector as female workforce participation increased has brought some of them into measures of the observed economy </w:t>
            </w:r>
            <w:r w:rsidRPr="008559FA">
              <w:t>(</w:t>
            </w:r>
            <w:r>
              <w:t xml:space="preserve">most notably the increase in formal </w:t>
            </w:r>
            <w:r w:rsidRPr="008559FA">
              <w:t>childcare)</w:t>
            </w:r>
            <w:r>
              <w:t xml:space="preserve">. </w:t>
            </w:r>
          </w:p>
          <w:p w14:paraId="12FE51B3" w14:textId="77777777" w:rsidR="007A4669" w:rsidRDefault="007A4669" w:rsidP="003176ED">
            <w:pPr>
              <w:pStyle w:val="Box"/>
            </w:pPr>
            <w:r>
              <w:t>In addition to home production, some</w:t>
            </w:r>
            <w:r w:rsidRPr="00E445B2">
              <w:t xml:space="preserve"> new types of products </w:t>
            </w:r>
            <w:r>
              <w:t xml:space="preserve">can also be difficult to measure </w:t>
            </w:r>
            <w:r w:rsidRPr="00E445B2">
              <w:t>— most notably the provision of free digital services</w:t>
            </w:r>
            <w:r>
              <w:t>,</w:t>
            </w:r>
            <w:r w:rsidRPr="00E445B2">
              <w:t xml:space="preserve"> such as social medi</w:t>
            </w:r>
            <w:r>
              <w:t>a sites or web search functions —</w:t>
            </w:r>
            <w:r w:rsidRPr="00E445B2">
              <w:t xml:space="preserve"> </w:t>
            </w:r>
            <w:r>
              <w:t>as well as</w:t>
            </w:r>
            <w:r w:rsidRPr="00E445B2">
              <w:t xml:space="preserve"> activities that are uncounted because of their </w:t>
            </w:r>
            <w:r>
              <w:t>illegal</w:t>
            </w:r>
            <w:r w:rsidRPr="00E445B2">
              <w:t xml:space="preserve"> nature (</w:t>
            </w:r>
            <w:r>
              <w:t>for example, illicit drug production</w:t>
            </w:r>
            <w:r w:rsidRPr="00E445B2">
              <w:t xml:space="preserve"> and the cash economy).</w:t>
            </w:r>
          </w:p>
        </w:tc>
      </w:tr>
      <w:tr w:rsidR="007A4669" w14:paraId="0A76C24A" w14:textId="77777777" w:rsidTr="003176ED">
        <w:tc>
          <w:tcPr>
            <w:tcW w:w="5000" w:type="pct"/>
            <w:tcBorders>
              <w:top w:val="nil"/>
              <w:left w:val="nil"/>
              <w:bottom w:val="nil"/>
              <w:right w:val="nil"/>
            </w:tcBorders>
            <w:shd w:val="clear" w:color="auto" w:fill="F2F2F2"/>
          </w:tcPr>
          <w:p w14:paraId="71A96439" w14:textId="77777777" w:rsidR="007A4669" w:rsidRDefault="007A4669" w:rsidP="003176ED">
            <w:pPr>
              <w:pStyle w:val="BoxSource"/>
            </w:pPr>
            <w:r>
              <w:rPr>
                <w:i/>
              </w:rPr>
              <w:t>Sources</w:t>
            </w:r>
            <w:r w:rsidRPr="00167F06">
              <w:t xml:space="preserve">: </w:t>
            </w:r>
            <w:r w:rsidRPr="003078FC">
              <w:rPr>
                <w:rFonts w:cs="Arial"/>
                <w:szCs w:val="24"/>
              </w:rPr>
              <w:t>ABS</w:t>
            </w:r>
            <w:r>
              <w:t xml:space="preserve"> </w:t>
            </w:r>
            <w:r w:rsidRPr="004B65CA">
              <w:rPr>
                <w:rFonts w:cs="Arial"/>
              </w:rPr>
              <w:t>(2000, 2014, 2016b)</w:t>
            </w:r>
            <w:r>
              <w:t xml:space="preserve">, </w:t>
            </w:r>
            <w:r>
              <w:rPr>
                <w:rFonts w:cs="Arial"/>
                <w:szCs w:val="24"/>
              </w:rPr>
              <w:t>Baxter </w:t>
            </w:r>
            <w:r w:rsidRPr="004B65CA">
              <w:rPr>
                <w:rFonts w:cs="Arial"/>
              </w:rPr>
              <w:t>(2002)</w:t>
            </w:r>
            <w:r>
              <w:rPr>
                <w:rFonts w:cs="Arial"/>
                <w:szCs w:val="24"/>
              </w:rPr>
              <w:t>,</w:t>
            </w:r>
            <w:r w:rsidRPr="003078FC">
              <w:rPr>
                <w:rFonts w:cs="Arial"/>
                <w:szCs w:val="24"/>
              </w:rPr>
              <w:t xml:space="preserve"> Bridgman </w:t>
            </w:r>
            <w:r w:rsidRPr="004B65CA">
              <w:rPr>
                <w:rFonts w:cs="Arial"/>
              </w:rPr>
              <w:t>(2016)</w:t>
            </w:r>
            <w:r>
              <w:rPr>
                <w:rFonts w:cs="Arial"/>
                <w:szCs w:val="24"/>
              </w:rPr>
              <w:t>,</w:t>
            </w:r>
            <w:r w:rsidRPr="003078FC">
              <w:rPr>
                <w:rFonts w:cs="Arial"/>
                <w:szCs w:val="24"/>
              </w:rPr>
              <w:t xml:space="preserve"> Wilkins </w:t>
            </w:r>
            <w:r w:rsidRPr="004B65CA">
              <w:rPr>
                <w:rFonts w:cs="Arial"/>
              </w:rPr>
              <w:t>(2014)</w:t>
            </w:r>
            <w:r>
              <w:t>.</w:t>
            </w:r>
          </w:p>
        </w:tc>
      </w:tr>
      <w:tr w:rsidR="007A4669" w14:paraId="1F837474" w14:textId="77777777" w:rsidTr="003176ED">
        <w:tc>
          <w:tcPr>
            <w:tcW w:w="5000" w:type="pct"/>
            <w:tcBorders>
              <w:top w:val="nil"/>
              <w:left w:val="nil"/>
              <w:bottom w:val="single" w:sz="6" w:space="0" w:color="78A22F"/>
              <w:right w:val="nil"/>
            </w:tcBorders>
            <w:shd w:val="clear" w:color="auto" w:fill="F2F2F2"/>
          </w:tcPr>
          <w:p w14:paraId="090853CC" w14:textId="77777777" w:rsidR="007A4669" w:rsidRDefault="007A4669" w:rsidP="003176ED">
            <w:pPr>
              <w:pStyle w:val="Box"/>
              <w:spacing w:before="0" w:line="120" w:lineRule="exact"/>
            </w:pPr>
          </w:p>
        </w:tc>
      </w:tr>
      <w:tr w:rsidR="007A4669" w:rsidRPr="000863A5" w14:paraId="47FAFB2B" w14:textId="77777777" w:rsidTr="003176ED">
        <w:tc>
          <w:tcPr>
            <w:tcW w:w="5000" w:type="pct"/>
            <w:tcBorders>
              <w:top w:val="single" w:sz="6" w:space="0" w:color="78A22F"/>
              <w:left w:val="nil"/>
              <w:bottom w:val="nil"/>
              <w:right w:val="nil"/>
            </w:tcBorders>
          </w:tcPr>
          <w:p w14:paraId="11175A97" w14:textId="77777777" w:rsidR="007A4669" w:rsidRPr="00626D32" w:rsidRDefault="007A4669" w:rsidP="003176ED">
            <w:pPr>
              <w:pStyle w:val="BoxSpaceBelow"/>
            </w:pPr>
          </w:p>
        </w:tc>
      </w:tr>
    </w:tbl>
    <w:p w14:paraId="197848BD" w14:textId="2F02D06C" w:rsidR="00B4643E" w:rsidRDefault="00B4643E" w:rsidP="001B138C">
      <w:pPr>
        <w:pStyle w:val="BodyText"/>
      </w:pPr>
      <w:r>
        <w:t xml:space="preserve">Second, measures of productivity </w:t>
      </w:r>
      <w:r w:rsidR="004B6464">
        <w:t xml:space="preserve">and other performance metrics </w:t>
      </w:r>
      <w:r>
        <w:t xml:space="preserve">can be used to help identify the drivers of efficiency </w:t>
      </w:r>
      <w:r w:rsidR="00374CA5">
        <w:t xml:space="preserve">and the subsequent policy levers that can systematically improve outcomes for users </w:t>
      </w:r>
      <w:r w:rsidR="000925FF">
        <w:t>of</w:t>
      </w:r>
      <w:r w:rsidR="00374CA5">
        <w:t xml:space="preserve"> any given resources</w:t>
      </w:r>
      <w:r>
        <w:t xml:space="preserve">. This information can be used to improve outcomes for the </w:t>
      </w:r>
      <w:r w:rsidR="00266BAD">
        <w:t>consumers</w:t>
      </w:r>
      <w:r>
        <w:t xml:space="preserve"> of government services, </w:t>
      </w:r>
      <w:r w:rsidR="004B6464">
        <w:t xml:space="preserve">such as </w:t>
      </w:r>
      <w:r w:rsidR="000925FF">
        <w:t xml:space="preserve">improved </w:t>
      </w:r>
      <w:r w:rsidR="004B6464">
        <w:t xml:space="preserve">medical interventions, teaching in schools or fire services </w:t>
      </w:r>
      <w:r w:rsidR="000D64DB">
        <w:t>(box</w:t>
      </w:r>
      <w:r w:rsidR="00AC6D60">
        <w:t> </w:t>
      </w:r>
      <w:r w:rsidR="00B633AE">
        <w:t>3</w:t>
      </w:r>
      <w:r w:rsidR="000D64DB">
        <w:t>).</w:t>
      </w:r>
      <w:r w:rsidR="004B6464">
        <w:t xml:space="preserve"> While governments will undoubtedly increase funding for critical services like health as the population ages, obtaining better outcomes for </w:t>
      </w:r>
      <w:r w:rsidR="000925FF">
        <w:t xml:space="preserve">a </w:t>
      </w:r>
      <w:r w:rsidR="004B6464">
        <w:t xml:space="preserve">given </w:t>
      </w:r>
      <w:r w:rsidR="000925FF">
        <w:t xml:space="preserve">amount of </w:t>
      </w:r>
      <w:r w:rsidR="004B6464">
        <w:t>resources reduces the adverse effects of any rationing of funding.</w:t>
      </w:r>
    </w:p>
    <w:p w14:paraId="4AEE94C1" w14:textId="175891B3" w:rsidR="007E7C70" w:rsidRPr="00E13F4C" w:rsidRDefault="007E7C70" w:rsidP="007E7C70">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7E7C70" w14:paraId="12F29324" w14:textId="77777777" w:rsidTr="00781755">
        <w:tc>
          <w:tcPr>
            <w:tcW w:w="8771" w:type="dxa"/>
            <w:tcBorders>
              <w:top w:val="single" w:sz="6" w:space="0" w:color="78A22F"/>
              <w:left w:val="nil"/>
              <w:bottom w:val="nil"/>
              <w:right w:val="nil"/>
            </w:tcBorders>
            <w:shd w:val="clear" w:color="auto" w:fill="F2F2F2"/>
          </w:tcPr>
          <w:p w14:paraId="3DCD95A4" w14:textId="43DDFC3D" w:rsidR="007E7C70" w:rsidRDefault="007E7C70" w:rsidP="000E4FD3">
            <w:pPr>
              <w:pStyle w:val="BoxTitle"/>
            </w:pPr>
            <w:r>
              <w:rPr>
                <w:b w:val="0"/>
              </w:rPr>
              <w:t xml:space="preserve">Box </w:t>
            </w:r>
            <w:r w:rsidR="00D95F04">
              <w:rPr>
                <w:b w:val="0"/>
                <w:noProof/>
              </w:rPr>
              <w:t>3</w:t>
            </w:r>
            <w:r>
              <w:tab/>
              <w:t>Fire and rescue service productivity</w:t>
            </w:r>
          </w:p>
        </w:tc>
      </w:tr>
      <w:tr w:rsidR="007E7C70" w14:paraId="24EC2A6D" w14:textId="77777777" w:rsidTr="00781755">
        <w:tc>
          <w:tcPr>
            <w:tcW w:w="8771" w:type="dxa"/>
            <w:tcBorders>
              <w:top w:val="nil"/>
              <w:left w:val="nil"/>
              <w:bottom w:val="nil"/>
              <w:right w:val="nil"/>
            </w:tcBorders>
            <w:shd w:val="clear" w:color="auto" w:fill="F2F2F2"/>
          </w:tcPr>
          <w:p w14:paraId="7F038864" w14:textId="500F91EA" w:rsidR="007E7C70" w:rsidRDefault="007E7C70" w:rsidP="00781755">
            <w:pPr>
              <w:pStyle w:val="Box"/>
            </w:pPr>
            <w:r>
              <w:t>Fire and rescue services across Australia — part of the public administration and safety industry — deliver rapid and</w:t>
            </w:r>
            <w:r w:rsidRPr="0001328B">
              <w:t xml:space="preserve"> reliable help in </w:t>
            </w:r>
            <w:r>
              <w:t xml:space="preserve">fire and accident </w:t>
            </w:r>
            <w:r w:rsidRPr="0001328B">
              <w:t>emergencies</w:t>
            </w:r>
            <w:r>
              <w:t>, as well as protecting the population from hazardous materials, providing community education facilities and investigating and researching the cause</w:t>
            </w:r>
            <w:r w:rsidR="000925FF">
              <w:t>s</w:t>
            </w:r>
            <w:r>
              <w:t xml:space="preserve"> of fires. </w:t>
            </w:r>
          </w:p>
          <w:p w14:paraId="45946CFF" w14:textId="6B62E159" w:rsidR="007E7C70" w:rsidRDefault="007E7C70" w:rsidP="00781755">
            <w:pPr>
              <w:pStyle w:val="Box"/>
            </w:pPr>
            <w:r>
              <w:t xml:space="preserve">These outputs have genuine value to the community, but fire and rescue services </w:t>
            </w:r>
            <w:r w:rsidR="00A7342B">
              <w:t xml:space="preserve">generally </w:t>
            </w:r>
            <w:r>
              <w:t xml:space="preserve">do not charge a price for their services, commonly providing them free of charge with funding </w:t>
            </w:r>
            <w:r w:rsidR="0067734A">
              <w:t xml:space="preserve">sourced </w:t>
            </w:r>
            <w:r>
              <w:t>indirect</w:t>
            </w:r>
            <w:r w:rsidR="0067734A">
              <w:t>ly</w:t>
            </w:r>
            <w:r>
              <w:t xml:space="preserve">, such as </w:t>
            </w:r>
            <w:r w:rsidR="0067734A">
              <w:t xml:space="preserve">from </w:t>
            </w:r>
            <w:r>
              <w:t xml:space="preserve">state or local governments or </w:t>
            </w:r>
            <w:r w:rsidR="000925FF">
              <w:t xml:space="preserve">from </w:t>
            </w:r>
            <w:r>
              <w:t xml:space="preserve">mandatory insurance </w:t>
            </w:r>
            <w:r w:rsidR="00A7342B">
              <w:t xml:space="preserve">or property </w:t>
            </w:r>
            <w:r>
              <w:t>levies. As the value of</w:t>
            </w:r>
            <w:r w:rsidR="0067734A">
              <w:t xml:space="preserve"> much of</w:t>
            </w:r>
            <w:r>
              <w:t xml:space="preserve"> this funding (that is, their inputs) is currently used as a measure of their output (under the ‘output</w:t>
            </w:r>
            <w:r w:rsidR="009205DA">
              <w:t> </w:t>
            </w:r>
            <w:r>
              <w:t>=</w:t>
            </w:r>
            <w:r w:rsidR="009205DA">
              <w:t> </w:t>
            </w:r>
            <w:r>
              <w:t>input’ model), it is difficult to determine if the services provided are value for money or if they can be improved.</w:t>
            </w:r>
          </w:p>
          <w:p w14:paraId="6A265876" w14:textId="77777777" w:rsidR="007E7C70" w:rsidRDefault="007E7C70" w:rsidP="00781755">
            <w:pPr>
              <w:pStyle w:val="Box"/>
            </w:pPr>
            <w:r>
              <w:t xml:space="preserve">As an example, consider two similar fire stations, one of which decides to invest in a new fire truck to improve response times, while the other invests the same amount of money in additional specialised training for its firefighters. </w:t>
            </w:r>
          </w:p>
          <w:p w14:paraId="5C1CA14C" w14:textId="07328518" w:rsidR="007E7C70" w:rsidRDefault="004B6464" w:rsidP="00781755">
            <w:pPr>
              <w:pStyle w:val="Box"/>
            </w:pPr>
            <w:r>
              <w:t xml:space="preserve">Unless information was collected about </w:t>
            </w:r>
            <w:r w:rsidR="00AD3F9C">
              <w:t xml:space="preserve">outputs (such as response times or injury rates) and </w:t>
            </w:r>
            <w:r>
              <w:t xml:space="preserve">outcomes (such as </w:t>
            </w:r>
            <w:r w:rsidR="00AD3F9C">
              <w:t>measures of</w:t>
            </w:r>
            <w:r w:rsidR="004E23A6">
              <w:t xml:space="preserve"> fire security in the community or </w:t>
            </w:r>
            <w:r w:rsidR="00AD3F9C">
              <w:t xml:space="preserve">of </w:t>
            </w:r>
            <w:r>
              <w:t>property</w:t>
            </w:r>
            <w:r w:rsidR="0041061E">
              <w:t>, environmental and</w:t>
            </w:r>
            <w:r w:rsidR="004E23A6">
              <w:t xml:space="preserve"> personal losses from fires</w:t>
            </w:r>
            <w:r w:rsidR="000C2324">
              <w:t xml:space="preserve">), it is difficult to assess </w:t>
            </w:r>
            <w:r>
              <w:t>t</w:t>
            </w:r>
            <w:r w:rsidR="007E7C70">
              <w:t>he additional benefit</w:t>
            </w:r>
            <w:r w:rsidR="004E23A6">
              <w:t> — if </w:t>
            </w:r>
            <w:r w:rsidR="0067734A">
              <w:t>any</w:t>
            </w:r>
            <w:r w:rsidR="004E23A6">
              <w:t> </w:t>
            </w:r>
            <w:r w:rsidR="0067734A">
              <w:t>—</w:t>
            </w:r>
            <w:r w:rsidR="007E7C70">
              <w:t xml:space="preserve"> from the taxpayer</w:t>
            </w:r>
            <w:r w:rsidR="007E7C70">
              <w:noBreakHyphen/>
              <w:t xml:space="preserve">funded investments in each station. Observers </w:t>
            </w:r>
            <w:r>
              <w:t xml:space="preserve">would </w:t>
            </w:r>
            <w:r w:rsidR="007E7C70">
              <w:t xml:space="preserve">only know that the new fire truck and the additional training increased the inputs of the fire stations, but not whether their fire and rescue </w:t>
            </w:r>
            <w:r w:rsidR="004B65CA">
              <w:t>capabilities</w:t>
            </w:r>
            <w:r w:rsidR="007E7C70">
              <w:t xml:space="preserve"> actually improved. </w:t>
            </w:r>
          </w:p>
          <w:p w14:paraId="5164D92B" w14:textId="6F8DDE1C" w:rsidR="007E7C70" w:rsidRDefault="0067734A" w:rsidP="00AD3F9C">
            <w:pPr>
              <w:pStyle w:val="Box"/>
            </w:pPr>
            <w:r>
              <w:t>Furthermore</w:t>
            </w:r>
            <w:r w:rsidR="007E7C70">
              <w:t>, if other fire stations were interested in knowing which investment (new fire trucks or additional training) had a greater effect on improving fire and rescue services for the community, there would be no way to objectively determine this</w:t>
            </w:r>
            <w:r w:rsidR="000D64DB">
              <w:t xml:space="preserve"> without productivity statistics</w:t>
            </w:r>
            <w:r w:rsidR="007E7C70">
              <w:t>.</w:t>
            </w:r>
          </w:p>
        </w:tc>
      </w:tr>
      <w:tr w:rsidR="007E7C70" w14:paraId="77D02AFA" w14:textId="77777777" w:rsidTr="00781755">
        <w:tc>
          <w:tcPr>
            <w:tcW w:w="8771" w:type="dxa"/>
            <w:tcBorders>
              <w:top w:val="nil"/>
              <w:left w:val="nil"/>
              <w:bottom w:val="nil"/>
              <w:right w:val="nil"/>
            </w:tcBorders>
            <w:shd w:val="clear" w:color="auto" w:fill="F2F2F2"/>
          </w:tcPr>
          <w:p w14:paraId="13246F57" w14:textId="3802D6FE" w:rsidR="007E7C70" w:rsidRDefault="00B93C3B" w:rsidP="00E13F4C">
            <w:pPr>
              <w:pStyle w:val="BoxSource"/>
            </w:pPr>
            <w:r>
              <w:rPr>
                <w:i/>
              </w:rPr>
              <w:t>Sources</w:t>
            </w:r>
            <w:r w:rsidR="007E7C70" w:rsidRPr="00167F06">
              <w:t xml:space="preserve">: </w:t>
            </w:r>
            <w:r w:rsidR="004B65CA" w:rsidRPr="00EE0596">
              <w:rPr>
                <w:rFonts w:cs="Arial"/>
                <w:szCs w:val="24"/>
              </w:rPr>
              <w:t>ABS</w:t>
            </w:r>
            <w:r w:rsidR="004B65CA">
              <w:t xml:space="preserve"> </w:t>
            </w:r>
            <w:r w:rsidR="004B65CA" w:rsidRPr="004B65CA">
              <w:rPr>
                <w:rFonts w:cs="Arial"/>
              </w:rPr>
              <w:t>(2013)</w:t>
            </w:r>
            <w:r w:rsidR="004B65CA">
              <w:t xml:space="preserve">, </w:t>
            </w:r>
            <w:r w:rsidR="004B65CA" w:rsidRPr="00EE0596">
              <w:rPr>
                <w:rFonts w:cs="Arial"/>
                <w:szCs w:val="24"/>
              </w:rPr>
              <w:t>SCRGSP</w:t>
            </w:r>
            <w:r w:rsidR="004B65CA">
              <w:rPr>
                <w:rFonts w:cs="Arial"/>
                <w:szCs w:val="24"/>
              </w:rPr>
              <w:t xml:space="preserve"> </w:t>
            </w:r>
            <w:r w:rsidR="004B65CA" w:rsidRPr="004B65CA">
              <w:rPr>
                <w:rFonts w:cs="Arial"/>
              </w:rPr>
              <w:t>(2016)</w:t>
            </w:r>
            <w:r w:rsidR="00E13F4C">
              <w:t>.</w:t>
            </w:r>
          </w:p>
        </w:tc>
      </w:tr>
      <w:tr w:rsidR="007E7C70" w14:paraId="117A2D30" w14:textId="77777777" w:rsidTr="00781755">
        <w:tc>
          <w:tcPr>
            <w:tcW w:w="8771" w:type="dxa"/>
            <w:tcBorders>
              <w:top w:val="nil"/>
              <w:left w:val="nil"/>
              <w:bottom w:val="single" w:sz="6" w:space="0" w:color="78A22F"/>
              <w:right w:val="nil"/>
            </w:tcBorders>
            <w:shd w:val="clear" w:color="auto" w:fill="F2F2F2"/>
          </w:tcPr>
          <w:p w14:paraId="080DB8E0" w14:textId="77777777" w:rsidR="007E7C70" w:rsidRDefault="007E7C70" w:rsidP="00781755">
            <w:pPr>
              <w:pStyle w:val="Box"/>
              <w:spacing w:before="0" w:line="120" w:lineRule="exact"/>
            </w:pPr>
          </w:p>
        </w:tc>
      </w:tr>
      <w:tr w:rsidR="007E7C70" w:rsidRPr="000863A5" w14:paraId="669E5233" w14:textId="77777777" w:rsidTr="00781755">
        <w:tc>
          <w:tcPr>
            <w:tcW w:w="8771" w:type="dxa"/>
            <w:tcBorders>
              <w:top w:val="single" w:sz="6" w:space="0" w:color="78A22F"/>
              <w:left w:val="nil"/>
              <w:bottom w:val="nil"/>
              <w:right w:val="nil"/>
            </w:tcBorders>
          </w:tcPr>
          <w:p w14:paraId="17244CAD" w14:textId="275893C5" w:rsidR="007E7C70" w:rsidRPr="00E13F4C" w:rsidRDefault="007E7C70" w:rsidP="00781755">
            <w:pPr>
              <w:pStyle w:val="BoxSpaceBelow"/>
            </w:pPr>
          </w:p>
        </w:tc>
      </w:tr>
    </w:tbl>
    <w:p w14:paraId="053041D2" w14:textId="1EDFAA8A" w:rsidR="00D05915" w:rsidRDefault="00F9336E" w:rsidP="00D05915">
      <w:pPr>
        <w:pStyle w:val="BodyText"/>
      </w:pPr>
      <w:r>
        <w:t xml:space="preserve">Third, </w:t>
      </w:r>
      <w:r w:rsidR="00D05915">
        <w:t>the non</w:t>
      </w:r>
      <w:r w:rsidR="00AC6D60">
        <w:noBreakHyphen/>
      </w:r>
      <w:r w:rsidR="00D05915">
        <w:t xml:space="preserve">market sector is also a driver of productivity for other parts of the economy. For example, education increases people’s skills (human capital), improving their subsequent job prospects, productivity and wages in the market sector. </w:t>
      </w:r>
    </w:p>
    <w:p w14:paraId="5795A1A5" w14:textId="54CD9A91" w:rsidR="00D82C0B" w:rsidRDefault="00D05915" w:rsidP="00D05915">
      <w:pPr>
        <w:pStyle w:val="BodyText"/>
      </w:pPr>
      <w:r>
        <w:t xml:space="preserve">Finally, </w:t>
      </w:r>
      <w:r w:rsidR="00F9336E">
        <w:t>the non</w:t>
      </w:r>
      <w:r w:rsidR="00AC6D60">
        <w:noBreakHyphen/>
      </w:r>
      <w:r w:rsidR="00F9336E">
        <w:t>market sector is both large and growing</w:t>
      </w:r>
      <w:r w:rsidR="004E23A6">
        <w:t>, and so the resource costs of low productivity are very large</w:t>
      </w:r>
      <w:r w:rsidR="00F9336E">
        <w:t xml:space="preserve">. </w:t>
      </w:r>
      <w:r w:rsidR="00D82C0B">
        <w:t>T</w:t>
      </w:r>
      <w:r w:rsidR="00F9336E">
        <w:t xml:space="preserve">he </w:t>
      </w:r>
      <w:r w:rsidR="0048089D">
        <w:t>non</w:t>
      </w:r>
      <w:r w:rsidR="00AC6D60">
        <w:noBreakHyphen/>
      </w:r>
      <w:r w:rsidR="0048089D">
        <w:t xml:space="preserve">market </w:t>
      </w:r>
      <w:r w:rsidR="00F9336E">
        <w:t>industries form a vital part of the economy</w:t>
      </w:r>
      <w:r w:rsidR="009B4F35">
        <w:t xml:space="preserve">, </w:t>
      </w:r>
      <w:r w:rsidR="00603105">
        <w:t>contributing over $280 billion to industry production in 201</w:t>
      </w:r>
      <w:r w:rsidR="004E23A6">
        <w:t>5</w:t>
      </w:r>
      <w:r w:rsidR="00E13F4C">
        <w:noBreakHyphen/>
      </w:r>
      <w:r w:rsidR="004E23A6">
        <w:t>1</w:t>
      </w:r>
      <w:r w:rsidR="00603105">
        <w:t xml:space="preserve">6, </w:t>
      </w:r>
      <w:r w:rsidR="00D269EB">
        <w:t>making up</w:t>
      </w:r>
      <w:r w:rsidR="009B4F35">
        <w:t xml:space="preserve"> 20.3 per cent</w:t>
      </w:r>
      <w:r w:rsidR="00F9707C">
        <w:t xml:space="preserve"> </w:t>
      </w:r>
      <w:r w:rsidR="00D269EB">
        <w:t>of total production</w:t>
      </w:r>
      <w:r w:rsidR="00603105">
        <w:t>.</w:t>
      </w:r>
      <w:r w:rsidR="00F9707C" w:rsidRPr="003F6B1C">
        <w:rPr>
          <w:rStyle w:val="FootnoteReference"/>
        </w:rPr>
        <w:footnoteReference w:id="3"/>
      </w:r>
      <w:r w:rsidR="009B4F35">
        <w:t xml:space="preserve"> </w:t>
      </w:r>
      <w:r w:rsidR="00603105">
        <w:t>This is up from 17.2 per cent of total industry production in 1990</w:t>
      </w:r>
      <w:r w:rsidR="007E7C70">
        <w:t xml:space="preserve"> (figure</w:t>
      </w:r>
      <w:r w:rsidR="00AC6D60">
        <w:t> </w:t>
      </w:r>
      <w:r w:rsidR="00B633AE">
        <w:t>1</w:t>
      </w:r>
      <w:r w:rsidR="007E7C70">
        <w:t>)</w:t>
      </w:r>
      <w:r w:rsidR="00603105">
        <w:t xml:space="preserve">, </w:t>
      </w:r>
      <w:r w:rsidR="009B4F35">
        <w:t xml:space="preserve">with </w:t>
      </w:r>
      <w:r w:rsidR="00603105">
        <w:t xml:space="preserve">the </w:t>
      </w:r>
      <w:r w:rsidR="009B4F35">
        <w:t xml:space="preserve">recent </w:t>
      </w:r>
      <w:r w:rsidR="00D269EB">
        <w:t xml:space="preserve">strong </w:t>
      </w:r>
      <w:r w:rsidR="009B4F35">
        <w:t>growth projected to continue</w:t>
      </w:r>
      <w:r w:rsidR="00FF4DF8">
        <w:t>. This is particularly true for the</w:t>
      </w:r>
      <w:r w:rsidR="006C07C2">
        <w:t xml:space="preserve"> </w:t>
      </w:r>
      <w:r w:rsidR="003432F1">
        <w:t>health care</w:t>
      </w:r>
      <w:r w:rsidR="006C07C2">
        <w:t xml:space="preserve"> and social </w:t>
      </w:r>
      <w:r w:rsidR="00EC03AF">
        <w:t>services</w:t>
      </w:r>
      <w:r w:rsidR="006C07C2">
        <w:t xml:space="preserve"> sector</w:t>
      </w:r>
      <w:r w:rsidR="00FF4DF8">
        <w:t>,</w:t>
      </w:r>
      <w:r w:rsidR="00B37E30">
        <w:t xml:space="preserve"> </w:t>
      </w:r>
      <w:r w:rsidR="00FF4DF8">
        <w:t>due to Australia’s ageing population</w:t>
      </w:r>
      <w:r w:rsidR="0048089D">
        <w:t xml:space="preserve"> and</w:t>
      </w:r>
      <w:r w:rsidR="00FF4DF8">
        <w:t xml:space="preserve"> increas</w:t>
      </w:r>
      <w:r w:rsidR="0048089D">
        <w:t>ed</w:t>
      </w:r>
      <w:r w:rsidR="00FF4DF8">
        <w:t xml:space="preserve"> demand for </w:t>
      </w:r>
      <w:r w:rsidR="004A754D">
        <w:t xml:space="preserve">health </w:t>
      </w:r>
      <w:r w:rsidR="00FF4DF8">
        <w:t xml:space="preserve">services as Australians get wealthier. These </w:t>
      </w:r>
      <w:r w:rsidR="004E23A6">
        <w:t>drivers</w:t>
      </w:r>
      <w:r w:rsidR="00FF4DF8">
        <w:t xml:space="preserve"> will continue </w:t>
      </w:r>
      <w:r w:rsidR="00BE6B99">
        <w:t>to increase the relative size of</w:t>
      </w:r>
      <w:r w:rsidR="00FF4DF8">
        <w:t xml:space="preserve"> the non</w:t>
      </w:r>
      <w:r w:rsidR="00AC6D60">
        <w:noBreakHyphen/>
      </w:r>
      <w:r w:rsidR="00FF4DF8">
        <w:t xml:space="preserve">market sector </w:t>
      </w:r>
      <w:r w:rsidR="00BE6B99">
        <w:t xml:space="preserve">over the coming decades </w:t>
      </w:r>
      <w:r w:rsidR="003870F8" w:rsidRPr="003870F8">
        <w:rPr>
          <w:szCs w:val="24"/>
        </w:rPr>
        <w:t>(ABS 2016a; Australian Government 2015)</w:t>
      </w:r>
      <w:r w:rsidR="009B4F35">
        <w:t>.</w:t>
      </w:r>
      <w:r w:rsidR="00FF4DF8">
        <w:t xml:space="preserve"> </w:t>
      </w:r>
    </w:p>
    <w:p w14:paraId="3414AD6C" w14:textId="71AFBF84" w:rsidR="007E7C70" w:rsidRPr="00E13F4C" w:rsidRDefault="007E7C70" w:rsidP="007E7C70">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7E7C70" w14:paraId="7B8B4B3D" w14:textId="77777777" w:rsidTr="00781755">
        <w:trPr>
          <w:cantSplit/>
          <w:tblHeader/>
        </w:trPr>
        <w:tc>
          <w:tcPr>
            <w:tcW w:w="8771" w:type="dxa"/>
            <w:tcBorders>
              <w:top w:val="single" w:sz="6" w:space="0" w:color="78A22F"/>
              <w:left w:val="nil"/>
              <w:bottom w:val="nil"/>
              <w:right w:val="nil"/>
            </w:tcBorders>
            <w:shd w:val="clear" w:color="auto" w:fill="auto"/>
          </w:tcPr>
          <w:p w14:paraId="5B98FE62" w14:textId="11D640D0" w:rsidR="00101152" w:rsidRDefault="007E7C70" w:rsidP="002C77FD">
            <w:pPr>
              <w:pStyle w:val="FigureTitle"/>
            </w:pPr>
            <w:r w:rsidRPr="00784A05">
              <w:rPr>
                <w:b w:val="0"/>
              </w:rPr>
              <w:t xml:space="preserve">Figure </w:t>
            </w:r>
            <w:r w:rsidR="00D95F04">
              <w:rPr>
                <w:b w:val="0"/>
                <w:noProof/>
              </w:rPr>
              <w:t>1</w:t>
            </w:r>
            <w:r w:rsidR="00101152">
              <w:tab/>
              <w:t>Non</w:t>
            </w:r>
            <w:r w:rsidR="00AC6D60">
              <w:noBreakHyphen/>
            </w:r>
            <w:r w:rsidR="00101152">
              <w:t>market sector growth</w:t>
            </w:r>
          </w:p>
          <w:p w14:paraId="184DCBAC" w14:textId="511B2082" w:rsidR="007E7C70" w:rsidRPr="00101152" w:rsidRDefault="00101152" w:rsidP="00101152">
            <w:pPr>
              <w:pStyle w:val="Subtitle"/>
            </w:pPr>
            <w:r>
              <w:t>Financial year ending</w:t>
            </w:r>
          </w:p>
        </w:tc>
      </w:tr>
      <w:tr w:rsidR="007E7C70" w14:paraId="68BA2DCE" w14:textId="77777777" w:rsidTr="00781755">
        <w:trPr>
          <w:cantSplit/>
        </w:trPr>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4523"/>
              <w:gridCol w:w="3981"/>
            </w:tblGrid>
            <w:tr w:rsidR="007E7C70" w:rsidRPr="00B1465D" w14:paraId="23E3F9E2" w14:textId="77777777" w:rsidTr="00FF5A45">
              <w:trPr>
                <w:cantSplit/>
                <w:trHeight w:val="249"/>
                <w:tblHeader/>
                <w:jc w:val="center"/>
              </w:trPr>
              <w:tc>
                <w:tcPr>
                  <w:tcW w:w="4523" w:type="dxa"/>
                  <w:tcBorders>
                    <w:top w:val="nil"/>
                    <w:bottom w:val="nil"/>
                  </w:tcBorders>
                </w:tcPr>
                <w:p w14:paraId="29D2677C" w14:textId="6540ABDE" w:rsidR="007E7C70" w:rsidRPr="00646973" w:rsidRDefault="00F13816" w:rsidP="000C2324">
                  <w:pPr>
                    <w:spacing w:before="60" w:after="60"/>
                    <w:jc w:val="center"/>
                    <w:rPr>
                      <w:rFonts w:asciiTheme="minorHAnsi" w:hAnsiTheme="minorHAnsi" w:cstheme="minorHAnsi"/>
                      <w:sz w:val="20"/>
                      <w:szCs w:val="20"/>
                    </w:rPr>
                  </w:pPr>
                  <w:r>
                    <w:rPr>
                      <w:rFonts w:asciiTheme="minorHAnsi" w:hAnsiTheme="minorHAnsi" w:cstheme="minorHAnsi"/>
                      <w:sz w:val="20"/>
                      <w:szCs w:val="20"/>
                    </w:rPr>
                    <w:t>Real i</w:t>
                  </w:r>
                  <w:r w:rsidR="007E7C70">
                    <w:rPr>
                      <w:rFonts w:asciiTheme="minorHAnsi" w:hAnsiTheme="minorHAnsi" w:cstheme="minorHAnsi"/>
                      <w:sz w:val="20"/>
                      <w:szCs w:val="20"/>
                    </w:rPr>
                    <w:t>ndustry gross value added</w:t>
                  </w:r>
                  <w:r w:rsidR="007E7C70" w:rsidRPr="00646973">
                    <w:rPr>
                      <w:rFonts w:asciiTheme="minorHAnsi" w:hAnsiTheme="minorHAnsi" w:cstheme="minorHAnsi"/>
                      <w:sz w:val="20"/>
                      <w:szCs w:val="20"/>
                    </w:rPr>
                    <w:t xml:space="preserve"> </w:t>
                  </w:r>
                  <w:r w:rsidR="00FF5A45">
                    <w:rPr>
                      <w:rFonts w:asciiTheme="minorHAnsi" w:hAnsiTheme="minorHAnsi" w:cstheme="minorHAnsi"/>
                      <w:sz w:val="20"/>
                      <w:szCs w:val="20"/>
                    </w:rPr>
                    <w:t xml:space="preserve">per capita </w:t>
                  </w:r>
                  <w:r w:rsidR="007E7C70" w:rsidRPr="00646973">
                    <w:rPr>
                      <w:rFonts w:asciiTheme="minorHAnsi" w:hAnsiTheme="minorHAnsi" w:cstheme="minorHAnsi"/>
                      <w:sz w:val="20"/>
                      <w:szCs w:val="20"/>
                    </w:rPr>
                    <w:t>($)</w:t>
                  </w:r>
                  <w:r w:rsidR="000C2324" w:rsidRPr="000C2324">
                    <w:rPr>
                      <w:rStyle w:val="NoteLabel"/>
                    </w:rPr>
                    <w:t>a</w:t>
                  </w:r>
                </w:p>
              </w:tc>
              <w:tc>
                <w:tcPr>
                  <w:tcW w:w="3981" w:type="dxa"/>
                  <w:tcBorders>
                    <w:top w:val="nil"/>
                    <w:bottom w:val="nil"/>
                  </w:tcBorders>
                </w:tcPr>
                <w:p w14:paraId="07D8D159" w14:textId="0E3E38EE" w:rsidR="007E7C70" w:rsidRPr="00646973" w:rsidRDefault="007E7C70" w:rsidP="000C2324">
                  <w:pPr>
                    <w:spacing w:before="60" w:after="60"/>
                    <w:jc w:val="center"/>
                    <w:rPr>
                      <w:rFonts w:asciiTheme="minorHAnsi" w:hAnsiTheme="minorHAnsi" w:cstheme="minorHAnsi"/>
                      <w:sz w:val="20"/>
                      <w:szCs w:val="20"/>
                    </w:rPr>
                  </w:pPr>
                  <w:r w:rsidRPr="00646973">
                    <w:rPr>
                      <w:rFonts w:asciiTheme="minorHAnsi" w:hAnsiTheme="minorHAnsi" w:cstheme="minorHAnsi"/>
                      <w:sz w:val="20"/>
                      <w:szCs w:val="20"/>
                    </w:rPr>
                    <w:t>Proportion of total industry output</w:t>
                  </w:r>
                  <w:r w:rsidR="004E23A6">
                    <w:rPr>
                      <w:rFonts w:asciiTheme="minorHAnsi" w:hAnsiTheme="minorHAnsi" w:cstheme="minorHAnsi"/>
                      <w:sz w:val="20"/>
                      <w:szCs w:val="20"/>
                    </w:rPr>
                    <w:t xml:space="preserve"> </w:t>
                  </w:r>
                  <w:r w:rsidRPr="00646973">
                    <w:rPr>
                      <w:rFonts w:asciiTheme="minorHAnsi" w:hAnsiTheme="minorHAnsi" w:cstheme="minorHAnsi"/>
                      <w:sz w:val="20"/>
                      <w:szCs w:val="20"/>
                    </w:rPr>
                    <w:t>(%)</w:t>
                  </w:r>
                  <w:r w:rsidR="000C2324" w:rsidRPr="000C2324">
                    <w:rPr>
                      <w:rStyle w:val="NoteLabel"/>
                    </w:rPr>
                    <w:t>b</w:t>
                  </w:r>
                </w:p>
              </w:tc>
            </w:tr>
            <w:tr w:rsidR="007E7C70" w:rsidRPr="00B1465D" w14:paraId="4A489DF5" w14:textId="77777777" w:rsidTr="0098786F">
              <w:trPr>
                <w:cantSplit/>
                <w:trHeight w:val="2240"/>
                <w:tblHeader/>
                <w:jc w:val="center"/>
              </w:trPr>
              <w:tc>
                <w:tcPr>
                  <w:tcW w:w="8504" w:type="dxa"/>
                  <w:gridSpan w:val="2"/>
                  <w:tcBorders>
                    <w:top w:val="nil"/>
                    <w:bottom w:val="nil"/>
                  </w:tcBorders>
                </w:tcPr>
                <w:p w14:paraId="29C01DEC" w14:textId="53E6416E" w:rsidR="007E7C70" w:rsidRDefault="0098786F" w:rsidP="00781755">
                  <w:pPr>
                    <w:pStyle w:val="Figure"/>
                    <w:spacing w:before="60" w:after="60"/>
                    <w:rPr>
                      <w:rFonts w:ascii="Arial" w:hAnsi="Arial" w:cs="Arial"/>
                      <w:sz w:val="18"/>
                      <w:szCs w:val="18"/>
                    </w:rPr>
                  </w:pPr>
                  <w:r>
                    <w:rPr>
                      <w:noProof/>
                    </w:rPr>
                    <w:drawing>
                      <wp:anchor distT="0" distB="0" distL="114300" distR="114300" simplePos="0" relativeHeight="251664896" behindDoc="0" locked="0" layoutInCell="1" allowOverlap="1" wp14:anchorId="7CD7C4AB" wp14:editId="01EBA0E4">
                        <wp:simplePos x="0" y="0"/>
                        <wp:positionH relativeFrom="column">
                          <wp:posOffset>2687955</wp:posOffset>
                        </wp:positionH>
                        <wp:positionV relativeFrom="paragraph">
                          <wp:posOffset>8255</wp:posOffset>
                        </wp:positionV>
                        <wp:extent cx="2581910" cy="2853055"/>
                        <wp:effectExtent l="0" t="0" r="8890" b="4445"/>
                        <wp:wrapNone/>
                        <wp:docPr id="29" name="Chart 29" descr="There are two charts shown in this figure. The left-hand one shows real gross value added per capita for public administration and safety; education and training; and health care and social assistance. While all have grown, the strongest growth has been in health and social expenditure. In 1990, spending in this area was lower than in the other two industries, but spending is now well above the others. The second chart relates to the same industries, but depicts the share of total output. The key result is that the share of output accounted for by health and social expenditure has increased from about 5.5% to 8% from 1990 to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Pr>
                      <w:noProof/>
                    </w:rPr>
                    <w:drawing>
                      <wp:inline distT="0" distB="0" distL="0" distR="0" wp14:anchorId="65C8CF57" wp14:editId="79903C4C">
                        <wp:extent cx="5248910" cy="3053080"/>
                        <wp:effectExtent l="0" t="0" r="8890" b="0"/>
                        <wp:docPr id="1" name="Chart 1" descr="There are two charts shown in this figure. The left-hand one shows real gross value added per capita for public administration and safety; education and training; and health care and social assistance. While all have grown, the strongest growth has been in health and social expenditure. In 1990, spending in this area was lower than in the other two industries, but spending is now well above the others. The second chart relates to the same industries, but depicts the share of total output. The key result is that the share of output accounted for by health and social expenditure has increased from about 5.5% to 8% from 1990 to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424845">
                    <w:rPr>
                      <w:noProof/>
                    </w:rPr>
                    <w:t xml:space="preserve"> </w:t>
                  </w:r>
                </w:p>
              </w:tc>
            </w:tr>
          </w:tbl>
          <w:p w14:paraId="5EE094D2" w14:textId="77777777" w:rsidR="007E7C70" w:rsidRDefault="007E7C70" w:rsidP="00781755">
            <w:pPr>
              <w:pStyle w:val="Figure"/>
            </w:pPr>
          </w:p>
        </w:tc>
      </w:tr>
      <w:tr w:rsidR="00F13816" w:rsidRPr="00176D3F" w14:paraId="10E8A1B2" w14:textId="77777777" w:rsidTr="00781755">
        <w:tc>
          <w:tcPr>
            <w:tcW w:w="8771" w:type="dxa"/>
            <w:tcBorders>
              <w:top w:val="nil"/>
              <w:left w:val="nil"/>
              <w:bottom w:val="nil"/>
              <w:right w:val="nil"/>
            </w:tcBorders>
            <w:shd w:val="clear" w:color="auto" w:fill="auto"/>
          </w:tcPr>
          <w:p w14:paraId="087BD009" w14:textId="4BADE596" w:rsidR="00F13816" w:rsidRDefault="00F13816" w:rsidP="009F7F0A">
            <w:pPr>
              <w:pStyle w:val="Note"/>
            </w:pPr>
            <w:r>
              <w:rPr>
                <w:rStyle w:val="NoteLabel"/>
              </w:rPr>
              <w:t xml:space="preserve">a </w:t>
            </w:r>
            <w:r w:rsidRPr="00F13816">
              <w:t>Measured by chain volume</w:t>
            </w:r>
            <w:r w:rsidR="009F7F0A">
              <w:t>s</w:t>
            </w:r>
            <w:r w:rsidR="00765F02">
              <w:t>.</w:t>
            </w:r>
            <w:r w:rsidRPr="00F13816">
              <w:t xml:space="preserve"> </w:t>
            </w:r>
            <w:r w:rsidRPr="00F13816">
              <w:rPr>
                <w:rStyle w:val="NoteLabel"/>
              </w:rPr>
              <w:t>b</w:t>
            </w:r>
            <w:r>
              <w:rPr>
                <w:rFonts w:asciiTheme="minorHAnsi" w:hAnsiTheme="minorHAnsi" w:cstheme="minorHAnsi"/>
                <w:sz w:val="20"/>
              </w:rPr>
              <w:t xml:space="preserve"> </w:t>
            </w:r>
            <w:r w:rsidRPr="00B633AE">
              <w:t>Measured in current value terms</w:t>
            </w:r>
            <w:r w:rsidR="00765F02" w:rsidRPr="00B633AE">
              <w:t>.</w:t>
            </w:r>
          </w:p>
        </w:tc>
      </w:tr>
      <w:tr w:rsidR="007E7C70" w:rsidRPr="00176D3F" w14:paraId="1A517F3F" w14:textId="77777777" w:rsidTr="00781755">
        <w:tc>
          <w:tcPr>
            <w:tcW w:w="8771" w:type="dxa"/>
            <w:tcBorders>
              <w:top w:val="nil"/>
              <w:left w:val="nil"/>
              <w:bottom w:val="nil"/>
              <w:right w:val="nil"/>
            </w:tcBorders>
            <w:shd w:val="clear" w:color="auto" w:fill="auto"/>
          </w:tcPr>
          <w:p w14:paraId="1E7F7252" w14:textId="7288F284" w:rsidR="007E7C70" w:rsidRPr="00176D3F" w:rsidRDefault="004E23A6" w:rsidP="005616CF">
            <w:pPr>
              <w:pStyle w:val="Source"/>
            </w:pPr>
            <w:r>
              <w:rPr>
                <w:i/>
              </w:rPr>
              <w:t>S</w:t>
            </w:r>
            <w:r w:rsidR="007E7C70" w:rsidRPr="00784A05">
              <w:rPr>
                <w:i/>
              </w:rPr>
              <w:t>ource</w:t>
            </w:r>
            <w:r w:rsidR="009205DA">
              <w:rPr>
                <w:i/>
              </w:rPr>
              <w:t>s</w:t>
            </w:r>
            <w:r w:rsidR="007E7C70" w:rsidRPr="00176D3F">
              <w:t>:</w:t>
            </w:r>
            <w:r>
              <w:t xml:space="preserve"> ABS 2</w:t>
            </w:r>
            <w:r w:rsidRPr="00F235E9">
              <w:t xml:space="preserve">016, </w:t>
            </w:r>
            <w:r w:rsidRPr="00F235E9">
              <w:rPr>
                <w:i/>
                <w:iCs/>
              </w:rPr>
              <w:t>Australian System of National Accounts, 2015</w:t>
            </w:r>
            <w:r w:rsidR="00E13F4C">
              <w:rPr>
                <w:i/>
                <w:iCs/>
              </w:rPr>
              <w:noBreakHyphen/>
            </w:r>
            <w:r w:rsidRPr="00F235E9">
              <w:rPr>
                <w:i/>
                <w:iCs/>
              </w:rPr>
              <w:t>16</w:t>
            </w:r>
            <w:r w:rsidR="005616CF">
              <w:t>,</w:t>
            </w:r>
            <w:r>
              <w:t xml:space="preserve"> </w:t>
            </w:r>
            <w:r w:rsidRPr="00031649">
              <w:t xml:space="preserve">Cat. no. </w:t>
            </w:r>
            <w:r w:rsidRPr="001A7262">
              <w:rPr>
                <w:iCs/>
              </w:rPr>
              <w:t xml:space="preserve">5204.0, </w:t>
            </w:r>
            <w:r>
              <w:t>October</w:t>
            </w:r>
            <w:r w:rsidR="007E7C70" w:rsidRPr="00176D3F">
              <w:t xml:space="preserve"> </w:t>
            </w:r>
            <w:r w:rsidR="005616CF">
              <w:t>(table</w:t>
            </w:r>
            <w:r w:rsidR="00AC6D60">
              <w:t> </w:t>
            </w:r>
            <w:r w:rsidR="005616CF">
              <w:t>5)</w:t>
            </w:r>
            <w:r w:rsidR="00F13816">
              <w:t>; ABS 2</w:t>
            </w:r>
            <w:r w:rsidR="00F13816" w:rsidRPr="00F235E9">
              <w:t>016</w:t>
            </w:r>
            <w:r w:rsidR="00F13816">
              <w:t xml:space="preserve">, </w:t>
            </w:r>
            <w:r w:rsidR="00F13816" w:rsidRPr="00F13816">
              <w:rPr>
                <w:i/>
              </w:rPr>
              <w:t>Australian Demographic Statistics, Jun 2016</w:t>
            </w:r>
            <w:r w:rsidR="00F13816">
              <w:t xml:space="preserve">, Cat. no. </w:t>
            </w:r>
            <w:r w:rsidR="00F13816" w:rsidRPr="00F13816">
              <w:t>3101.0</w:t>
            </w:r>
            <w:r w:rsidR="00F13816">
              <w:t>, December (table</w:t>
            </w:r>
            <w:r w:rsidR="00AC6D60">
              <w:t> </w:t>
            </w:r>
            <w:r w:rsidR="00F13816">
              <w:t>1)</w:t>
            </w:r>
            <w:r w:rsidR="00765F02">
              <w:t>.</w:t>
            </w:r>
          </w:p>
        </w:tc>
      </w:tr>
      <w:tr w:rsidR="007E7C70" w14:paraId="50BC3247" w14:textId="77777777" w:rsidTr="00781755">
        <w:tc>
          <w:tcPr>
            <w:tcW w:w="8771" w:type="dxa"/>
            <w:tcBorders>
              <w:top w:val="nil"/>
              <w:left w:val="nil"/>
              <w:bottom w:val="single" w:sz="6" w:space="0" w:color="78A22F"/>
              <w:right w:val="nil"/>
            </w:tcBorders>
            <w:shd w:val="clear" w:color="auto" w:fill="auto"/>
          </w:tcPr>
          <w:p w14:paraId="438B43FE" w14:textId="77777777" w:rsidR="007E7C70" w:rsidRDefault="007E7C70" w:rsidP="00781755">
            <w:pPr>
              <w:pStyle w:val="Figurespace"/>
            </w:pPr>
          </w:p>
        </w:tc>
      </w:tr>
      <w:tr w:rsidR="007E7C70" w:rsidRPr="000863A5" w14:paraId="10E32F4C" w14:textId="77777777" w:rsidTr="00781755">
        <w:tc>
          <w:tcPr>
            <w:tcW w:w="8771" w:type="dxa"/>
            <w:tcBorders>
              <w:top w:val="single" w:sz="6" w:space="0" w:color="78A22F"/>
              <w:left w:val="nil"/>
              <w:bottom w:val="nil"/>
              <w:right w:val="nil"/>
            </w:tcBorders>
          </w:tcPr>
          <w:p w14:paraId="5EE1A0D0" w14:textId="753E4574" w:rsidR="007E7C70" w:rsidRPr="00626D32" w:rsidRDefault="007E7C70" w:rsidP="00781755">
            <w:pPr>
              <w:pStyle w:val="BoxSpaceBelow"/>
            </w:pPr>
          </w:p>
        </w:tc>
      </w:tr>
    </w:tbl>
    <w:p w14:paraId="1A475CDE" w14:textId="52447E90" w:rsidR="003B308D" w:rsidRDefault="00D95F04" w:rsidP="00407086">
      <w:pPr>
        <w:pStyle w:val="Heading2"/>
      </w:pPr>
      <w:bookmarkStart w:id="6" w:name="_Toc488923578"/>
      <w:bookmarkStart w:id="7" w:name="_Toc488940672"/>
      <w:r>
        <w:rPr>
          <w:noProof/>
        </w:rPr>
        <w:t>2</w:t>
      </w:r>
      <w:r w:rsidR="00EE0596">
        <w:tab/>
        <w:t>Inputs and outputs have been rising</w:t>
      </w:r>
      <w:bookmarkEnd w:id="6"/>
      <w:bookmarkEnd w:id="7"/>
    </w:p>
    <w:p w14:paraId="2C5565EF" w14:textId="2DF7CE7C" w:rsidR="00EE0596" w:rsidRDefault="00EE0596" w:rsidP="00407086">
      <w:pPr>
        <w:pStyle w:val="BodyText"/>
      </w:pPr>
      <w:r>
        <w:t xml:space="preserve">A starting point for any investigation of </w:t>
      </w:r>
      <w:r w:rsidR="00D05915">
        <w:t>non</w:t>
      </w:r>
      <w:r w:rsidR="00AC6D60">
        <w:noBreakHyphen/>
      </w:r>
      <w:r w:rsidR="00D05915">
        <w:t xml:space="preserve">market sector </w:t>
      </w:r>
      <w:r>
        <w:t xml:space="preserve">productivity </w:t>
      </w:r>
      <w:r w:rsidR="00A2652C">
        <w:t>is to examine</w:t>
      </w:r>
      <w:r>
        <w:t xml:space="preserve"> trends in </w:t>
      </w:r>
      <w:r w:rsidR="00D05915">
        <w:t xml:space="preserve">output and input </w:t>
      </w:r>
      <w:r w:rsidR="00A2652C">
        <w:t xml:space="preserve">measures </w:t>
      </w:r>
      <w:r w:rsidR="00D05915">
        <w:t xml:space="preserve">— </w:t>
      </w:r>
      <w:r w:rsidR="005C7355">
        <w:t>it is</w:t>
      </w:r>
      <w:r>
        <w:t xml:space="preserve"> </w:t>
      </w:r>
      <w:r w:rsidR="005C7355" w:rsidRPr="00EE0596">
        <w:t>change</w:t>
      </w:r>
      <w:r w:rsidR="005C7355">
        <w:t>s</w:t>
      </w:r>
      <w:r w:rsidR="005C7355" w:rsidRPr="00EE0596">
        <w:t xml:space="preserve"> in the </w:t>
      </w:r>
      <w:r w:rsidR="005C7355" w:rsidRPr="00EE0596">
        <w:rPr>
          <w:i/>
        </w:rPr>
        <w:t>ratio</w:t>
      </w:r>
      <w:r w:rsidR="005C7355" w:rsidRPr="00EE0596">
        <w:t xml:space="preserve"> </w:t>
      </w:r>
      <w:r w:rsidR="005C7355">
        <w:t>between them that</w:t>
      </w:r>
      <w:r>
        <w:t xml:space="preserve"> determines productivity</w:t>
      </w:r>
      <w:r w:rsidR="005C7355">
        <w:t xml:space="preserve"> growth</w:t>
      </w:r>
      <w:r>
        <w:t xml:space="preserve">. </w:t>
      </w:r>
    </w:p>
    <w:p w14:paraId="77809B3C" w14:textId="5CED6F6E" w:rsidR="00603105" w:rsidRDefault="00F23ABB" w:rsidP="00EE0596">
      <w:pPr>
        <w:pStyle w:val="Heading3"/>
      </w:pPr>
      <w:r>
        <w:t>L</w:t>
      </w:r>
      <w:r w:rsidR="002C77FD">
        <w:t xml:space="preserve">abour </w:t>
      </w:r>
      <w:r w:rsidR="00603105">
        <w:t>inputs</w:t>
      </w:r>
    </w:p>
    <w:p w14:paraId="11039881" w14:textId="617A2896" w:rsidR="00603105" w:rsidRDefault="00603105" w:rsidP="00603105">
      <w:pPr>
        <w:pStyle w:val="BodyText"/>
      </w:pPr>
      <w:r>
        <w:t>Employment within the non</w:t>
      </w:r>
      <w:r w:rsidR="00AC6D60">
        <w:noBreakHyphen/>
      </w:r>
      <w:r>
        <w:t xml:space="preserve">market sector has risen since the early 1990s, increasing from </w:t>
      </w:r>
      <w:r w:rsidR="00E81FF3">
        <w:t>approximately</w:t>
      </w:r>
      <w:r>
        <w:t xml:space="preserve"> 1.7 million people (21 per cent of total employment) </w:t>
      </w:r>
      <w:r w:rsidR="00B633AE">
        <w:t>in 1990 to over 3.2 million (27 </w:t>
      </w:r>
      <w:r>
        <w:t xml:space="preserve">per cent of total employment) in 2016. </w:t>
      </w:r>
      <w:r w:rsidR="00523A38">
        <w:t xml:space="preserve">Growth in employment was </w:t>
      </w:r>
      <w:r>
        <w:t xml:space="preserve">strongest in the </w:t>
      </w:r>
      <w:r w:rsidR="003432F1">
        <w:t>health care</w:t>
      </w:r>
      <w:r>
        <w:t xml:space="preserve"> and social </w:t>
      </w:r>
      <w:r w:rsidR="00EC03AF">
        <w:t>services</w:t>
      </w:r>
      <w:r>
        <w:t xml:space="preserve"> sector, which more than doubled its workforce </w:t>
      </w:r>
      <w:r w:rsidR="00523A38">
        <w:t>over the past 25 years (figure</w:t>
      </w:r>
      <w:r w:rsidR="00AC6D60">
        <w:t> </w:t>
      </w:r>
      <w:r w:rsidR="00B633AE">
        <w:t>2</w:t>
      </w:r>
      <w:r w:rsidR="00523A38">
        <w:t>)</w:t>
      </w:r>
      <w:r>
        <w:t xml:space="preserve">. </w:t>
      </w:r>
      <w:r w:rsidR="00E92973">
        <w:t>A</w:t>
      </w:r>
      <w:r w:rsidR="00BE6B99" w:rsidRPr="00BE6B99">
        <w:t xml:space="preserve">verage hours worked </w:t>
      </w:r>
      <w:r w:rsidR="00560D51">
        <w:t>per employed person</w:t>
      </w:r>
      <w:r w:rsidR="00560D51" w:rsidRPr="00BE6B99">
        <w:t xml:space="preserve"> </w:t>
      </w:r>
      <w:r w:rsidR="004B65CA">
        <w:t>in the non</w:t>
      </w:r>
      <w:r w:rsidR="004B65CA">
        <w:noBreakHyphen/>
        <w:t xml:space="preserve">market sector </w:t>
      </w:r>
      <w:r w:rsidR="0078125E">
        <w:t xml:space="preserve">fell, </w:t>
      </w:r>
      <w:r w:rsidR="00BE6B99" w:rsidRPr="00BE6B99">
        <w:t xml:space="preserve">a trend in common with </w:t>
      </w:r>
      <w:r w:rsidR="00BE6B99">
        <w:t>the broader economy</w:t>
      </w:r>
      <w:r w:rsidR="00E92973">
        <w:t>. The best overall measure of labour input</w:t>
      </w:r>
      <w:r w:rsidR="00765F02">
        <w:t>s</w:t>
      </w:r>
      <w:r w:rsidR="00E92973">
        <w:t xml:space="preserve"> — </w:t>
      </w:r>
      <w:r w:rsidR="00765F02">
        <w:t xml:space="preserve">total </w:t>
      </w:r>
      <w:r w:rsidR="00E92973">
        <w:t xml:space="preserve">hours worked — </w:t>
      </w:r>
      <w:r w:rsidR="0078125E">
        <w:t xml:space="preserve">shows much the same pattern as employment numbers </w:t>
      </w:r>
      <w:r w:rsidR="003870F8" w:rsidRPr="003870F8">
        <w:rPr>
          <w:szCs w:val="24"/>
        </w:rPr>
        <w:t>(ABS 2016d)</w:t>
      </w:r>
      <w:r>
        <w:t xml:space="preserve">. </w:t>
      </w:r>
    </w:p>
    <w:p w14:paraId="51FE5518" w14:textId="3B14694A" w:rsidR="00603105" w:rsidRDefault="00603105" w:rsidP="00603105">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603105" w14:paraId="720EDFE5" w14:textId="77777777" w:rsidTr="00781755">
        <w:trPr>
          <w:tblHeader/>
        </w:trPr>
        <w:tc>
          <w:tcPr>
            <w:tcW w:w="8771" w:type="dxa"/>
            <w:tcBorders>
              <w:top w:val="single" w:sz="6" w:space="0" w:color="78A22F"/>
              <w:left w:val="nil"/>
              <w:bottom w:val="nil"/>
              <w:right w:val="nil"/>
            </w:tcBorders>
            <w:shd w:val="clear" w:color="auto" w:fill="auto"/>
          </w:tcPr>
          <w:p w14:paraId="1406466E" w14:textId="4F4F3E9A" w:rsidR="00603105" w:rsidRDefault="00603105" w:rsidP="00EE0596">
            <w:pPr>
              <w:pStyle w:val="FigureTitle"/>
            </w:pPr>
            <w:r w:rsidRPr="00784A05">
              <w:rPr>
                <w:b w:val="0"/>
              </w:rPr>
              <w:t xml:space="preserve">Figure </w:t>
            </w:r>
            <w:r w:rsidR="00D95F04">
              <w:rPr>
                <w:b w:val="0"/>
                <w:noProof/>
              </w:rPr>
              <w:t>2</w:t>
            </w:r>
            <w:r>
              <w:tab/>
            </w:r>
            <w:r w:rsidR="00EC00FF">
              <w:t>Employment in the n</w:t>
            </w:r>
            <w:r>
              <w:t>on</w:t>
            </w:r>
            <w:r w:rsidR="00AC6D60">
              <w:noBreakHyphen/>
            </w:r>
            <w:r>
              <w:t>market sector</w:t>
            </w:r>
          </w:p>
          <w:p w14:paraId="25135775" w14:textId="1F680196" w:rsidR="008C4534" w:rsidRPr="008C4534" w:rsidRDefault="008C4534" w:rsidP="008C4534">
            <w:pPr>
              <w:pStyle w:val="Subtitle"/>
            </w:pPr>
            <w:r w:rsidRPr="008C4534">
              <w:t>1991=100</w:t>
            </w:r>
          </w:p>
        </w:tc>
      </w:tr>
      <w:tr w:rsidR="00603105" w14:paraId="1F4A5261" w14:textId="77777777" w:rsidTr="00781755">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4097"/>
              <w:gridCol w:w="4407"/>
            </w:tblGrid>
            <w:tr w:rsidR="00603105" w:rsidRPr="00B1465D" w14:paraId="25C8AE81" w14:textId="77777777" w:rsidTr="00293E56">
              <w:trPr>
                <w:trHeight w:val="200"/>
                <w:tblHeader/>
                <w:jc w:val="center"/>
              </w:trPr>
              <w:tc>
                <w:tcPr>
                  <w:tcW w:w="2409" w:type="pct"/>
                  <w:tcBorders>
                    <w:top w:val="nil"/>
                    <w:bottom w:val="nil"/>
                  </w:tcBorders>
                </w:tcPr>
                <w:p w14:paraId="3FB03D77" w14:textId="0B302A26" w:rsidR="00603105" w:rsidRPr="009A55FA" w:rsidRDefault="00E13F4C" w:rsidP="000D15C2">
                  <w:pPr>
                    <w:pStyle w:val="Figure"/>
                    <w:spacing w:before="60" w:after="60"/>
                    <w:rPr>
                      <w:rFonts w:ascii="Calibri" w:hAnsi="Calibri"/>
                      <w:color w:val="000000"/>
                      <w:sz w:val="20"/>
                      <w:szCs w:val="22"/>
                    </w:rPr>
                  </w:pPr>
                  <w:r>
                    <w:rPr>
                      <w:rFonts w:ascii="Arial" w:hAnsi="Arial" w:cs="Arial"/>
                      <w:sz w:val="20"/>
                      <w:szCs w:val="18"/>
                    </w:rPr>
                    <w:t xml:space="preserve"> </w:t>
                  </w:r>
                  <w:r w:rsidR="00E82700" w:rsidRPr="009A55FA">
                    <w:rPr>
                      <w:rFonts w:ascii="Arial" w:hAnsi="Arial" w:cs="Arial"/>
                      <w:sz w:val="20"/>
                      <w:szCs w:val="18"/>
                    </w:rPr>
                    <w:t>Index of t</w:t>
                  </w:r>
                  <w:r w:rsidR="00603105" w:rsidRPr="009A55FA">
                    <w:rPr>
                      <w:rFonts w:ascii="Arial" w:hAnsi="Arial" w:cs="Arial"/>
                      <w:sz w:val="20"/>
                      <w:szCs w:val="18"/>
                    </w:rPr>
                    <w:t>otal employment</w:t>
                  </w:r>
                </w:p>
              </w:tc>
              <w:tc>
                <w:tcPr>
                  <w:tcW w:w="2591" w:type="pct"/>
                  <w:tcBorders>
                    <w:top w:val="nil"/>
                    <w:bottom w:val="nil"/>
                  </w:tcBorders>
                </w:tcPr>
                <w:p w14:paraId="6732E003" w14:textId="3C512150" w:rsidR="00603105" w:rsidRPr="009A55FA" w:rsidRDefault="00690F95" w:rsidP="000D15C2">
                  <w:pPr>
                    <w:pStyle w:val="Figure"/>
                    <w:spacing w:before="60" w:after="60"/>
                    <w:rPr>
                      <w:rFonts w:ascii="Arial" w:hAnsi="Arial" w:cs="Arial"/>
                      <w:sz w:val="20"/>
                      <w:szCs w:val="18"/>
                    </w:rPr>
                  </w:pPr>
                  <w:r>
                    <w:rPr>
                      <w:rFonts w:ascii="Arial" w:hAnsi="Arial" w:cs="Arial"/>
                      <w:sz w:val="20"/>
                      <w:szCs w:val="18"/>
                    </w:rPr>
                    <w:t xml:space="preserve"> </w:t>
                  </w:r>
                  <w:r w:rsidR="00E82700" w:rsidRPr="009A55FA">
                    <w:rPr>
                      <w:rFonts w:ascii="Arial" w:hAnsi="Arial" w:cs="Arial"/>
                      <w:sz w:val="20"/>
                      <w:szCs w:val="18"/>
                    </w:rPr>
                    <w:t xml:space="preserve">  </w:t>
                  </w:r>
                  <w:r w:rsidR="00603105" w:rsidRPr="009A55FA">
                    <w:rPr>
                      <w:rFonts w:ascii="Arial" w:hAnsi="Arial" w:cs="Arial"/>
                      <w:sz w:val="20"/>
                      <w:szCs w:val="18"/>
                    </w:rPr>
                    <w:t xml:space="preserve">Index of </w:t>
                  </w:r>
                  <w:r w:rsidR="00AE5884" w:rsidRPr="009A55FA">
                    <w:rPr>
                      <w:rFonts w:ascii="Arial" w:hAnsi="Arial" w:cs="Arial"/>
                      <w:sz w:val="20"/>
                      <w:szCs w:val="18"/>
                    </w:rPr>
                    <w:t>average hours worked</w:t>
                  </w:r>
                </w:p>
              </w:tc>
            </w:tr>
            <w:tr w:rsidR="00603105" w:rsidRPr="00B1465D" w14:paraId="4F9F2082" w14:textId="77777777" w:rsidTr="00B5397D">
              <w:tblPrEx>
                <w:tblCellMar>
                  <w:left w:w="108" w:type="dxa"/>
                  <w:right w:w="108" w:type="dxa"/>
                </w:tblCellMar>
              </w:tblPrEx>
              <w:trPr>
                <w:trHeight w:val="200"/>
                <w:tblHeader/>
                <w:jc w:val="center"/>
              </w:trPr>
              <w:tc>
                <w:tcPr>
                  <w:tcW w:w="5000" w:type="pct"/>
                  <w:gridSpan w:val="2"/>
                  <w:tcBorders>
                    <w:top w:val="nil"/>
                    <w:bottom w:val="nil"/>
                  </w:tcBorders>
                </w:tcPr>
                <w:p w14:paraId="5F68B971" w14:textId="7C57A395" w:rsidR="00603105" w:rsidRPr="00B1465D" w:rsidRDefault="00B5397D" w:rsidP="000D15C2">
                  <w:pPr>
                    <w:pStyle w:val="Figure"/>
                    <w:spacing w:before="60" w:after="60"/>
                    <w:rPr>
                      <w:rFonts w:ascii="Arial" w:hAnsi="Arial" w:cs="Arial"/>
                      <w:sz w:val="18"/>
                      <w:szCs w:val="18"/>
                    </w:rPr>
                  </w:pPr>
                  <w:r>
                    <w:rPr>
                      <w:noProof/>
                    </w:rPr>
                    <w:drawing>
                      <wp:anchor distT="0" distB="0" distL="114300" distR="114300" simplePos="0" relativeHeight="251659776" behindDoc="0" locked="0" layoutInCell="1" allowOverlap="1" wp14:anchorId="5FC2C3D8" wp14:editId="05EDD569">
                        <wp:simplePos x="0" y="0"/>
                        <wp:positionH relativeFrom="column">
                          <wp:posOffset>2592705</wp:posOffset>
                        </wp:positionH>
                        <wp:positionV relativeFrom="paragraph">
                          <wp:posOffset>32173</wp:posOffset>
                        </wp:positionV>
                        <wp:extent cx="2700655" cy="2700867"/>
                        <wp:effectExtent l="0" t="0" r="4445" b="4445"/>
                        <wp:wrapNone/>
                        <wp:docPr id="28" name="Chart 28" descr="There are two charts shown in this figure. The first relates to total employment by industry. It shows that employment growth in health care and social assistance has far eclipsed that in public administration and safety; education and training; and the economy generally. The second chart shows that for all industries, average hours per week have fallen – consistent with more part-time jobs."/>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Pr>
                      <w:noProof/>
                    </w:rPr>
                    <w:drawing>
                      <wp:inline distT="0" distB="0" distL="0" distR="0" wp14:anchorId="23B58B60" wp14:editId="145F07A1">
                        <wp:extent cx="5240655" cy="3056467"/>
                        <wp:effectExtent l="0" t="0" r="0" b="0"/>
                        <wp:docPr id="27" name="Chart 27" descr="There are two charts shown in this figure. The first relates to total employment by industry. It shows that employment growth in health care and social assistance has far eclipsed that in public administration and safety; education and training; and the economy generally. The second chart shows that for all industries, average hours per week have fallen – consistent with more part-time jobs."/>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101152">
                    <w:rPr>
                      <w:noProof/>
                    </w:rPr>
                    <w:t xml:space="preserve"> </w:t>
                  </w:r>
                </w:p>
              </w:tc>
            </w:tr>
          </w:tbl>
          <w:p w14:paraId="26AEE9C1" w14:textId="77777777" w:rsidR="00603105" w:rsidRDefault="00603105" w:rsidP="000D15C2">
            <w:pPr>
              <w:pStyle w:val="Figure"/>
              <w:spacing w:before="60" w:after="60"/>
            </w:pPr>
          </w:p>
        </w:tc>
      </w:tr>
      <w:tr w:rsidR="00603105" w:rsidRPr="00176D3F" w14:paraId="5789E65F" w14:textId="77777777" w:rsidTr="00781755">
        <w:tc>
          <w:tcPr>
            <w:tcW w:w="8771" w:type="dxa"/>
            <w:tcBorders>
              <w:top w:val="nil"/>
              <w:left w:val="nil"/>
              <w:bottom w:val="nil"/>
              <w:right w:val="nil"/>
            </w:tcBorders>
            <w:shd w:val="clear" w:color="auto" w:fill="auto"/>
          </w:tcPr>
          <w:p w14:paraId="73852FDB" w14:textId="4F2A0463" w:rsidR="00603105" w:rsidRPr="00176D3F" w:rsidRDefault="007E13AB" w:rsidP="00B61921">
            <w:pPr>
              <w:pStyle w:val="Source"/>
            </w:pPr>
            <w:r>
              <w:rPr>
                <w:i/>
              </w:rPr>
              <w:t>S</w:t>
            </w:r>
            <w:r w:rsidR="00603105" w:rsidRPr="00784A05">
              <w:rPr>
                <w:i/>
              </w:rPr>
              <w:t>ource</w:t>
            </w:r>
            <w:r w:rsidR="00603105" w:rsidRPr="00176D3F">
              <w:t xml:space="preserve">: </w:t>
            </w:r>
            <w:r w:rsidR="005616CF">
              <w:t>ABS 201</w:t>
            </w:r>
            <w:r w:rsidR="00101152">
              <w:t>7</w:t>
            </w:r>
            <w:r w:rsidR="005616CF" w:rsidRPr="00F235E9">
              <w:t xml:space="preserve">, </w:t>
            </w:r>
            <w:r w:rsidR="005616CF" w:rsidRPr="00F235E9">
              <w:rPr>
                <w:i/>
                <w:iCs/>
              </w:rPr>
              <w:t>Labour Force, Detailed, Quarterly,</w:t>
            </w:r>
            <w:r w:rsidR="00101152">
              <w:rPr>
                <w:i/>
                <w:iCs/>
              </w:rPr>
              <w:t xml:space="preserve"> </w:t>
            </w:r>
            <w:r w:rsidR="005616CF" w:rsidRPr="001A7262">
              <w:rPr>
                <w:iCs/>
              </w:rPr>
              <w:t xml:space="preserve">Cat. no. 6291.0.55.003, </w:t>
            </w:r>
            <w:r w:rsidR="00101152">
              <w:rPr>
                <w:iCs/>
              </w:rPr>
              <w:t>May</w:t>
            </w:r>
            <w:r w:rsidR="00293E56">
              <w:rPr>
                <w:iCs/>
              </w:rPr>
              <w:t xml:space="preserve"> (tables</w:t>
            </w:r>
            <w:r w:rsidR="00AC6D60">
              <w:rPr>
                <w:iCs/>
              </w:rPr>
              <w:t> </w:t>
            </w:r>
            <w:r w:rsidR="00293E56">
              <w:rPr>
                <w:iCs/>
              </w:rPr>
              <w:t>6</w:t>
            </w:r>
            <w:r w:rsidR="00101152">
              <w:rPr>
                <w:iCs/>
              </w:rPr>
              <w:t>,</w:t>
            </w:r>
            <w:r w:rsidR="00293E56">
              <w:rPr>
                <w:iCs/>
              </w:rPr>
              <w:t xml:space="preserve"> 11)</w:t>
            </w:r>
            <w:r w:rsidR="00765F02">
              <w:rPr>
                <w:iCs/>
              </w:rPr>
              <w:t>.</w:t>
            </w:r>
          </w:p>
        </w:tc>
      </w:tr>
      <w:tr w:rsidR="00603105" w14:paraId="1E6295B2" w14:textId="77777777" w:rsidTr="00781755">
        <w:tc>
          <w:tcPr>
            <w:tcW w:w="8771" w:type="dxa"/>
            <w:tcBorders>
              <w:top w:val="nil"/>
              <w:left w:val="nil"/>
              <w:bottom w:val="single" w:sz="6" w:space="0" w:color="78A22F"/>
              <w:right w:val="nil"/>
            </w:tcBorders>
            <w:shd w:val="clear" w:color="auto" w:fill="auto"/>
          </w:tcPr>
          <w:p w14:paraId="6057ABB1" w14:textId="77777777" w:rsidR="00603105" w:rsidRDefault="00603105" w:rsidP="00781755">
            <w:pPr>
              <w:pStyle w:val="Figurespace"/>
            </w:pPr>
          </w:p>
        </w:tc>
      </w:tr>
      <w:tr w:rsidR="00603105" w:rsidRPr="000863A5" w14:paraId="21AE753B" w14:textId="77777777" w:rsidTr="00781755">
        <w:tc>
          <w:tcPr>
            <w:tcW w:w="8771" w:type="dxa"/>
            <w:tcBorders>
              <w:top w:val="single" w:sz="6" w:space="0" w:color="78A22F"/>
              <w:left w:val="nil"/>
              <w:bottom w:val="nil"/>
              <w:right w:val="nil"/>
            </w:tcBorders>
          </w:tcPr>
          <w:p w14:paraId="471592D3" w14:textId="04E37AAF" w:rsidR="00603105" w:rsidRPr="00626D32" w:rsidRDefault="00603105" w:rsidP="00781755">
            <w:pPr>
              <w:pStyle w:val="BoxSpaceBelow"/>
            </w:pPr>
          </w:p>
        </w:tc>
      </w:tr>
    </w:tbl>
    <w:p w14:paraId="2562C4A5" w14:textId="175E508E" w:rsidR="00F23ABB" w:rsidRDefault="00F23ABB" w:rsidP="000D15C2">
      <w:pPr>
        <w:pStyle w:val="Heading3"/>
        <w:spacing w:before="360"/>
      </w:pPr>
      <w:r>
        <w:t>Capital inputs</w:t>
      </w:r>
    </w:p>
    <w:p w14:paraId="00615E98" w14:textId="0C685B99" w:rsidR="009A55FA" w:rsidRDefault="009A55FA" w:rsidP="002E155A">
      <w:pPr>
        <w:pStyle w:val="BodyText"/>
      </w:pPr>
      <w:r>
        <w:t>As with employment, capital inputs have been rising in the non</w:t>
      </w:r>
      <w:r w:rsidR="00AC6D60">
        <w:noBreakHyphen/>
      </w:r>
      <w:r>
        <w:t xml:space="preserve">market sector, evidenced by strong </w:t>
      </w:r>
      <w:r w:rsidR="003C112F">
        <w:t xml:space="preserve">growth in </w:t>
      </w:r>
      <w:r>
        <w:t xml:space="preserve">gross fixed capital expenditure and growing </w:t>
      </w:r>
      <w:r w:rsidR="008A23C6">
        <w:t xml:space="preserve">net </w:t>
      </w:r>
      <w:r>
        <w:t>capital stocks</w:t>
      </w:r>
      <w:r w:rsidR="000D15C2">
        <w:t xml:space="preserve"> (figure </w:t>
      </w:r>
      <w:r w:rsidR="00B633AE">
        <w:t>3)</w:t>
      </w:r>
      <w:r w:rsidR="00D423B0">
        <w:t xml:space="preserve">, </w:t>
      </w:r>
      <w:r w:rsidR="00AD3F9C">
        <w:t xml:space="preserve">the latter of </w:t>
      </w:r>
      <w:r w:rsidR="00D423B0">
        <w:t>which more than doubled</w:t>
      </w:r>
      <w:r>
        <w:t xml:space="preserve"> from 1990</w:t>
      </w:r>
      <w:r>
        <w:noBreakHyphen/>
        <w:t>91 to 2015</w:t>
      </w:r>
      <w:r>
        <w:noBreakHyphen/>
        <w:t>16.</w:t>
      </w:r>
      <w:r w:rsidRPr="003F6B1C">
        <w:rPr>
          <w:rStyle w:val="FootnoteReference"/>
        </w:rPr>
        <w:footnoteReference w:id="4"/>
      </w:r>
    </w:p>
    <w:p w14:paraId="0D521B38" w14:textId="5F71971F" w:rsidR="000D15C2" w:rsidRPr="00582924" w:rsidRDefault="000D15C2" w:rsidP="000D15C2">
      <w:pPr>
        <w:pStyle w:val="Heading3"/>
        <w:spacing w:before="480"/>
      </w:pPr>
      <w:r>
        <w:t>Industry</w:t>
      </w:r>
      <w:r w:rsidR="00AC6D60">
        <w:noBreakHyphen/>
      </w:r>
      <w:r>
        <w:t>level output trends</w:t>
      </w:r>
    </w:p>
    <w:p w14:paraId="21EAE493" w14:textId="2D403C4B" w:rsidR="000D15C2" w:rsidRDefault="000D15C2" w:rsidP="000D15C2">
      <w:pPr>
        <w:pStyle w:val="BodyText"/>
      </w:pPr>
      <w:r>
        <w:t>Australia has experienced uninterrupted population growth and increases in economic prosperity</w:t>
      </w:r>
      <w:r w:rsidRPr="00F85896">
        <w:t xml:space="preserve"> </w:t>
      </w:r>
      <w:r w:rsidR="00E81FF3">
        <w:t>over the p</w:t>
      </w:r>
      <w:r>
        <w:t>ast 25 years. These factors alone have increased the total demand for non</w:t>
      </w:r>
      <w:r>
        <w:noBreakHyphen/>
        <w:t>market services, as more people, with more money to spend, have demanded more health care, education and public administration services. In addition, an ageing population has further increased demand for health care and social services. Decreased growth in demand for education and training — as there are proportionally fewer school</w:t>
      </w:r>
      <w:r>
        <w:noBreakHyphen/>
        <w:t xml:space="preserve">age children — provided only a small offset to this broader trend, in part because of considerable growth in the tertiary education sector </w:t>
      </w:r>
      <w:r w:rsidRPr="00F159A8">
        <w:rPr>
          <w:szCs w:val="24"/>
        </w:rPr>
        <w:t>(Australian Government 2015)</w:t>
      </w:r>
      <w:r>
        <w:t>.</w:t>
      </w:r>
    </w:p>
    <w:p w14:paraId="5AA19BEF" w14:textId="271F56D7" w:rsidR="0027764F" w:rsidRDefault="0027764F" w:rsidP="00255E0C">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27764F" w14:paraId="08BCBCDD" w14:textId="77777777" w:rsidTr="00255E0C">
        <w:trPr>
          <w:tblHeader/>
        </w:trPr>
        <w:tc>
          <w:tcPr>
            <w:tcW w:w="8771" w:type="dxa"/>
            <w:tcBorders>
              <w:top w:val="single" w:sz="6" w:space="0" w:color="78A22F"/>
              <w:left w:val="nil"/>
              <w:bottom w:val="nil"/>
              <w:right w:val="nil"/>
            </w:tcBorders>
            <w:shd w:val="clear" w:color="auto" w:fill="auto"/>
          </w:tcPr>
          <w:p w14:paraId="310B2420" w14:textId="4552CA12" w:rsidR="0027764F" w:rsidRDefault="0027764F" w:rsidP="00F3720D">
            <w:pPr>
              <w:pStyle w:val="FigureTitle"/>
              <w:rPr>
                <w:rStyle w:val="NoteLabel"/>
              </w:rPr>
            </w:pPr>
            <w:r w:rsidRPr="00784A05">
              <w:rPr>
                <w:b w:val="0"/>
              </w:rPr>
              <w:t xml:space="preserve">Figure </w:t>
            </w:r>
            <w:r w:rsidR="00D95F04">
              <w:rPr>
                <w:b w:val="0"/>
                <w:noProof/>
              </w:rPr>
              <w:t>3</w:t>
            </w:r>
            <w:r>
              <w:tab/>
              <w:t>Capital i</w:t>
            </w:r>
            <w:r w:rsidR="00F3720D">
              <w:t>nputs for the non</w:t>
            </w:r>
            <w:r w:rsidR="00AC6D60">
              <w:noBreakHyphen/>
            </w:r>
            <w:r w:rsidR="00F3720D">
              <w:t>market sector</w:t>
            </w:r>
            <w:r w:rsidR="00F3720D" w:rsidRPr="00F3720D">
              <w:rPr>
                <w:rStyle w:val="NoteLabel"/>
              </w:rPr>
              <w:t>a</w:t>
            </w:r>
          </w:p>
          <w:p w14:paraId="54E5A376" w14:textId="62EF4B0C" w:rsidR="008C4534" w:rsidRPr="008C4534" w:rsidRDefault="008C4534" w:rsidP="008C4534">
            <w:pPr>
              <w:pStyle w:val="Subtitle"/>
            </w:pPr>
            <w:r>
              <w:t>1990=100</w:t>
            </w:r>
            <w:r w:rsidR="00CA2123">
              <w:t>, financial year ending</w:t>
            </w:r>
          </w:p>
        </w:tc>
      </w:tr>
      <w:tr w:rsidR="0027764F" w14:paraId="00CEAC73" w14:textId="77777777" w:rsidTr="00255E0C">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4252"/>
              <w:gridCol w:w="4252"/>
            </w:tblGrid>
            <w:tr w:rsidR="00F3720D" w:rsidRPr="00B1465D" w14:paraId="2FFE3483" w14:textId="06B76D18" w:rsidTr="00426D16">
              <w:trPr>
                <w:cantSplit/>
                <w:trHeight w:val="269"/>
                <w:tblHeader/>
                <w:jc w:val="center"/>
              </w:trPr>
              <w:tc>
                <w:tcPr>
                  <w:tcW w:w="4252" w:type="dxa"/>
                  <w:tcBorders>
                    <w:top w:val="nil"/>
                    <w:bottom w:val="nil"/>
                  </w:tcBorders>
                </w:tcPr>
                <w:p w14:paraId="67E7503D" w14:textId="75407DA7" w:rsidR="00F3720D" w:rsidRPr="00F3720D" w:rsidRDefault="00F3720D" w:rsidP="00F3720D">
                  <w:pPr>
                    <w:spacing w:before="60" w:after="60"/>
                    <w:jc w:val="center"/>
                    <w:rPr>
                      <w:rFonts w:ascii="Arial" w:hAnsi="Arial" w:cs="Arial"/>
                      <w:sz w:val="20"/>
                    </w:rPr>
                  </w:pPr>
                  <w:r w:rsidRPr="00F3720D">
                    <w:rPr>
                      <w:rFonts w:ascii="Arial" w:hAnsi="Arial" w:cs="Arial"/>
                      <w:sz w:val="20"/>
                    </w:rPr>
                    <w:t xml:space="preserve">Index of </w:t>
                  </w:r>
                  <w:r>
                    <w:rPr>
                      <w:rFonts w:ascii="Arial" w:hAnsi="Arial" w:cs="Arial"/>
                      <w:sz w:val="20"/>
                    </w:rPr>
                    <w:t>gross</w:t>
                  </w:r>
                  <w:r w:rsidRPr="00F3720D">
                    <w:rPr>
                      <w:rFonts w:ascii="Arial" w:hAnsi="Arial" w:cs="Arial"/>
                      <w:sz w:val="20"/>
                    </w:rPr>
                    <w:t xml:space="preserve"> fixed capital </w:t>
                  </w:r>
                  <w:r>
                    <w:rPr>
                      <w:rFonts w:ascii="Arial" w:hAnsi="Arial" w:cs="Arial"/>
                      <w:sz w:val="20"/>
                    </w:rPr>
                    <w:t>formation</w:t>
                  </w:r>
                </w:p>
              </w:tc>
              <w:tc>
                <w:tcPr>
                  <w:tcW w:w="4252" w:type="dxa"/>
                  <w:tcBorders>
                    <w:top w:val="nil"/>
                    <w:bottom w:val="nil"/>
                  </w:tcBorders>
                </w:tcPr>
                <w:p w14:paraId="45E0F3E1" w14:textId="1AE5956C" w:rsidR="00F3720D" w:rsidRPr="00F3720D" w:rsidRDefault="00F3720D" w:rsidP="00F3720D">
                  <w:pPr>
                    <w:spacing w:before="60" w:after="60"/>
                    <w:jc w:val="center"/>
                    <w:rPr>
                      <w:rFonts w:ascii="Arial" w:hAnsi="Arial" w:cs="Arial"/>
                      <w:sz w:val="20"/>
                      <w:szCs w:val="20"/>
                    </w:rPr>
                  </w:pPr>
                  <w:r w:rsidRPr="00F3720D">
                    <w:rPr>
                      <w:rFonts w:ascii="Arial" w:hAnsi="Arial" w:cs="Arial"/>
                      <w:sz w:val="20"/>
                      <w:szCs w:val="20"/>
                    </w:rPr>
                    <w:t xml:space="preserve">Index of </w:t>
                  </w:r>
                  <w:r>
                    <w:rPr>
                      <w:rFonts w:ascii="Arial" w:hAnsi="Arial" w:cs="Arial"/>
                      <w:sz w:val="20"/>
                      <w:szCs w:val="20"/>
                    </w:rPr>
                    <w:t>net capital stock</w:t>
                  </w:r>
                </w:p>
              </w:tc>
            </w:tr>
            <w:tr w:rsidR="00F3720D" w:rsidRPr="00B1465D" w14:paraId="3E26FB24" w14:textId="77777777" w:rsidTr="00426D16">
              <w:trPr>
                <w:cantSplit/>
                <w:tblHeader/>
                <w:jc w:val="center"/>
              </w:trPr>
              <w:tc>
                <w:tcPr>
                  <w:tcW w:w="8504" w:type="dxa"/>
                  <w:gridSpan w:val="2"/>
                  <w:tcBorders>
                    <w:top w:val="nil"/>
                    <w:bottom w:val="nil"/>
                  </w:tcBorders>
                </w:tcPr>
                <w:p w14:paraId="4BA61957" w14:textId="190A13E4" w:rsidR="00F3720D" w:rsidRPr="00D54914" w:rsidRDefault="00D54914" w:rsidP="00F3720D">
                  <w:pPr>
                    <w:pStyle w:val="Figure"/>
                    <w:spacing w:before="60" w:after="60"/>
                    <w:rPr>
                      <w:noProof/>
                    </w:rPr>
                  </w:pPr>
                  <w:r>
                    <w:rPr>
                      <w:noProof/>
                    </w:rPr>
                    <w:drawing>
                      <wp:anchor distT="0" distB="0" distL="114300" distR="114300" simplePos="0" relativeHeight="251654656" behindDoc="0" locked="0" layoutInCell="1" allowOverlap="1" wp14:anchorId="0722BE4F" wp14:editId="4A1C2F30">
                        <wp:simplePos x="0" y="0"/>
                        <wp:positionH relativeFrom="column">
                          <wp:posOffset>2636732</wp:posOffset>
                        </wp:positionH>
                        <wp:positionV relativeFrom="paragraph">
                          <wp:posOffset>423</wp:posOffset>
                        </wp:positionV>
                        <wp:extent cx="2649855" cy="2562225"/>
                        <wp:effectExtent l="0" t="0" r="0" b="0"/>
                        <wp:wrapNone/>
                        <wp:docPr id="26" name="Chart 26" descr="There are two charts shown in this figure. The first relates to total fixed capital spending by industry. It shows that investment growth in health care and social assistance has far eclipsed that in public administration and safety; and education and training, with the exception of the brief period of major investment in school buildings after the financial crisis. The second chart shows that net capital stock growth in health care and social assistance has far outgrown that in public administration and safety; and education and train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D544F7">
                    <w:rPr>
                      <w:noProof/>
                    </w:rPr>
                    <w:drawing>
                      <wp:inline distT="0" distB="0" distL="0" distR="0" wp14:anchorId="7801FA17" wp14:editId="6C72FB58">
                        <wp:extent cx="5257376" cy="2819400"/>
                        <wp:effectExtent l="0" t="0" r="635" b="0"/>
                        <wp:docPr id="24" name="Chart 24" descr="There are two charts shown in this figure. The first relates to total fixed capital spending by industry. It shows that investment growth in health care and social assistance has far eclipsed that in public administration and safety; and education and training, with the exception of the brief period of major investment in school buildings after the financial crisis. The second chart shows that net capital stock growth in health care and social assistance has far outgrown that in public administration and safety; and education and train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F3720D">
                    <w:rPr>
                      <w:noProof/>
                    </w:rPr>
                    <w:t xml:space="preserve"> </w:t>
                  </w:r>
                </w:p>
              </w:tc>
            </w:tr>
          </w:tbl>
          <w:p w14:paraId="787D7A6D" w14:textId="77777777" w:rsidR="0027764F" w:rsidRDefault="0027764F" w:rsidP="00255E0C">
            <w:pPr>
              <w:pStyle w:val="Figure"/>
            </w:pPr>
          </w:p>
        </w:tc>
      </w:tr>
      <w:tr w:rsidR="0027764F" w:rsidRPr="00176D3F" w14:paraId="71FC2AEC" w14:textId="77777777" w:rsidTr="00255E0C">
        <w:tc>
          <w:tcPr>
            <w:tcW w:w="8771" w:type="dxa"/>
            <w:tcBorders>
              <w:top w:val="nil"/>
              <w:left w:val="nil"/>
              <w:bottom w:val="nil"/>
              <w:right w:val="nil"/>
            </w:tcBorders>
            <w:shd w:val="clear" w:color="auto" w:fill="auto"/>
          </w:tcPr>
          <w:p w14:paraId="13BA6D34" w14:textId="66B72978" w:rsidR="0027764F" w:rsidRPr="0027764F" w:rsidRDefault="0027764F" w:rsidP="008C4534">
            <w:pPr>
              <w:pStyle w:val="Note"/>
            </w:pPr>
            <w:r>
              <w:rPr>
                <w:rStyle w:val="NoteLabel"/>
              </w:rPr>
              <w:t>a</w:t>
            </w:r>
            <w:r w:rsidR="0095642C">
              <w:t xml:space="preserve"> </w:t>
            </w:r>
            <w:r w:rsidR="009F7F0A" w:rsidRPr="00DC5811">
              <w:t>Measured by chain volumes</w:t>
            </w:r>
            <w:r w:rsidR="00C32F70" w:rsidRPr="00DC5811">
              <w:t>.</w:t>
            </w:r>
          </w:p>
        </w:tc>
      </w:tr>
      <w:tr w:rsidR="0027764F" w:rsidRPr="00176D3F" w14:paraId="26A87D41" w14:textId="77777777" w:rsidTr="00255E0C">
        <w:tc>
          <w:tcPr>
            <w:tcW w:w="8771" w:type="dxa"/>
            <w:tcBorders>
              <w:top w:val="nil"/>
              <w:left w:val="nil"/>
              <w:bottom w:val="nil"/>
              <w:right w:val="nil"/>
            </w:tcBorders>
            <w:shd w:val="clear" w:color="auto" w:fill="auto"/>
          </w:tcPr>
          <w:p w14:paraId="72078C91" w14:textId="68C786B1" w:rsidR="0027764F" w:rsidRPr="00176D3F" w:rsidRDefault="009A55FA" w:rsidP="00F3720D">
            <w:pPr>
              <w:pStyle w:val="Source"/>
            </w:pPr>
            <w:r>
              <w:rPr>
                <w:i/>
              </w:rPr>
              <w:t>S</w:t>
            </w:r>
            <w:r w:rsidR="0027764F" w:rsidRPr="00784A05">
              <w:rPr>
                <w:i/>
              </w:rPr>
              <w:t>ource</w:t>
            </w:r>
            <w:r w:rsidR="00F3720D">
              <w:t xml:space="preserve">: </w:t>
            </w:r>
            <w:r>
              <w:t>ABS 2</w:t>
            </w:r>
            <w:r w:rsidRPr="00F235E9">
              <w:t xml:space="preserve">016, </w:t>
            </w:r>
            <w:r w:rsidRPr="00F235E9">
              <w:rPr>
                <w:i/>
                <w:iCs/>
              </w:rPr>
              <w:t>Australian System of National Accounts, 2015</w:t>
            </w:r>
            <w:r w:rsidR="00E13F4C">
              <w:rPr>
                <w:i/>
                <w:iCs/>
              </w:rPr>
              <w:noBreakHyphen/>
            </w:r>
            <w:r w:rsidRPr="00F235E9">
              <w:rPr>
                <w:i/>
                <w:iCs/>
              </w:rPr>
              <w:t>16</w:t>
            </w:r>
            <w:r w:rsidRPr="00F235E9">
              <w:t xml:space="preserve">, </w:t>
            </w:r>
            <w:r w:rsidRPr="00031649">
              <w:t xml:space="preserve">Cat. no. </w:t>
            </w:r>
            <w:r w:rsidRPr="004A6E71">
              <w:rPr>
                <w:iCs/>
              </w:rPr>
              <w:t xml:space="preserve">5204.0, </w:t>
            </w:r>
            <w:r w:rsidRPr="00031649">
              <w:t>October</w:t>
            </w:r>
            <w:r w:rsidR="00F3720D">
              <w:t xml:space="preserve"> (table</w:t>
            </w:r>
            <w:r w:rsidR="00AC6D60">
              <w:t> </w:t>
            </w:r>
            <w:r w:rsidR="00F3720D">
              <w:t>58)</w:t>
            </w:r>
            <w:r w:rsidR="00C32F70">
              <w:t>.</w:t>
            </w:r>
          </w:p>
        </w:tc>
      </w:tr>
      <w:tr w:rsidR="0027764F" w14:paraId="4C6789CC" w14:textId="77777777" w:rsidTr="00255E0C">
        <w:tc>
          <w:tcPr>
            <w:tcW w:w="8771" w:type="dxa"/>
            <w:tcBorders>
              <w:top w:val="nil"/>
              <w:left w:val="nil"/>
              <w:bottom w:val="single" w:sz="6" w:space="0" w:color="78A22F"/>
              <w:right w:val="nil"/>
            </w:tcBorders>
            <w:shd w:val="clear" w:color="auto" w:fill="auto"/>
          </w:tcPr>
          <w:p w14:paraId="28D9F3B7" w14:textId="77777777" w:rsidR="0027764F" w:rsidRDefault="0027764F" w:rsidP="00255E0C">
            <w:pPr>
              <w:pStyle w:val="Figurespace"/>
            </w:pPr>
          </w:p>
        </w:tc>
      </w:tr>
      <w:tr w:rsidR="0027764F" w:rsidRPr="000863A5" w14:paraId="11B89B66" w14:textId="77777777" w:rsidTr="00255E0C">
        <w:tc>
          <w:tcPr>
            <w:tcW w:w="8771" w:type="dxa"/>
            <w:tcBorders>
              <w:top w:val="single" w:sz="6" w:space="0" w:color="78A22F"/>
              <w:left w:val="nil"/>
              <w:bottom w:val="nil"/>
              <w:right w:val="nil"/>
            </w:tcBorders>
          </w:tcPr>
          <w:p w14:paraId="3B1E3A8A" w14:textId="6A29DDA8" w:rsidR="0027764F" w:rsidRPr="00626D32" w:rsidRDefault="0027764F" w:rsidP="00255E0C">
            <w:pPr>
              <w:pStyle w:val="BoxSpaceBelow"/>
            </w:pPr>
          </w:p>
        </w:tc>
      </w:tr>
    </w:tbl>
    <w:p w14:paraId="36A09CAD" w14:textId="590D7201" w:rsidR="00F23ABB" w:rsidRDefault="00F23ABB" w:rsidP="00F23ABB">
      <w:pPr>
        <w:pStyle w:val="BodyText"/>
      </w:pPr>
      <w:r>
        <w:t>There have also been major technological improvements and cumulative increases in knowledge ov</w:t>
      </w:r>
      <w:r w:rsidR="00560D51">
        <w:t>er this period, which sh</w:t>
      </w:r>
      <w:r>
        <w:t>ould have increased the value of the non</w:t>
      </w:r>
      <w:r w:rsidR="00AC6D60">
        <w:noBreakHyphen/>
      </w:r>
      <w:r>
        <w:t xml:space="preserve">market sector’s output. Although evidence of </w:t>
      </w:r>
      <w:r w:rsidR="00F13E65">
        <w:t xml:space="preserve">increased </w:t>
      </w:r>
      <w:r>
        <w:t xml:space="preserve">quality in the education </w:t>
      </w:r>
      <w:r w:rsidR="00F13E65">
        <w:t>and</w:t>
      </w:r>
      <w:r>
        <w:t xml:space="preserve"> public administration sectors is difficult to identify, the quality of </w:t>
      </w:r>
      <w:r w:rsidR="003432F1">
        <w:t>health care</w:t>
      </w:r>
      <w:r>
        <w:t xml:space="preserve"> provision has advanced immensely in recent decades. </w:t>
      </w:r>
    </w:p>
    <w:p w14:paraId="512863AB" w14:textId="73C09EB8" w:rsidR="00603105" w:rsidRDefault="003432F1" w:rsidP="00F23ABB">
      <w:pPr>
        <w:pStyle w:val="Heading4"/>
      </w:pPr>
      <w:r>
        <w:t>Health care</w:t>
      </w:r>
      <w:r w:rsidR="00603105">
        <w:t xml:space="preserve"> and social </w:t>
      </w:r>
      <w:r w:rsidR="00EC03AF">
        <w:t>services</w:t>
      </w:r>
      <w:r w:rsidR="00603105">
        <w:t xml:space="preserve"> outputs</w:t>
      </w:r>
    </w:p>
    <w:p w14:paraId="158467D2" w14:textId="779FB1C1" w:rsidR="00603105" w:rsidRDefault="00603105" w:rsidP="00603105">
      <w:pPr>
        <w:pStyle w:val="BodyText"/>
      </w:pPr>
      <w:r>
        <w:t xml:space="preserve">In </w:t>
      </w:r>
      <w:r w:rsidR="003432F1">
        <w:t>health care</w:t>
      </w:r>
      <w:r>
        <w:t xml:space="preserve"> and social </w:t>
      </w:r>
      <w:r w:rsidR="00EC03AF">
        <w:t>services</w:t>
      </w:r>
      <w:r>
        <w:t>, the quantity of outputs across a wide range of industry activities has grown rapidly over recent years:</w:t>
      </w:r>
    </w:p>
    <w:p w14:paraId="138FAED2" w14:textId="2633DB12" w:rsidR="00603105" w:rsidRDefault="00603105" w:rsidP="00603105">
      <w:pPr>
        <w:pStyle w:val="ListBullet"/>
      </w:pPr>
      <w:r>
        <w:t>The number of procedures undertaken in hospitals has increased from nearly 11 million in 2000</w:t>
      </w:r>
      <w:r w:rsidR="00E13F4C">
        <w:noBreakHyphen/>
      </w:r>
      <w:r>
        <w:t xml:space="preserve">01 to over </w:t>
      </w:r>
      <w:r w:rsidR="00077AD4">
        <w:t>20</w:t>
      </w:r>
      <w:r>
        <w:t xml:space="preserve"> million in 201</w:t>
      </w:r>
      <w:r w:rsidR="00077AD4">
        <w:t>4</w:t>
      </w:r>
      <w:r w:rsidR="00E13F4C">
        <w:noBreakHyphen/>
      </w:r>
      <w:r>
        <w:t>1</w:t>
      </w:r>
      <w:r w:rsidR="00077AD4">
        <w:t>5</w:t>
      </w:r>
      <w:r>
        <w:t xml:space="preserve"> </w:t>
      </w:r>
      <w:r w:rsidR="00186138" w:rsidRPr="00186138">
        <w:rPr>
          <w:szCs w:val="24"/>
        </w:rPr>
        <w:t>(AIHW 2017a)</w:t>
      </w:r>
      <w:r w:rsidR="00F13E65">
        <w:t>.</w:t>
      </w:r>
    </w:p>
    <w:p w14:paraId="0A32655D" w14:textId="541926C2" w:rsidR="00603105" w:rsidRDefault="00603105" w:rsidP="00603105">
      <w:pPr>
        <w:pStyle w:val="ListBullet"/>
      </w:pPr>
      <w:r>
        <w:t>Emergency department presentations at public hospitals rose from 5.7 million per year in 2008</w:t>
      </w:r>
      <w:r w:rsidR="00E13F4C">
        <w:noBreakHyphen/>
      </w:r>
      <w:r>
        <w:t>09 to 7.4 million in 2014</w:t>
      </w:r>
      <w:r w:rsidR="00E13F4C">
        <w:noBreakHyphen/>
      </w:r>
      <w:r>
        <w:t xml:space="preserve">15 </w:t>
      </w:r>
      <w:r w:rsidRPr="00EA3F72">
        <w:rPr>
          <w:szCs w:val="24"/>
        </w:rPr>
        <w:t>(AIHW 2013, 2015)</w:t>
      </w:r>
      <w:r w:rsidR="00F13E65">
        <w:t>.</w:t>
      </w:r>
    </w:p>
    <w:p w14:paraId="4A6767AB" w14:textId="5BAE1E5C" w:rsidR="00603105" w:rsidRDefault="00603105" w:rsidP="00603105">
      <w:pPr>
        <w:pStyle w:val="ListBullet"/>
      </w:pPr>
      <w:r>
        <w:t>Individual services accessed under the Medicare Benefits Scheme (such as GP or specialist consultations) rose from 147 million in 1990</w:t>
      </w:r>
      <w:r w:rsidR="00E13F4C">
        <w:noBreakHyphen/>
      </w:r>
      <w:r>
        <w:t>91 to 384 million in 2015</w:t>
      </w:r>
      <w:r w:rsidR="00E13F4C">
        <w:noBreakHyphen/>
      </w:r>
      <w:r>
        <w:t>16, with the proportion of the population accessing such services</w:t>
      </w:r>
      <w:r w:rsidR="00523A38">
        <w:t xml:space="preserve"> also increasing from 85.9 </w:t>
      </w:r>
      <w:r>
        <w:t xml:space="preserve">per cent to 89.3 per cent </w:t>
      </w:r>
      <w:r w:rsidR="00186138" w:rsidRPr="00186138">
        <w:rPr>
          <w:szCs w:val="24"/>
        </w:rPr>
        <w:t>(DoH 2016a)</w:t>
      </w:r>
      <w:r>
        <w:t>.</w:t>
      </w:r>
    </w:p>
    <w:p w14:paraId="7C00DE83" w14:textId="7899F605" w:rsidR="00603105" w:rsidRDefault="00603105" w:rsidP="00603105">
      <w:pPr>
        <w:pStyle w:val="ListBullet"/>
      </w:pPr>
      <w:r>
        <w:t xml:space="preserve">Total </w:t>
      </w:r>
      <w:r w:rsidR="00F13E65">
        <w:t>Pharmaceutical Benefits Scheme (</w:t>
      </w:r>
      <w:r>
        <w:t>PBS</w:t>
      </w:r>
      <w:r w:rsidR="00F13E65">
        <w:t>)</w:t>
      </w:r>
      <w:r>
        <w:t xml:space="preserve"> prescription volumes increased from 155</w:t>
      </w:r>
      <w:r w:rsidR="00593155">
        <w:t> </w:t>
      </w:r>
      <w:r w:rsidRPr="00A033EA">
        <w:t>million</w:t>
      </w:r>
      <w:r>
        <w:t xml:space="preserve"> in 2001</w:t>
      </w:r>
      <w:r w:rsidR="00E13F4C">
        <w:noBreakHyphen/>
      </w:r>
      <w:r>
        <w:t xml:space="preserve">02 to </w:t>
      </w:r>
      <w:r w:rsidR="00186138">
        <w:t>208 million in 2015</w:t>
      </w:r>
      <w:r w:rsidR="00186138">
        <w:noBreakHyphen/>
        <w:t xml:space="preserve">16 </w:t>
      </w:r>
      <w:r w:rsidR="00186138" w:rsidRPr="00186138">
        <w:rPr>
          <w:szCs w:val="24"/>
        </w:rPr>
        <w:t>(DoH 2003, 2016b)</w:t>
      </w:r>
      <w:r>
        <w:t>.</w:t>
      </w:r>
    </w:p>
    <w:p w14:paraId="48654E29" w14:textId="3B530D87" w:rsidR="00603105" w:rsidRDefault="00603105" w:rsidP="00603105">
      <w:pPr>
        <w:pStyle w:val="ListBullet"/>
      </w:pPr>
      <w:r>
        <w:t>The number of permanent clients in residential aged care facilities rose to 2</w:t>
      </w:r>
      <w:r w:rsidR="003870F8">
        <w:t>35</w:t>
      </w:r>
      <w:r w:rsidR="00593155">
        <w:t> </w:t>
      </w:r>
      <w:r w:rsidR="003870F8">
        <w:t>000 in 201</w:t>
      </w:r>
      <w:r>
        <w:t>5</w:t>
      </w:r>
      <w:r w:rsidR="00E13F4C">
        <w:noBreakHyphen/>
      </w:r>
      <w:r w:rsidR="003870F8">
        <w:t>16</w:t>
      </w:r>
      <w:r>
        <w:t>, up from 137</w:t>
      </w:r>
      <w:r w:rsidR="00593155">
        <w:t> </w:t>
      </w:r>
      <w:r>
        <w:t>000 in 1994</w:t>
      </w:r>
      <w:r w:rsidR="00E13F4C">
        <w:noBreakHyphen/>
      </w:r>
      <w:r>
        <w:t xml:space="preserve">95 </w:t>
      </w:r>
      <w:r w:rsidR="003870F8" w:rsidRPr="003870F8">
        <w:rPr>
          <w:szCs w:val="24"/>
        </w:rPr>
        <w:t>(SCRGSP 1997, 2017)</w:t>
      </w:r>
      <w:r>
        <w:t>.</w:t>
      </w:r>
    </w:p>
    <w:p w14:paraId="6D9FBF46" w14:textId="6ADA988E" w:rsidR="00784165" w:rsidRDefault="00784165" w:rsidP="00603105">
      <w:pPr>
        <w:pStyle w:val="ListBullet"/>
      </w:pPr>
      <w:r>
        <w:t xml:space="preserve">The total number of ambulance incidents has increased to </w:t>
      </w:r>
      <w:r w:rsidR="00BD2E22">
        <w:t>over</w:t>
      </w:r>
      <w:r>
        <w:t xml:space="preserve"> 3.4 million in 2015</w:t>
      </w:r>
      <w:r w:rsidR="00E13F4C">
        <w:noBreakHyphen/>
      </w:r>
      <w:r w:rsidR="00BD2E22">
        <w:t>16</w:t>
      </w:r>
      <w:r>
        <w:t xml:space="preserve">, up from </w:t>
      </w:r>
      <w:r w:rsidR="00E81FF3">
        <w:t>about</w:t>
      </w:r>
      <w:r>
        <w:t xml:space="preserve"> 2.5 million in 2005</w:t>
      </w:r>
      <w:r w:rsidR="00E13F4C">
        <w:noBreakHyphen/>
      </w:r>
      <w:r>
        <w:t xml:space="preserve">06 </w:t>
      </w:r>
      <w:r w:rsidR="00BD2E22" w:rsidRPr="00BD2E22">
        <w:rPr>
          <w:szCs w:val="24"/>
        </w:rPr>
        <w:t>(SCRGSP 2016, 2017)</w:t>
      </w:r>
      <w:r>
        <w:t>.</w:t>
      </w:r>
    </w:p>
    <w:p w14:paraId="71745D6C" w14:textId="35589D06" w:rsidR="00603105" w:rsidRDefault="00603105" w:rsidP="00603105">
      <w:pPr>
        <w:pStyle w:val="BodyText"/>
      </w:pPr>
      <w:r>
        <w:t xml:space="preserve">Quality in the </w:t>
      </w:r>
      <w:r w:rsidR="003432F1">
        <w:t>health care</w:t>
      </w:r>
      <w:r>
        <w:t xml:space="preserve"> sector, with its myriad array of medical advances over past decades, has increased rapidly as well. The improved quality of care provided to patients is </w:t>
      </w:r>
      <w:r w:rsidR="00465A27">
        <w:t>suggested by</w:t>
      </w:r>
      <w:r>
        <w:t xml:space="preserve"> measures of life expectancy</w:t>
      </w:r>
      <w:r w:rsidRPr="00FA362D">
        <w:t xml:space="preserve"> </w:t>
      </w:r>
      <w:r>
        <w:t xml:space="preserve">at birth, which between 1990 and 2013 rose by 5.8 years for males and 3.9 years for females </w:t>
      </w:r>
      <w:r w:rsidR="00186138" w:rsidRPr="00186138">
        <w:rPr>
          <w:szCs w:val="24"/>
        </w:rPr>
        <w:t>(AIHW 2017b)</w:t>
      </w:r>
      <w:r w:rsidR="00465A27">
        <w:t>.</w:t>
      </w:r>
      <w:r w:rsidRPr="003F6B1C">
        <w:rPr>
          <w:rStyle w:val="FootnoteReference"/>
        </w:rPr>
        <w:footnoteReference w:id="5"/>
      </w:r>
      <w:r>
        <w:t xml:space="preserve"> While this significant increase is </w:t>
      </w:r>
      <w:r w:rsidR="00593155">
        <w:t xml:space="preserve">also </w:t>
      </w:r>
      <w:r>
        <w:t xml:space="preserve">a result of factors </w:t>
      </w:r>
      <w:r w:rsidR="00465A27">
        <w:t>other than</w:t>
      </w:r>
      <w:r>
        <w:t xml:space="preserve"> the </w:t>
      </w:r>
      <w:r w:rsidR="00465A27">
        <w:t xml:space="preserve">contribution of the </w:t>
      </w:r>
      <w:r w:rsidR="003432F1">
        <w:t>health care</w:t>
      </w:r>
      <w:r>
        <w:t xml:space="preserve"> sector (including a cleaner environment and reduced smoking rates), improvements in the quality of medical care</w:t>
      </w:r>
      <w:r w:rsidR="00465A27">
        <w:t xml:space="preserve"> are nevertheless an important contributor</w:t>
      </w:r>
      <w:r>
        <w:t xml:space="preserve"> </w:t>
      </w:r>
      <w:r w:rsidR="00BC78D8" w:rsidRPr="00BC78D8">
        <w:rPr>
          <w:szCs w:val="24"/>
        </w:rPr>
        <w:t>(Atkinson 2005; Schreyer 2008)</w:t>
      </w:r>
      <w:r>
        <w:t xml:space="preserve">. </w:t>
      </w:r>
    </w:p>
    <w:p w14:paraId="1830F2F8" w14:textId="4C15E158" w:rsidR="00603105" w:rsidRDefault="00603105" w:rsidP="00603105">
      <w:pPr>
        <w:pStyle w:val="BodyText"/>
      </w:pPr>
      <w:r>
        <w:t xml:space="preserve">Other select indicators of improvements in the quality of </w:t>
      </w:r>
      <w:r w:rsidR="003432F1">
        <w:t>health care</w:t>
      </w:r>
      <w:r>
        <w:t xml:space="preserve"> services include decreased age</w:t>
      </w:r>
      <w:r w:rsidR="00AC6D60">
        <w:noBreakHyphen/>
      </w:r>
      <w:r>
        <w:t>standardised mortality rates (from 604 per 100</w:t>
      </w:r>
      <w:r w:rsidR="00E13F4C">
        <w:t> </w:t>
      </w:r>
      <w:r>
        <w:t>000 people in 2007 to 545 in 2014), reduced rates of perinatal deaths within 4</w:t>
      </w:r>
      <w:r w:rsidR="00E13F4C">
        <w:t xml:space="preserve"> weeks of birth (from 9.9 per 1</w:t>
      </w:r>
      <w:r>
        <w:t xml:space="preserve">000 births in 2004 to </w:t>
      </w:r>
      <w:r w:rsidR="00C14270">
        <w:t>7.9</w:t>
      </w:r>
      <w:r>
        <w:t xml:space="preserve"> in 201</w:t>
      </w:r>
      <w:r w:rsidR="00C14270">
        <w:t>5</w:t>
      </w:r>
      <w:r>
        <w:t xml:space="preserve">) and a decline in the proportion of patients waiting more than </w:t>
      </w:r>
      <w:r w:rsidR="007B2526">
        <w:t>365 </w:t>
      </w:r>
      <w:r>
        <w:t>days for elective surgery (from 4.6 per cent in 2005</w:t>
      </w:r>
      <w:r w:rsidR="00E13F4C">
        <w:noBreakHyphen/>
      </w:r>
      <w:r>
        <w:t>06 to 1.8 per cent in 2014</w:t>
      </w:r>
      <w:r w:rsidR="00E13F4C">
        <w:noBreakHyphen/>
      </w:r>
      <w:r>
        <w:t xml:space="preserve">15, although median wait times remain </w:t>
      </w:r>
      <w:r w:rsidR="008B2EB2">
        <w:t>largely</w:t>
      </w:r>
      <w:r>
        <w:t xml:space="preserve"> unchanged) </w:t>
      </w:r>
      <w:r w:rsidR="00C14270" w:rsidRPr="00C14270">
        <w:rPr>
          <w:szCs w:val="24"/>
        </w:rPr>
        <w:t>(SCRGSP 2016, 2017)</w:t>
      </w:r>
      <w:r>
        <w:t xml:space="preserve">. </w:t>
      </w:r>
    </w:p>
    <w:p w14:paraId="28E5DBCD" w14:textId="7ECEFCB6" w:rsidR="00603105" w:rsidRDefault="00603105" w:rsidP="00603105">
      <w:pPr>
        <w:pStyle w:val="BodyText"/>
      </w:pPr>
      <w:r>
        <w:t xml:space="preserve">The magnitude of the improvements in </w:t>
      </w:r>
      <w:r w:rsidR="003432F1">
        <w:t>health care</w:t>
      </w:r>
      <w:r>
        <w:t xml:space="preserve"> quality over recent decades is perhaps best illustrated by an anecdote from </w:t>
      </w:r>
      <w:r w:rsidR="00F72C7D">
        <w:t>former US Treasury Secretary</w:t>
      </w:r>
      <w:r>
        <w:t xml:space="preserve"> Larry Summers </w:t>
      </w:r>
      <w:r>
        <w:rPr>
          <w:rFonts w:cs="Arial"/>
          <w:szCs w:val="24"/>
        </w:rPr>
        <w:t>(</w:t>
      </w:r>
      <w:r w:rsidRPr="00CE3356">
        <w:rPr>
          <w:rFonts w:cs="Arial"/>
          <w:szCs w:val="24"/>
        </w:rPr>
        <w:t>2015)</w:t>
      </w:r>
      <w:r>
        <w:t>, who ask</w:t>
      </w:r>
      <w:r w:rsidR="008B2EB2">
        <w:t>ed</w:t>
      </w:r>
      <w:r>
        <w:t xml:space="preserve"> </w:t>
      </w:r>
      <w:r w:rsidR="007B2526">
        <w:t>an</w:t>
      </w:r>
      <w:r>
        <w:t xml:space="preserve"> audience whether they would rather have 2015 </w:t>
      </w:r>
      <w:r w:rsidR="003432F1">
        <w:t>health care</w:t>
      </w:r>
      <w:r>
        <w:t xml:space="preserve"> at 2015 prices, or 1980 </w:t>
      </w:r>
      <w:r w:rsidR="003432F1">
        <w:t>health care</w:t>
      </w:r>
      <w:r>
        <w:t xml:space="preserve"> at 1980 prices. After the majority of the audience chooses the 2015 option, he concludes that</w:t>
      </w:r>
      <w:r w:rsidR="008B2EB2">
        <w:t>,</w:t>
      </w:r>
      <w:r>
        <w:t xml:space="preserve"> although difficult to measure, </w:t>
      </w:r>
      <w:r w:rsidR="003432F1">
        <w:t>health care</w:t>
      </w:r>
      <w:r w:rsidR="00465A27">
        <w:t xml:space="preserve"> </w:t>
      </w:r>
      <w:r>
        <w:t xml:space="preserve">productivity </w:t>
      </w:r>
      <w:r w:rsidR="00465A27">
        <w:t xml:space="preserve">has thus </w:t>
      </w:r>
      <w:r>
        <w:t>probably increased over the period, through rapidly rising quality</w:t>
      </w:r>
      <w:r w:rsidR="00523A38">
        <w:t xml:space="preserve"> and better outcomes</w:t>
      </w:r>
      <w:r>
        <w:t xml:space="preserve">. </w:t>
      </w:r>
    </w:p>
    <w:p w14:paraId="152E1ACC" w14:textId="77777777" w:rsidR="00603105" w:rsidRDefault="00603105" w:rsidP="00603105">
      <w:pPr>
        <w:pStyle w:val="Heading4"/>
      </w:pPr>
      <w:r>
        <w:t>Education and training outputs</w:t>
      </w:r>
    </w:p>
    <w:p w14:paraId="24C6B6FD" w14:textId="11236E75" w:rsidR="00603105" w:rsidRDefault="00603105" w:rsidP="00603105">
      <w:pPr>
        <w:pStyle w:val="BodyText"/>
      </w:pPr>
      <w:r>
        <w:t>In the education sector, there are also indications that output quantity has increased, with the total number of full</w:t>
      </w:r>
      <w:r>
        <w:noBreakHyphen/>
        <w:t xml:space="preserve">time equivalent students in primary and secondary schools rising from </w:t>
      </w:r>
      <w:r w:rsidRPr="00B81468">
        <w:t>3</w:t>
      </w:r>
      <w:r>
        <w:t>.</w:t>
      </w:r>
      <w:r w:rsidR="00523A38">
        <w:t>3</w:t>
      </w:r>
      <w:r>
        <w:t xml:space="preserve"> million in 2001 to 3.</w:t>
      </w:r>
      <w:r w:rsidR="00FE2066">
        <w:t>8</w:t>
      </w:r>
      <w:r>
        <w:t xml:space="preserve"> million in 201</w:t>
      </w:r>
      <w:r w:rsidR="00FE2066">
        <w:t>6</w:t>
      </w:r>
      <w:r>
        <w:t xml:space="preserve"> </w:t>
      </w:r>
      <w:r w:rsidR="00FE2066" w:rsidRPr="00FE2066">
        <w:rPr>
          <w:szCs w:val="24"/>
        </w:rPr>
        <w:t>(ABS 2017)</w:t>
      </w:r>
      <w:r>
        <w:t xml:space="preserve">. Student numbers in universities have also increased to over </w:t>
      </w:r>
      <w:r w:rsidR="008B2EB2">
        <w:t>one</w:t>
      </w:r>
      <w:r>
        <w:t xml:space="preserve"> million e</w:t>
      </w:r>
      <w:r w:rsidRPr="003E62C5">
        <w:t xml:space="preserve">quivalent </w:t>
      </w:r>
      <w:r>
        <w:t>full</w:t>
      </w:r>
      <w:r w:rsidR="00AC6D60">
        <w:noBreakHyphen/>
      </w:r>
      <w:r>
        <w:t>time s</w:t>
      </w:r>
      <w:r w:rsidRPr="003E62C5">
        <w:t xml:space="preserve">tudent </w:t>
      </w:r>
      <w:r>
        <w:t>l</w:t>
      </w:r>
      <w:r w:rsidRPr="003E62C5">
        <w:t>oad</w:t>
      </w:r>
      <w:r>
        <w:t xml:space="preserve">s (EFTSL) in 2015, up from </w:t>
      </w:r>
      <w:r w:rsidR="00E81FF3">
        <w:t>approximately</w:t>
      </w:r>
      <w:r>
        <w:t xml:space="preserve"> </w:t>
      </w:r>
      <w:r w:rsidRPr="00E419B1">
        <w:t>650</w:t>
      </w:r>
      <w:r w:rsidR="00E13F4C">
        <w:t> </w:t>
      </w:r>
      <w:r>
        <w:t xml:space="preserve">000 in 2003 </w:t>
      </w:r>
      <w:r w:rsidRPr="00651A9E">
        <w:rPr>
          <w:szCs w:val="24"/>
        </w:rPr>
        <w:t>(DET 2005, 2016)</w:t>
      </w:r>
      <w:r>
        <w:t xml:space="preserve">. </w:t>
      </w:r>
    </w:p>
    <w:p w14:paraId="154B10B0" w14:textId="783F31F6" w:rsidR="00C57E61" w:rsidRDefault="00FC6E90" w:rsidP="00603105">
      <w:pPr>
        <w:pStyle w:val="BodyText"/>
      </w:pPr>
      <w:r>
        <w:t>C</w:t>
      </w:r>
      <w:r w:rsidR="002943FF">
        <w:t>hanges in the</w:t>
      </w:r>
      <w:r w:rsidR="00603105">
        <w:t xml:space="preserve"> </w:t>
      </w:r>
      <w:r w:rsidR="00465A27" w:rsidRPr="00465A27">
        <w:rPr>
          <w:i/>
        </w:rPr>
        <w:t>outcomes</w:t>
      </w:r>
      <w:r w:rsidR="00465A27">
        <w:t xml:space="preserve"> and </w:t>
      </w:r>
      <w:r w:rsidR="00603105" w:rsidRPr="007D434E">
        <w:rPr>
          <w:i/>
        </w:rPr>
        <w:t>quality</w:t>
      </w:r>
      <w:r w:rsidR="00603105">
        <w:t xml:space="preserve"> </w:t>
      </w:r>
      <w:r w:rsidR="002943FF">
        <w:t>of</w:t>
      </w:r>
      <w:r w:rsidR="00603105">
        <w:t xml:space="preserve"> education </w:t>
      </w:r>
      <w:r w:rsidR="002943FF">
        <w:t xml:space="preserve">provided in Australia </w:t>
      </w:r>
      <w:r>
        <w:t>are</w:t>
      </w:r>
      <w:r w:rsidR="00603105">
        <w:t xml:space="preserve"> more difficult to observe, as adequate indicators are harder to find. </w:t>
      </w:r>
      <w:r w:rsidR="00A61C3B">
        <w:t xml:space="preserve">Student test results that are </w:t>
      </w:r>
      <w:r w:rsidR="005A7E60">
        <w:t xml:space="preserve">designed to be </w:t>
      </w:r>
      <w:r w:rsidR="00A61C3B">
        <w:t>comparable across time, such as</w:t>
      </w:r>
      <w:r w:rsidR="00050846">
        <w:t xml:space="preserve"> the OECD’s </w:t>
      </w:r>
      <w:r w:rsidR="00896F10">
        <w:t xml:space="preserve">Programme for International Student Assessment (PISA) — which </w:t>
      </w:r>
      <w:r w:rsidR="00050846">
        <w:t>tests 15 year</w:t>
      </w:r>
      <w:r w:rsidR="00AC6D60">
        <w:noBreakHyphen/>
      </w:r>
      <w:r w:rsidR="00050846">
        <w:t>olds</w:t>
      </w:r>
      <w:r w:rsidR="00050846" w:rsidRPr="00050846">
        <w:t xml:space="preserve"> </w:t>
      </w:r>
      <w:r w:rsidR="00050846">
        <w:t>around the world</w:t>
      </w:r>
      <w:r w:rsidR="00896F10" w:rsidRPr="00896F10">
        <w:t xml:space="preserve"> </w:t>
      </w:r>
      <w:r w:rsidR="00896F10">
        <w:t>on mathematics, science and reading —</w:t>
      </w:r>
      <w:r w:rsidR="00A61C3B">
        <w:t xml:space="preserve"> show continued decline </w:t>
      </w:r>
      <w:r w:rsidR="00050846">
        <w:t>on</w:t>
      </w:r>
      <w:r w:rsidR="00A61C3B">
        <w:t xml:space="preserve"> </w:t>
      </w:r>
      <w:r w:rsidR="00896F10">
        <w:t>average</w:t>
      </w:r>
      <w:r w:rsidR="00A61C3B">
        <w:t xml:space="preserve"> educational outcomes, with </w:t>
      </w:r>
      <w:r w:rsidR="00050846">
        <w:t xml:space="preserve">average </w:t>
      </w:r>
      <w:r w:rsidR="00A61C3B">
        <w:t xml:space="preserve">student </w:t>
      </w:r>
      <w:r w:rsidR="00050846">
        <w:t xml:space="preserve">results dropping from 530 points in 2000 to 502 in 2015. This decline </w:t>
      </w:r>
      <w:r w:rsidR="00465A27">
        <w:t xml:space="preserve">has not occurred to the same extent </w:t>
      </w:r>
      <w:r w:rsidR="00050846">
        <w:t xml:space="preserve">in </w:t>
      </w:r>
      <w:r w:rsidR="00465A27">
        <w:t xml:space="preserve">most other </w:t>
      </w:r>
      <w:r w:rsidR="00050846">
        <w:t>OECD</w:t>
      </w:r>
      <w:r w:rsidR="00465A27">
        <w:t xml:space="preserve"> countries</w:t>
      </w:r>
      <w:r w:rsidR="00050846">
        <w:t xml:space="preserve"> </w:t>
      </w:r>
      <w:r w:rsidR="00A61C3B" w:rsidRPr="00A61C3B">
        <w:rPr>
          <w:szCs w:val="24"/>
        </w:rPr>
        <w:t>(OECD 2016; Thomson, De Bortoli and Underwood 2016)</w:t>
      </w:r>
      <w:r w:rsidR="00050846">
        <w:t>.</w:t>
      </w:r>
    </w:p>
    <w:p w14:paraId="62FA5C62" w14:textId="0FBF4239" w:rsidR="00C12A2E" w:rsidRDefault="007252BC" w:rsidP="00C12A2E">
      <w:pPr>
        <w:pStyle w:val="BodyText"/>
      </w:pPr>
      <w:r>
        <w:t>By contrast, results from the annual National Assessment Program –</w:t>
      </w:r>
      <w:r w:rsidRPr="007252BC">
        <w:t xml:space="preserve"> Literacy and Numeracy</w:t>
      </w:r>
      <w:r>
        <w:t xml:space="preserve"> (</w:t>
      </w:r>
      <w:r w:rsidR="00C12A2E">
        <w:t>N</w:t>
      </w:r>
      <w:r>
        <w:t>APLAN)</w:t>
      </w:r>
      <w:r w:rsidR="00C12A2E">
        <w:t xml:space="preserve"> </w:t>
      </w:r>
      <w:r>
        <w:t xml:space="preserve">examinations, which tests students in years 3, 5, 7 and 9 on their reading, writing, spelling, grammar/punctuation and numeracy skills, </w:t>
      </w:r>
      <w:r w:rsidR="00C12A2E">
        <w:t>are mixed</w:t>
      </w:r>
      <w:r>
        <w:t xml:space="preserve">. </w:t>
      </w:r>
      <w:r w:rsidR="0022307B">
        <w:t>S</w:t>
      </w:r>
      <w:r>
        <w:t>tudents in year 3 have shown consistent improvement across all topics since testing began in 2008</w:t>
      </w:r>
      <w:r w:rsidR="0022307B">
        <w:t>.</w:t>
      </w:r>
      <w:r>
        <w:t xml:space="preserve"> </w:t>
      </w:r>
      <w:r w:rsidR="0022307B">
        <w:t xml:space="preserve">However, </w:t>
      </w:r>
      <w:r>
        <w:t xml:space="preserve">there have been no substantive changes in average </w:t>
      </w:r>
      <w:r w:rsidR="005127E5">
        <w:t xml:space="preserve">literacy </w:t>
      </w:r>
      <w:r>
        <w:t xml:space="preserve">results </w:t>
      </w:r>
      <w:r w:rsidR="00465A27">
        <w:t>for other grades</w:t>
      </w:r>
      <w:r w:rsidR="0022307B">
        <w:t>, although their n</w:t>
      </w:r>
      <w:r w:rsidR="005127E5">
        <w:t xml:space="preserve">umeracy test results </w:t>
      </w:r>
      <w:r w:rsidR="00CB7BD9">
        <w:t xml:space="preserve">have </w:t>
      </w:r>
      <w:r w:rsidR="005127E5">
        <w:t>improved marginally</w:t>
      </w:r>
      <w:r w:rsidR="00465A27">
        <w:t xml:space="preserve"> </w:t>
      </w:r>
      <w:r w:rsidR="00F235E9" w:rsidRPr="00F235E9">
        <w:rPr>
          <w:szCs w:val="24"/>
        </w:rPr>
        <w:t>(ACARA 2016)</w:t>
      </w:r>
      <w:r w:rsidR="005127E5">
        <w:t>.</w:t>
      </w:r>
    </w:p>
    <w:p w14:paraId="601B2085" w14:textId="77777777" w:rsidR="00603105" w:rsidRDefault="00603105" w:rsidP="00603105">
      <w:pPr>
        <w:pStyle w:val="Heading4"/>
      </w:pPr>
      <w:r>
        <w:t>Public administration and safety outputs</w:t>
      </w:r>
    </w:p>
    <w:p w14:paraId="6F6D8BF4" w14:textId="64250232" w:rsidR="00A56FAD" w:rsidRDefault="00857621" w:rsidP="00603105">
      <w:pPr>
        <w:pStyle w:val="BodyText"/>
      </w:pPr>
      <w:r>
        <w:t xml:space="preserve">In </w:t>
      </w:r>
      <w:r w:rsidR="005732D3">
        <w:t xml:space="preserve">significant parts of </w:t>
      </w:r>
      <w:r>
        <w:t xml:space="preserve">the public administration and safety industry </w:t>
      </w:r>
      <w:r w:rsidR="00BF43F4">
        <w:t>(</w:t>
      </w:r>
      <w:r>
        <w:t>which covers a wide range of community a</w:t>
      </w:r>
      <w:r w:rsidR="00BF43F4">
        <w:t>nd government provided services)</w:t>
      </w:r>
      <w:r>
        <w:t xml:space="preserve"> </w:t>
      </w:r>
      <w:r w:rsidR="00885503">
        <w:t xml:space="preserve">measures of </w:t>
      </w:r>
      <w:r w:rsidR="00A56FAD">
        <w:t>total output</w:t>
      </w:r>
      <w:r w:rsidR="00885503">
        <w:t xml:space="preserve"> quantity have</w:t>
      </w:r>
      <w:r w:rsidR="00DE376F">
        <w:t xml:space="preserve"> fallen. This is particularly prevalent in </w:t>
      </w:r>
      <w:r w:rsidR="005A069F">
        <w:t xml:space="preserve">the </w:t>
      </w:r>
      <w:r w:rsidR="00DE376F">
        <w:t>emergency services</w:t>
      </w:r>
      <w:r w:rsidR="005732D3">
        <w:t>,</w:t>
      </w:r>
      <w:r w:rsidR="00DE376F">
        <w:t xml:space="preserve"> where improved prevention has </w:t>
      </w:r>
      <w:r w:rsidR="00E36493">
        <w:t xml:space="preserve">generally </w:t>
      </w:r>
      <w:r w:rsidR="00DE376F">
        <w:t xml:space="preserve">resulted in fewer </w:t>
      </w:r>
      <w:r w:rsidR="00DE376F" w:rsidRPr="0022307B">
        <w:t>emergencies. For example</w:t>
      </w:r>
      <w:r w:rsidR="00A56FAD" w:rsidRPr="0022307B">
        <w:t>,</w:t>
      </w:r>
      <w:r w:rsidR="00DE376F" w:rsidRPr="0022307B">
        <w:t xml:space="preserve"> </w:t>
      </w:r>
      <w:r w:rsidR="007D434E">
        <w:t xml:space="preserve">fewer fire emergencies has meant that </w:t>
      </w:r>
      <w:r w:rsidR="00DE376F" w:rsidRPr="0022307B">
        <w:t>t</w:t>
      </w:r>
      <w:r w:rsidR="00196FBD" w:rsidRPr="0022307B">
        <w:t xml:space="preserve">he total number of </w:t>
      </w:r>
      <w:r w:rsidR="00A56FAD" w:rsidRPr="0022307B">
        <w:t>non</w:t>
      </w:r>
      <w:r w:rsidR="00AC6D60">
        <w:noBreakHyphen/>
      </w:r>
      <w:r w:rsidR="00A56FAD" w:rsidRPr="0022307B">
        <w:t xml:space="preserve">bushfire </w:t>
      </w:r>
      <w:r w:rsidR="00196FBD" w:rsidRPr="0022307B">
        <w:t xml:space="preserve">incidents attended by fire service organisations has fallen from </w:t>
      </w:r>
      <w:r w:rsidR="0022307B" w:rsidRPr="0022307B">
        <w:t>63</w:t>
      </w:r>
      <w:r w:rsidR="00E13F4C">
        <w:t> </w:t>
      </w:r>
      <w:r w:rsidR="0022307B" w:rsidRPr="0022307B">
        <w:t>068</w:t>
      </w:r>
      <w:r w:rsidR="00196FBD" w:rsidRPr="0022307B">
        <w:t xml:space="preserve"> in 2005</w:t>
      </w:r>
      <w:r w:rsidR="00E13F4C">
        <w:noBreakHyphen/>
      </w:r>
      <w:r w:rsidR="00196FBD" w:rsidRPr="0022307B">
        <w:t xml:space="preserve">06 to </w:t>
      </w:r>
      <w:r w:rsidR="0022307B" w:rsidRPr="0022307B">
        <w:t>55</w:t>
      </w:r>
      <w:r w:rsidR="00E13F4C">
        <w:t> </w:t>
      </w:r>
      <w:r w:rsidR="0022307B" w:rsidRPr="0022307B">
        <w:t>754</w:t>
      </w:r>
      <w:r w:rsidR="00196FBD" w:rsidRPr="0022307B">
        <w:t xml:space="preserve"> in 2014</w:t>
      </w:r>
      <w:r w:rsidR="00E13F4C">
        <w:noBreakHyphen/>
      </w:r>
      <w:r w:rsidR="00196FBD" w:rsidRPr="0022307B">
        <w:t>15</w:t>
      </w:r>
      <w:r w:rsidR="007D434E">
        <w:t xml:space="preserve">. </w:t>
      </w:r>
      <w:r w:rsidR="005A069F">
        <w:t xml:space="preserve">Although this </w:t>
      </w:r>
      <w:r w:rsidR="00C32F70">
        <w:t xml:space="preserve">represents </w:t>
      </w:r>
      <w:r w:rsidR="005A069F">
        <w:t xml:space="preserve">a decrease in </w:t>
      </w:r>
      <w:r w:rsidR="00C32F70" w:rsidRPr="00765F02">
        <w:rPr>
          <w:i/>
        </w:rPr>
        <w:t>direct</w:t>
      </w:r>
      <w:r w:rsidR="00C32F70">
        <w:t xml:space="preserve"> </w:t>
      </w:r>
      <w:r w:rsidR="005A069F">
        <w:t xml:space="preserve">output from fire and rescue services, </w:t>
      </w:r>
      <w:r w:rsidR="00C32F70">
        <w:t>fewer emergencies</w:t>
      </w:r>
      <w:r w:rsidR="00765F02">
        <w:t xml:space="preserve"> is undoubtedly a good outcome for the community</w:t>
      </w:r>
      <w:r w:rsidR="005A069F">
        <w:t>, with</w:t>
      </w:r>
      <w:r w:rsidR="007D434E">
        <w:t xml:space="preserve"> the number of fire deaths eac</w:t>
      </w:r>
      <w:r w:rsidR="00885503">
        <w:t xml:space="preserve">h year </w:t>
      </w:r>
      <w:r w:rsidR="005A069F">
        <w:t>falling</w:t>
      </w:r>
      <w:r w:rsidR="001878BD">
        <w:t xml:space="preserve"> </w:t>
      </w:r>
      <w:r w:rsidR="00885503">
        <w:t>from 188</w:t>
      </w:r>
      <w:r w:rsidR="00AC6D60">
        <w:t xml:space="preserve"> </w:t>
      </w:r>
      <w:r w:rsidR="00885503">
        <w:t>in 1985 to</w:t>
      </w:r>
      <w:r w:rsidR="00BF43F4">
        <w:t> </w:t>
      </w:r>
      <w:r w:rsidR="00C14270">
        <w:t>97 in 2015</w:t>
      </w:r>
      <w:r w:rsidR="001878BD">
        <w:t xml:space="preserve">. </w:t>
      </w:r>
      <w:r w:rsidR="00196FBD" w:rsidRPr="0022307B">
        <w:t xml:space="preserve">Similarly, </w:t>
      </w:r>
      <w:r w:rsidR="007D434E">
        <w:t>improved road safety has resulted in fewer</w:t>
      </w:r>
      <w:r w:rsidR="00196FBD" w:rsidRPr="0022307B">
        <w:t xml:space="preserve"> </w:t>
      </w:r>
      <w:r w:rsidR="00196FBD">
        <w:t>road crash extrications by fire and rescue services</w:t>
      </w:r>
      <w:r w:rsidR="007D434E">
        <w:t xml:space="preserve"> — down</w:t>
      </w:r>
      <w:r w:rsidR="00196FBD">
        <w:t xml:space="preserve"> from </w:t>
      </w:r>
      <w:r w:rsidR="00E13F4C">
        <w:t>9</w:t>
      </w:r>
      <w:r w:rsidR="00DE376F">
        <w:t>940</w:t>
      </w:r>
      <w:r w:rsidR="00196FBD">
        <w:t xml:space="preserve"> in 2005</w:t>
      </w:r>
      <w:r w:rsidR="00E13F4C">
        <w:noBreakHyphen/>
      </w:r>
      <w:r w:rsidR="00196FBD">
        <w:t xml:space="preserve">06 to </w:t>
      </w:r>
      <w:r w:rsidR="00E13F4C">
        <w:t>7</w:t>
      </w:r>
      <w:r w:rsidR="00C14270">
        <w:t>668</w:t>
      </w:r>
      <w:r w:rsidR="00196FBD">
        <w:t xml:space="preserve"> in 2015</w:t>
      </w:r>
      <w:r w:rsidR="00E13F4C">
        <w:noBreakHyphen/>
      </w:r>
      <w:r w:rsidR="00C14270">
        <w:t>16</w:t>
      </w:r>
      <w:r w:rsidR="00196FBD">
        <w:t xml:space="preserve"> </w:t>
      </w:r>
      <w:r w:rsidR="007D434E">
        <w:t xml:space="preserve">— </w:t>
      </w:r>
      <w:r w:rsidR="005D45F2">
        <w:t>while</w:t>
      </w:r>
      <w:r w:rsidR="007D434E">
        <w:t xml:space="preserve"> </w:t>
      </w:r>
      <w:r w:rsidR="001878BD">
        <w:t xml:space="preserve">community outcomes have improved through a substantially lower number of </w:t>
      </w:r>
      <w:r w:rsidR="007D434E">
        <w:t xml:space="preserve">road </w:t>
      </w:r>
      <w:r w:rsidR="00C14270">
        <w:t xml:space="preserve">traffic </w:t>
      </w:r>
      <w:r w:rsidR="007D434E">
        <w:t>deaths</w:t>
      </w:r>
      <w:r w:rsidR="00AC6D60">
        <w:t xml:space="preserve"> </w:t>
      </w:r>
      <w:r w:rsidR="007D434E">
        <w:t xml:space="preserve">— </w:t>
      </w:r>
      <w:r w:rsidR="001878BD">
        <w:t xml:space="preserve">falling </w:t>
      </w:r>
      <w:r w:rsidR="007D434E">
        <w:t xml:space="preserve">from </w:t>
      </w:r>
      <w:r w:rsidR="00E13F4C">
        <w:t>3</w:t>
      </w:r>
      <w:r w:rsidR="00EC51B2">
        <w:t>00</w:t>
      </w:r>
      <w:r w:rsidR="007D434E">
        <w:t xml:space="preserve">1 in </w:t>
      </w:r>
      <w:r w:rsidR="00EC51B2">
        <w:t>1986</w:t>
      </w:r>
      <w:r w:rsidR="00E13F4C">
        <w:t xml:space="preserve"> to 1</w:t>
      </w:r>
      <w:r w:rsidR="00EC51B2">
        <w:t>257</w:t>
      </w:r>
      <w:r w:rsidR="007D434E">
        <w:t xml:space="preserve"> in 2015 </w:t>
      </w:r>
      <w:r w:rsidR="00C14270" w:rsidRPr="00C14270">
        <w:rPr>
          <w:szCs w:val="24"/>
        </w:rPr>
        <w:t>(SCRGSP 2016, 2017)</w:t>
      </w:r>
      <w:r w:rsidR="001A2F46">
        <w:t>.</w:t>
      </w:r>
    </w:p>
    <w:p w14:paraId="713B43A0" w14:textId="014FD716" w:rsidR="003078FC" w:rsidRDefault="005732D3" w:rsidP="00020755">
      <w:pPr>
        <w:pStyle w:val="BodyText"/>
      </w:pPr>
      <w:r>
        <w:t>For</w:t>
      </w:r>
      <w:r w:rsidR="005A069F">
        <w:t xml:space="preserve"> the </w:t>
      </w:r>
      <w:r>
        <w:t xml:space="preserve">policing and </w:t>
      </w:r>
      <w:r w:rsidR="005A069F">
        <w:t>justice system</w:t>
      </w:r>
      <w:r>
        <w:t>s</w:t>
      </w:r>
      <w:r w:rsidR="005A069F">
        <w:t>, outputs can often be difficult to measure</w:t>
      </w:r>
      <w:r w:rsidR="00AA004A">
        <w:t>, and of those that can be measured, the story is quite mixed. For instance, while t</w:t>
      </w:r>
      <w:r w:rsidR="00885503">
        <w:t>he number of legal defendants whose cases were finalised by the court system remained largely stagnant between 2010</w:t>
      </w:r>
      <w:r w:rsidR="00E13F4C">
        <w:noBreakHyphen/>
      </w:r>
      <w:r w:rsidR="00885503">
        <w:t>11 and 2014</w:t>
      </w:r>
      <w:r w:rsidR="00E13F4C">
        <w:noBreakHyphen/>
      </w:r>
      <w:r w:rsidR="00885503">
        <w:t>15</w:t>
      </w:r>
      <w:r w:rsidR="00AA004A">
        <w:t>,</w:t>
      </w:r>
      <w:r w:rsidR="003078FC">
        <w:t xml:space="preserve"> the total number of prisoners in Australia’s prison system increased markedly</w:t>
      </w:r>
      <w:r w:rsidR="00AA004A">
        <w:t xml:space="preserve"> over the past decade</w:t>
      </w:r>
      <w:r w:rsidR="003078FC">
        <w:t>, from nearly 26</w:t>
      </w:r>
      <w:r w:rsidR="00E13F4C">
        <w:t> </w:t>
      </w:r>
      <w:r w:rsidR="003078FC">
        <w:t>000 in 2006 to almost 39</w:t>
      </w:r>
      <w:r w:rsidR="00E13F4C">
        <w:t> </w:t>
      </w:r>
      <w:r w:rsidR="003078FC">
        <w:t>000 in</w:t>
      </w:r>
      <w:r w:rsidR="00BF43F4">
        <w:t> </w:t>
      </w:r>
      <w:r w:rsidR="003078FC">
        <w:t xml:space="preserve">2016 </w:t>
      </w:r>
      <w:r w:rsidR="003870F8" w:rsidRPr="003870F8">
        <w:rPr>
          <w:szCs w:val="24"/>
        </w:rPr>
        <w:t>(ABS 2016c, 2016e)</w:t>
      </w:r>
      <w:r w:rsidR="003078FC">
        <w:t>.</w:t>
      </w:r>
      <w:r w:rsidR="00872F39">
        <w:t xml:space="preserve"> </w:t>
      </w:r>
    </w:p>
    <w:p w14:paraId="083B648A" w14:textId="37D705EE" w:rsidR="003E7630" w:rsidRDefault="003E7630" w:rsidP="003E7630">
      <w:pPr>
        <w:pStyle w:val="BodyText"/>
      </w:pPr>
      <w:r>
        <w:t>Community perc</w:t>
      </w:r>
      <w:r w:rsidR="005732D3">
        <w:t>eptions of the quality of policing</w:t>
      </w:r>
      <w:r>
        <w:t xml:space="preserve"> services </w:t>
      </w:r>
      <w:r w:rsidR="005732D3">
        <w:t xml:space="preserve">provided in Australia </w:t>
      </w:r>
      <w:r>
        <w:t xml:space="preserve">are also mixed. </w:t>
      </w:r>
      <w:r w:rsidR="00DE47F5">
        <w:t xml:space="preserve">In the </w:t>
      </w:r>
      <w:r w:rsidR="00DE47F5" w:rsidRPr="00DE47F5">
        <w:t>National Survey of Community Satisfaction with Policing</w:t>
      </w:r>
      <w:r w:rsidR="00DE47F5">
        <w:t>, t</w:t>
      </w:r>
      <w:r>
        <w:t xml:space="preserve">he proportion of people who were </w:t>
      </w:r>
      <w:r w:rsidR="008E40CA">
        <w:t xml:space="preserve">very </w:t>
      </w:r>
      <w:r>
        <w:t xml:space="preserve">satisfied with the services provided by the police increased from </w:t>
      </w:r>
      <w:r w:rsidR="008E40CA">
        <w:t>20.6 per cent in 201</w:t>
      </w:r>
      <w:r>
        <w:t>0</w:t>
      </w:r>
      <w:r w:rsidR="00E13F4C">
        <w:noBreakHyphen/>
      </w:r>
      <w:r w:rsidR="008E40CA">
        <w:t>11</w:t>
      </w:r>
      <w:r>
        <w:t xml:space="preserve"> to </w:t>
      </w:r>
      <w:r w:rsidR="008E40CA">
        <w:t>28.9</w:t>
      </w:r>
      <w:r>
        <w:t xml:space="preserve"> per cent in 2015</w:t>
      </w:r>
      <w:r w:rsidR="00E13F4C">
        <w:noBreakHyphen/>
      </w:r>
      <w:r w:rsidR="008E40CA">
        <w:t>16</w:t>
      </w:r>
      <w:r>
        <w:t xml:space="preserve">, while </w:t>
      </w:r>
      <w:r w:rsidR="00B60C5B">
        <w:t>t</w:t>
      </w:r>
      <w:r>
        <w:t>he proportion who fel</w:t>
      </w:r>
      <w:r w:rsidR="00B60C5B">
        <w:t>t</w:t>
      </w:r>
      <w:r>
        <w:t xml:space="preserve"> </w:t>
      </w:r>
      <w:r w:rsidR="00A979E3">
        <w:t>un</w:t>
      </w:r>
      <w:r>
        <w:t xml:space="preserve">safe at home alone during the night </w:t>
      </w:r>
      <w:r w:rsidR="00A979E3">
        <w:t>fell</w:t>
      </w:r>
      <w:r>
        <w:t xml:space="preserve"> from </w:t>
      </w:r>
      <w:r w:rsidR="00A979E3">
        <w:t>5.8</w:t>
      </w:r>
      <w:r>
        <w:t xml:space="preserve"> per cent in 20</w:t>
      </w:r>
      <w:r w:rsidR="00A979E3">
        <w:t>10</w:t>
      </w:r>
      <w:r w:rsidR="00E13F4C">
        <w:noBreakHyphen/>
      </w:r>
      <w:r w:rsidR="00A979E3">
        <w:t>11</w:t>
      </w:r>
      <w:r>
        <w:t xml:space="preserve"> to </w:t>
      </w:r>
      <w:r w:rsidR="00A979E3">
        <w:t>4.8 per cent in 20</w:t>
      </w:r>
      <w:r>
        <w:t>15</w:t>
      </w:r>
      <w:r w:rsidR="00E13F4C">
        <w:noBreakHyphen/>
      </w:r>
      <w:r w:rsidR="00A979E3">
        <w:t>16</w:t>
      </w:r>
      <w:r>
        <w:t>. However, over the period</w:t>
      </w:r>
      <w:r w:rsidR="00A979E3">
        <w:t xml:space="preserve"> from 2009</w:t>
      </w:r>
      <w:r w:rsidR="00E13F4C">
        <w:noBreakHyphen/>
      </w:r>
      <w:r w:rsidR="00A979E3">
        <w:t>10 to 2015</w:t>
      </w:r>
      <w:r w:rsidR="00E13F4C">
        <w:noBreakHyphen/>
      </w:r>
      <w:r w:rsidR="00A979E3">
        <w:t>16</w:t>
      </w:r>
      <w:r>
        <w:t>, the proportion of people who fel</w:t>
      </w:r>
      <w:r w:rsidR="00B60C5B">
        <w:t>t</w:t>
      </w:r>
      <w:r>
        <w:t xml:space="preserve"> safe in publ</w:t>
      </w:r>
      <w:r w:rsidR="00DE47F5">
        <w:t>ic places during the night fell —</w:t>
      </w:r>
      <w:r w:rsidR="00A979E3">
        <w:t xml:space="preserve"> from 59.8</w:t>
      </w:r>
      <w:r>
        <w:t xml:space="preserve"> per cent to 5</w:t>
      </w:r>
      <w:r w:rsidR="00A979E3">
        <w:t>1.7</w:t>
      </w:r>
      <w:r>
        <w:t xml:space="preserve"> per cent when walking alone</w:t>
      </w:r>
      <w:r w:rsidR="00BF43F4">
        <w:t xml:space="preserve"> and from </w:t>
      </w:r>
      <w:r w:rsidR="00A979E3">
        <w:t>29.5 per cent to 24.3</w:t>
      </w:r>
      <w:r>
        <w:t xml:space="preserve"> per cent on public transport </w:t>
      </w:r>
      <w:r w:rsidR="00A979E3" w:rsidRPr="00A979E3">
        <w:rPr>
          <w:szCs w:val="24"/>
        </w:rPr>
        <w:t>(SCRGSP 2017)</w:t>
      </w:r>
      <w:r>
        <w:t>.</w:t>
      </w:r>
    </w:p>
    <w:p w14:paraId="4F82F5C1" w14:textId="252F8911" w:rsidR="0058318B" w:rsidRDefault="00D95F04" w:rsidP="0058318B">
      <w:pPr>
        <w:pStyle w:val="Heading2"/>
      </w:pPr>
      <w:bookmarkStart w:id="8" w:name="_Toc488923579"/>
      <w:bookmarkStart w:id="9" w:name="_Toc488940673"/>
      <w:r>
        <w:rPr>
          <w:noProof/>
        </w:rPr>
        <w:t>3</w:t>
      </w:r>
      <w:r w:rsidR="005F2931">
        <w:tab/>
      </w:r>
      <w:r w:rsidR="0023258A">
        <w:t>The workaround</w:t>
      </w:r>
      <w:r w:rsidR="0005234C">
        <w:t>:</w:t>
      </w:r>
      <w:r w:rsidR="0023258A">
        <w:t xml:space="preserve"> u</w:t>
      </w:r>
      <w:r w:rsidR="007612D6">
        <w:t>sing direct output measures</w:t>
      </w:r>
      <w:bookmarkEnd w:id="8"/>
      <w:bookmarkEnd w:id="9"/>
    </w:p>
    <w:p w14:paraId="606477BB" w14:textId="5D819021" w:rsidR="005F2931" w:rsidRDefault="007612D6" w:rsidP="008A23C6">
      <w:pPr>
        <w:pStyle w:val="BodyText"/>
      </w:pPr>
      <w:r w:rsidRPr="007612D6">
        <w:t>Given the importance of the non</w:t>
      </w:r>
      <w:r w:rsidR="00AC6D60">
        <w:noBreakHyphen/>
      </w:r>
      <w:r w:rsidRPr="007612D6">
        <w:t>market sector, considerable work has been undertaken on a number of levels, both internationally and within Australia, to attempt to overcome the difficulties of measur</w:t>
      </w:r>
      <w:r w:rsidR="00CE4008">
        <w:t>ing the output of the non</w:t>
      </w:r>
      <w:r w:rsidR="00AC6D60">
        <w:noBreakHyphen/>
      </w:r>
      <w:r w:rsidR="00CE4008">
        <w:t>market sector</w:t>
      </w:r>
      <w:r>
        <w:t>.</w:t>
      </w:r>
      <w:r w:rsidR="008A23C6" w:rsidRPr="008A23C6">
        <w:t xml:space="preserve"> </w:t>
      </w:r>
    </w:p>
    <w:p w14:paraId="4F07D0E6" w14:textId="683CDF4E" w:rsidR="008A23C6" w:rsidRDefault="005F2931" w:rsidP="008A23C6">
      <w:pPr>
        <w:pStyle w:val="BodyText"/>
      </w:pPr>
      <w:r>
        <w:t xml:space="preserve">Generally, the favoured approach </w:t>
      </w:r>
      <w:r w:rsidR="00CE4008">
        <w:t>has been</w:t>
      </w:r>
      <w:r w:rsidR="008A23C6">
        <w:t xml:space="preserve"> the ‘direct’ method — where the volume of </w:t>
      </w:r>
      <w:r w:rsidR="00FB7C8B">
        <w:t>different (heterogeneous)</w:t>
      </w:r>
      <w:r w:rsidR="008A23C6">
        <w:t xml:space="preserve"> goods and services are counted and aggregated, with weights based on their relative prices. This </w:t>
      </w:r>
      <w:r w:rsidR="00CE4008">
        <w:t>method is d</w:t>
      </w:r>
      <w:r w:rsidR="008A23C6">
        <w:t>istinguish</w:t>
      </w:r>
      <w:r w:rsidR="00CE4008">
        <w:t>ed</w:t>
      </w:r>
      <w:r w:rsidR="008A23C6">
        <w:t xml:space="preserve"> from the ‘indirect’ method used for market sector </w:t>
      </w:r>
      <w:r>
        <w:t xml:space="preserve">estimates </w:t>
      </w:r>
      <w:r w:rsidR="008A23C6">
        <w:t xml:space="preserve">in the national accounts — where the total nominal revenue (the market value, a combination of price and volume) of the industry’s output is known for each year and changes in prices over time </w:t>
      </w:r>
      <w:r w:rsidR="00FB7C8B">
        <w:t>are</w:t>
      </w:r>
      <w:r w:rsidR="008A23C6">
        <w:t xml:space="preserve"> removed, leaving only </w:t>
      </w:r>
      <w:r w:rsidR="00E36493">
        <w:t>volume measure</w:t>
      </w:r>
      <w:r w:rsidR="008A23C6">
        <w:t>s</w:t>
      </w:r>
      <w:r>
        <w:t>.</w:t>
      </w:r>
    </w:p>
    <w:p w14:paraId="23043060" w14:textId="5497E874" w:rsidR="007612D6" w:rsidRDefault="008A23C6" w:rsidP="008A0C2A">
      <w:pPr>
        <w:pStyle w:val="BodyText"/>
      </w:pPr>
      <w:r>
        <w:t>P</w:t>
      </w:r>
      <w:r w:rsidR="007612D6" w:rsidRPr="007612D6">
        <w:t xml:space="preserve">rogress </w:t>
      </w:r>
      <w:r>
        <w:t>in developing output measures in the non</w:t>
      </w:r>
      <w:r>
        <w:noBreakHyphen/>
        <w:t xml:space="preserve">market sector </w:t>
      </w:r>
      <w:r w:rsidR="007612D6" w:rsidRPr="007612D6">
        <w:t>has been slow. The need to address measurement problems was recognised almost 25 years ago</w:t>
      </w:r>
      <w:r w:rsidR="007612D6">
        <w:t xml:space="preserve"> and</w:t>
      </w:r>
      <w:r w:rsidR="00523A38">
        <w:t xml:space="preserve"> </w:t>
      </w:r>
      <w:r w:rsidR="007612D6">
        <w:t xml:space="preserve">there have been a </w:t>
      </w:r>
      <w:r w:rsidR="007612D6" w:rsidRPr="007612D6">
        <w:t xml:space="preserve">number of attempts to make progress, </w:t>
      </w:r>
      <w:r w:rsidR="00F6222E">
        <w:t>internationally</w:t>
      </w:r>
      <w:r w:rsidR="007612D6" w:rsidRPr="007612D6">
        <w:t xml:space="preserve"> and by individual countries, on the issue:</w:t>
      </w:r>
    </w:p>
    <w:p w14:paraId="5EEFC2A1" w14:textId="1805D7B9" w:rsidR="008A0C2A" w:rsidRDefault="007612D6" w:rsidP="00EC24BE">
      <w:pPr>
        <w:pStyle w:val="ListBullet"/>
      </w:pPr>
      <w:r w:rsidRPr="007612D6">
        <w:t xml:space="preserve">In 1993, the United Nations </w:t>
      </w:r>
      <w:r>
        <w:t xml:space="preserve">— supported by the Commission of the European Communities, the </w:t>
      </w:r>
      <w:r w:rsidR="00EC24BE">
        <w:t>International Monetary Fund (</w:t>
      </w:r>
      <w:r>
        <w:t>IMF</w:t>
      </w:r>
      <w:r w:rsidR="00EC24BE">
        <w:t>)</w:t>
      </w:r>
      <w:r>
        <w:t xml:space="preserve">, the </w:t>
      </w:r>
      <w:r w:rsidR="00EC24BE" w:rsidRPr="00EC24BE">
        <w:t>Organisation for Economic Co</w:t>
      </w:r>
      <w:r w:rsidR="00C53352">
        <w:noBreakHyphen/>
      </w:r>
      <w:r w:rsidR="00EC24BE" w:rsidRPr="00EC24BE">
        <w:t xml:space="preserve">operation and Development </w:t>
      </w:r>
      <w:r w:rsidR="00EC24BE">
        <w:t>(</w:t>
      </w:r>
      <w:r>
        <w:t>OECD</w:t>
      </w:r>
      <w:r w:rsidR="00EC24BE">
        <w:t>)</w:t>
      </w:r>
      <w:r>
        <w:t xml:space="preserve"> and the World Bank — </w:t>
      </w:r>
      <w:r w:rsidR="008A0C2A">
        <w:t>adopt</w:t>
      </w:r>
      <w:r>
        <w:t>ed</w:t>
      </w:r>
      <w:r w:rsidR="008A0C2A">
        <w:t xml:space="preserve"> </w:t>
      </w:r>
      <w:r w:rsidR="00EC24BE">
        <w:t>a new</w:t>
      </w:r>
      <w:r w:rsidR="008A0C2A">
        <w:t xml:space="preserve"> System of National Accounts (SNA)</w:t>
      </w:r>
      <w:r>
        <w:t>, which recommended</w:t>
      </w:r>
      <w:r w:rsidR="008A0C2A">
        <w:t xml:space="preserve"> that countries </w:t>
      </w:r>
      <w:r>
        <w:t>move away from</w:t>
      </w:r>
      <w:r w:rsidR="008A0C2A">
        <w:t xml:space="preserve"> the ‘output</w:t>
      </w:r>
      <w:r w:rsidR="002576C7">
        <w:t> </w:t>
      </w:r>
      <w:r w:rsidR="008A0C2A">
        <w:t>=</w:t>
      </w:r>
      <w:r w:rsidR="002576C7">
        <w:t> </w:t>
      </w:r>
      <w:r w:rsidR="008A0C2A">
        <w:t>input’ methodology where possible, and instead seek to directly measure the output of the non</w:t>
      </w:r>
      <w:r w:rsidR="00AC6D60">
        <w:noBreakHyphen/>
      </w:r>
      <w:r w:rsidR="008A0C2A">
        <w:t xml:space="preserve">market sector </w:t>
      </w:r>
      <w:r w:rsidR="004B65CA" w:rsidRPr="004B65CA">
        <w:rPr>
          <w:szCs w:val="24"/>
        </w:rPr>
        <w:t>(UN 1993)</w:t>
      </w:r>
      <w:r w:rsidR="008A0C2A">
        <w:t xml:space="preserve">. </w:t>
      </w:r>
    </w:p>
    <w:p w14:paraId="1979AC63" w14:textId="2178B83C" w:rsidR="00A122F8" w:rsidRDefault="007612D6" w:rsidP="007612D6">
      <w:pPr>
        <w:pStyle w:val="ListBullet"/>
      </w:pPr>
      <w:r>
        <w:t>In 2001, t</w:t>
      </w:r>
      <w:r w:rsidR="008A0C2A">
        <w:t xml:space="preserve">he European Commission </w:t>
      </w:r>
      <w:r w:rsidR="005F2931">
        <w:t>developed a detailed handbook on price and volume measures in national accounts, with a special emphasis on direct measure</w:t>
      </w:r>
      <w:r w:rsidR="00FB7C8B">
        <w:t>s</w:t>
      </w:r>
      <w:r w:rsidR="005F2931">
        <w:t xml:space="preserve"> of the outputs of services (including non</w:t>
      </w:r>
      <w:r w:rsidR="005F2931">
        <w:noBreakHyphen/>
        <w:t xml:space="preserve">market services) </w:t>
      </w:r>
      <w:r w:rsidR="00A122F8" w:rsidRPr="00A122F8">
        <w:rPr>
          <w:szCs w:val="24"/>
        </w:rPr>
        <w:t>(Eurostat 2001)</w:t>
      </w:r>
      <w:r w:rsidR="008A0C2A" w:rsidRPr="009C2F49">
        <w:t>.</w:t>
      </w:r>
    </w:p>
    <w:p w14:paraId="190CB229" w14:textId="2F773237" w:rsidR="00A122F8" w:rsidRDefault="00A122F8" w:rsidP="00A122F8">
      <w:pPr>
        <w:pStyle w:val="ListBullet"/>
      </w:pPr>
      <w:r>
        <w:t>In 2005,</w:t>
      </w:r>
      <w:r w:rsidRPr="00CE4D10">
        <w:t xml:space="preserve"> </w:t>
      </w:r>
      <w:r>
        <w:t xml:space="preserve">an independent review in the United Kingdom (the Atkinson Review) </w:t>
      </w:r>
      <w:r w:rsidR="005F2931">
        <w:t>examined</w:t>
      </w:r>
      <w:r>
        <w:t xml:space="preserve"> </w:t>
      </w:r>
      <w:r w:rsidRPr="00CE4D10">
        <w:t>the measurement of government inputs and output</w:t>
      </w:r>
      <w:r>
        <w:t>s</w:t>
      </w:r>
      <w:r w:rsidRPr="00CE4D10">
        <w:t xml:space="preserve"> </w:t>
      </w:r>
      <w:r>
        <w:t xml:space="preserve">and recommended that the scope of collected data be expanded and more analysis be done to determine government sector productivity </w:t>
      </w:r>
      <w:r w:rsidRPr="00207144">
        <w:rPr>
          <w:szCs w:val="24"/>
        </w:rPr>
        <w:t>(Atkinson 2005)</w:t>
      </w:r>
      <w:r>
        <w:t xml:space="preserve">. </w:t>
      </w:r>
    </w:p>
    <w:p w14:paraId="2F0A7BD2" w14:textId="6BEB95DF" w:rsidR="008A0C2A" w:rsidRDefault="00A122F8" w:rsidP="007612D6">
      <w:pPr>
        <w:pStyle w:val="ListBullet"/>
      </w:pPr>
      <w:r>
        <w:t>In</w:t>
      </w:r>
      <w:r w:rsidR="008A0C2A">
        <w:t xml:space="preserve"> 2010</w:t>
      </w:r>
      <w:r w:rsidR="00FB7C8B">
        <w:t>,</w:t>
      </w:r>
      <w:r w:rsidR="008A0C2A">
        <w:t xml:space="preserve"> the OECD published </w:t>
      </w:r>
      <w:r>
        <w:t>a</w:t>
      </w:r>
      <w:r w:rsidR="008A0C2A">
        <w:t xml:space="preserve"> </w:t>
      </w:r>
      <w:r w:rsidR="005F2931">
        <w:t xml:space="preserve">handbook </w:t>
      </w:r>
      <w:r w:rsidR="008A0C2A">
        <w:t xml:space="preserve">to provide guidance </w:t>
      </w:r>
      <w:r>
        <w:t>for</w:t>
      </w:r>
      <w:r w:rsidR="008A0C2A">
        <w:t xml:space="preserve"> the measurement of health and education services across jurisdictions </w:t>
      </w:r>
      <w:r w:rsidR="008A0C2A" w:rsidRPr="002516BF">
        <w:rPr>
          <w:szCs w:val="24"/>
        </w:rPr>
        <w:t>(Schreyer 2010)</w:t>
      </w:r>
      <w:r w:rsidR="008A0C2A">
        <w:t>.</w:t>
      </w:r>
    </w:p>
    <w:p w14:paraId="76F44395" w14:textId="0ADBA07D" w:rsidR="00595961" w:rsidRDefault="002044BC" w:rsidP="00595961">
      <w:pPr>
        <w:pStyle w:val="Heading3"/>
      </w:pPr>
      <w:r>
        <w:t>The methodology of d</w:t>
      </w:r>
      <w:r w:rsidR="001D1D3C">
        <w:t xml:space="preserve">irect </w:t>
      </w:r>
      <w:r w:rsidR="00D8052C">
        <w:t xml:space="preserve">output </w:t>
      </w:r>
      <w:r w:rsidR="001D1D3C">
        <w:t>measur</w:t>
      </w:r>
      <w:r w:rsidR="00D8052C">
        <w:t>es</w:t>
      </w:r>
      <w:r w:rsidR="001D1D3C">
        <w:t xml:space="preserve"> </w:t>
      </w:r>
    </w:p>
    <w:p w14:paraId="2791714D" w14:textId="1E68A22B" w:rsidR="00916A93" w:rsidRDefault="00EC24BE" w:rsidP="00916A93">
      <w:pPr>
        <w:pStyle w:val="BodyText"/>
      </w:pPr>
      <w:r>
        <w:t>Despite recent progress</w:t>
      </w:r>
      <w:r w:rsidR="00CE4008">
        <w:t>, the direct measurement of non</w:t>
      </w:r>
      <w:r w:rsidR="00AC6D60">
        <w:noBreakHyphen/>
      </w:r>
      <w:r w:rsidR="00CE4008">
        <w:t>market sector outputs faces several challenges be</w:t>
      </w:r>
      <w:r w:rsidR="00FB7C8B">
        <w:t>fore it can be used to estimate</w:t>
      </w:r>
      <w:r w:rsidR="00CE4008" w:rsidRPr="00CE4008">
        <w:t xml:space="preserve"> MFP growth alongside measures for market sector goods in the national accounts</w:t>
      </w:r>
      <w:r w:rsidR="00CE4008">
        <w:t>.</w:t>
      </w:r>
    </w:p>
    <w:p w14:paraId="514DA906" w14:textId="3BB529BB" w:rsidR="00A5004F" w:rsidRDefault="00A5004F" w:rsidP="00A5004F">
      <w:pPr>
        <w:pStyle w:val="Heading4"/>
      </w:pPr>
      <w:r>
        <w:t>Identifying an output</w:t>
      </w:r>
    </w:p>
    <w:p w14:paraId="44B12360" w14:textId="60A2A341" w:rsidR="001F6C06" w:rsidRDefault="00A5004F" w:rsidP="00916A93">
      <w:pPr>
        <w:pStyle w:val="BodyText"/>
      </w:pPr>
      <w:r>
        <w:t>T</w:t>
      </w:r>
      <w:r w:rsidR="00916A93">
        <w:t xml:space="preserve">he use of direct measures of output is only possible where the </w:t>
      </w:r>
      <w:r w:rsidR="00E17B1A">
        <w:t>government</w:t>
      </w:r>
      <w:r w:rsidR="00E17B1A">
        <w:noBreakHyphen/>
      </w:r>
      <w:r w:rsidR="00916A93">
        <w:t>provided services in the non</w:t>
      </w:r>
      <w:r w:rsidR="00AC6D60">
        <w:noBreakHyphen/>
      </w:r>
      <w:r w:rsidR="00916A93">
        <w:t xml:space="preserve">market sector have an identifiable output. </w:t>
      </w:r>
      <w:r w:rsidR="00FB7C8B" w:rsidRPr="00A8105E">
        <w:rPr>
          <w:szCs w:val="24"/>
        </w:rPr>
        <w:t>Atkinson</w:t>
      </w:r>
      <w:r w:rsidR="00FB7C8B">
        <w:t> </w:t>
      </w:r>
      <w:r w:rsidR="00FB7C8B" w:rsidRPr="00FB7C8B">
        <w:t>(2005)</w:t>
      </w:r>
      <w:r w:rsidR="00595961">
        <w:t xml:space="preserve"> </w:t>
      </w:r>
      <w:r w:rsidR="00FB7C8B" w:rsidRPr="00A8105E">
        <w:rPr>
          <w:szCs w:val="24"/>
        </w:rPr>
        <w:t>Lee</w:t>
      </w:r>
      <w:r w:rsidR="00AC6D60">
        <w:rPr>
          <w:szCs w:val="24"/>
        </w:rPr>
        <w:t xml:space="preserve"> </w:t>
      </w:r>
      <w:r w:rsidR="00FB7C8B" w:rsidRPr="00FB7C8B">
        <w:t>(2008)</w:t>
      </w:r>
      <w:r w:rsidR="00FB7C8B">
        <w:t xml:space="preserve"> </w:t>
      </w:r>
      <w:r w:rsidR="00595961">
        <w:t>differentiate non</w:t>
      </w:r>
      <w:r w:rsidR="00AC6D60">
        <w:noBreakHyphen/>
      </w:r>
      <w:r w:rsidR="00595961">
        <w:t>market services between</w:t>
      </w:r>
      <w:r w:rsidR="001F6C06">
        <w:t>:</w:t>
      </w:r>
      <w:r w:rsidR="00595961">
        <w:t xml:space="preserve"> </w:t>
      </w:r>
    </w:p>
    <w:p w14:paraId="35DD8DB6" w14:textId="1074354D" w:rsidR="001F6C06" w:rsidRDefault="001F6C06" w:rsidP="001F6C06">
      <w:pPr>
        <w:pStyle w:val="ListBullet"/>
      </w:pPr>
      <w:r>
        <w:t xml:space="preserve">individual services </w:t>
      </w:r>
      <w:r w:rsidR="00CE4008">
        <w:t>that are</w:t>
      </w:r>
      <w:r>
        <w:t xml:space="preserve"> </w:t>
      </w:r>
      <w:r w:rsidRPr="001F6C06">
        <w:t>rivalrous (consumption by one consumer prevents consumption by others)</w:t>
      </w:r>
      <w:r w:rsidR="00595961">
        <w:t xml:space="preserve"> and excludable </w:t>
      </w:r>
      <w:r w:rsidRPr="001F6C06">
        <w:t xml:space="preserve">(it is possible to prevent people having access </w:t>
      </w:r>
      <w:r w:rsidR="00FB7C8B">
        <w:t xml:space="preserve">to </w:t>
      </w:r>
      <w:r w:rsidRPr="001F6C06">
        <w:t>it)</w:t>
      </w:r>
      <w:r>
        <w:t xml:space="preserve"> with an identifiable output; and </w:t>
      </w:r>
    </w:p>
    <w:p w14:paraId="235B26D2" w14:textId="2A89FB55" w:rsidR="001F6C06" w:rsidRDefault="00595961" w:rsidP="001F6C06">
      <w:pPr>
        <w:pStyle w:val="ListBullet"/>
      </w:pPr>
      <w:r w:rsidRPr="006B4482">
        <w:t>collective services</w:t>
      </w:r>
      <w:r w:rsidR="001F6C06">
        <w:t xml:space="preserve"> </w:t>
      </w:r>
      <w:r w:rsidR="00CE4008">
        <w:t>that are</w:t>
      </w:r>
      <w:r w:rsidR="001F6C06">
        <w:t xml:space="preserve"> </w:t>
      </w:r>
      <w:r w:rsidR="007A597F">
        <w:t>non</w:t>
      </w:r>
      <w:r w:rsidR="007A597F">
        <w:noBreakHyphen/>
        <w:t>rival</w:t>
      </w:r>
      <w:r w:rsidR="001F6C06">
        <w:t>rous</w:t>
      </w:r>
      <w:r w:rsidR="00CE4008">
        <w:t xml:space="preserve"> and</w:t>
      </w:r>
      <w:r w:rsidR="007A597F">
        <w:t xml:space="preserve"> non</w:t>
      </w:r>
      <w:r w:rsidR="007A597F">
        <w:noBreakHyphen/>
      </w:r>
      <w:r>
        <w:t>excludable</w:t>
      </w:r>
      <w:r w:rsidR="00E17B1A">
        <w:t xml:space="preserve">, are </w:t>
      </w:r>
      <w:r w:rsidRPr="006B4482">
        <w:t>delivered s</w:t>
      </w:r>
      <w:r>
        <w:t>imultaneously to many consumers</w:t>
      </w:r>
      <w:r w:rsidR="001F6C06">
        <w:t xml:space="preserve"> and </w:t>
      </w:r>
      <w:r w:rsidR="00E17B1A">
        <w:t xml:space="preserve">that </w:t>
      </w:r>
      <w:r w:rsidR="0070643D">
        <w:t xml:space="preserve">generally </w:t>
      </w:r>
      <w:r w:rsidR="001F6C06">
        <w:t>do not have an identifiable output</w:t>
      </w:r>
      <w:r>
        <w:t>.</w:t>
      </w:r>
      <w:r w:rsidRPr="006B4482">
        <w:t xml:space="preserve"> </w:t>
      </w:r>
    </w:p>
    <w:p w14:paraId="0BB9801B" w14:textId="77777777" w:rsidR="00C53352" w:rsidRDefault="00595961" w:rsidP="00CE4008">
      <w:pPr>
        <w:pStyle w:val="BodyText"/>
      </w:pPr>
      <w:r>
        <w:t xml:space="preserve">Although the distinction between the two service types is not always clear, </w:t>
      </w:r>
      <w:r w:rsidR="003B3308">
        <w:t xml:space="preserve">an </w:t>
      </w:r>
      <w:r>
        <w:t xml:space="preserve">example of an individual service </w:t>
      </w:r>
      <w:r w:rsidR="003B3308">
        <w:t xml:space="preserve">could </w:t>
      </w:r>
      <w:r>
        <w:t>include a doctor’s appointment</w:t>
      </w:r>
      <w:r w:rsidR="001F6C06">
        <w:t xml:space="preserve">, where the provider can refuse to provide the service (excludable) and provision to one </w:t>
      </w:r>
      <w:r w:rsidR="003B3308">
        <w:t>consumer at a given time</w:t>
      </w:r>
      <w:r w:rsidR="001F6C06">
        <w:t xml:space="preserve"> prevents provision to another (rivalrous). </w:t>
      </w:r>
      <w:r w:rsidR="00C53352">
        <w:t>By contrast, the peculiar aspect of collective services (such as national defence or government policy</w:t>
      </w:r>
      <w:r w:rsidR="00C53352">
        <w:noBreakHyphen/>
        <w:t xml:space="preserve">making) </w:t>
      </w:r>
      <w:r w:rsidR="00CE4008">
        <w:t xml:space="preserve">is that all people consume the same amount of these services. </w:t>
      </w:r>
    </w:p>
    <w:p w14:paraId="70F6B6BE" w14:textId="78AEB727" w:rsidR="00CE4008" w:rsidRDefault="00CE4008" w:rsidP="00CE4008">
      <w:pPr>
        <w:pStyle w:val="BodyText"/>
      </w:pPr>
      <w:r>
        <w:t xml:space="preserve">The key issue is the value each person places on this consumption. Not only is </w:t>
      </w:r>
      <w:r w:rsidR="00E17B1A">
        <w:t xml:space="preserve">measuring </w:t>
      </w:r>
      <w:r>
        <w:t xml:space="preserve">this difficult in its own right, but measures of the total value of a good </w:t>
      </w:r>
      <w:r w:rsidR="00FB7C8B">
        <w:t>are</w:t>
      </w:r>
      <w:r>
        <w:t xml:space="preserve"> not equivalent to the price determined in a market for a</w:t>
      </w:r>
      <w:r w:rsidR="00FE23DA">
        <w:t xml:space="preserve"> good (m</w:t>
      </w:r>
      <w:r>
        <w:t xml:space="preserve">ost people pay less </w:t>
      </w:r>
      <w:r w:rsidR="002576C7">
        <w:t xml:space="preserve">for a good </w:t>
      </w:r>
      <w:r>
        <w:t xml:space="preserve">than the </w:t>
      </w:r>
      <w:r w:rsidR="002576C7">
        <w:t>value they place on it — otherwise they would not buy it</w:t>
      </w:r>
      <w:r>
        <w:t>)</w:t>
      </w:r>
      <w:r w:rsidR="00FE23DA">
        <w:t>.</w:t>
      </w:r>
    </w:p>
    <w:p w14:paraId="21670851" w14:textId="4FE7A5C7" w:rsidR="001F6C06" w:rsidRDefault="00A5004F" w:rsidP="00595961">
      <w:pPr>
        <w:pStyle w:val="BodyText"/>
      </w:pPr>
      <w:r>
        <w:t>M</w:t>
      </w:r>
      <w:r w:rsidR="001F6C06" w:rsidRPr="001F6C06">
        <w:t xml:space="preserve">ost research efforts to develop a direct output measure have </w:t>
      </w:r>
      <w:r w:rsidR="001F6C06">
        <w:t>focused on</w:t>
      </w:r>
      <w:r w:rsidR="001F6C06" w:rsidRPr="001F6C06">
        <w:t xml:space="preserve"> the</w:t>
      </w:r>
      <w:r>
        <w:t xml:space="preserve"> </w:t>
      </w:r>
      <w:r w:rsidR="003432F1">
        <w:t>health care</w:t>
      </w:r>
      <w:r>
        <w:t xml:space="preserve"> and education sectors, as the</w:t>
      </w:r>
      <w:r w:rsidR="001F6C06" w:rsidRPr="001F6C06">
        <w:t xml:space="preserve">se </w:t>
      </w:r>
      <w:r w:rsidR="001F6C06">
        <w:t>sectors</w:t>
      </w:r>
      <w:r w:rsidRPr="00A5004F">
        <w:t xml:space="preserve"> </w:t>
      </w:r>
      <w:r>
        <w:t xml:space="preserve">more </w:t>
      </w:r>
      <w:r w:rsidRPr="001F6C06">
        <w:t>often</w:t>
      </w:r>
      <w:r>
        <w:t xml:space="preserve"> provide</w:t>
      </w:r>
      <w:r w:rsidRPr="00A5004F">
        <w:t xml:space="preserve"> </w:t>
      </w:r>
      <w:r w:rsidRPr="001F6C06">
        <w:t>individual services</w:t>
      </w:r>
      <w:r>
        <w:t xml:space="preserve">, </w:t>
      </w:r>
      <w:r w:rsidR="00E17B1A">
        <w:t xml:space="preserve">and </w:t>
      </w:r>
      <w:r>
        <w:t>so</w:t>
      </w:r>
      <w:r w:rsidRPr="00A5004F">
        <w:t xml:space="preserve"> </w:t>
      </w:r>
      <w:r w:rsidRPr="001F6C06">
        <w:t>are more easily measured and tallied</w:t>
      </w:r>
      <w:r w:rsidR="001F6C06" w:rsidRPr="001F6C06">
        <w:t xml:space="preserve">. </w:t>
      </w:r>
      <w:r w:rsidR="000C1A06">
        <w:t>Comparisons of providers of</w:t>
      </w:r>
      <w:r w:rsidR="00520E1A">
        <w:t xml:space="preserve"> individual services also offer</w:t>
      </w:r>
      <w:r w:rsidR="000C1A06">
        <w:t xml:space="preserve"> </w:t>
      </w:r>
      <w:r w:rsidR="00520E1A">
        <w:t xml:space="preserve">significantly more </w:t>
      </w:r>
      <w:r w:rsidR="000C1A06">
        <w:t xml:space="preserve">scope to identify a range of </w:t>
      </w:r>
      <w:r w:rsidR="00520E1A">
        <w:t xml:space="preserve">meaningful </w:t>
      </w:r>
      <w:r w:rsidR="000C1A06">
        <w:t>performance indicators</w:t>
      </w:r>
      <w:r w:rsidR="00520E1A">
        <w:t xml:space="preserve"> for each provider — such as the productivity of hospital theatres for given surgical procedures.</w:t>
      </w:r>
      <w:r w:rsidR="000C1A06">
        <w:t xml:space="preserve"> </w:t>
      </w:r>
      <w:r w:rsidR="00520E1A">
        <w:t xml:space="preserve">This </w:t>
      </w:r>
      <w:r w:rsidR="000C1A06">
        <w:t xml:space="preserve">information can be used in a myriad of ways to </w:t>
      </w:r>
      <w:r w:rsidR="00520E1A">
        <w:t>gauge value for money and effectiveness of parts of the non</w:t>
      </w:r>
      <w:r w:rsidR="00520E1A">
        <w:noBreakHyphen/>
        <w:t xml:space="preserve">market sector and </w:t>
      </w:r>
      <w:r w:rsidR="000C1A06">
        <w:t xml:space="preserve">improve outcomes </w:t>
      </w:r>
      <w:r w:rsidR="002576C7">
        <w:t>and cost</w:t>
      </w:r>
      <w:r w:rsidR="002576C7">
        <w:noBreakHyphen/>
      </w:r>
      <w:r w:rsidR="00520E1A">
        <w:t>effectiveness</w:t>
      </w:r>
      <w:r w:rsidR="000C1A06">
        <w:t xml:space="preserve"> </w:t>
      </w:r>
      <w:r w:rsidR="00520E1A">
        <w:t>(</w:t>
      </w:r>
      <w:r w:rsidR="00E81FF3">
        <w:t>SP</w:t>
      </w:r>
      <w:r w:rsidR="00B633AE">
        <w:t xml:space="preserve"> 3</w:t>
      </w:r>
      <w:r w:rsidR="000C1A06">
        <w:t>).</w:t>
      </w:r>
    </w:p>
    <w:p w14:paraId="59256256" w14:textId="6DAB58EA" w:rsidR="00595961" w:rsidRDefault="000C1A06" w:rsidP="00595961">
      <w:pPr>
        <w:pStyle w:val="BodyText"/>
      </w:pPr>
      <w:r>
        <w:t>Conversely, t</w:t>
      </w:r>
      <w:r w:rsidR="00595961">
        <w:t>here has only been limited analysis of the public administration and safety industry</w:t>
      </w:r>
      <w:r>
        <w:t>,</w:t>
      </w:r>
      <w:r w:rsidRPr="000C1A06">
        <w:t xml:space="preserve"> </w:t>
      </w:r>
      <w:r>
        <w:t>in part because providers tend to supply monopolistic collective services</w:t>
      </w:r>
      <w:r w:rsidR="00595961">
        <w:t xml:space="preserve">. </w:t>
      </w:r>
      <w:r w:rsidR="00646E91">
        <w:t>However, some aspects of the public administration and safety industry may be measurable — for example,</w:t>
      </w:r>
      <w:r w:rsidR="002531CD">
        <w:t xml:space="preserve"> </w:t>
      </w:r>
      <w:r w:rsidR="002531CD" w:rsidRPr="00646E91">
        <w:rPr>
          <w:szCs w:val="24"/>
        </w:rPr>
        <w:t>Dunleavy </w:t>
      </w:r>
      <w:r w:rsidR="002531CD" w:rsidRPr="002531CD">
        <w:t>(2016)</w:t>
      </w:r>
      <w:r w:rsidR="00646E91">
        <w:t xml:space="preserve"> suggests that the output of tax or welfare agencies could be measured by the number of products (different taxes or benefits) provided to or received from each client. In practice though</w:t>
      </w:r>
      <w:r w:rsidR="00595961">
        <w:t xml:space="preserve">, output </w:t>
      </w:r>
      <w:r>
        <w:t xml:space="preserve">in the industry </w:t>
      </w:r>
      <w:r w:rsidR="00595961">
        <w:t>generally continues to be measured by the ‘output</w:t>
      </w:r>
      <w:r w:rsidR="002576C7">
        <w:t> </w:t>
      </w:r>
      <w:r w:rsidR="00595961">
        <w:t>=</w:t>
      </w:r>
      <w:r w:rsidR="002576C7">
        <w:t> </w:t>
      </w:r>
      <w:r w:rsidR="00595961">
        <w:t>input’ method</w:t>
      </w:r>
      <w:r w:rsidR="00595961" w:rsidRPr="00DD2C40">
        <w:t xml:space="preserve"> </w:t>
      </w:r>
      <w:r w:rsidR="00595961">
        <w:t xml:space="preserve">instead, which </w:t>
      </w:r>
      <w:r w:rsidR="002531CD" w:rsidRPr="005B2FE6">
        <w:rPr>
          <w:szCs w:val="24"/>
        </w:rPr>
        <w:t>Diewert </w:t>
      </w:r>
      <w:r w:rsidR="002531CD" w:rsidRPr="002531CD">
        <w:t>(2011)</w:t>
      </w:r>
      <w:r w:rsidR="00595961">
        <w:t xml:space="preserve"> describes as an acceptable indicator of output where a lack of information makes other methods impossible or impractical.</w:t>
      </w:r>
    </w:p>
    <w:p w14:paraId="178822AA" w14:textId="5F46E176" w:rsidR="00A5004F" w:rsidRDefault="00592E1A" w:rsidP="00595961">
      <w:pPr>
        <w:pStyle w:val="BodyText"/>
      </w:pPr>
      <w:r>
        <w:t xml:space="preserve">The type of </w:t>
      </w:r>
      <w:r w:rsidR="00A5004F">
        <w:t>d</w:t>
      </w:r>
      <w:r w:rsidR="00595961">
        <w:t>irect measures of non</w:t>
      </w:r>
      <w:r w:rsidR="00AC6D60">
        <w:noBreakHyphen/>
      </w:r>
      <w:r w:rsidR="00595961">
        <w:t xml:space="preserve">market sector output </w:t>
      </w:r>
      <w:r>
        <w:t>needed</w:t>
      </w:r>
      <w:r w:rsidR="00C956E9">
        <w:t xml:space="preserve"> depend</w:t>
      </w:r>
      <w:r>
        <w:t>s</w:t>
      </w:r>
      <w:r w:rsidR="00595961">
        <w:t xml:space="preserve"> on the particular industry and the nature of the goods </w:t>
      </w:r>
      <w:r w:rsidR="002531CD">
        <w:t>and</w:t>
      </w:r>
      <w:r w:rsidR="00595961">
        <w:t xml:space="preserve"> services it provides. For example, in the </w:t>
      </w:r>
      <w:r w:rsidR="003432F1">
        <w:t>health care</w:t>
      </w:r>
      <w:r w:rsidR="00595961">
        <w:t xml:space="preserve"> industry, </w:t>
      </w:r>
      <w:r w:rsidR="002531CD" w:rsidRPr="00B82465">
        <w:rPr>
          <w:szCs w:val="24"/>
        </w:rPr>
        <w:t>Lee </w:t>
      </w:r>
      <w:r w:rsidR="002531CD" w:rsidRPr="002531CD">
        <w:t>(2008)</w:t>
      </w:r>
      <w:r w:rsidR="00595961">
        <w:t xml:space="preserve"> identifies the best unit of output as </w:t>
      </w:r>
      <w:r w:rsidR="00844810">
        <w:t>the ‘</w:t>
      </w:r>
      <w:r w:rsidR="003432F1">
        <w:t>health care</w:t>
      </w:r>
      <w:r w:rsidR="00595961" w:rsidRPr="00B82465">
        <w:t xml:space="preserve"> pathway’</w:t>
      </w:r>
      <w:r w:rsidR="00595961">
        <w:t xml:space="preserve">, which is </w:t>
      </w:r>
      <w:r w:rsidR="00595961" w:rsidRPr="00B82465">
        <w:t xml:space="preserve">all of the parts of treatment provided to a person with a specific diagnosis. </w:t>
      </w:r>
      <w:r w:rsidR="00595961">
        <w:t>Where this is difficult to determine due to disparate information sources, i</w:t>
      </w:r>
      <w:r w:rsidR="00595961" w:rsidRPr="00B82465">
        <w:t xml:space="preserve">ndividual health care activities </w:t>
      </w:r>
      <w:r w:rsidR="00D44138">
        <w:t xml:space="preserve">provided during that pathway </w:t>
      </w:r>
      <w:r w:rsidR="00595961" w:rsidRPr="00B82465">
        <w:t>can be used</w:t>
      </w:r>
      <w:r w:rsidR="00595961">
        <w:t xml:space="preserve"> instead. </w:t>
      </w:r>
    </w:p>
    <w:p w14:paraId="0A3A75CE" w14:textId="32E265E6" w:rsidR="00595961" w:rsidRDefault="00A5004F" w:rsidP="00595961">
      <w:pPr>
        <w:pStyle w:val="BodyText"/>
      </w:pPr>
      <w:r>
        <w:t>F</w:t>
      </w:r>
      <w:r w:rsidR="00595961">
        <w:t xml:space="preserve">or the education sector, </w:t>
      </w:r>
      <w:r w:rsidR="00D44138">
        <w:t xml:space="preserve">by contrast, </w:t>
      </w:r>
      <w:r w:rsidR="002531CD" w:rsidRPr="004C124E">
        <w:rPr>
          <w:szCs w:val="24"/>
        </w:rPr>
        <w:t>Lee </w:t>
      </w:r>
      <w:r w:rsidR="002531CD" w:rsidRPr="002531CD">
        <w:t>(2008)</w:t>
      </w:r>
      <w:r w:rsidR="00595961">
        <w:t xml:space="preserve"> suggests that the ideal measure of output quantity across the entire sector is </w:t>
      </w:r>
      <w:r w:rsidR="00595961" w:rsidRPr="00CC1CEF">
        <w:t>the number of pupil</w:t>
      </w:r>
      <w:r w:rsidR="00AC6D60">
        <w:noBreakHyphen/>
      </w:r>
      <w:r w:rsidR="00595961" w:rsidRPr="00CC1CEF">
        <w:t xml:space="preserve">hours </w:t>
      </w:r>
      <w:r w:rsidR="00595961">
        <w:t>or</w:t>
      </w:r>
      <w:r w:rsidR="00595961" w:rsidRPr="00CC1CEF">
        <w:t xml:space="preserve"> full</w:t>
      </w:r>
      <w:r w:rsidR="00AC6D60">
        <w:noBreakHyphen/>
      </w:r>
      <w:r w:rsidR="00595961" w:rsidRPr="00CC1CEF">
        <w:t>time equivalent students</w:t>
      </w:r>
      <w:r w:rsidR="00FE23DA">
        <w:t xml:space="preserve"> (although this fails to capture any element of quality — see below)</w:t>
      </w:r>
      <w:r w:rsidR="00595961" w:rsidRPr="00CC1CEF">
        <w:t>.</w:t>
      </w:r>
      <w:r w:rsidR="00595961">
        <w:t xml:space="preserve"> </w:t>
      </w:r>
    </w:p>
    <w:p w14:paraId="59A031D6" w14:textId="589785CD" w:rsidR="004828E3" w:rsidRDefault="004828E3" w:rsidP="004828E3">
      <w:pPr>
        <w:pStyle w:val="Heading4"/>
      </w:pPr>
      <w:r>
        <w:t>Aggregating outputs across industries</w:t>
      </w:r>
    </w:p>
    <w:p w14:paraId="59E5FFEE" w14:textId="5B1C828A" w:rsidR="004828E3" w:rsidRDefault="004828E3" w:rsidP="004828E3">
      <w:pPr>
        <w:pStyle w:val="BodyText"/>
      </w:pPr>
      <w:r>
        <w:t xml:space="preserve">A major </w:t>
      </w:r>
      <w:r w:rsidR="00FE23DA">
        <w:t>challenge is to aggregate the</w:t>
      </w:r>
      <w:r>
        <w:t xml:space="preserve"> disparate services provided by an entire industry </w:t>
      </w:r>
      <w:r w:rsidR="00FE23DA">
        <w:t>into</w:t>
      </w:r>
      <w:r>
        <w:t xml:space="preserve"> a single</w:t>
      </w:r>
      <w:r w:rsidR="00FE23DA">
        <w:t>, meaningful</w:t>
      </w:r>
      <w:r>
        <w:t xml:space="preserve"> output index. For example, consider the </w:t>
      </w:r>
      <w:r w:rsidR="00FE23DA">
        <w:t>difficulty</w:t>
      </w:r>
      <w:r>
        <w:t xml:space="preserve"> of combining together the very different types of output provided by hospitals and aged care facilities</w:t>
      </w:r>
      <w:r w:rsidR="00B53B9D">
        <w:t>, in order</w:t>
      </w:r>
      <w:r>
        <w:t xml:space="preserve"> to create a single index for the output of the </w:t>
      </w:r>
      <w:r w:rsidR="003432F1">
        <w:t>health care</w:t>
      </w:r>
      <w:r>
        <w:t xml:space="preserve"> and social services industry. </w:t>
      </w:r>
    </w:p>
    <w:p w14:paraId="67982AE5" w14:textId="179C2ECA" w:rsidR="004828E3" w:rsidRDefault="000C1A06" w:rsidP="004828E3">
      <w:pPr>
        <w:pStyle w:val="BodyText"/>
      </w:pPr>
      <w:r>
        <w:t>In the market sector</w:t>
      </w:r>
      <w:r w:rsidR="004828E3">
        <w:t xml:space="preserve">, different outputs can </w:t>
      </w:r>
      <w:r>
        <w:t xml:space="preserve">largely be expressed in monetary terms </w:t>
      </w:r>
      <w:r w:rsidR="00DF7A0A">
        <w:t>w</w:t>
      </w:r>
      <w:r>
        <w:t xml:space="preserve">ith market prices reflecting </w:t>
      </w:r>
      <w:r w:rsidR="004828E3">
        <w:t>their relative importance to consumers</w:t>
      </w:r>
      <w:r>
        <w:t>, and so forming the ‘weights’ by which outputs are aggregated</w:t>
      </w:r>
      <w:r w:rsidR="004828E3">
        <w:t>.</w:t>
      </w:r>
      <w:r>
        <w:t xml:space="preserve"> T</w:t>
      </w:r>
      <w:r w:rsidR="004828E3">
        <w:t>his is not possible in the non</w:t>
      </w:r>
      <w:r w:rsidR="00AC6D60">
        <w:noBreakHyphen/>
      </w:r>
      <w:r w:rsidR="004828E3">
        <w:t>market sector</w:t>
      </w:r>
      <w:r w:rsidR="00A5004F">
        <w:t xml:space="preserve"> due to the lack of price</w:t>
      </w:r>
      <w:r>
        <w:t>s as an indicator of value</w:t>
      </w:r>
      <w:r w:rsidR="004828E3">
        <w:t>. Instead, output measures are generally weighted using one of two methods: based on the relative costs of inputs — relying on competitive market conditions (where marginal cost equals marginal value) within the government</w:t>
      </w:r>
      <w:r w:rsidR="00AC6D60">
        <w:noBreakHyphen/>
      </w:r>
      <w:r w:rsidR="004828E3">
        <w:t>dominated industries — or using price</w:t>
      </w:r>
      <w:r w:rsidR="004828E3">
        <w:noBreakHyphen/>
        <w:t xml:space="preserve">weights from the private </w:t>
      </w:r>
      <w:r w:rsidR="00FC0240">
        <w:t>sector provision of similar non</w:t>
      </w:r>
      <w:r w:rsidR="00FC0240">
        <w:noBreakHyphen/>
      </w:r>
      <w:r w:rsidR="004828E3">
        <w:t xml:space="preserve">market services — assuming that there are comparable private providers and the quality of private and public provision is the same </w:t>
      </w:r>
      <w:r w:rsidR="004828E3" w:rsidRPr="00C86F6C">
        <w:rPr>
          <w:szCs w:val="24"/>
        </w:rPr>
        <w:t>(Douglas 2006)</w:t>
      </w:r>
      <w:r w:rsidR="004828E3">
        <w:t>.</w:t>
      </w:r>
      <w:r w:rsidR="004828E3" w:rsidRPr="0042587A">
        <w:t xml:space="preserve"> </w:t>
      </w:r>
    </w:p>
    <w:p w14:paraId="52686583" w14:textId="50D1521F" w:rsidR="007612D6" w:rsidRDefault="001F6C06" w:rsidP="004276DB">
      <w:pPr>
        <w:pStyle w:val="Heading4"/>
      </w:pPr>
      <w:r>
        <w:t>Incorporating changing service q</w:t>
      </w:r>
      <w:r w:rsidR="007612D6">
        <w:t>uality</w:t>
      </w:r>
    </w:p>
    <w:p w14:paraId="7FC61D46" w14:textId="069FC389" w:rsidR="00595961" w:rsidRDefault="001F6C06" w:rsidP="00595961">
      <w:pPr>
        <w:pStyle w:val="BodyText"/>
      </w:pPr>
      <w:r>
        <w:t>T</w:t>
      </w:r>
      <w:r w:rsidR="00595961">
        <w:t>he measurement of non</w:t>
      </w:r>
      <w:r w:rsidR="00AC6D60">
        <w:noBreakHyphen/>
      </w:r>
      <w:r w:rsidR="00595961">
        <w:t xml:space="preserve">market sector output is </w:t>
      </w:r>
      <w:r>
        <w:t xml:space="preserve">further </w:t>
      </w:r>
      <w:r w:rsidR="00595961">
        <w:t xml:space="preserve">complicated by changes in the nature of the goods and services produced over time. </w:t>
      </w:r>
      <w:r w:rsidR="004507D6">
        <w:t xml:space="preserve">From a productivity point of view, any improved </w:t>
      </w:r>
      <w:r w:rsidR="004507D6" w:rsidRPr="003B07DD">
        <w:rPr>
          <w:i/>
        </w:rPr>
        <w:t>quality</w:t>
      </w:r>
      <w:r w:rsidR="004507D6">
        <w:t xml:space="preserve"> of services provided by the non</w:t>
      </w:r>
      <w:r w:rsidR="004507D6">
        <w:noBreakHyphen/>
        <w:t xml:space="preserve">market sector </w:t>
      </w:r>
      <w:r w:rsidR="000C1A06">
        <w:t>could be</w:t>
      </w:r>
      <w:r w:rsidR="004507D6">
        <w:t xml:space="preserve"> as equally desirable as any increased </w:t>
      </w:r>
      <w:r w:rsidR="004507D6">
        <w:rPr>
          <w:i/>
        </w:rPr>
        <w:t xml:space="preserve">quantity </w:t>
      </w:r>
      <w:r w:rsidR="004507D6" w:rsidRPr="003B07DD">
        <w:t>of services delivered</w:t>
      </w:r>
      <w:r w:rsidR="004507D6">
        <w:t xml:space="preserve">. </w:t>
      </w:r>
      <w:r>
        <w:t>That is</w:t>
      </w:r>
      <w:r w:rsidR="004507D6">
        <w:t>,</w:t>
      </w:r>
      <w:r w:rsidR="00595961">
        <w:t xml:space="preserve"> consumers value the improved nature of goods and services, not just having more of them, so quality change should be captured by indicators of output value. For example, </w:t>
      </w:r>
      <w:r w:rsidR="00765F02">
        <w:t xml:space="preserve">although </w:t>
      </w:r>
      <w:r w:rsidR="00595961">
        <w:t xml:space="preserve">more surgeries (increased output </w:t>
      </w:r>
      <w:r w:rsidR="003A1F75" w:rsidRPr="001F6C06">
        <w:rPr>
          <w:i/>
        </w:rPr>
        <w:t>quantity</w:t>
      </w:r>
      <w:r w:rsidR="00595961">
        <w:t>) for a given level of inputs</w:t>
      </w:r>
      <w:r w:rsidR="00FE23DA">
        <w:t xml:space="preserve"> would be a productivity improvement for a hospital</w:t>
      </w:r>
      <w:r w:rsidR="00595961">
        <w:t xml:space="preserve">, the output </w:t>
      </w:r>
      <w:r w:rsidR="00595961" w:rsidRPr="000517CF">
        <w:t>value</w:t>
      </w:r>
      <w:r w:rsidR="00595961">
        <w:t xml:space="preserve"> of those surgeries is also improved when they have a higher survival rate or reduced recovery times (improved output </w:t>
      </w:r>
      <w:r w:rsidR="00595961" w:rsidRPr="001F6C06">
        <w:rPr>
          <w:i/>
        </w:rPr>
        <w:t>quality</w:t>
      </w:r>
      <w:r w:rsidR="00595961">
        <w:t>).</w:t>
      </w:r>
      <w:r w:rsidR="00595961" w:rsidRPr="00B862DB">
        <w:t xml:space="preserve"> </w:t>
      </w:r>
    </w:p>
    <w:p w14:paraId="625A35E8" w14:textId="3BEC5308" w:rsidR="0087366E" w:rsidRDefault="00E17B1A" w:rsidP="00595961">
      <w:pPr>
        <w:pStyle w:val="BodyText"/>
      </w:pPr>
      <w:r>
        <w:t>T</w:t>
      </w:r>
      <w:r w:rsidR="00595961">
        <w:t xml:space="preserve">he issue of quality adjustment in productivity measures is </w:t>
      </w:r>
      <w:r w:rsidR="0087366E">
        <w:t>also</w:t>
      </w:r>
      <w:r w:rsidR="00595961">
        <w:t xml:space="preserve"> </w:t>
      </w:r>
      <w:r w:rsidR="001B061B">
        <w:t>a problem</w:t>
      </w:r>
      <w:r w:rsidR="00595961">
        <w:t xml:space="preserve"> for the </w:t>
      </w:r>
      <w:r w:rsidR="00595961" w:rsidRPr="00804E98">
        <w:rPr>
          <w:i/>
        </w:rPr>
        <w:t>market</w:t>
      </w:r>
      <w:r w:rsidR="00595961">
        <w:t xml:space="preserve"> sector as changes to the nature of products that are difficult to reflect in output indexes occur across the entire economy</w:t>
      </w:r>
      <w:r>
        <w:t xml:space="preserve">. However, </w:t>
      </w:r>
      <w:r w:rsidR="0087366E">
        <w:t>the issue</w:t>
      </w:r>
      <w:r w:rsidR="00FC0240">
        <w:t xml:space="preserve"> is arguably more acute for </w:t>
      </w:r>
      <w:r w:rsidR="00804E98">
        <w:t xml:space="preserve">the </w:t>
      </w:r>
      <w:r w:rsidR="00FC0240">
        <w:t>non</w:t>
      </w:r>
      <w:r w:rsidR="00FC0240">
        <w:noBreakHyphen/>
      </w:r>
      <w:r w:rsidR="0087366E">
        <w:t xml:space="preserve">market sector, as </w:t>
      </w:r>
      <w:r w:rsidR="00804E98">
        <w:t>it</w:t>
      </w:r>
      <w:r w:rsidR="0087366E">
        <w:t xml:space="preserve"> generally produce</w:t>
      </w:r>
      <w:r w:rsidR="00804E98">
        <w:t>s</w:t>
      </w:r>
      <w:r w:rsidR="0087366E">
        <w:t xml:space="preserve"> services rather than goods </w:t>
      </w:r>
      <w:r w:rsidR="00DF7A0A">
        <w:t>(</w:t>
      </w:r>
      <w:r w:rsidR="0087366E">
        <w:t xml:space="preserve">so the nature of their output is </w:t>
      </w:r>
      <w:r w:rsidR="001B061B">
        <w:t xml:space="preserve">inherently </w:t>
      </w:r>
      <w:r w:rsidR="0087366E">
        <w:t>less observable</w:t>
      </w:r>
      <w:r w:rsidR="00DF7A0A">
        <w:t>) and there are no prices that have already incorporated quality changes</w:t>
      </w:r>
      <w:r w:rsidR="0087366E">
        <w:t xml:space="preserve"> </w:t>
      </w:r>
      <w:r w:rsidR="00B05161" w:rsidRPr="00B05161">
        <w:rPr>
          <w:szCs w:val="24"/>
        </w:rPr>
        <w:t>(Dunleavy 2016; Schreyer 2008)</w:t>
      </w:r>
      <w:r w:rsidR="0087366E">
        <w:t>.</w:t>
      </w:r>
    </w:p>
    <w:p w14:paraId="02AA5ECE" w14:textId="0CBD1D61" w:rsidR="00BC02EB" w:rsidRDefault="00595961" w:rsidP="00595961">
      <w:pPr>
        <w:pStyle w:val="BodyText"/>
      </w:pPr>
      <w:r>
        <w:t xml:space="preserve">To account for ongoing quality improvements </w:t>
      </w:r>
      <w:r w:rsidR="00FC0240">
        <w:t>in</w:t>
      </w:r>
      <w:r>
        <w:t xml:space="preserve"> direct measures of non</w:t>
      </w:r>
      <w:r w:rsidR="00AC6D60">
        <w:noBreakHyphen/>
      </w:r>
      <w:r>
        <w:t xml:space="preserve">market sector output, the volume measures can be adjusted for quality in </w:t>
      </w:r>
      <w:r w:rsidR="00E17B1A">
        <w:t xml:space="preserve">several </w:t>
      </w:r>
      <w:r>
        <w:t xml:space="preserve">different ways. </w:t>
      </w:r>
      <w:r w:rsidR="000C1A06">
        <w:t>Methods include:</w:t>
      </w:r>
    </w:p>
    <w:p w14:paraId="1055126C" w14:textId="5C67046C" w:rsidR="00BC02EB" w:rsidRDefault="00595961" w:rsidP="00BC02EB">
      <w:pPr>
        <w:pStyle w:val="ListBullet"/>
      </w:pPr>
      <w:r>
        <w:t>captur</w:t>
      </w:r>
      <w:r w:rsidR="000C1A06">
        <w:t>ing</w:t>
      </w:r>
      <w:r>
        <w:t xml:space="preserve"> part of the quality change by differentiating as many qualities of a product as possible. This results in products of different quality being treated as entirely separate products, such that a shift to the higher quality product versions can be observed. </w:t>
      </w:r>
    </w:p>
    <w:p w14:paraId="27E0CA39" w14:textId="59871A83" w:rsidR="00595961" w:rsidRDefault="00595961" w:rsidP="00BC02EB">
      <w:pPr>
        <w:pStyle w:val="ListBullet"/>
      </w:pPr>
      <w:r>
        <w:t>tak</w:t>
      </w:r>
      <w:r w:rsidR="000C1A06">
        <w:t>ing</w:t>
      </w:r>
      <w:r>
        <w:t xml:space="preserve"> into consideration the effect of the service on the marginal outcome of the consumer, particularly with relation to its degree of </w:t>
      </w:r>
      <w:r w:rsidR="00FC0240">
        <w:t>‘</w:t>
      </w:r>
      <w:r>
        <w:t>success</w:t>
      </w:r>
      <w:r w:rsidR="00FC0240">
        <w:t>’</w:t>
      </w:r>
      <w:r>
        <w:t xml:space="preserve"> </w:t>
      </w:r>
      <w:r w:rsidRPr="00633DFE">
        <w:rPr>
          <w:szCs w:val="24"/>
        </w:rPr>
        <w:t>(Atkinson 2005; Eurostat 2001; Schreyer 2010)</w:t>
      </w:r>
      <w:r>
        <w:t>.</w:t>
      </w:r>
    </w:p>
    <w:p w14:paraId="465BD56F" w14:textId="06D41BF5" w:rsidR="004828E3" w:rsidRDefault="004828E3" w:rsidP="004828E3">
      <w:pPr>
        <w:pStyle w:val="Heading5"/>
      </w:pPr>
      <w:r>
        <w:t xml:space="preserve">Quality adjustment for </w:t>
      </w:r>
      <w:r w:rsidR="003432F1">
        <w:t>health care</w:t>
      </w:r>
    </w:p>
    <w:p w14:paraId="75BAA713" w14:textId="72A1760B" w:rsidR="00595961" w:rsidRDefault="004828E3" w:rsidP="00595961">
      <w:pPr>
        <w:pStyle w:val="BodyText"/>
      </w:pPr>
      <w:r>
        <w:t xml:space="preserve">For the </w:t>
      </w:r>
      <w:r w:rsidR="003432F1">
        <w:t>health care</w:t>
      </w:r>
      <w:r w:rsidRPr="004828E3">
        <w:t xml:space="preserve"> </w:t>
      </w:r>
      <w:r>
        <w:t>sector, one</w:t>
      </w:r>
      <w:r w:rsidR="00595961">
        <w:t xml:space="preserve"> suggest</w:t>
      </w:r>
      <w:r>
        <w:t>ed</w:t>
      </w:r>
      <w:r w:rsidR="00595961">
        <w:t xml:space="preserve"> measurable unit of service </w:t>
      </w:r>
      <w:r>
        <w:t>is</w:t>
      </w:r>
      <w:r w:rsidR="00595961">
        <w:t xml:space="preserve"> the ‘quality</w:t>
      </w:r>
      <w:r w:rsidR="00595961">
        <w:noBreakHyphen/>
        <w:t>adjusted numbers of completed treatments of particular diseases or of activities to prevent a disease’</w:t>
      </w:r>
      <w:r>
        <w:t xml:space="preserve"> </w:t>
      </w:r>
      <w:r>
        <w:rPr>
          <w:szCs w:val="24"/>
        </w:rPr>
        <w:t>(S</w:t>
      </w:r>
      <w:r w:rsidRPr="00BD3115">
        <w:rPr>
          <w:szCs w:val="24"/>
        </w:rPr>
        <w:t>chreyer 2010)</w:t>
      </w:r>
      <w:r w:rsidR="00595961">
        <w:t xml:space="preserve">. </w:t>
      </w:r>
      <w:r w:rsidR="00A41034">
        <w:t xml:space="preserve">Another </w:t>
      </w:r>
      <w:r w:rsidR="00595961">
        <w:t>suggest</w:t>
      </w:r>
      <w:r w:rsidR="00A41034">
        <w:t>ion incorporates</w:t>
      </w:r>
      <w:r w:rsidR="00CF734D">
        <w:t xml:space="preserve"> a range of quality adjustment</w:t>
      </w:r>
      <w:r w:rsidR="00595961">
        <w:t xml:space="preserve"> indicators for </w:t>
      </w:r>
      <w:r w:rsidR="00A41034">
        <w:t>the</w:t>
      </w:r>
      <w:r w:rsidR="00595961">
        <w:t xml:space="preserve"> </w:t>
      </w:r>
      <w:r w:rsidR="00844810">
        <w:t>‘</w:t>
      </w:r>
      <w:r w:rsidR="003432F1">
        <w:t>health care</w:t>
      </w:r>
      <w:r w:rsidR="00595961" w:rsidRPr="00B82465">
        <w:t xml:space="preserve"> pathway’</w:t>
      </w:r>
      <w:r w:rsidR="00595961">
        <w:t xml:space="preserve"> output measure, including:</w:t>
      </w:r>
    </w:p>
    <w:p w14:paraId="14A870DA" w14:textId="5DF0490F" w:rsidR="00595961" w:rsidRDefault="00595961" w:rsidP="00595961">
      <w:pPr>
        <w:pStyle w:val="ListBullet"/>
      </w:pPr>
      <w:r>
        <w:t xml:space="preserve">differentiation between different activities </w:t>
      </w:r>
      <w:r w:rsidR="00A41034">
        <w:t>(such as division into specific d</w:t>
      </w:r>
      <w:r w:rsidRPr="00B82465">
        <w:t xml:space="preserve">iagnosis </w:t>
      </w:r>
      <w:r w:rsidR="00A41034">
        <w:t>r</w:t>
      </w:r>
      <w:r w:rsidRPr="00B82465">
        <w:t xml:space="preserve">elated </w:t>
      </w:r>
      <w:r w:rsidR="00A41034">
        <w:t>g</w:t>
      </w:r>
      <w:r w:rsidRPr="00B82465">
        <w:t>roups for hospital care</w:t>
      </w:r>
      <w:r w:rsidR="00FE23DA">
        <w:t>)</w:t>
      </w:r>
    </w:p>
    <w:p w14:paraId="1CFE12B8" w14:textId="6C59A942" w:rsidR="00595961" w:rsidRDefault="00595961" w:rsidP="00595961">
      <w:pPr>
        <w:pStyle w:val="ListBullet"/>
      </w:pPr>
      <w:r>
        <w:t>post</w:t>
      </w:r>
      <w:r w:rsidR="00AC6D60">
        <w:noBreakHyphen/>
      </w:r>
      <w:r>
        <w:t>treatment h</w:t>
      </w:r>
      <w:r w:rsidR="00FE23DA">
        <w:t>ealth status and survival rates</w:t>
      </w:r>
    </w:p>
    <w:p w14:paraId="5A20E72C" w14:textId="7B8EF5A4" w:rsidR="00595961" w:rsidRDefault="00595961" w:rsidP="00595961">
      <w:pPr>
        <w:pStyle w:val="ListBullet"/>
      </w:pPr>
      <w:r>
        <w:t>process quality indicators (for example, vaccination take</w:t>
      </w:r>
      <w:r w:rsidR="00AC6D60">
        <w:noBreakHyphen/>
      </w:r>
      <w:r>
        <w:t>up rates or at</w:t>
      </w:r>
      <w:r w:rsidR="00AC6D60">
        <w:noBreakHyphen/>
      </w:r>
      <w:r>
        <w:t xml:space="preserve">risk patient </w:t>
      </w:r>
      <w:r w:rsidR="00FE23DA">
        <w:t>monitoring in primary care)</w:t>
      </w:r>
    </w:p>
    <w:p w14:paraId="3B516404" w14:textId="7B9D77C8" w:rsidR="00595961" w:rsidRDefault="00595961" w:rsidP="00595961">
      <w:pPr>
        <w:pStyle w:val="ListBullet"/>
      </w:pPr>
      <w:r>
        <w:t>patient experience indicators (for example, timing and convenience of appointment</w:t>
      </w:r>
      <w:r w:rsidR="00E17B1A">
        <w:t>s</w:t>
      </w:r>
      <w:r>
        <w:t xml:space="preserve"> or cleanliness of hospital</w:t>
      </w:r>
      <w:r w:rsidR="0071074A">
        <w:t>s</w:t>
      </w:r>
      <w:r>
        <w:t>)</w:t>
      </w:r>
      <w:r w:rsidR="004828E3" w:rsidRPr="004828E3">
        <w:t xml:space="preserve"> </w:t>
      </w:r>
      <w:r w:rsidR="004828E3">
        <w:rPr>
          <w:szCs w:val="24"/>
        </w:rPr>
        <w:t>(L</w:t>
      </w:r>
      <w:r w:rsidR="004828E3" w:rsidRPr="00614523">
        <w:rPr>
          <w:szCs w:val="24"/>
        </w:rPr>
        <w:t>ee 2008)</w:t>
      </w:r>
      <w:r>
        <w:t>.</w:t>
      </w:r>
    </w:p>
    <w:p w14:paraId="365AF59B" w14:textId="3553865F" w:rsidR="00844810" w:rsidRDefault="00DD449D" w:rsidP="00CF734D">
      <w:pPr>
        <w:pStyle w:val="BodyText"/>
      </w:pPr>
      <w:r>
        <w:t xml:space="preserve">Implementing such measures still faces considerable information challenges and </w:t>
      </w:r>
      <w:r w:rsidR="00CF734D">
        <w:t xml:space="preserve">there is an ongoing debate about the most practical way to measure </w:t>
      </w:r>
      <w:r w:rsidR="003432F1">
        <w:t>health care</w:t>
      </w:r>
      <w:r w:rsidR="00CF734D">
        <w:t xml:space="preserve"> services: by the volume of </w:t>
      </w:r>
      <w:r w:rsidR="003432F1">
        <w:t>health care</w:t>
      </w:r>
      <w:r w:rsidR="00CF734D">
        <w:t xml:space="preserve"> activities (such as the number of hospital procedures or GP visits) or </w:t>
      </w:r>
      <w:r w:rsidR="00844810">
        <w:t>the volume of ‘</w:t>
      </w:r>
      <w:r w:rsidR="003432F1">
        <w:t>health care</w:t>
      </w:r>
      <w:r w:rsidR="00844810">
        <w:t xml:space="preserve"> pathways’ provided (such as the number of cancer or cardiac arrest patients treated). </w:t>
      </w:r>
      <w:r w:rsidR="009B6628">
        <w:t>This latter approach is also known as the ‘diseases</w:t>
      </w:r>
      <w:r w:rsidR="00AC6D60">
        <w:noBreakHyphen/>
      </w:r>
      <w:r w:rsidR="009B6628">
        <w:t xml:space="preserve">managed’ approach, and has </w:t>
      </w:r>
      <w:r w:rsidR="00844810">
        <w:t>a range of advantages and dis</w:t>
      </w:r>
      <w:r w:rsidR="000517CF">
        <w:t>advantages, discussed in b</w:t>
      </w:r>
      <w:r w:rsidR="00844810">
        <w:t>ox</w:t>
      </w:r>
      <w:r w:rsidR="00AC6D60">
        <w:t> </w:t>
      </w:r>
      <w:r w:rsidR="00B633AE">
        <w:t>4</w:t>
      </w:r>
      <w:r w:rsidR="00844810">
        <w:t xml:space="preserve">. </w:t>
      </w:r>
    </w:p>
    <w:tbl>
      <w:tblPr>
        <w:tblW w:w="4859" w:type="pct"/>
        <w:tblInd w:w="113"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817"/>
      </w:tblGrid>
      <w:tr w:rsidR="003F0377" w14:paraId="1F791ADE" w14:textId="77777777" w:rsidTr="00A40CDA">
        <w:tc>
          <w:tcPr>
            <w:tcW w:w="5000" w:type="pct"/>
            <w:tcBorders>
              <w:top w:val="single" w:sz="6" w:space="0" w:color="78A22F"/>
              <w:left w:val="nil"/>
              <w:bottom w:val="nil"/>
              <w:right w:val="nil"/>
            </w:tcBorders>
            <w:shd w:val="clear" w:color="auto" w:fill="F2F2F2"/>
          </w:tcPr>
          <w:p w14:paraId="58D2865A" w14:textId="33A9054B" w:rsidR="003F0377" w:rsidRDefault="003F0377" w:rsidP="000E4FD3">
            <w:pPr>
              <w:pStyle w:val="BoxTitle"/>
            </w:pPr>
            <w:r>
              <w:rPr>
                <w:b w:val="0"/>
              </w:rPr>
              <w:t xml:space="preserve">Box </w:t>
            </w:r>
            <w:r w:rsidR="00D95F04">
              <w:rPr>
                <w:b w:val="0"/>
                <w:noProof/>
              </w:rPr>
              <w:t>4</w:t>
            </w:r>
            <w:r>
              <w:tab/>
            </w:r>
            <w:r w:rsidRPr="003F0377">
              <w:t>Diseases</w:t>
            </w:r>
            <w:r w:rsidR="00AC6D60">
              <w:noBreakHyphen/>
            </w:r>
            <w:r w:rsidRPr="003F0377">
              <w:t>managed vs. activities</w:t>
            </w:r>
            <w:r w:rsidR="00AC6D60">
              <w:noBreakHyphen/>
            </w:r>
            <w:r w:rsidRPr="003F0377">
              <w:t>provided methods</w:t>
            </w:r>
          </w:p>
        </w:tc>
      </w:tr>
      <w:tr w:rsidR="003F0377" w14:paraId="516084DB" w14:textId="77777777" w:rsidTr="00A40CDA">
        <w:tc>
          <w:tcPr>
            <w:tcW w:w="5000" w:type="pct"/>
            <w:tcBorders>
              <w:top w:val="nil"/>
              <w:left w:val="nil"/>
              <w:bottom w:val="nil"/>
              <w:right w:val="nil"/>
            </w:tcBorders>
            <w:shd w:val="clear" w:color="auto" w:fill="F2F2F2"/>
          </w:tcPr>
          <w:p w14:paraId="136D7910" w14:textId="48B11663" w:rsidR="003F0377" w:rsidRDefault="003F0377" w:rsidP="003F0377">
            <w:pPr>
              <w:pStyle w:val="Box"/>
            </w:pPr>
            <w:r>
              <w:t>The major difference between the activities</w:t>
            </w:r>
            <w:r w:rsidR="00AC6D60">
              <w:noBreakHyphen/>
            </w:r>
            <w:r>
              <w:t>provided and diseases</w:t>
            </w:r>
            <w:r w:rsidR="00AC6D60">
              <w:noBreakHyphen/>
            </w:r>
            <w:r>
              <w:t>managed methods of directly measuring non</w:t>
            </w:r>
            <w:r w:rsidR="00AC6D60">
              <w:noBreakHyphen/>
            </w:r>
            <w:r>
              <w:t>market output is in the way that substitution between different types of treatment for the same disease affects the estimates of productivity. Under the activities</w:t>
            </w:r>
            <w:r>
              <w:noBreakHyphen/>
              <w:t>provided model, moving a patient out of high</w:t>
            </w:r>
            <w:r w:rsidR="00AC6D60">
              <w:noBreakHyphen/>
            </w:r>
            <w:r>
              <w:t>cost treatment methods (such as in</w:t>
            </w:r>
            <w:r>
              <w:noBreakHyphen/>
              <w:t>patient hospital facilities) and onto low</w:t>
            </w:r>
            <w:r>
              <w:noBreakHyphen/>
              <w:t>cost methods (such as drug treatments administered by a GP) would generally not be recognised as a productivity gain, only as a change in the demand for each service. By contrast, under the diseases</w:t>
            </w:r>
            <w:r w:rsidR="00AC6D60">
              <w:noBreakHyphen/>
            </w:r>
            <w:r>
              <w:t>managed approach, moving from a high</w:t>
            </w:r>
            <w:r w:rsidR="00AC6D60">
              <w:noBreakHyphen/>
            </w:r>
            <w:r>
              <w:t>cost to a low</w:t>
            </w:r>
            <w:r w:rsidR="00AC6D60">
              <w:noBreakHyphen/>
            </w:r>
            <w:r>
              <w:t xml:space="preserve">cost treatment method is a substantial productivity gain, as the cost of the treatment is reduced, while the patient presumably receives a similar or better level of service. </w:t>
            </w:r>
          </w:p>
          <w:p w14:paraId="69CA12DB" w14:textId="48271CF8" w:rsidR="003F0377" w:rsidRDefault="003F0377" w:rsidP="003F0377">
            <w:pPr>
              <w:pStyle w:val="Box"/>
            </w:pPr>
            <w:r>
              <w:t>For similar reasons, the diseases</w:t>
            </w:r>
            <w:r w:rsidR="00AC6D60">
              <w:noBreakHyphen/>
            </w:r>
            <w:r>
              <w:t xml:space="preserve">managed methodology can better account for the changing utilisation of treatments (the number of activities during an episode of care). As an example </w:t>
            </w:r>
            <w:r w:rsidR="004550DA" w:rsidRPr="00697826">
              <w:rPr>
                <w:rFonts w:cs="Arial"/>
                <w:szCs w:val="24"/>
              </w:rPr>
              <w:t>Aizcorbe </w:t>
            </w:r>
            <w:r w:rsidR="004550DA" w:rsidRPr="004550DA">
              <w:rPr>
                <w:rFonts w:cs="Arial"/>
              </w:rPr>
              <w:t>(2013)</w:t>
            </w:r>
            <w:r>
              <w:t xml:space="preserve"> discusses a reduction </w:t>
            </w:r>
            <w:r w:rsidR="00011684">
              <w:t>in</w:t>
            </w:r>
            <w:r>
              <w:t xml:space="preserve"> the number of procedures needed to treat an ear infection. Under the activities</w:t>
            </w:r>
            <w:r w:rsidR="00AC6D60">
              <w:noBreakHyphen/>
            </w:r>
            <w:r>
              <w:t>provided method, this would count as reduced output, whereas the diseases</w:t>
            </w:r>
            <w:r w:rsidR="00AC6D60">
              <w:noBreakHyphen/>
            </w:r>
            <w:r>
              <w:t>managed methodology would treat it as reduced cost of a single output.</w:t>
            </w:r>
          </w:p>
          <w:p w14:paraId="084256AB" w14:textId="3D2EB325" w:rsidR="003F0377" w:rsidRDefault="003F0377" w:rsidP="003F0377">
            <w:pPr>
              <w:pStyle w:val="Box"/>
            </w:pPr>
            <w:r>
              <w:t>An additional difference between the methodologies is that the activities</w:t>
            </w:r>
            <w:r w:rsidR="00AC6D60">
              <w:noBreakHyphen/>
            </w:r>
            <w:r>
              <w:t>provided method does</w:t>
            </w:r>
            <w:r w:rsidRPr="00536811">
              <w:t xml:space="preserve"> not </w:t>
            </w:r>
            <w:r>
              <w:t xml:space="preserve">use </w:t>
            </w:r>
            <w:r w:rsidRPr="00536811">
              <w:t>any information about the particular disease being treated</w:t>
            </w:r>
            <w:r>
              <w:t>, although t</w:t>
            </w:r>
            <w:r w:rsidRPr="00536811">
              <w:t>he exte</w:t>
            </w:r>
            <w:r>
              <w:t xml:space="preserve">nt to which a particular </w:t>
            </w:r>
            <w:r w:rsidR="003432F1">
              <w:t>health care</w:t>
            </w:r>
            <w:r w:rsidRPr="00536811">
              <w:t xml:space="preserve"> </w:t>
            </w:r>
            <w:r>
              <w:t>service</w:t>
            </w:r>
            <w:r w:rsidRPr="00536811">
              <w:t xml:space="preserve"> is </w:t>
            </w:r>
            <w:r>
              <w:t>productive</w:t>
            </w:r>
            <w:r w:rsidRPr="00536811">
              <w:t xml:space="preserve"> depends on the condition being treated. </w:t>
            </w:r>
            <w:r w:rsidR="004550DA" w:rsidRPr="00536811">
              <w:rPr>
                <w:rFonts w:cs="Arial"/>
                <w:szCs w:val="24"/>
              </w:rPr>
              <w:t>Aizcorbe, Retus and Smith </w:t>
            </w:r>
            <w:r w:rsidR="004550DA" w:rsidRPr="004550DA">
              <w:rPr>
                <w:rFonts w:cs="Arial"/>
              </w:rPr>
              <w:t>(2008)</w:t>
            </w:r>
            <w:r>
              <w:t xml:space="preserve"> cite the</w:t>
            </w:r>
            <w:r w:rsidRPr="00536811">
              <w:t xml:space="preserve"> example</w:t>
            </w:r>
            <w:r>
              <w:t xml:space="preserve"> of</w:t>
            </w:r>
            <w:r w:rsidRPr="00536811">
              <w:t xml:space="preserve"> a</w:t>
            </w:r>
            <w:r>
              <w:t xml:space="preserve">n additional </w:t>
            </w:r>
            <w:r w:rsidRPr="00536811">
              <w:t xml:space="preserve">night </w:t>
            </w:r>
            <w:r>
              <w:t>in hospital</w:t>
            </w:r>
            <w:r w:rsidRPr="00536811">
              <w:t xml:space="preserve"> for a patient who has had a routine appendectomy</w:t>
            </w:r>
            <w:r>
              <w:t>; that extra night would generally</w:t>
            </w:r>
            <w:r w:rsidRPr="00536811">
              <w:t xml:space="preserve"> </w:t>
            </w:r>
            <w:r>
              <w:t>be more beneficial for a patient</w:t>
            </w:r>
            <w:r w:rsidRPr="00536811">
              <w:t xml:space="preserve"> who ha</w:t>
            </w:r>
            <w:r>
              <w:t>s had quadruple bypass surgery, as their risk of post</w:t>
            </w:r>
            <w:r w:rsidR="00AC6D60">
              <w:noBreakHyphen/>
            </w:r>
            <w:r>
              <w:t xml:space="preserve">surgery complications </w:t>
            </w:r>
            <w:r w:rsidR="00023F9E">
              <w:t>is</w:t>
            </w:r>
            <w:r>
              <w:t xml:space="preserve"> greater.</w:t>
            </w:r>
          </w:p>
          <w:p w14:paraId="7403A24E" w14:textId="67BCFA4E" w:rsidR="003F0377" w:rsidRDefault="003F0377" w:rsidP="003F0377">
            <w:pPr>
              <w:pStyle w:val="Box"/>
            </w:pPr>
            <w:r>
              <w:t>Another area where the diseases</w:t>
            </w:r>
            <w:r w:rsidR="00AC6D60">
              <w:noBreakHyphen/>
            </w:r>
            <w:r>
              <w:t xml:space="preserve">managed methodology and the </w:t>
            </w:r>
            <w:r w:rsidR="00083978">
              <w:t>activities</w:t>
            </w:r>
            <w:r w:rsidR="00083978">
              <w:noBreakHyphen/>
              <w:t>provided</w:t>
            </w:r>
            <w:r>
              <w:t xml:space="preserve"> methodology also differ is the </w:t>
            </w:r>
            <w:r w:rsidR="00083978">
              <w:t xml:space="preserve">management </w:t>
            </w:r>
            <w:r>
              <w:t>of service costs where the patient suffers from more than one illness (such co</w:t>
            </w:r>
            <w:r w:rsidR="00AC6D60">
              <w:noBreakHyphen/>
            </w:r>
            <w:r>
              <w:t>morbidities are</w:t>
            </w:r>
            <w:r w:rsidRPr="001F2AA8">
              <w:t xml:space="preserve"> </w:t>
            </w:r>
            <w:r>
              <w:t xml:space="preserve">relatively common and can be </w:t>
            </w:r>
            <w:r w:rsidRPr="001F2AA8">
              <w:t>particularly prevalent among the elderly</w:t>
            </w:r>
            <w:r>
              <w:t>)</w:t>
            </w:r>
            <w:r w:rsidRPr="001F2AA8">
              <w:t xml:space="preserve">. </w:t>
            </w:r>
            <w:r>
              <w:t>The activities</w:t>
            </w:r>
            <w:r w:rsidR="00AC6D60">
              <w:noBreakHyphen/>
            </w:r>
            <w:r>
              <w:t>provided methodology is not affected by this issue. By contrast, the diseases</w:t>
            </w:r>
            <w:r w:rsidR="00AC6D60">
              <w:noBreakHyphen/>
            </w:r>
            <w:r>
              <w:t>managed method has to assign co</w:t>
            </w:r>
            <w:r w:rsidR="00AC6D60">
              <w:noBreakHyphen/>
            </w:r>
            <w:r>
              <w:t xml:space="preserve">morbidity spending to disease categories by relying on a ‘primary’ diagnosis, which can create varying and subjective outcomes. An example used by </w:t>
            </w:r>
            <w:r w:rsidR="004550DA" w:rsidRPr="00536811">
              <w:rPr>
                <w:rFonts w:cs="Arial"/>
                <w:szCs w:val="24"/>
              </w:rPr>
              <w:t>Aizcorbe, Retus and Smith </w:t>
            </w:r>
            <w:r w:rsidR="004550DA" w:rsidRPr="004550DA">
              <w:rPr>
                <w:rFonts w:cs="Arial"/>
              </w:rPr>
              <w:t>(2008)</w:t>
            </w:r>
            <w:r>
              <w:t xml:space="preserve"> is the difficulty of allocating</w:t>
            </w:r>
            <w:r w:rsidRPr="00E34867">
              <w:t xml:space="preserve"> the cost of </w:t>
            </w:r>
            <w:r>
              <w:t>a GP</w:t>
            </w:r>
            <w:r w:rsidRPr="00E34867">
              <w:t xml:space="preserve"> visit </w:t>
            </w:r>
            <w:r>
              <w:t xml:space="preserve">among different disease categories for </w:t>
            </w:r>
            <w:r w:rsidRPr="00E34867">
              <w:t xml:space="preserve">a diabetic </w:t>
            </w:r>
            <w:r>
              <w:t>who</w:t>
            </w:r>
            <w:r w:rsidRPr="00E34867">
              <w:t xml:space="preserve"> also suffers from heart disease</w:t>
            </w:r>
            <w:r>
              <w:t>.</w:t>
            </w:r>
          </w:p>
          <w:p w14:paraId="040866E8" w14:textId="2298BAE7" w:rsidR="003F0377" w:rsidRDefault="003F0377" w:rsidP="00A67045">
            <w:pPr>
              <w:pStyle w:val="Box"/>
            </w:pPr>
            <w:r>
              <w:t>A related difficulty of the diseases</w:t>
            </w:r>
            <w:r w:rsidR="00AC6D60">
              <w:noBreakHyphen/>
            </w:r>
            <w:r>
              <w:t xml:space="preserve">managed approach is that it is heavily reliant on adequate data sources to allocate spending and identify diseases across patients. This is simpler in the US </w:t>
            </w:r>
            <w:r w:rsidR="003432F1">
              <w:t>health care</w:t>
            </w:r>
            <w:r>
              <w:t xml:space="preserve"> system (where private insurance companies track insured patients closely) than in Australia, where services can be provided through a range of different private and public systems, with only limited communication between them. However, the continued rollout of the My Health Record system across Australia will help to remedy this issue (</w:t>
            </w:r>
            <w:r w:rsidR="00E81FF3">
              <w:t>c</w:t>
            </w:r>
            <w:r w:rsidR="00A620D6">
              <w:t>hapter</w:t>
            </w:r>
            <w:r w:rsidR="00D93E1D">
              <w:t> 2</w:t>
            </w:r>
            <w:r>
              <w:t xml:space="preserve"> of the main report).</w:t>
            </w:r>
          </w:p>
        </w:tc>
      </w:tr>
      <w:tr w:rsidR="003F0377" w14:paraId="67CED581" w14:textId="77777777" w:rsidTr="00A40CDA">
        <w:tc>
          <w:tcPr>
            <w:tcW w:w="5000" w:type="pct"/>
            <w:tcBorders>
              <w:top w:val="nil"/>
              <w:left w:val="nil"/>
              <w:bottom w:val="nil"/>
              <w:right w:val="nil"/>
            </w:tcBorders>
            <w:shd w:val="clear" w:color="auto" w:fill="F2F2F2"/>
          </w:tcPr>
          <w:p w14:paraId="7ED5B6B2" w14:textId="33D368C5" w:rsidR="003F0377" w:rsidRDefault="003F0377" w:rsidP="003F0377">
            <w:pPr>
              <w:pStyle w:val="BoxSource"/>
            </w:pPr>
            <w:r>
              <w:rPr>
                <w:i/>
              </w:rPr>
              <w:t>Sources</w:t>
            </w:r>
            <w:r w:rsidRPr="00167F06">
              <w:t xml:space="preserve">: </w:t>
            </w:r>
            <w:r w:rsidR="004550DA" w:rsidRPr="00520995">
              <w:rPr>
                <w:rFonts w:cs="Arial"/>
                <w:szCs w:val="24"/>
              </w:rPr>
              <w:t>Aizcorbe </w:t>
            </w:r>
            <w:r w:rsidR="004550DA" w:rsidRPr="004550DA">
              <w:rPr>
                <w:rFonts w:cs="Arial"/>
              </w:rPr>
              <w:t>(2013)</w:t>
            </w:r>
            <w:r w:rsidR="004550DA">
              <w:t xml:space="preserve">, </w:t>
            </w:r>
            <w:r w:rsidR="004550DA" w:rsidRPr="00536811">
              <w:rPr>
                <w:rFonts w:cs="Arial"/>
                <w:szCs w:val="24"/>
              </w:rPr>
              <w:t>Aizcorbe, Retus and Smith </w:t>
            </w:r>
            <w:r w:rsidR="004550DA" w:rsidRPr="004550DA">
              <w:rPr>
                <w:rFonts w:cs="Arial"/>
              </w:rPr>
              <w:t>(2008)</w:t>
            </w:r>
            <w:r w:rsidR="004550DA">
              <w:rPr>
                <w:rFonts w:cs="Arial"/>
                <w:szCs w:val="24"/>
              </w:rPr>
              <w:t xml:space="preserve">, </w:t>
            </w:r>
            <w:r w:rsidR="004550DA" w:rsidRPr="00520995">
              <w:rPr>
                <w:rFonts w:cs="Arial"/>
                <w:szCs w:val="24"/>
              </w:rPr>
              <w:t>Dunn, Rittmueller and Whitmire </w:t>
            </w:r>
            <w:r w:rsidR="004550DA" w:rsidRPr="004550DA">
              <w:rPr>
                <w:rFonts w:cs="Arial"/>
              </w:rPr>
              <w:t>(2015)</w:t>
            </w:r>
            <w:r>
              <w:t>.</w:t>
            </w:r>
          </w:p>
        </w:tc>
      </w:tr>
      <w:tr w:rsidR="003F0377" w14:paraId="5FAB5786" w14:textId="77777777" w:rsidTr="00A40CDA">
        <w:tc>
          <w:tcPr>
            <w:tcW w:w="5000" w:type="pct"/>
            <w:tcBorders>
              <w:top w:val="nil"/>
              <w:left w:val="nil"/>
              <w:bottom w:val="single" w:sz="6" w:space="0" w:color="78A22F"/>
              <w:right w:val="nil"/>
            </w:tcBorders>
            <w:shd w:val="clear" w:color="auto" w:fill="F2F2F2"/>
          </w:tcPr>
          <w:p w14:paraId="04E1A609" w14:textId="77777777" w:rsidR="003F0377" w:rsidRDefault="003F0377">
            <w:pPr>
              <w:pStyle w:val="Box"/>
              <w:spacing w:before="0" w:line="120" w:lineRule="exact"/>
            </w:pPr>
          </w:p>
        </w:tc>
      </w:tr>
      <w:tr w:rsidR="003F0377" w:rsidRPr="000863A5" w14:paraId="5F0B068A" w14:textId="77777777" w:rsidTr="00A40CDA">
        <w:tc>
          <w:tcPr>
            <w:tcW w:w="5000" w:type="pct"/>
            <w:tcBorders>
              <w:top w:val="single" w:sz="6" w:space="0" w:color="78A22F"/>
              <w:left w:val="nil"/>
              <w:bottom w:val="nil"/>
              <w:right w:val="nil"/>
            </w:tcBorders>
          </w:tcPr>
          <w:p w14:paraId="4B49889F" w14:textId="79461E4B" w:rsidR="003F0377" w:rsidRPr="00626D32" w:rsidRDefault="003F0377" w:rsidP="004238EC">
            <w:pPr>
              <w:pStyle w:val="BoxSpaceBelow"/>
            </w:pPr>
          </w:p>
        </w:tc>
      </w:tr>
    </w:tbl>
    <w:p w14:paraId="2BB05004" w14:textId="38BDEC7D" w:rsidR="004828E3" w:rsidRDefault="004828E3" w:rsidP="003F0377">
      <w:pPr>
        <w:pStyle w:val="Heading5"/>
      </w:pPr>
      <w:r>
        <w:t>Quality adjustment for education</w:t>
      </w:r>
    </w:p>
    <w:p w14:paraId="7B9B0344" w14:textId="55FE196A" w:rsidR="0042587A" w:rsidRDefault="00595961" w:rsidP="00595961">
      <w:pPr>
        <w:pStyle w:val="BodyText"/>
      </w:pPr>
      <w:r>
        <w:t>Similar</w:t>
      </w:r>
      <w:r w:rsidR="00624443">
        <w:t xml:space="preserve"> to </w:t>
      </w:r>
      <w:r w:rsidR="003432F1">
        <w:t>health care</w:t>
      </w:r>
      <w:r>
        <w:t xml:space="preserve">, quality in the education sector can be accounted for through </w:t>
      </w:r>
      <w:r w:rsidRPr="00CC1CEF">
        <w:t>differentiation</w:t>
      </w:r>
      <w:r>
        <w:t xml:space="preserve">, such as </w:t>
      </w:r>
      <w:r w:rsidR="008A314E">
        <w:t xml:space="preserve">by accounting for </w:t>
      </w:r>
      <w:r w:rsidRPr="00CC1CEF">
        <w:t xml:space="preserve">different types </w:t>
      </w:r>
      <w:r>
        <w:t xml:space="preserve">or levels </w:t>
      </w:r>
      <w:r w:rsidRPr="00CC1CEF">
        <w:t>of schooling</w:t>
      </w:r>
      <w:r>
        <w:t xml:space="preserve"> (</w:t>
      </w:r>
      <w:r w:rsidR="00483D99">
        <w:t>that is,</w:t>
      </w:r>
      <w:r w:rsidR="009B54C1">
        <w:t xml:space="preserve"> differentiating between</w:t>
      </w:r>
      <w:r>
        <w:t xml:space="preserve"> </w:t>
      </w:r>
      <w:r w:rsidR="009B54C1">
        <w:t>primary, secondary and</w:t>
      </w:r>
      <w:r w:rsidRPr="00CC1CEF">
        <w:t xml:space="preserve"> tertiary</w:t>
      </w:r>
      <w:r w:rsidR="009B54C1">
        <w:t xml:space="preserve"> </w:t>
      </w:r>
      <w:r w:rsidR="00483D99">
        <w:t xml:space="preserve">level </w:t>
      </w:r>
      <w:r w:rsidR="009B54C1">
        <w:t>students</w:t>
      </w:r>
      <w:r w:rsidRPr="00CC1CEF">
        <w:t>)</w:t>
      </w:r>
      <w:r w:rsidR="00A10E8C" w:rsidRPr="00A10E8C">
        <w:t xml:space="preserve"> </w:t>
      </w:r>
      <w:r w:rsidR="00A10E8C" w:rsidRPr="008D7C25">
        <w:rPr>
          <w:szCs w:val="24"/>
        </w:rPr>
        <w:t>(Lee 2008)</w:t>
      </w:r>
      <w:r w:rsidR="008A314E">
        <w:t xml:space="preserve">. </w:t>
      </w:r>
    </w:p>
    <w:p w14:paraId="44B9E9D5" w14:textId="6AD2F43B" w:rsidR="00483D99" w:rsidRDefault="008A314E" w:rsidP="00595961">
      <w:pPr>
        <w:pStyle w:val="BodyText"/>
      </w:pPr>
      <w:r>
        <w:t xml:space="preserve">However, </w:t>
      </w:r>
      <w:r w:rsidR="004507D6">
        <w:t>adequate</w:t>
      </w:r>
      <w:r w:rsidR="00A10E8C">
        <w:t xml:space="preserve"> measures of the ‘success’ o</w:t>
      </w:r>
      <w:r w:rsidR="000C1F69">
        <w:t>f education and training output</w:t>
      </w:r>
      <w:r w:rsidR="00A10E8C">
        <w:t xml:space="preserve"> </w:t>
      </w:r>
      <w:r w:rsidR="004507D6">
        <w:t>are</w:t>
      </w:r>
      <w:r w:rsidR="00A10E8C">
        <w:t xml:space="preserve"> problematic</w:t>
      </w:r>
      <w:r w:rsidR="00483D99">
        <w:t>. I</w:t>
      </w:r>
      <w:r w:rsidR="004507D6">
        <w:t xml:space="preserve">ntuitively available </w:t>
      </w:r>
      <w:r w:rsidR="00A10E8C">
        <w:t>indicators</w:t>
      </w:r>
      <w:r w:rsidR="004507D6">
        <w:t>,</w:t>
      </w:r>
      <w:r w:rsidR="00A10E8C">
        <w:t xml:space="preserve"> such as </w:t>
      </w:r>
      <w:r w:rsidR="00483D99">
        <w:t xml:space="preserve">improved </w:t>
      </w:r>
      <w:r w:rsidR="00595961">
        <w:t xml:space="preserve">exam scores </w:t>
      </w:r>
      <w:r w:rsidR="004507D6">
        <w:t>or</w:t>
      </w:r>
      <w:r w:rsidR="00595961">
        <w:t xml:space="preserve"> </w:t>
      </w:r>
      <w:r w:rsidR="00483D99">
        <w:t xml:space="preserve">smaller </w:t>
      </w:r>
      <w:r w:rsidR="00595961">
        <w:t>class size</w:t>
      </w:r>
      <w:r w:rsidR="00A10E8C">
        <w:t>s</w:t>
      </w:r>
      <w:r w:rsidR="004507D6">
        <w:t>,</w:t>
      </w:r>
      <w:r w:rsidR="00A10E8C">
        <w:t xml:space="preserve"> are </w:t>
      </w:r>
      <w:r w:rsidR="00483D99">
        <w:t>o</w:t>
      </w:r>
      <w:r w:rsidR="00A10E8C">
        <w:t xml:space="preserve">ften uncorrelated with </w:t>
      </w:r>
      <w:r w:rsidR="00E47729">
        <w:t xml:space="preserve">actual </w:t>
      </w:r>
      <w:r w:rsidR="00A10E8C">
        <w:t>education quality</w:t>
      </w:r>
      <w:r w:rsidR="00B97CE6">
        <w:t>, unless other factors can be controlled for</w:t>
      </w:r>
      <w:r w:rsidR="00483D99">
        <w:t xml:space="preserve"> </w:t>
      </w:r>
      <w:r w:rsidR="00483D99" w:rsidRPr="00631D76">
        <w:rPr>
          <w:szCs w:val="24"/>
        </w:rPr>
        <w:t>(ABS 2001)</w:t>
      </w:r>
      <w:r w:rsidR="00595961">
        <w:t>.</w:t>
      </w:r>
      <w:r w:rsidR="004507D6" w:rsidRPr="004507D6">
        <w:t xml:space="preserve"> </w:t>
      </w:r>
    </w:p>
    <w:p w14:paraId="2C4EE6A2" w14:textId="3DD7EDC4" w:rsidR="00483D99" w:rsidRDefault="00FC6E90" w:rsidP="00595961">
      <w:pPr>
        <w:pStyle w:val="BodyText"/>
      </w:pPr>
      <w:r>
        <w:t>T</w:t>
      </w:r>
      <w:r w:rsidR="004507D6">
        <w:t>est scores</w:t>
      </w:r>
      <w:r>
        <w:t xml:space="preserve"> in particular </w:t>
      </w:r>
      <w:r w:rsidR="004507D6">
        <w:t>are subject to a range of factors well beyond the control of teachers (such as innate ability, effort and parental influence)</w:t>
      </w:r>
      <w:r>
        <w:t>. Further, many exams</w:t>
      </w:r>
      <w:r w:rsidR="00B97CE6">
        <w:t xml:space="preserve"> </w:t>
      </w:r>
      <w:r w:rsidR="00E47729">
        <w:t>— such as tertiary entrance exams —</w:t>
      </w:r>
      <w:r>
        <w:t xml:space="preserve"> </w:t>
      </w:r>
      <w:r w:rsidR="004507D6">
        <w:t xml:space="preserve">are not intended for comparison across time, only across a </w:t>
      </w:r>
      <w:r w:rsidR="00D77A97">
        <w:t>given</w:t>
      </w:r>
      <w:r w:rsidR="004507D6">
        <w:t xml:space="preserve"> cohort</w:t>
      </w:r>
      <w:r>
        <w:t>, as the content of an exam changes from year to year meaning that changes in average performance may simply be a result of an easier or harder exam that year</w:t>
      </w:r>
      <w:r w:rsidR="004507D6">
        <w:t xml:space="preserve">. </w:t>
      </w:r>
    </w:p>
    <w:p w14:paraId="2F2EEB4C" w14:textId="4A293B41" w:rsidR="00483D99" w:rsidRDefault="004507D6" w:rsidP="00595961">
      <w:pPr>
        <w:pStyle w:val="BodyText"/>
      </w:pPr>
      <w:r>
        <w:t xml:space="preserve">Similarly, </w:t>
      </w:r>
      <w:r w:rsidR="00483D99">
        <w:t xml:space="preserve">by themselves, smaller </w:t>
      </w:r>
      <w:r>
        <w:t>class sizes are an inadequate quality measure</w:t>
      </w:r>
      <w:r w:rsidR="00483D99" w:rsidRPr="00483D99">
        <w:t xml:space="preserve"> </w:t>
      </w:r>
      <w:r w:rsidR="00483D99">
        <w:t xml:space="preserve">because their benefits depend on the age and disadvantage of the child, </w:t>
      </w:r>
      <w:r w:rsidR="000517CF">
        <w:t xml:space="preserve">the </w:t>
      </w:r>
      <w:r w:rsidR="00E47729">
        <w:t>teaching methods</w:t>
      </w:r>
      <w:r w:rsidR="000517CF">
        <w:t xml:space="preserve"> used by teachers</w:t>
      </w:r>
      <w:r w:rsidR="00E47729">
        <w:t>,</w:t>
      </w:r>
      <w:r w:rsidR="000517CF">
        <w:t xml:space="preserve"> and the subject matter</w:t>
      </w:r>
      <w:r w:rsidR="00E47729">
        <w:t xml:space="preserve"> —</w:t>
      </w:r>
      <w:r w:rsidR="000517CF">
        <w:t xml:space="preserve"> </w:t>
      </w:r>
      <w:r w:rsidR="00483D99">
        <w:t>as discussed in the meta</w:t>
      </w:r>
      <w:r w:rsidR="00AC6D60">
        <w:noBreakHyphen/>
      </w:r>
      <w:r w:rsidR="00483D99">
        <w:t xml:space="preserve">analysis of </w:t>
      </w:r>
      <w:r w:rsidR="00E47729" w:rsidRPr="00483D99">
        <w:rPr>
          <w:szCs w:val="24"/>
        </w:rPr>
        <w:t>Whitehurst and Chingos </w:t>
      </w:r>
      <w:r w:rsidR="00E47729" w:rsidRPr="00E47729">
        <w:t>(2011)</w:t>
      </w:r>
      <w:r w:rsidR="00483D99">
        <w:t xml:space="preserve"> and </w:t>
      </w:r>
      <w:r w:rsidR="00E47729" w:rsidRPr="00483D99">
        <w:rPr>
          <w:szCs w:val="24"/>
        </w:rPr>
        <w:t>Zyngier </w:t>
      </w:r>
      <w:r w:rsidR="00E47729" w:rsidRPr="00E47729">
        <w:t>(2014)</w:t>
      </w:r>
      <w:r w:rsidR="00483D99">
        <w:t>. For example, even if the benefits are weak or nonexistent for the ‘average’ student, there is reasonable evidence that smaller classes for disadvantaged children in the first four years of school produce good outcomes when supported by pedagogies that make use of smaller class sizes. Accordingly, evidence of positive, negative or no impacts of class size for students on average is uninformative about policy</w:t>
      </w:r>
      <w:r w:rsidR="00E47729">
        <w:noBreakHyphen/>
        <w:t>relevant</w:t>
      </w:r>
      <w:r w:rsidR="00483D99">
        <w:t xml:space="preserve"> effects for </w:t>
      </w:r>
      <w:r w:rsidR="00E47729">
        <w:t xml:space="preserve">some </w:t>
      </w:r>
      <w:r w:rsidR="00483D99">
        <w:t>sub</w:t>
      </w:r>
      <w:r w:rsidR="00AC6D60">
        <w:noBreakHyphen/>
      </w:r>
      <w:r w:rsidR="00483D99">
        <w:t>groups. In effect, there are multiple markets for which school sizes have relevant impacts.</w:t>
      </w:r>
      <w:r w:rsidR="00654ABA" w:rsidRPr="003F6B1C">
        <w:rPr>
          <w:rStyle w:val="FootnoteReference"/>
        </w:rPr>
        <w:footnoteReference w:id="6"/>
      </w:r>
    </w:p>
    <w:p w14:paraId="0D694B70" w14:textId="7ACFEAB3" w:rsidR="0058318B" w:rsidRDefault="00D95F04" w:rsidP="0058318B">
      <w:pPr>
        <w:pStyle w:val="Heading2"/>
      </w:pPr>
      <w:bookmarkStart w:id="10" w:name="_Toc488923580"/>
      <w:bookmarkStart w:id="11" w:name="_Toc488940674"/>
      <w:r>
        <w:rPr>
          <w:noProof/>
        </w:rPr>
        <w:t>4</w:t>
      </w:r>
      <w:r w:rsidR="00ED1E37">
        <w:tab/>
      </w:r>
      <w:r w:rsidR="004276DB">
        <w:t>From theory into practice</w:t>
      </w:r>
      <w:r w:rsidR="00E03A14">
        <w:t>: existing</w:t>
      </w:r>
      <w:r w:rsidR="0058318B">
        <w:t xml:space="preserve"> </w:t>
      </w:r>
      <w:r w:rsidR="00D77A97">
        <w:t>non</w:t>
      </w:r>
      <w:r w:rsidR="00D77A97">
        <w:noBreakHyphen/>
        <w:t>market sector estimates</w:t>
      </w:r>
      <w:bookmarkEnd w:id="10"/>
      <w:bookmarkEnd w:id="11"/>
    </w:p>
    <w:p w14:paraId="475AEC40" w14:textId="2BEFD15F" w:rsidR="00416195" w:rsidRDefault="00A41034" w:rsidP="00E81FF3">
      <w:pPr>
        <w:pStyle w:val="Heading3"/>
        <w:spacing w:before="280"/>
      </w:pPr>
      <w:r>
        <w:t>Progress i</w:t>
      </w:r>
      <w:r w:rsidR="0058318B">
        <w:t xml:space="preserve">n </w:t>
      </w:r>
      <w:r w:rsidR="00F95FF8">
        <w:t>Australia</w:t>
      </w:r>
    </w:p>
    <w:p w14:paraId="5B29D681" w14:textId="39747733" w:rsidR="00B50468" w:rsidRDefault="00D32672" w:rsidP="00B50468">
      <w:pPr>
        <w:pStyle w:val="BodyText"/>
      </w:pPr>
      <w:r>
        <w:t xml:space="preserve">The ABS has undertaken substantial </w:t>
      </w:r>
      <w:r w:rsidR="00416195">
        <w:t>work on measuring the non</w:t>
      </w:r>
      <w:r w:rsidR="00AC6D60">
        <w:noBreakHyphen/>
      </w:r>
      <w:r w:rsidR="00416195">
        <w:t xml:space="preserve">market sector’s productivity </w:t>
      </w:r>
      <w:r>
        <w:t>over recent years</w:t>
      </w:r>
      <w:r w:rsidR="001F3D8D">
        <w:t>. This is</w:t>
      </w:r>
      <w:r w:rsidR="00416195">
        <w:t xml:space="preserve"> part of a long</w:t>
      </w:r>
      <w:r w:rsidR="00AC6D60">
        <w:noBreakHyphen/>
      </w:r>
      <w:r w:rsidR="00416195">
        <w:t xml:space="preserve">term goal to further develop the national accounts </w:t>
      </w:r>
      <w:r w:rsidR="00A90916">
        <w:t>and</w:t>
      </w:r>
      <w:r w:rsidR="00416195">
        <w:t xml:space="preserve"> create a more reflective and robust measure of the economy. </w:t>
      </w:r>
      <w:r w:rsidR="001F3D8D">
        <w:t xml:space="preserve">The development of productivity estimates </w:t>
      </w:r>
      <w:r>
        <w:t xml:space="preserve">began in the wake of the 1993 SNA, </w:t>
      </w:r>
      <w:r w:rsidR="00E95102">
        <w:t>leading to the publication of</w:t>
      </w:r>
      <w:r w:rsidR="00A90916">
        <w:t xml:space="preserve"> exp</w:t>
      </w:r>
      <w:r w:rsidR="007D6E39">
        <w:t xml:space="preserve">erimental </w:t>
      </w:r>
      <w:r w:rsidR="00E95102">
        <w:t xml:space="preserve">MFP </w:t>
      </w:r>
      <w:r w:rsidR="007D6E39">
        <w:t xml:space="preserve">estimates </w:t>
      </w:r>
      <w:r w:rsidR="00E95102">
        <w:t xml:space="preserve">for </w:t>
      </w:r>
      <w:r w:rsidR="001F3D8D">
        <w:t xml:space="preserve">each of </w:t>
      </w:r>
      <w:r w:rsidR="00F0549C">
        <w:t xml:space="preserve">the </w:t>
      </w:r>
      <w:r w:rsidR="00E95102">
        <w:t xml:space="preserve">12 market sector </w:t>
      </w:r>
      <w:r w:rsidR="007D6E39">
        <w:t>industr</w:t>
      </w:r>
      <w:r w:rsidR="00E95102">
        <w:t>ies</w:t>
      </w:r>
      <w:r w:rsidR="00A90916">
        <w:t xml:space="preserve"> </w:t>
      </w:r>
      <w:r w:rsidR="001F3D8D">
        <w:t>in </w:t>
      </w:r>
      <w:r w:rsidR="00E95102">
        <w:t>2005. These</w:t>
      </w:r>
      <w:r w:rsidR="007D6E39">
        <w:t xml:space="preserve"> </w:t>
      </w:r>
      <w:r w:rsidR="00E95102">
        <w:t xml:space="preserve">MFP estimates </w:t>
      </w:r>
      <w:r w:rsidR="00B666F8">
        <w:t xml:space="preserve">are now </w:t>
      </w:r>
      <w:r w:rsidR="007D6E39">
        <w:t xml:space="preserve">published alongside the </w:t>
      </w:r>
      <w:r w:rsidR="00A41034">
        <w:t xml:space="preserve">other </w:t>
      </w:r>
      <w:r w:rsidR="007D6E39">
        <w:t>national accounts</w:t>
      </w:r>
      <w:r w:rsidR="00E95102">
        <w:t xml:space="preserve"> </w:t>
      </w:r>
      <w:r w:rsidR="00A41034">
        <w:t xml:space="preserve">data </w:t>
      </w:r>
      <w:r w:rsidR="00E95102">
        <w:t xml:space="preserve">and since 2010 have been expanded to include four additional industries — rental, hiring and real estate services, professional, scientific and technical services, administrative and support services, and other services — following the introduction of the new industry classifications in </w:t>
      </w:r>
      <w:r w:rsidR="00E95102" w:rsidRPr="00C3299E">
        <w:t>ANZSIC</w:t>
      </w:r>
      <w:r w:rsidR="00E95102">
        <w:t xml:space="preserve"> 2006 </w:t>
      </w:r>
      <w:r w:rsidR="003870F8" w:rsidRPr="003870F8">
        <w:rPr>
          <w:szCs w:val="24"/>
        </w:rPr>
        <w:t>(ABS 2007, 2010, 2016b; Zheng 2005)</w:t>
      </w:r>
      <w:r w:rsidR="00A90916">
        <w:t xml:space="preserve">. </w:t>
      </w:r>
    </w:p>
    <w:p w14:paraId="42762EC4" w14:textId="5A6B20E7" w:rsidR="00A175AD" w:rsidRDefault="00A175AD" w:rsidP="00A175AD">
      <w:pPr>
        <w:pStyle w:val="Heading4"/>
      </w:pPr>
      <w:r>
        <w:t>Direct non</w:t>
      </w:r>
      <w:r w:rsidR="00AC6D60">
        <w:noBreakHyphen/>
      </w:r>
      <w:r>
        <w:t>market output estimates</w:t>
      </w:r>
    </w:p>
    <w:p w14:paraId="45BF042A" w14:textId="66A2AE21" w:rsidR="006A565C" w:rsidRDefault="005357E2" w:rsidP="00BC48FE">
      <w:pPr>
        <w:pStyle w:val="BodyText"/>
      </w:pPr>
      <w:r>
        <w:t>For the non</w:t>
      </w:r>
      <w:r w:rsidR="00AC6D60">
        <w:noBreakHyphen/>
      </w:r>
      <w:r>
        <w:t xml:space="preserve">market </w:t>
      </w:r>
      <w:r w:rsidRPr="005357E2">
        <w:t xml:space="preserve">sector, the ABS </w:t>
      </w:r>
      <w:r>
        <w:t>started collecting and aggregating</w:t>
      </w:r>
      <w:r w:rsidR="005B76EE">
        <w:t xml:space="preserve"> direct</w:t>
      </w:r>
      <w:r w:rsidRPr="005357E2">
        <w:t xml:space="preserve"> volume measures </w:t>
      </w:r>
      <w:r w:rsidR="00F0549C">
        <w:t xml:space="preserve">of output </w:t>
      </w:r>
      <w:r w:rsidRPr="005357E2">
        <w:t xml:space="preserve">for health and education </w:t>
      </w:r>
      <w:r w:rsidR="005B76EE">
        <w:t>i</w:t>
      </w:r>
      <w:r w:rsidR="005B76EE" w:rsidRPr="005357E2">
        <w:t xml:space="preserve">n 2001 </w:t>
      </w:r>
      <w:r w:rsidRPr="005357E2">
        <w:t>(</w:t>
      </w:r>
      <w:r w:rsidR="005B76EE">
        <w:t xml:space="preserve">with </w:t>
      </w:r>
      <w:r w:rsidR="00A41034">
        <w:t>a time series</w:t>
      </w:r>
      <w:r w:rsidR="005B76EE">
        <w:t xml:space="preserve"> </w:t>
      </w:r>
      <w:r w:rsidR="00A41034">
        <w:t>back</w:t>
      </w:r>
      <w:r w:rsidRPr="005357E2">
        <w:t xml:space="preserve"> to 1993</w:t>
      </w:r>
      <w:r w:rsidR="0071074A">
        <w:noBreakHyphen/>
      </w:r>
      <w:r w:rsidR="00483D99">
        <w:t>94</w:t>
      </w:r>
      <w:r w:rsidRPr="005357E2">
        <w:t>)</w:t>
      </w:r>
      <w:r w:rsidR="005B76EE">
        <w:t xml:space="preserve">. Although these direct volume measures are unpublished and not used as a direct output measure for any productivity analysis (due to their lack of adjustment for quality changes), they are used to </w:t>
      </w:r>
      <w:r w:rsidR="009C3AA0">
        <w:t>determine growth in volume for</w:t>
      </w:r>
      <w:r w:rsidR="005B76EE">
        <w:t xml:space="preserve"> the</w:t>
      </w:r>
      <w:r w:rsidR="006A565C">
        <w:t xml:space="preserve"> </w:t>
      </w:r>
      <w:r w:rsidR="00A175AD">
        <w:t>health and education</w:t>
      </w:r>
      <w:r w:rsidR="006A565C">
        <w:t xml:space="preserve"> industries</w:t>
      </w:r>
      <w:r w:rsidR="00BC48FE" w:rsidRPr="005357E2">
        <w:t xml:space="preserve">, </w:t>
      </w:r>
      <w:r w:rsidR="006A565C">
        <w:t>helping to refine</w:t>
      </w:r>
      <w:r w:rsidR="00BC48FE" w:rsidRPr="005357E2">
        <w:t xml:space="preserve"> the ‘input</w:t>
      </w:r>
      <w:r w:rsidR="000517CF">
        <w:t> </w:t>
      </w:r>
      <w:r w:rsidR="00BC48FE" w:rsidRPr="005357E2">
        <w:t>=</w:t>
      </w:r>
      <w:r w:rsidR="000517CF">
        <w:t> </w:t>
      </w:r>
      <w:r w:rsidR="00BC48FE" w:rsidRPr="005357E2">
        <w:t>output’ methodology</w:t>
      </w:r>
      <w:r w:rsidR="007E5731">
        <w:t>.</w:t>
      </w:r>
      <w:r w:rsidR="00A41034">
        <w:t xml:space="preserve"> </w:t>
      </w:r>
    </w:p>
    <w:p w14:paraId="7B7CD375" w14:textId="65DFCEEF" w:rsidR="007D772B" w:rsidRDefault="00361743" w:rsidP="007D772B">
      <w:pPr>
        <w:pStyle w:val="BodyText"/>
      </w:pPr>
      <w:r>
        <w:t>T</w:t>
      </w:r>
      <w:r w:rsidR="007E5731">
        <w:t xml:space="preserve">he </w:t>
      </w:r>
      <w:r>
        <w:t xml:space="preserve">direct </w:t>
      </w:r>
      <w:r w:rsidR="0044157D">
        <w:t>output</w:t>
      </w:r>
      <w:r>
        <w:t xml:space="preserve"> measures of </w:t>
      </w:r>
      <w:r w:rsidR="003432F1">
        <w:t>health care</w:t>
      </w:r>
      <w:r w:rsidR="007E5731">
        <w:t xml:space="preserve"> </w:t>
      </w:r>
      <w:r>
        <w:t xml:space="preserve">come from a range of sources to cover the entire </w:t>
      </w:r>
      <w:r w:rsidR="003432F1">
        <w:t>health care</w:t>
      </w:r>
      <w:r>
        <w:t xml:space="preserve"> </w:t>
      </w:r>
      <w:r w:rsidR="00A41034">
        <w:t xml:space="preserve">portion of the </w:t>
      </w:r>
      <w:r w:rsidR="003432F1">
        <w:t>health care</w:t>
      </w:r>
      <w:r w:rsidR="00A41034">
        <w:t xml:space="preserve"> and social </w:t>
      </w:r>
      <w:r w:rsidR="00EC03AF">
        <w:t>services</w:t>
      </w:r>
      <w:r w:rsidR="00A41034">
        <w:t xml:space="preserve"> industry</w:t>
      </w:r>
      <w:r w:rsidR="0071074A">
        <w:t xml:space="preserve"> (but there are </w:t>
      </w:r>
      <w:r w:rsidR="00A41034">
        <w:t>n</w:t>
      </w:r>
      <w:r>
        <w:t xml:space="preserve">o output </w:t>
      </w:r>
      <w:r w:rsidR="00A41034">
        <w:t>measures</w:t>
      </w:r>
      <w:r>
        <w:t xml:space="preserve"> for the social </w:t>
      </w:r>
      <w:r w:rsidR="00EC03AF">
        <w:t>services</w:t>
      </w:r>
      <w:r>
        <w:t xml:space="preserve"> </w:t>
      </w:r>
      <w:r w:rsidR="00A41034">
        <w:t>portion</w:t>
      </w:r>
      <w:r>
        <w:t>, which remain</w:t>
      </w:r>
      <w:r w:rsidR="007D772B">
        <w:t>s</w:t>
      </w:r>
      <w:r w:rsidR="00A41034">
        <w:t xml:space="preserve"> input</w:t>
      </w:r>
      <w:r w:rsidR="00AC6D60">
        <w:noBreakHyphen/>
      </w:r>
      <w:r w:rsidR="00A41034">
        <w:t>based</w:t>
      </w:r>
      <w:r w:rsidR="0071074A">
        <w:t>)</w:t>
      </w:r>
      <w:r w:rsidR="00A41034">
        <w:t xml:space="preserve">. These </w:t>
      </w:r>
      <w:r w:rsidR="009164FD">
        <w:t xml:space="preserve">(unpublished) </w:t>
      </w:r>
      <w:r w:rsidR="00A41034">
        <w:t>measures include</w:t>
      </w:r>
      <w:r w:rsidR="007D772B">
        <w:t>:</w:t>
      </w:r>
    </w:p>
    <w:p w14:paraId="1EED5774" w14:textId="1978F298" w:rsidR="007D772B" w:rsidRDefault="00361743" w:rsidP="007D772B">
      <w:pPr>
        <w:pStyle w:val="ListBullet"/>
      </w:pPr>
      <w:r w:rsidRPr="005357E2">
        <w:t>a</w:t>
      </w:r>
      <w:r w:rsidR="007D772B">
        <w:t>n average</w:t>
      </w:r>
      <w:r w:rsidR="007D772B">
        <w:noBreakHyphen/>
        <w:t>cost</w:t>
      </w:r>
      <w:r w:rsidR="007D772B">
        <w:noBreakHyphen/>
      </w:r>
      <w:r w:rsidRPr="005357E2">
        <w:t xml:space="preserve">weighted index of </w:t>
      </w:r>
      <w:r>
        <w:t>the number of episodes (separations</w:t>
      </w:r>
      <w:r w:rsidR="007D772B">
        <w:t xml:space="preserve">) for </w:t>
      </w:r>
      <w:r w:rsidR="007D772B" w:rsidRPr="007D772B">
        <w:rPr>
          <w:b/>
        </w:rPr>
        <w:t>hospitals</w:t>
      </w:r>
      <w:r w:rsidR="007D772B">
        <w:t>,</w:t>
      </w:r>
      <w:r>
        <w:t xml:space="preserve"> </w:t>
      </w:r>
      <w:r w:rsidR="007D772B">
        <w:t>classified by</w:t>
      </w:r>
      <w:r w:rsidRPr="005357E2">
        <w:t xml:space="preserve"> </w:t>
      </w:r>
      <w:r>
        <w:t xml:space="preserve">over </w:t>
      </w:r>
      <w:r w:rsidRPr="005357E2">
        <w:t xml:space="preserve">660 different </w:t>
      </w:r>
      <w:r>
        <w:t>Australian National Diagnostic Related Groups</w:t>
      </w:r>
      <w:r w:rsidR="007D772B">
        <w:t>, but not including outpatient episodes provided by hospitals (due to data limitations)</w:t>
      </w:r>
    </w:p>
    <w:p w14:paraId="567C924D" w14:textId="37C3539A" w:rsidR="007D772B" w:rsidRDefault="007D772B" w:rsidP="007D772B">
      <w:pPr>
        <w:pStyle w:val="ListBullet"/>
      </w:pPr>
      <w:r>
        <w:t>a cost</w:t>
      </w:r>
      <w:r>
        <w:noBreakHyphen/>
        <w:t>weighted</w:t>
      </w:r>
      <w:r w:rsidR="003D41E0">
        <w:t xml:space="preserve"> index of the number of patient</w:t>
      </w:r>
      <w:r w:rsidR="003D41E0">
        <w:noBreakHyphen/>
      </w:r>
      <w:r>
        <w:t>days categorised by level of care is used</w:t>
      </w:r>
      <w:r w:rsidRPr="007D772B">
        <w:t xml:space="preserve"> </w:t>
      </w:r>
      <w:r>
        <w:t xml:space="preserve">for </w:t>
      </w:r>
      <w:r w:rsidRPr="007D772B">
        <w:rPr>
          <w:b/>
        </w:rPr>
        <w:t>nursing homes</w:t>
      </w:r>
    </w:p>
    <w:p w14:paraId="3EF3BB31" w14:textId="05B10EC3" w:rsidR="007D772B" w:rsidRDefault="007D772B" w:rsidP="007D772B">
      <w:pPr>
        <w:pStyle w:val="ListBullet"/>
      </w:pPr>
      <w:r>
        <w:t>a fee</w:t>
      </w:r>
      <w:r w:rsidR="00AC6D60">
        <w:noBreakHyphen/>
      </w:r>
      <w:r>
        <w:t xml:space="preserve">weighted index of the numbers of attendances </w:t>
      </w:r>
      <w:r w:rsidR="00F165AD">
        <w:t xml:space="preserve">for </w:t>
      </w:r>
      <w:r w:rsidR="00F165AD" w:rsidRPr="007D772B">
        <w:rPr>
          <w:b/>
        </w:rPr>
        <w:t>GPs and medical specialists</w:t>
      </w:r>
      <w:r w:rsidR="00F165AD">
        <w:rPr>
          <w:b/>
        </w:rPr>
        <w:t xml:space="preserve"> </w:t>
      </w:r>
      <w:r w:rsidR="00F165AD">
        <w:t>(</w:t>
      </w:r>
      <w:r w:rsidR="005174BD">
        <w:t>for example,</w:t>
      </w:r>
      <w:r w:rsidR="00F165AD">
        <w:t xml:space="preserve"> in obstetrics, anaesthetics, diagnostic imaging and surgical operations)</w:t>
      </w:r>
    </w:p>
    <w:p w14:paraId="6AA3C726" w14:textId="482C5CEB" w:rsidR="007D772B" w:rsidRDefault="007D772B" w:rsidP="007D772B">
      <w:pPr>
        <w:pStyle w:val="ListBullet"/>
      </w:pPr>
      <w:r>
        <w:t>a fee</w:t>
      </w:r>
      <w:r w:rsidR="00AC6D60">
        <w:noBreakHyphen/>
      </w:r>
      <w:r>
        <w:t>weighted index of the number of tests conducted is used for</w:t>
      </w:r>
      <w:r w:rsidRPr="007D772B">
        <w:t xml:space="preserve"> </w:t>
      </w:r>
      <w:r w:rsidRPr="007D772B">
        <w:rPr>
          <w:b/>
        </w:rPr>
        <w:t>pathologists</w:t>
      </w:r>
    </w:p>
    <w:p w14:paraId="7F849FA7" w14:textId="2DD9CA02" w:rsidR="00F165AD" w:rsidRDefault="00F165AD" w:rsidP="00BC48FE">
      <w:pPr>
        <w:pStyle w:val="ListBullet"/>
      </w:pPr>
      <w:r>
        <w:t xml:space="preserve">administrative data deflated by relevant price indexes are used for </w:t>
      </w:r>
      <w:r w:rsidR="007D772B" w:rsidRPr="00F165AD">
        <w:rPr>
          <w:b/>
        </w:rPr>
        <w:t>dental, optometry, community health, paramedical, veterinary and ambulance services</w:t>
      </w:r>
      <w:r w:rsidR="003D41E0">
        <w:t>.</w:t>
      </w:r>
    </w:p>
    <w:p w14:paraId="4F87B55A" w14:textId="54A78DBF" w:rsidR="008B4D05" w:rsidRDefault="0044157D" w:rsidP="008B4D05">
      <w:pPr>
        <w:pStyle w:val="BodyText"/>
      </w:pPr>
      <w:r>
        <w:t>Output</w:t>
      </w:r>
      <w:r w:rsidR="00361743" w:rsidRPr="005357E2">
        <w:t xml:space="preserve"> estimates for education </w:t>
      </w:r>
      <w:r w:rsidR="00A41034" w:rsidRPr="00A41034">
        <w:t>reflect the different aspects of the education sector</w:t>
      </w:r>
      <w:r w:rsidR="00A41034">
        <w:t>. Estimates</w:t>
      </w:r>
      <w:r w:rsidR="00A41034" w:rsidRPr="00A41034">
        <w:t xml:space="preserve"> </w:t>
      </w:r>
      <w:r w:rsidR="00B43DBE">
        <w:t>are</w:t>
      </w:r>
      <w:r w:rsidR="00361743" w:rsidRPr="005357E2">
        <w:t xml:space="preserve"> mainly based on annual </w:t>
      </w:r>
      <w:r w:rsidR="00B43DBE">
        <w:t>full</w:t>
      </w:r>
      <w:r w:rsidR="00AC6D60">
        <w:noBreakHyphen/>
      </w:r>
      <w:r w:rsidR="00B43DBE">
        <w:t>time equivalent</w:t>
      </w:r>
      <w:r w:rsidR="00B43DBE" w:rsidRPr="005357E2">
        <w:t xml:space="preserve"> </w:t>
      </w:r>
      <w:r w:rsidR="00361743" w:rsidRPr="005357E2">
        <w:t xml:space="preserve">student </w:t>
      </w:r>
      <w:r w:rsidR="00B43DBE">
        <w:t>enrolments</w:t>
      </w:r>
      <w:r w:rsidR="00361743" w:rsidRPr="005357E2">
        <w:t xml:space="preserve">, </w:t>
      </w:r>
      <w:r w:rsidR="00B43DBE">
        <w:t>weighted together by</w:t>
      </w:r>
      <w:r w:rsidR="00392FDF">
        <w:t xml:space="preserve"> the cost of service provision, while u</w:t>
      </w:r>
      <w:r w:rsidR="008B4D05">
        <w:t>niversity research is estimated by weighting together data for the number of publications a</w:t>
      </w:r>
      <w:r w:rsidR="00392FDF">
        <w:t>nd student research completions.</w:t>
      </w:r>
      <w:r w:rsidR="008B4D05">
        <w:t xml:space="preserve"> </w:t>
      </w:r>
      <w:r w:rsidR="00392FDF">
        <w:t>Due to data limitations, o</w:t>
      </w:r>
      <w:r w:rsidR="008B4D05">
        <w:t>utput measures for pre</w:t>
      </w:r>
      <w:r w:rsidR="00AC6D60">
        <w:noBreakHyphen/>
      </w:r>
      <w:r w:rsidR="008B4D05">
        <w:t xml:space="preserve">schools and </w:t>
      </w:r>
      <w:r w:rsidR="000517CF">
        <w:t>‘</w:t>
      </w:r>
      <w:r w:rsidR="008B4D05">
        <w:t>other</w:t>
      </w:r>
      <w:r w:rsidR="000517CF">
        <w:t>’</w:t>
      </w:r>
      <w:r w:rsidR="008B4D05">
        <w:t xml:space="preserve"> education services are still derived using </w:t>
      </w:r>
      <w:r w:rsidR="00392FDF">
        <w:t>the traditional input</w:t>
      </w:r>
      <w:r w:rsidR="00AC6D60">
        <w:noBreakHyphen/>
      </w:r>
      <w:r w:rsidR="00392FDF">
        <w:t>based methodology</w:t>
      </w:r>
      <w:r w:rsidR="008B4D05">
        <w:t>.</w:t>
      </w:r>
    </w:p>
    <w:p w14:paraId="2BA74838" w14:textId="470EEC95" w:rsidR="0044157D" w:rsidRDefault="0044157D" w:rsidP="0044157D">
      <w:pPr>
        <w:pStyle w:val="BodyText"/>
      </w:pPr>
      <w:r w:rsidRPr="0044157D">
        <w:t xml:space="preserve">The effect of </w:t>
      </w:r>
      <w:r w:rsidR="00392FDF">
        <w:t>u</w:t>
      </w:r>
      <w:r w:rsidR="00392FDF" w:rsidRPr="00392FDF">
        <w:t xml:space="preserve">sing direct output measures compared with </w:t>
      </w:r>
      <w:r w:rsidR="00392FDF">
        <w:t>input</w:t>
      </w:r>
      <w:r w:rsidR="00392FDF">
        <w:noBreakHyphen/>
        <w:t>based</w:t>
      </w:r>
      <w:r w:rsidR="00392FDF" w:rsidRPr="00392FDF">
        <w:t xml:space="preserve"> method</w:t>
      </w:r>
      <w:r w:rsidR="00262C8A">
        <w:t>s</w:t>
      </w:r>
      <w:r w:rsidR="00392FDF" w:rsidRPr="00392FDF">
        <w:t xml:space="preserve"> </w:t>
      </w:r>
      <w:r>
        <w:t>was</w:t>
      </w:r>
      <w:r w:rsidR="00392FDF">
        <w:t xml:space="preserve"> a sizable </w:t>
      </w:r>
      <w:r w:rsidR="00E03A14">
        <w:t>change</w:t>
      </w:r>
      <w:r>
        <w:t xml:space="preserve"> </w:t>
      </w:r>
      <w:r w:rsidR="00392FDF" w:rsidRPr="00392FDF">
        <w:t xml:space="preserve">in the growth </w:t>
      </w:r>
      <w:r w:rsidR="00392FDF">
        <w:t>of</w:t>
      </w:r>
      <w:r w:rsidR="00392FDF" w:rsidRPr="00392FDF">
        <w:t xml:space="preserve"> measured output</w:t>
      </w:r>
      <w:r w:rsidR="00392FDF">
        <w:t xml:space="preserve"> for</w:t>
      </w:r>
      <w:r>
        <w:t xml:space="preserve"> the industries</w:t>
      </w:r>
      <w:r w:rsidR="00B633AE">
        <w:t xml:space="preserve"> (figure</w:t>
      </w:r>
      <w:r w:rsidR="00AC6D60">
        <w:t> </w:t>
      </w:r>
      <w:r w:rsidR="00B633AE">
        <w:t>4)</w:t>
      </w:r>
      <w:r>
        <w:t xml:space="preserve">. While </w:t>
      </w:r>
      <w:r w:rsidRPr="0044157D">
        <w:t>the</w:t>
      </w:r>
      <w:r>
        <w:t xml:space="preserve"> </w:t>
      </w:r>
      <w:r w:rsidRPr="0044157D">
        <w:t xml:space="preserve">gross value added of </w:t>
      </w:r>
      <w:r>
        <w:t xml:space="preserve">the </w:t>
      </w:r>
      <w:r w:rsidR="003432F1">
        <w:t>health care</w:t>
      </w:r>
      <w:r>
        <w:t xml:space="preserve"> and social </w:t>
      </w:r>
      <w:r w:rsidR="00EC03AF">
        <w:t>services</w:t>
      </w:r>
      <w:r>
        <w:t xml:space="preserve"> </w:t>
      </w:r>
      <w:r w:rsidR="000442A2">
        <w:t>industry</w:t>
      </w:r>
      <w:r>
        <w:t xml:space="preserve"> had grown by </w:t>
      </w:r>
      <w:r w:rsidR="007D2459">
        <w:t xml:space="preserve">an average of </w:t>
      </w:r>
      <w:r>
        <w:t>1.6 per cent per annum</w:t>
      </w:r>
      <w:r w:rsidRPr="0044157D">
        <w:t xml:space="preserve"> between </w:t>
      </w:r>
      <w:r>
        <w:t>1993</w:t>
      </w:r>
      <w:r w:rsidR="00E13F4C">
        <w:noBreakHyphen/>
      </w:r>
      <w:r w:rsidRPr="0044157D">
        <w:t xml:space="preserve">94 </w:t>
      </w:r>
      <w:r>
        <w:t>and</w:t>
      </w:r>
      <w:r w:rsidRPr="0044157D">
        <w:t xml:space="preserve"> 1999</w:t>
      </w:r>
      <w:r w:rsidR="00AC6D60">
        <w:t>–</w:t>
      </w:r>
      <w:r w:rsidRPr="0044157D">
        <w:t>2000</w:t>
      </w:r>
      <w:r>
        <w:t xml:space="preserve"> </w:t>
      </w:r>
      <w:r w:rsidRPr="0044157D">
        <w:t xml:space="preserve">under the </w:t>
      </w:r>
      <w:r>
        <w:t>input</w:t>
      </w:r>
      <w:r w:rsidR="00AC6D60">
        <w:noBreakHyphen/>
      </w:r>
      <w:r>
        <w:t>based</w:t>
      </w:r>
      <w:r w:rsidRPr="0044157D">
        <w:t xml:space="preserve"> method</w:t>
      </w:r>
      <w:r>
        <w:t xml:space="preserve">, this was revised to a much higher growth rate of </w:t>
      </w:r>
      <w:r w:rsidRPr="0044157D">
        <w:t>4.0</w:t>
      </w:r>
      <w:r>
        <w:t xml:space="preserve"> per cent </w:t>
      </w:r>
      <w:r w:rsidR="007D2459">
        <w:t>after the</w:t>
      </w:r>
      <w:r>
        <w:t xml:space="preserve"> changes in output measure</w:t>
      </w:r>
      <w:r w:rsidR="007D2459">
        <w:t>ment</w:t>
      </w:r>
      <w:r w:rsidRPr="0044157D">
        <w:t>.</w:t>
      </w:r>
      <w:r>
        <w:t xml:space="preserve"> Similarly, the growth </w:t>
      </w:r>
      <w:r w:rsidR="007D2459">
        <w:t xml:space="preserve">rate </w:t>
      </w:r>
      <w:r>
        <w:t>of gross value added in the education sector between 1993</w:t>
      </w:r>
      <w:r w:rsidR="00E13F4C">
        <w:noBreakHyphen/>
      </w:r>
      <w:r>
        <w:t>94 and 1999</w:t>
      </w:r>
      <w:r w:rsidR="00AC6D60">
        <w:t>–</w:t>
      </w:r>
      <w:r>
        <w:t>2000 increased modestly wit</w:t>
      </w:r>
      <w:r w:rsidR="00455D9C">
        <w:t>h the new methodology, from 1.5 </w:t>
      </w:r>
      <w:r>
        <w:t>per cent to 1.9 per cent per annum</w:t>
      </w:r>
      <w:r w:rsidR="00CA4250">
        <w:t xml:space="preserve"> </w:t>
      </w:r>
      <w:r w:rsidR="00CA4250" w:rsidRPr="006A565C">
        <w:rPr>
          <w:szCs w:val="24"/>
        </w:rPr>
        <w:t>(ABS 2001; Douglas 2006)</w:t>
      </w:r>
      <w:r>
        <w:t>.</w:t>
      </w:r>
    </w:p>
    <w:p w14:paraId="6F624ED8" w14:textId="1623A608" w:rsidR="008B4D05" w:rsidRDefault="008B4D05" w:rsidP="007A7AD9">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B4D05" w14:paraId="7BF0A654" w14:textId="77777777" w:rsidTr="007A7AD9">
        <w:trPr>
          <w:tblHeader/>
        </w:trPr>
        <w:tc>
          <w:tcPr>
            <w:tcW w:w="8771" w:type="dxa"/>
            <w:tcBorders>
              <w:top w:val="single" w:sz="6" w:space="0" w:color="78A22F"/>
              <w:left w:val="nil"/>
              <w:bottom w:val="nil"/>
              <w:right w:val="nil"/>
            </w:tcBorders>
            <w:shd w:val="clear" w:color="auto" w:fill="auto"/>
          </w:tcPr>
          <w:p w14:paraId="29779BB9" w14:textId="5F468C2D" w:rsidR="008B4D05" w:rsidRDefault="008B4D05" w:rsidP="007A7AD9">
            <w:pPr>
              <w:pStyle w:val="FigureTitle"/>
            </w:pPr>
            <w:r w:rsidRPr="00784A05">
              <w:rPr>
                <w:b w:val="0"/>
              </w:rPr>
              <w:t xml:space="preserve">Figure </w:t>
            </w:r>
            <w:r w:rsidR="00D95F04">
              <w:rPr>
                <w:b w:val="0"/>
                <w:noProof/>
              </w:rPr>
              <w:t>4</w:t>
            </w:r>
            <w:r>
              <w:tab/>
            </w:r>
            <w:r w:rsidR="00BD65A0">
              <w:t>Comparator indexes of GVA for health and education sectors</w:t>
            </w:r>
          </w:p>
          <w:p w14:paraId="6C9DC738" w14:textId="669A9894" w:rsidR="008B4D05" w:rsidRPr="00176D3F" w:rsidRDefault="00BD65A0" w:rsidP="007A7AD9">
            <w:pPr>
              <w:pStyle w:val="Subtitle"/>
            </w:pPr>
            <w:r>
              <w:t>1998</w:t>
            </w:r>
            <w:r w:rsidR="00E13F4C">
              <w:noBreakHyphen/>
            </w:r>
            <w:r>
              <w:t>99 = 100</w:t>
            </w:r>
          </w:p>
        </w:tc>
      </w:tr>
      <w:tr w:rsidR="008B4D05" w14:paraId="3CF3E380" w14:textId="77777777" w:rsidTr="007A7AD9">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4252"/>
              <w:gridCol w:w="4252"/>
            </w:tblGrid>
            <w:tr w:rsidR="000E126A" w:rsidRPr="00B1465D" w14:paraId="5F34F11E" w14:textId="3486A1CC" w:rsidTr="0033080B">
              <w:trPr>
                <w:tblHeader/>
                <w:jc w:val="center"/>
              </w:trPr>
              <w:tc>
                <w:tcPr>
                  <w:tcW w:w="4252" w:type="dxa"/>
                  <w:tcBorders>
                    <w:top w:val="nil"/>
                    <w:bottom w:val="nil"/>
                  </w:tcBorders>
                </w:tcPr>
                <w:p w14:paraId="39FDF88C" w14:textId="69237631" w:rsidR="000E126A" w:rsidRDefault="000E126A" w:rsidP="007A7AD9">
                  <w:pPr>
                    <w:pStyle w:val="Figure"/>
                    <w:spacing w:before="60" w:after="60"/>
                    <w:rPr>
                      <w:rFonts w:ascii="Arial" w:hAnsi="Arial" w:cs="Arial"/>
                      <w:sz w:val="18"/>
                      <w:szCs w:val="18"/>
                    </w:rPr>
                  </w:pPr>
                  <w:r>
                    <w:rPr>
                      <w:rFonts w:ascii="Arial" w:hAnsi="Arial" w:cs="Arial"/>
                      <w:sz w:val="18"/>
                      <w:szCs w:val="18"/>
                    </w:rPr>
                    <w:t>Health and community services</w:t>
                  </w:r>
                </w:p>
              </w:tc>
              <w:tc>
                <w:tcPr>
                  <w:tcW w:w="4252" w:type="dxa"/>
                  <w:tcBorders>
                    <w:top w:val="nil"/>
                    <w:bottom w:val="nil"/>
                  </w:tcBorders>
                </w:tcPr>
                <w:p w14:paraId="2BF9D744" w14:textId="039F3543" w:rsidR="000E126A" w:rsidRDefault="000E126A" w:rsidP="007A7AD9">
                  <w:pPr>
                    <w:pStyle w:val="Figure"/>
                    <w:spacing w:before="60" w:after="60"/>
                    <w:rPr>
                      <w:rFonts w:ascii="Arial" w:hAnsi="Arial" w:cs="Arial"/>
                      <w:sz w:val="18"/>
                      <w:szCs w:val="18"/>
                    </w:rPr>
                  </w:pPr>
                  <w:r>
                    <w:rPr>
                      <w:rFonts w:ascii="Arial" w:hAnsi="Arial" w:cs="Arial"/>
                      <w:sz w:val="18"/>
                      <w:szCs w:val="18"/>
                    </w:rPr>
                    <w:t>Education services</w:t>
                  </w:r>
                </w:p>
              </w:tc>
            </w:tr>
            <w:tr w:rsidR="008B4D05" w:rsidRPr="00B1465D" w14:paraId="1107DD52" w14:textId="77777777" w:rsidTr="000E126A">
              <w:trPr>
                <w:tblHeader/>
                <w:jc w:val="center"/>
              </w:trPr>
              <w:tc>
                <w:tcPr>
                  <w:tcW w:w="8504" w:type="dxa"/>
                  <w:gridSpan w:val="2"/>
                  <w:tcBorders>
                    <w:top w:val="nil"/>
                    <w:bottom w:val="nil"/>
                  </w:tcBorders>
                </w:tcPr>
                <w:p w14:paraId="018FF973" w14:textId="52CBE4EC" w:rsidR="008B4D05" w:rsidRDefault="000E126A" w:rsidP="007A7AD9">
                  <w:pPr>
                    <w:pStyle w:val="Figure"/>
                    <w:spacing w:before="60" w:after="60"/>
                    <w:rPr>
                      <w:rFonts w:ascii="Arial" w:hAnsi="Arial" w:cs="Arial"/>
                      <w:sz w:val="18"/>
                      <w:szCs w:val="18"/>
                    </w:rPr>
                  </w:pPr>
                  <w:r>
                    <w:rPr>
                      <w:noProof/>
                    </w:rPr>
                    <w:drawing>
                      <wp:inline distT="0" distB="0" distL="0" distR="0" wp14:anchorId="5F60F95D" wp14:editId="6A55358D">
                        <wp:extent cx="2590800" cy="2486025"/>
                        <wp:effectExtent l="0" t="0" r="0" b="0"/>
                        <wp:docPr id="4" name="Chart 4" descr="There are two charts shown in this figure. The first relates to a new and old method for measuring output in health and community services. It shows that growth rates using the new method have been far greater than the old. The second chart relates to the same measures for education, and shows that the growth rates are hardly affected by the different methods."/>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rPr>
                    <w:t xml:space="preserve"> </w:t>
                  </w:r>
                  <w:r>
                    <w:rPr>
                      <w:noProof/>
                    </w:rPr>
                    <w:drawing>
                      <wp:inline distT="0" distB="0" distL="0" distR="0" wp14:anchorId="6B03C13B" wp14:editId="7F293515">
                        <wp:extent cx="2619375" cy="2543175"/>
                        <wp:effectExtent l="0" t="0" r="0" b="0"/>
                        <wp:docPr id="6" name="Chart 6" descr="There are two charts shown in this figure. The first relates to a new and old method for measuring output in health and community services. It shows that growth rates using the new method have been far greater than the old. The second chart relates to the same measures for education, and shows that the growth rates are hardly affected by the different methods."/>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A29CF70" w14:textId="5130167E" w:rsidR="00BD65A0" w:rsidRPr="00B1465D" w:rsidRDefault="000E126A" w:rsidP="007A7AD9">
                  <w:pPr>
                    <w:pStyle w:val="Figure"/>
                    <w:spacing w:before="60" w:after="60"/>
                    <w:rPr>
                      <w:rFonts w:ascii="Arial" w:hAnsi="Arial" w:cs="Arial"/>
                      <w:sz w:val="18"/>
                      <w:szCs w:val="18"/>
                    </w:rPr>
                  </w:pPr>
                  <w:r>
                    <w:rPr>
                      <w:noProof/>
                    </w:rPr>
                    <w:drawing>
                      <wp:inline distT="0" distB="0" distL="0" distR="0" wp14:anchorId="3CDBBE2F" wp14:editId="61F89597">
                        <wp:extent cx="2964180" cy="281941"/>
                        <wp:effectExtent l="0" t="0" r="7620" b="3810"/>
                        <wp:docPr id="10" name="Picture 3" descr="Legend: Green line means New output method and blue line means existing input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8"/>
                                <a:srcRect l="4843" t="60202" r="85027" b="37229"/>
                                <a:stretch/>
                              </pic:blipFill>
                              <pic:spPr>
                                <a:xfrm>
                                  <a:off x="0" y="0"/>
                                  <a:ext cx="2964180" cy="281941"/>
                                </a:xfrm>
                                <a:prstGeom prst="rect">
                                  <a:avLst/>
                                </a:prstGeom>
                              </pic:spPr>
                            </pic:pic>
                          </a:graphicData>
                        </a:graphic>
                      </wp:inline>
                    </w:drawing>
                  </w:r>
                </w:p>
              </w:tc>
            </w:tr>
          </w:tbl>
          <w:p w14:paraId="75C26043" w14:textId="77777777" w:rsidR="008B4D05" w:rsidRDefault="008B4D05" w:rsidP="007A7AD9">
            <w:pPr>
              <w:pStyle w:val="Figure"/>
            </w:pPr>
          </w:p>
        </w:tc>
      </w:tr>
      <w:tr w:rsidR="008B4D05" w:rsidRPr="00176D3F" w14:paraId="39F1F2C5" w14:textId="77777777" w:rsidTr="007A7AD9">
        <w:tc>
          <w:tcPr>
            <w:tcW w:w="8771" w:type="dxa"/>
            <w:tcBorders>
              <w:top w:val="nil"/>
              <w:left w:val="nil"/>
              <w:bottom w:val="nil"/>
              <w:right w:val="nil"/>
            </w:tcBorders>
            <w:shd w:val="clear" w:color="auto" w:fill="auto"/>
          </w:tcPr>
          <w:p w14:paraId="22FF5F26" w14:textId="2A4C6D7A" w:rsidR="008B4D05" w:rsidRPr="00176D3F" w:rsidRDefault="00A8467B" w:rsidP="00A8467B">
            <w:pPr>
              <w:pStyle w:val="Source"/>
            </w:pPr>
            <w:r>
              <w:rPr>
                <w:i/>
              </w:rPr>
              <w:t>S</w:t>
            </w:r>
            <w:r w:rsidR="008B4D05" w:rsidRPr="00784A05">
              <w:rPr>
                <w:i/>
              </w:rPr>
              <w:t>ource</w:t>
            </w:r>
            <w:r w:rsidR="008B4D05" w:rsidRPr="00176D3F">
              <w:t xml:space="preserve">: </w:t>
            </w:r>
            <w:r w:rsidR="00483D99">
              <w:t xml:space="preserve">ABS </w:t>
            </w:r>
            <w:r w:rsidR="00483D99" w:rsidRPr="00F235E9">
              <w:t xml:space="preserve">2001, </w:t>
            </w:r>
            <w:r w:rsidR="00483D99" w:rsidRPr="00F235E9">
              <w:rPr>
                <w:i/>
                <w:iCs/>
              </w:rPr>
              <w:t>Australian National Accounts: National Income, Expenditure and Product, Mar</w:t>
            </w:r>
            <w:r w:rsidR="00483D99">
              <w:rPr>
                <w:i/>
                <w:iCs/>
              </w:rPr>
              <w:t>ch</w:t>
            </w:r>
            <w:r w:rsidR="00483D99" w:rsidRPr="00F235E9">
              <w:rPr>
                <w:i/>
                <w:iCs/>
              </w:rPr>
              <w:t xml:space="preserve"> 2001</w:t>
            </w:r>
            <w:r w:rsidR="00483D99" w:rsidRPr="00F235E9">
              <w:t xml:space="preserve">, </w:t>
            </w:r>
            <w:r w:rsidR="00483D99" w:rsidRPr="0041630C">
              <w:t>Cat. no. </w:t>
            </w:r>
            <w:r w:rsidR="00483D99" w:rsidRPr="001A7262">
              <w:rPr>
                <w:iCs/>
              </w:rPr>
              <w:t>5206.0</w:t>
            </w:r>
            <w:r w:rsidR="000E126A">
              <w:rPr>
                <w:iCs/>
              </w:rPr>
              <w:t>.</w:t>
            </w:r>
          </w:p>
        </w:tc>
      </w:tr>
      <w:tr w:rsidR="008B4D05" w14:paraId="717AFE18" w14:textId="77777777" w:rsidTr="007A7AD9">
        <w:tc>
          <w:tcPr>
            <w:tcW w:w="8771" w:type="dxa"/>
            <w:tcBorders>
              <w:top w:val="nil"/>
              <w:left w:val="nil"/>
              <w:bottom w:val="single" w:sz="6" w:space="0" w:color="78A22F"/>
              <w:right w:val="nil"/>
            </w:tcBorders>
            <w:shd w:val="clear" w:color="auto" w:fill="auto"/>
          </w:tcPr>
          <w:p w14:paraId="11FB51BA" w14:textId="77777777" w:rsidR="008B4D05" w:rsidRDefault="008B4D05" w:rsidP="007A7AD9">
            <w:pPr>
              <w:pStyle w:val="Figurespace"/>
            </w:pPr>
          </w:p>
        </w:tc>
      </w:tr>
      <w:tr w:rsidR="008B4D05" w:rsidRPr="000863A5" w14:paraId="503DB123" w14:textId="77777777" w:rsidTr="007A7AD9">
        <w:tc>
          <w:tcPr>
            <w:tcW w:w="8771" w:type="dxa"/>
            <w:tcBorders>
              <w:top w:val="single" w:sz="6" w:space="0" w:color="78A22F"/>
              <w:left w:val="nil"/>
              <w:bottom w:val="nil"/>
              <w:right w:val="nil"/>
            </w:tcBorders>
          </w:tcPr>
          <w:p w14:paraId="1672E166" w14:textId="16F4F672" w:rsidR="008B4D05" w:rsidRPr="00626D32" w:rsidRDefault="008B4D05" w:rsidP="007A7AD9">
            <w:pPr>
              <w:pStyle w:val="BoxSpaceBelow"/>
            </w:pPr>
          </w:p>
        </w:tc>
      </w:tr>
    </w:tbl>
    <w:p w14:paraId="020770FC" w14:textId="6F0F0491" w:rsidR="00BC48FE" w:rsidRDefault="00A8467B" w:rsidP="00BC48FE">
      <w:pPr>
        <w:pStyle w:val="BodyText"/>
      </w:pPr>
      <w:r>
        <w:t>T</w:t>
      </w:r>
      <w:r w:rsidR="00BC48FE" w:rsidRPr="00CA4250">
        <w:t xml:space="preserve">he ABS </w:t>
      </w:r>
      <w:r>
        <w:t>separately investigated</w:t>
      </w:r>
      <w:r w:rsidR="00BC48FE" w:rsidRPr="00CA4250">
        <w:t xml:space="preserve"> output volume measures for </w:t>
      </w:r>
      <w:r w:rsidR="007D76EC">
        <w:t xml:space="preserve">the justice sector, including </w:t>
      </w:r>
      <w:r w:rsidR="00BC48FE" w:rsidRPr="00CA4250">
        <w:t>police, justice s</w:t>
      </w:r>
      <w:r>
        <w:t xml:space="preserve">ervices, and corrective centres, </w:t>
      </w:r>
      <w:r w:rsidR="00BC48FE" w:rsidRPr="00CA4250">
        <w:t xml:space="preserve">and constructed </w:t>
      </w:r>
      <w:r w:rsidR="00D94B2F">
        <w:t>a range of experimental indexes</w:t>
      </w:r>
      <w:r w:rsidR="00BC48FE" w:rsidRPr="00CA4250">
        <w:t xml:space="preserve">. </w:t>
      </w:r>
      <w:r w:rsidR="00D94B2F">
        <w:t>O</w:t>
      </w:r>
      <w:r w:rsidR="00BC48FE" w:rsidRPr="00CA4250">
        <w:t xml:space="preserve">utput of justice services was measured by the number of cases finalised, broken down by court level and jurisdiction. </w:t>
      </w:r>
      <w:r w:rsidR="00D94B2F">
        <w:t>C</w:t>
      </w:r>
      <w:r w:rsidR="00D94B2F" w:rsidRPr="00CA4250">
        <w:t>orrective centre</w:t>
      </w:r>
      <w:r w:rsidR="00BC48FE" w:rsidRPr="00CA4250">
        <w:t xml:space="preserve"> output was measured by the number of prisoner days in various kinds of detention programmes. The </w:t>
      </w:r>
      <w:r w:rsidR="0068214D" w:rsidRPr="00CA4250">
        <w:t xml:space="preserve">output </w:t>
      </w:r>
      <w:r w:rsidR="00BC48FE" w:rsidRPr="00CA4250">
        <w:t>measure</w:t>
      </w:r>
      <w:r w:rsidR="0068214D">
        <w:t xml:space="preserve"> </w:t>
      </w:r>
      <w:r w:rsidR="00BC48FE" w:rsidRPr="00CA4250">
        <w:t xml:space="preserve">of police </w:t>
      </w:r>
      <w:r w:rsidR="0068214D">
        <w:t xml:space="preserve">services </w:t>
      </w:r>
      <w:r w:rsidR="00BC48FE" w:rsidRPr="00CA4250">
        <w:t>was based on estimates of the number of investigations completed</w:t>
      </w:r>
      <w:r w:rsidR="0068214D">
        <w:t>. However</w:t>
      </w:r>
      <w:r w:rsidR="00BC48FE" w:rsidRPr="00CA4250">
        <w:t xml:space="preserve">, </w:t>
      </w:r>
      <w:r w:rsidR="0068214D">
        <w:t>because of significant difficulties with obtaining adequate data, particularly for police services, the paper concluded</w:t>
      </w:r>
      <w:r w:rsidR="00BC48FE" w:rsidRPr="00CA4250">
        <w:t xml:space="preserve"> that input</w:t>
      </w:r>
      <w:r w:rsidR="00BC48FE" w:rsidRPr="00CA4250">
        <w:noBreakHyphen/>
        <w:t xml:space="preserve">based measures should remain for the justice sector, pending </w:t>
      </w:r>
      <w:r w:rsidR="0068214D">
        <w:t>improved</w:t>
      </w:r>
      <w:r w:rsidR="00BC48FE" w:rsidRPr="00CA4250">
        <w:t xml:space="preserve"> data </w:t>
      </w:r>
      <w:r w:rsidR="0068214D">
        <w:t>sources</w:t>
      </w:r>
      <w:r w:rsidR="007D76EC">
        <w:t xml:space="preserve"> </w:t>
      </w:r>
      <w:r w:rsidR="007D76EC" w:rsidRPr="007D76EC">
        <w:rPr>
          <w:szCs w:val="24"/>
        </w:rPr>
        <w:t>(Northwood et al. 2001)</w:t>
      </w:r>
      <w:r w:rsidR="00BC48FE" w:rsidRPr="00CA4250">
        <w:t>.</w:t>
      </w:r>
    </w:p>
    <w:p w14:paraId="208C418F" w14:textId="3F2BAD61" w:rsidR="00AC7864" w:rsidRDefault="00262C8A" w:rsidP="00AC7864">
      <w:pPr>
        <w:pStyle w:val="BodyText"/>
      </w:pPr>
      <w:r w:rsidRPr="00262C8A">
        <w:t xml:space="preserve">In an attempt to measure the output of </w:t>
      </w:r>
      <w:r w:rsidR="00CB46EF">
        <w:t xml:space="preserve">the </w:t>
      </w:r>
      <w:r w:rsidRPr="00262C8A">
        <w:t>public administration</w:t>
      </w:r>
      <w:r>
        <w:t xml:space="preserve"> and safety </w:t>
      </w:r>
      <w:r w:rsidR="00CB46EF">
        <w:t>industry</w:t>
      </w:r>
      <w:r w:rsidRPr="00262C8A">
        <w:t>,</w:t>
      </w:r>
      <w:r>
        <w:t xml:space="preserve"> </w:t>
      </w:r>
      <w:r w:rsidR="00BC48FE" w:rsidRPr="00CA4250">
        <w:t xml:space="preserve">the ABS </w:t>
      </w:r>
      <w:r w:rsidR="00467D26">
        <w:t xml:space="preserve">also </w:t>
      </w:r>
      <w:r w:rsidR="00BC48FE" w:rsidRPr="00CA4250">
        <w:t xml:space="preserve">produced unpublished estimates of volume output measures for the Australian Taxation Office </w:t>
      </w:r>
      <w:r w:rsidR="00CB46EF">
        <w:t xml:space="preserve">(ATO) </w:t>
      </w:r>
      <w:r w:rsidR="00BC48FE" w:rsidRPr="00CA4250">
        <w:t>and</w:t>
      </w:r>
      <w:r w:rsidR="00AC7864">
        <w:t xml:space="preserve"> Centrelink</w:t>
      </w:r>
      <w:r w:rsidRPr="00262C8A">
        <w:t xml:space="preserve"> </w:t>
      </w:r>
      <w:r>
        <w:t>i</w:t>
      </w:r>
      <w:r w:rsidRPr="00CA4250">
        <w:t>n 2003</w:t>
      </w:r>
      <w:r w:rsidR="00BC48FE" w:rsidRPr="00CA4250">
        <w:t xml:space="preserve">. </w:t>
      </w:r>
      <w:r w:rsidR="00AC7864">
        <w:t>The new measures were based on the</w:t>
      </w:r>
      <w:r>
        <w:t xml:space="preserve"> individual</w:t>
      </w:r>
      <w:r w:rsidR="00AC7864">
        <w:t xml:space="preserve"> services </w:t>
      </w:r>
      <w:r w:rsidR="00467D26">
        <w:t xml:space="preserve">that each </w:t>
      </w:r>
      <w:r w:rsidR="00AC7864">
        <w:t>organisation deliver</w:t>
      </w:r>
      <w:r w:rsidR="00467D26">
        <w:t xml:space="preserve">ed </w:t>
      </w:r>
      <w:r>
        <w:t>to</w:t>
      </w:r>
      <w:r w:rsidR="00AC7864">
        <w:t xml:space="preserve"> governments,</w:t>
      </w:r>
      <w:r w:rsidR="00467D26">
        <w:t xml:space="preserve"> </w:t>
      </w:r>
      <w:r w:rsidR="00AC7864">
        <w:t xml:space="preserve">businesses and </w:t>
      </w:r>
      <w:r w:rsidR="00467D26">
        <w:t xml:space="preserve">the </w:t>
      </w:r>
      <w:r w:rsidR="00AC7864">
        <w:t xml:space="preserve">community. For example, the services of </w:t>
      </w:r>
      <w:r w:rsidR="00CF3416">
        <w:t xml:space="preserve">the </w:t>
      </w:r>
      <w:r w:rsidR="00AC7864">
        <w:t>ATO include</w:t>
      </w:r>
      <w:r w:rsidR="00467D26">
        <w:t xml:space="preserve">d minutes and briefings </w:t>
      </w:r>
      <w:r w:rsidR="00CF3416">
        <w:t>for government</w:t>
      </w:r>
      <w:r w:rsidR="00AC7864">
        <w:t xml:space="preserve"> and </w:t>
      </w:r>
      <w:r w:rsidR="00CF3416">
        <w:t xml:space="preserve">the </w:t>
      </w:r>
      <w:r w:rsidR="00AC7864">
        <w:t xml:space="preserve">registration and processing of </w:t>
      </w:r>
      <w:r w:rsidR="00467D26">
        <w:t xml:space="preserve">business and individual </w:t>
      </w:r>
      <w:r w:rsidR="00AC7864">
        <w:t xml:space="preserve">tax claims. Similarly, the outputs of Centrelink </w:t>
      </w:r>
      <w:r w:rsidR="00467D26">
        <w:t>were the</w:t>
      </w:r>
      <w:r w:rsidR="00AC7864">
        <w:t xml:space="preserve"> processing</w:t>
      </w:r>
      <w:r w:rsidR="00467D26">
        <w:t xml:space="preserve"> of</w:t>
      </w:r>
      <w:r w:rsidR="00AC7864">
        <w:t xml:space="preserve"> customer’s claims for we</w:t>
      </w:r>
      <w:r w:rsidR="00467D26">
        <w:t>lfare benefits and providing on</w:t>
      </w:r>
      <w:r w:rsidR="00AC7864">
        <w:t>going services to benefit recipients.</w:t>
      </w:r>
      <w:r w:rsidR="00467D26">
        <w:t xml:space="preserve"> </w:t>
      </w:r>
      <w:r>
        <w:t>W</w:t>
      </w:r>
      <w:r w:rsidR="002A33CC">
        <w:t xml:space="preserve">hile </w:t>
      </w:r>
      <w:r w:rsidR="00467D26">
        <w:t xml:space="preserve">the </w:t>
      </w:r>
      <w:r w:rsidR="00AC7864">
        <w:t xml:space="preserve">initial results </w:t>
      </w:r>
      <w:r w:rsidR="00467D26">
        <w:t>were</w:t>
      </w:r>
      <w:r w:rsidR="00AC7864">
        <w:t xml:space="preserve"> </w:t>
      </w:r>
      <w:r>
        <w:t xml:space="preserve">reportedly </w:t>
      </w:r>
      <w:r w:rsidR="00AC7864">
        <w:t>promising</w:t>
      </w:r>
      <w:r w:rsidR="00467D26">
        <w:t>, the</w:t>
      </w:r>
      <w:r w:rsidR="00AC7864">
        <w:t xml:space="preserve"> data sources </w:t>
      </w:r>
      <w:r w:rsidR="00467D26">
        <w:t>were underdeveloped and required</w:t>
      </w:r>
      <w:r w:rsidR="00AC7864">
        <w:t xml:space="preserve"> a longer period of </w:t>
      </w:r>
      <w:r w:rsidR="00467D26">
        <w:t>examination before</w:t>
      </w:r>
      <w:r w:rsidR="00AC7864">
        <w:t xml:space="preserve"> </w:t>
      </w:r>
      <w:r w:rsidR="00467D26">
        <w:t xml:space="preserve">they could be </w:t>
      </w:r>
      <w:r>
        <w:t xml:space="preserve">published </w:t>
      </w:r>
      <w:r>
        <w:rPr>
          <w:szCs w:val="24"/>
        </w:rPr>
        <w:t>(T</w:t>
      </w:r>
      <w:r w:rsidRPr="00AC7864">
        <w:rPr>
          <w:szCs w:val="24"/>
        </w:rPr>
        <w:t>rewin 2004)</w:t>
      </w:r>
      <w:r w:rsidR="00AC7864">
        <w:t>.</w:t>
      </w:r>
    </w:p>
    <w:p w14:paraId="00E9C4D6" w14:textId="6F8AC456" w:rsidR="00262C8A" w:rsidRDefault="00262C8A" w:rsidP="00262C8A">
      <w:pPr>
        <w:pStyle w:val="Heading4"/>
      </w:pPr>
      <w:r>
        <w:t>Reinvigorated efforts to develop direct non</w:t>
      </w:r>
      <w:r w:rsidR="00AC6D60">
        <w:noBreakHyphen/>
      </w:r>
      <w:r>
        <w:t>market measures</w:t>
      </w:r>
    </w:p>
    <w:p w14:paraId="0C27181D" w14:textId="28E4F729" w:rsidR="00EC03AF" w:rsidRDefault="005D3067" w:rsidP="00CE2951">
      <w:pPr>
        <w:pStyle w:val="BodyText"/>
      </w:pPr>
      <w:r>
        <w:t xml:space="preserve">More recently, </w:t>
      </w:r>
      <w:r w:rsidR="00416195">
        <w:t xml:space="preserve">the ABS has </w:t>
      </w:r>
      <w:r>
        <w:t xml:space="preserve">been engaged in </w:t>
      </w:r>
      <w:r w:rsidR="0080548F">
        <w:t>renewed efforts</w:t>
      </w:r>
      <w:r>
        <w:t xml:space="preserve"> to</w:t>
      </w:r>
      <w:r w:rsidR="00416195">
        <w:t xml:space="preserve"> deliver </w:t>
      </w:r>
      <w:r w:rsidR="00582814">
        <w:t xml:space="preserve">improved output </w:t>
      </w:r>
      <w:r w:rsidR="00416195">
        <w:t xml:space="preserve">measures across </w:t>
      </w:r>
      <w:r w:rsidR="0080548F">
        <w:t>the</w:t>
      </w:r>
      <w:r w:rsidR="00416195">
        <w:t xml:space="preserve"> non</w:t>
      </w:r>
      <w:r w:rsidR="00AC6D60">
        <w:noBreakHyphen/>
      </w:r>
      <w:r w:rsidR="00416195">
        <w:t xml:space="preserve">market </w:t>
      </w:r>
      <w:r w:rsidR="0080548F">
        <w:t>sector.</w:t>
      </w:r>
      <w:r w:rsidR="002A33CC">
        <w:t xml:space="preserve"> </w:t>
      </w:r>
      <w:r w:rsidR="00EC03AF">
        <w:t>In particular, t</w:t>
      </w:r>
      <w:r w:rsidR="00CE2951">
        <w:t xml:space="preserve">he ABS plans to develop </w:t>
      </w:r>
      <w:r w:rsidR="00EC03AF">
        <w:t xml:space="preserve">output </w:t>
      </w:r>
      <w:r w:rsidR="00CE2951">
        <w:t xml:space="preserve">estimates for the </w:t>
      </w:r>
      <w:r w:rsidR="003432F1">
        <w:t>health care</w:t>
      </w:r>
      <w:r w:rsidR="00CE2951">
        <w:t xml:space="preserve"> sub</w:t>
      </w:r>
      <w:r w:rsidR="00CB46EF">
        <w:noBreakHyphen/>
      </w:r>
      <w:r w:rsidR="00CE2951">
        <w:t xml:space="preserve">industry, before moving </w:t>
      </w:r>
      <w:r w:rsidR="00B74F4F">
        <w:t>on</w:t>
      </w:r>
      <w:r w:rsidR="00CE2951">
        <w:t xml:space="preserve">to the education industry and </w:t>
      </w:r>
      <w:r w:rsidR="00B74F4F">
        <w:t>then</w:t>
      </w:r>
      <w:r w:rsidR="00CE2951">
        <w:t xml:space="preserve"> </w:t>
      </w:r>
      <w:r w:rsidR="00EC03AF">
        <w:t xml:space="preserve">the </w:t>
      </w:r>
      <w:r w:rsidR="00CE2951">
        <w:t>social services</w:t>
      </w:r>
      <w:r w:rsidR="00EC03AF">
        <w:t xml:space="preserve"> sub</w:t>
      </w:r>
      <w:r w:rsidR="00CB46EF">
        <w:noBreakHyphen/>
      </w:r>
      <w:r w:rsidR="00EC03AF">
        <w:t>industry</w:t>
      </w:r>
      <w:r w:rsidR="00CE2951">
        <w:t>.</w:t>
      </w:r>
      <w:r w:rsidR="00E81FF3" w:rsidRPr="003F6B1C">
        <w:rPr>
          <w:rStyle w:val="FootnoteReference"/>
        </w:rPr>
        <w:footnoteReference w:id="7"/>
      </w:r>
      <w:r w:rsidR="00EC03AF" w:rsidRPr="00EC03AF">
        <w:t xml:space="preserve"> </w:t>
      </w:r>
    </w:p>
    <w:p w14:paraId="781FA4C3" w14:textId="4D059702" w:rsidR="00D77A97" w:rsidRDefault="00381A3F" w:rsidP="00CE2951">
      <w:pPr>
        <w:pStyle w:val="BodyText"/>
      </w:pPr>
      <w:r>
        <w:t>For</w:t>
      </w:r>
      <w:r w:rsidR="007A4637">
        <w:t xml:space="preserve"> the </w:t>
      </w:r>
      <w:r w:rsidR="003432F1">
        <w:t>health care</w:t>
      </w:r>
      <w:r w:rsidR="007A4637">
        <w:t xml:space="preserve"> </w:t>
      </w:r>
      <w:r w:rsidR="00CB46EF">
        <w:t>sub</w:t>
      </w:r>
      <w:r w:rsidR="00CB46EF">
        <w:noBreakHyphen/>
        <w:t>industry</w:t>
      </w:r>
      <w:r w:rsidR="007A4637">
        <w:t xml:space="preserve">, </w:t>
      </w:r>
      <w:r w:rsidR="00F11975">
        <w:t>the ABS is currently</w:t>
      </w:r>
      <w:r w:rsidR="00CE2951">
        <w:t xml:space="preserve"> </w:t>
      </w:r>
      <w:r w:rsidR="00B74F4F">
        <w:t>working towards</w:t>
      </w:r>
      <w:r w:rsidR="007A4637">
        <w:t xml:space="preserve"> a measure of health output </w:t>
      </w:r>
      <w:r w:rsidR="00B74F4F">
        <w:t xml:space="preserve">calculated </w:t>
      </w:r>
      <w:r w:rsidR="007A4637">
        <w:t>on the basis of completed courses of treatment</w:t>
      </w:r>
      <w:r w:rsidR="00B74F4F">
        <w:t xml:space="preserve"> (the diseases</w:t>
      </w:r>
      <w:r w:rsidR="00B74F4F">
        <w:noBreakHyphen/>
        <w:t>managed approach)</w:t>
      </w:r>
      <w:r w:rsidR="00F11975">
        <w:t>,</w:t>
      </w:r>
      <w:r w:rsidR="007A4637">
        <w:t xml:space="preserve"> rather than the current practice of summing </w:t>
      </w:r>
      <w:r w:rsidR="00B74F4F">
        <w:t xml:space="preserve">up the number of </w:t>
      </w:r>
      <w:r w:rsidR="007A4637">
        <w:t>procedures administered</w:t>
      </w:r>
      <w:r w:rsidR="00B74F4F">
        <w:t xml:space="preserve"> (an activities</w:t>
      </w:r>
      <w:r w:rsidR="00AC6D60">
        <w:noBreakHyphen/>
      </w:r>
      <w:r w:rsidR="00B74F4F">
        <w:t>provided approach)</w:t>
      </w:r>
      <w:r w:rsidR="007A4637">
        <w:t>. Th</w:t>
      </w:r>
      <w:r w:rsidR="00B74F4F">
        <w:t xml:space="preserve">is approach includes identifying potential data sources (such as state administrative health data), allocating </w:t>
      </w:r>
      <w:r w:rsidR="003432F1">
        <w:t>health care</w:t>
      </w:r>
      <w:r w:rsidR="007A4637">
        <w:t xml:space="preserve"> expenditure</w:t>
      </w:r>
      <w:r w:rsidR="00B74F4F">
        <w:t xml:space="preserve"> between diseases</w:t>
      </w:r>
      <w:r w:rsidR="007A4637">
        <w:t>, construct</w:t>
      </w:r>
      <w:r w:rsidR="00B74F4F">
        <w:t>ing</w:t>
      </w:r>
      <w:r w:rsidR="007A4637">
        <w:t xml:space="preserve"> price </w:t>
      </w:r>
      <w:r w:rsidR="00256416">
        <w:t>indexes</w:t>
      </w:r>
      <w:r w:rsidR="007A4637">
        <w:t xml:space="preserve"> and </w:t>
      </w:r>
      <w:r w:rsidR="00B74F4F">
        <w:t xml:space="preserve">determining </w:t>
      </w:r>
      <w:r w:rsidR="007A4637">
        <w:t>output</w:t>
      </w:r>
      <w:r w:rsidR="00B74F4F">
        <w:t xml:space="preserve"> estimates</w:t>
      </w:r>
      <w:r w:rsidR="007A4637">
        <w:t xml:space="preserve"> by disease.</w:t>
      </w:r>
      <w:r w:rsidR="00F11975">
        <w:t xml:space="preserve"> </w:t>
      </w:r>
      <w:r w:rsidR="00C934E0">
        <w:t>The stated aim of these</w:t>
      </w:r>
      <w:r w:rsidR="00CE2951">
        <w:t xml:space="preserve"> output measures </w:t>
      </w:r>
      <w:r w:rsidR="00C934E0">
        <w:t xml:space="preserve">is </w:t>
      </w:r>
      <w:r w:rsidR="00CE2951">
        <w:t xml:space="preserve">to facilitate the development of productivity statistics </w:t>
      </w:r>
      <w:r w:rsidR="00C934E0">
        <w:t>alongside the national accounts, in order to ‘</w:t>
      </w:r>
      <w:r w:rsidR="00CE2951">
        <w:t>assist policymakers to better understand the nature of increases in health expenditure in terms of quantity growth or pure price growth</w:t>
      </w:r>
      <w:r w:rsidR="00AC6D60">
        <w:t xml:space="preserve"> </w:t>
      </w:r>
      <w:r w:rsidR="00C934E0">
        <w:t>… [and]</w:t>
      </w:r>
      <w:r w:rsidR="00CE2951">
        <w:t xml:space="preserve"> support more effective targeting of government resources for Australia’s health industry.</w:t>
      </w:r>
      <w:r w:rsidR="00C934E0">
        <w:t>’</w:t>
      </w:r>
      <w:r w:rsidR="00CE2951">
        <w:t xml:space="preserve"> </w:t>
      </w:r>
      <w:r w:rsidR="0080548F">
        <w:t>(ABS, sub.</w:t>
      </w:r>
      <w:r w:rsidR="00AC6D60">
        <w:t> </w:t>
      </w:r>
      <w:r w:rsidR="00B633AE">
        <w:t>42</w:t>
      </w:r>
      <w:r w:rsidR="0080548F">
        <w:t xml:space="preserve">, </w:t>
      </w:r>
      <w:r w:rsidR="00E13F4C">
        <w:t>p</w:t>
      </w:r>
      <w:r w:rsidR="0080548F">
        <w:t>p.</w:t>
      </w:r>
      <w:r w:rsidR="00E13F4C">
        <w:t> </w:t>
      </w:r>
      <w:r w:rsidR="0080548F">
        <w:t>10</w:t>
      </w:r>
      <w:r w:rsidR="00AC6D60">
        <w:t>–</w:t>
      </w:r>
      <w:r w:rsidR="0080548F">
        <w:t>11)</w:t>
      </w:r>
      <w:r w:rsidR="00416195">
        <w:t xml:space="preserve"> </w:t>
      </w:r>
    </w:p>
    <w:p w14:paraId="7C0AEBC6" w14:textId="049219A8" w:rsidR="00416195" w:rsidRDefault="00C934E0" w:rsidP="00416195">
      <w:pPr>
        <w:pStyle w:val="BodyText"/>
      </w:pPr>
      <w:r>
        <w:t>Much of t</w:t>
      </w:r>
      <w:r w:rsidR="00905ECB">
        <w:t>he ABS’</w:t>
      </w:r>
      <w:r>
        <w:t>s</w:t>
      </w:r>
      <w:r w:rsidR="00905ECB">
        <w:t xml:space="preserve"> recent work was motivated</w:t>
      </w:r>
      <w:r w:rsidR="00905ECB" w:rsidRPr="00905ECB">
        <w:t xml:space="preserve"> </w:t>
      </w:r>
      <w:r w:rsidR="00905ECB">
        <w:t xml:space="preserve">by </w:t>
      </w:r>
      <w:r w:rsidR="00CE2951">
        <w:t>continued</w:t>
      </w:r>
      <w:r w:rsidR="00905ECB">
        <w:t xml:space="preserve"> international </w:t>
      </w:r>
      <w:r w:rsidR="00CE2951">
        <w:t>developments</w:t>
      </w:r>
      <w:r w:rsidR="00905ECB">
        <w:t xml:space="preserve">, as well as a 2010 House of Representatives </w:t>
      </w:r>
      <w:r w:rsidR="00905ECB" w:rsidRPr="006F4AD4">
        <w:t>Standing Committee on Economics</w:t>
      </w:r>
      <w:r w:rsidR="00905ECB">
        <w:t xml:space="preserve"> report into raising productivity growth in Australi</w:t>
      </w:r>
      <w:r w:rsidR="00CE2951">
        <w:t>a. This report</w:t>
      </w:r>
      <w:r w:rsidR="00905ECB">
        <w:t xml:space="preserve"> recommended that the ABS investigate ways to develop </w:t>
      </w:r>
      <w:r w:rsidR="00CC6E46">
        <w:t xml:space="preserve">better </w:t>
      </w:r>
      <w:r w:rsidR="00905ECB">
        <w:t>service sector MFP estimates</w:t>
      </w:r>
      <w:r w:rsidR="00CE2951">
        <w:t>, including for the non</w:t>
      </w:r>
      <w:r w:rsidR="00CE2951">
        <w:noBreakHyphen/>
        <w:t>market sector</w:t>
      </w:r>
      <w:r w:rsidR="00416195">
        <w:t xml:space="preserve"> </w:t>
      </w:r>
      <w:r w:rsidR="00416195" w:rsidRPr="006F4AD4">
        <w:rPr>
          <w:szCs w:val="24"/>
        </w:rPr>
        <w:t>(Standing Committee on Economics 2010)</w:t>
      </w:r>
      <w:r w:rsidR="00416195">
        <w:t>.</w:t>
      </w:r>
      <w:r w:rsidR="00AC6D60">
        <w:t xml:space="preserve"> </w:t>
      </w:r>
    </w:p>
    <w:p w14:paraId="7AF48E53" w14:textId="182DF50B" w:rsidR="000C74C5" w:rsidRDefault="006A0690" w:rsidP="000C74C5">
      <w:pPr>
        <w:pStyle w:val="Heading3"/>
      </w:pPr>
      <w:r>
        <w:t>International e</w:t>
      </w:r>
      <w:r w:rsidR="000C74C5">
        <w:t>stimates</w:t>
      </w:r>
    </w:p>
    <w:p w14:paraId="130501A3" w14:textId="61F6DDB5" w:rsidR="000C74C5" w:rsidRDefault="000C74C5" w:rsidP="000C74C5">
      <w:pPr>
        <w:pStyle w:val="BodyText"/>
      </w:pPr>
      <w:r>
        <w:t xml:space="preserve">Several </w:t>
      </w:r>
      <w:r w:rsidR="00234B16">
        <w:t xml:space="preserve">other </w:t>
      </w:r>
      <w:r>
        <w:t xml:space="preserve">jurisdictions have made considerable progress </w:t>
      </w:r>
      <w:r w:rsidR="00E81FF3">
        <w:t>in the p</w:t>
      </w:r>
      <w:r w:rsidR="00D109EE">
        <w:t xml:space="preserve">ast few years </w:t>
      </w:r>
      <w:r>
        <w:t>towards publishing estimates on non</w:t>
      </w:r>
      <w:r w:rsidR="00AC6D60">
        <w:noBreakHyphen/>
      </w:r>
      <w:r>
        <w:t xml:space="preserve">market sector productivity, using a variety of </w:t>
      </w:r>
      <w:r w:rsidR="00234B16">
        <w:t xml:space="preserve">different </w:t>
      </w:r>
      <w:r>
        <w:t xml:space="preserve">methods. </w:t>
      </w:r>
    </w:p>
    <w:p w14:paraId="421C8AE1" w14:textId="77777777" w:rsidR="000C74C5" w:rsidRDefault="000C74C5" w:rsidP="000C74C5">
      <w:pPr>
        <w:pStyle w:val="Heading4"/>
      </w:pPr>
      <w:r>
        <w:t>United Kingdom</w:t>
      </w:r>
    </w:p>
    <w:p w14:paraId="5C08AA36" w14:textId="4CF06CCE" w:rsidR="000C74C5" w:rsidRDefault="007D2BC1" w:rsidP="000C74C5">
      <w:pPr>
        <w:pStyle w:val="BodyText"/>
      </w:pPr>
      <w:r>
        <w:t>Following</w:t>
      </w:r>
      <w:r w:rsidR="00234B16">
        <w:t xml:space="preserve"> the release of the Atkinson Review in 2005</w:t>
      </w:r>
      <w:r w:rsidR="00A8467B">
        <w:t>,</w:t>
      </w:r>
      <w:r w:rsidR="00234B16">
        <w:t xml:space="preserve"> th</w:t>
      </w:r>
      <w:r w:rsidR="000C74C5">
        <w:t xml:space="preserve">e </w:t>
      </w:r>
      <w:r w:rsidR="005174BD">
        <w:t>United Kingdom</w:t>
      </w:r>
      <w:r w:rsidR="000C74C5">
        <w:t xml:space="preserve"> has </w:t>
      </w:r>
      <w:r>
        <w:t xml:space="preserve">made </w:t>
      </w:r>
      <w:r w:rsidR="00D109EE">
        <w:t>substantial</w:t>
      </w:r>
      <w:r>
        <w:t xml:space="preserve"> progress towards</w:t>
      </w:r>
      <w:r w:rsidR="000C74C5">
        <w:t xml:space="preserve"> developing direct measures of output for the non</w:t>
      </w:r>
      <w:r w:rsidR="00AC6D60">
        <w:noBreakHyphen/>
      </w:r>
      <w:r w:rsidR="000C74C5">
        <w:t xml:space="preserve">market sector. </w:t>
      </w:r>
      <w:r w:rsidR="00A8467B">
        <w:t xml:space="preserve">The Office of National Statistics </w:t>
      </w:r>
      <w:r w:rsidR="002415ED">
        <w:t xml:space="preserve">(ONS) </w:t>
      </w:r>
      <w:r w:rsidR="00A8467B">
        <w:t>has published e</w:t>
      </w:r>
      <w:r w:rsidR="000C74C5">
        <w:t xml:space="preserve">xperimental estimates of public sector productivity </w:t>
      </w:r>
      <w:r w:rsidR="00B93566">
        <w:t>alongside the UK n</w:t>
      </w:r>
      <w:r w:rsidR="000C74C5">
        <w:t xml:space="preserve">ational </w:t>
      </w:r>
      <w:r w:rsidR="00B93566">
        <w:t>a</w:t>
      </w:r>
      <w:r w:rsidR="000C74C5">
        <w:t>ccounts</w:t>
      </w:r>
      <w:r w:rsidR="00D109EE">
        <w:t xml:space="preserve"> data</w:t>
      </w:r>
      <w:r w:rsidR="000C74C5">
        <w:t xml:space="preserve">, with 90 per cent of the </w:t>
      </w:r>
      <w:r w:rsidR="003432F1">
        <w:t>health care</w:t>
      </w:r>
      <w:r w:rsidR="000C74C5">
        <w:t xml:space="preserve"> </w:t>
      </w:r>
      <w:r w:rsidR="007825B6">
        <w:t>industry</w:t>
      </w:r>
      <w:r w:rsidR="000C74C5">
        <w:t xml:space="preserve"> and 75 per cent of education now covere</w:t>
      </w:r>
      <w:r w:rsidR="00A8467B">
        <w:t>d by a range of direct, quality</w:t>
      </w:r>
      <w:r w:rsidR="00A8467B">
        <w:noBreakHyphen/>
      </w:r>
      <w:r w:rsidR="000C74C5">
        <w:t>adjusted output measures</w:t>
      </w:r>
      <w:r w:rsidR="00B93566">
        <w:t xml:space="preserve">. </w:t>
      </w:r>
      <w:r w:rsidR="00BA1762">
        <w:t>Basic q</w:t>
      </w:r>
      <w:r w:rsidR="00A8467B">
        <w:t>uantity output measures are also estimated for</w:t>
      </w:r>
      <w:r w:rsidR="00B93566">
        <w:t xml:space="preserve"> public order and safety, adult social care, social security administration</w:t>
      </w:r>
      <w:r w:rsidR="00530A70">
        <w:t>,</w:t>
      </w:r>
      <w:r w:rsidR="00B93566">
        <w:t xml:space="preserve"> 40 per cent of children’s social care </w:t>
      </w:r>
      <w:r w:rsidR="00530A70">
        <w:t>and the remainder of the education sector</w:t>
      </w:r>
      <w:r w:rsidR="00A8467B">
        <w:t>, but these measures are not</w:t>
      </w:r>
      <w:r w:rsidR="00530A70">
        <w:t xml:space="preserve"> </w:t>
      </w:r>
      <w:r w:rsidR="00B93566">
        <w:t>adjusted for quality</w:t>
      </w:r>
      <w:r w:rsidR="000C74C5">
        <w:t xml:space="preserve"> </w:t>
      </w:r>
      <w:r w:rsidR="00577144" w:rsidRPr="00577144">
        <w:rPr>
          <w:szCs w:val="24"/>
        </w:rPr>
        <w:t>(ONS 2017a, 2017b)</w:t>
      </w:r>
      <w:r w:rsidR="000C74C5">
        <w:t>.</w:t>
      </w:r>
    </w:p>
    <w:p w14:paraId="66449378" w14:textId="14D3C729" w:rsidR="00B93566" w:rsidRDefault="00B93566" w:rsidP="000C74C5">
      <w:pPr>
        <w:pStyle w:val="BodyText"/>
      </w:pPr>
      <w:r>
        <w:t xml:space="preserve">Initial results from the UK </w:t>
      </w:r>
      <w:r w:rsidR="003A24DE">
        <w:t>analysis</w:t>
      </w:r>
      <w:r w:rsidR="003A24DE" w:rsidRPr="003A24DE">
        <w:t xml:space="preserve"> show mix</w:t>
      </w:r>
      <w:r w:rsidR="003A24DE">
        <w:t>ed</w:t>
      </w:r>
      <w:r w:rsidR="003A24DE" w:rsidRPr="003A24DE">
        <w:t xml:space="preserve"> productivity improvements</w:t>
      </w:r>
      <w:r w:rsidR="00CA33D8">
        <w:t>. A</w:t>
      </w:r>
      <w:r w:rsidR="00042744">
        <w:t xml:space="preserve">verage annual </w:t>
      </w:r>
      <w:r w:rsidR="003432F1">
        <w:t>health care</w:t>
      </w:r>
      <w:r w:rsidR="00530A70">
        <w:t xml:space="preserve"> </w:t>
      </w:r>
      <w:r w:rsidR="00042744">
        <w:t xml:space="preserve">productivity growth </w:t>
      </w:r>
      <w:r w:rsidR="00530A70">
        <w:t>(using</w:t>
      </w:r>
      <w:r w:rsidR="00CA33D8">
        <w:t xml:space="preserve"> </w:t>
      </w:r>
      <w:r w:rsidR="00530A70">
        <w:t xml:space="preserve">the </w:t>
      </w:r>
      <w:r w:rsidR="00C26CA4">
        <w:t>mostly</w:t>
      </w:r>
      <w:r w:rsidR="00530A70">
        <w:t xml:space="preserve"> </w:t>
      </w:r>
      <w:r w:rsidR="00CA33D8">
        <w:t>quality</w:t>
      </w:r>
      <w:r w:rsidR="00AC6D60">
        <w:noBreakHyphen/>
      </w:r>
      <w:r w:rsidR="00CA33D8">
        <w:t>adjusted measures</w:t>
      </w:r>
      <w:r w:rsidR="00530A70">
        <w:t>)</w:t>
      </w:r>
      <w:r w:rsidR="00CA33D8">
        <w:t xml:space="preserve"> was</w:t>
      </w:r>
      <w:r w:rsidR="00A8467B">
        <w:t> </w:t>
      </w:r>
      <w:r w:rsidR="00042744">
        <w:t>0.9 per cent each year</w:t>
      </w:r>
      <w:r w:rsidR="00DC0C92">
        <w:t xml:space="preserve"> between 1997 and 2014</w:t>
      </w:r>
      <w:r w:rsidR="00CA33D8">
        <w:t xml:space="preserve">, </w:t>
      </w:r>
      <w:r w:rsidR="00530A70">
        <w:t>while for education there was no net productivity gain over the same period</w:t>
      </w:r>
      <w:r w:rsidR="00A8467B">
        <w:t xml:space="preserve"> because</w:t>
      </w:r>
      <w:r w:rsidR="00530A70">
        <w:t xml:space="preserve"> inputs and outputs grew in lockstep</w:t>
      </w:r>
      <w:r w:rsidR="00DC0C92">
        <w:t xml:space="preserve"> </w:t>
      </w:r>
      <w:r w:rsidR="00DC0C92" w:rsidRPr="00DC0C92">
        <w:rPr>
          <w:szCs w:val="24"/>
        </w:rPr>
        <w:t>(ONS 2017a)</w:t>
      </w:r>
      <w:r w:rsidR="00042744">
        <w:t xml:space="preserve">. </w:t>
      </w:r>
      <w:r w:rsidR="00530A70">
        <w:t>Productivity growth for the entire public sector (</w:t>
      </w:r>
      <w:r w:rsidR="007825B6">
        <w:t>when</w:t>
      </w:r>
      <w:r w:rsidR="00530A70">
        <w:t xml:space="preserve"> measured by direct </w:t>
      </w:r>
      <w:r w:rsidR="00447854">
        <w:t>quality</w:t>
      </w:r>
      <w:r w:rsidR="00447854">
        <w:noBreakHyphen/>
        <w:t xml:space="preserve">adjusted </w:t>
      </w:r>
      <w:r w:rsidR="00530A70">
        <w:t xml:space="preserve">output) </w:t>
      </w:r>
      <w:r w:rsidR="0071074A">
        <w:t xml:space="preserve">was </w:t>
      </w:r>
      <w:r w:rsidR="00BA1762">
        <w:t>close to</w:t>
      </w:r>
      <w:r w:rsidR="0071074A">
        <w:t xml:space="preserve"> z</w:t>
      </w:r>
      <w:r w:rsidR="00447854">
        <w:t>ero over the period from 1997 t</w:t>
      </w:r>
      <w:r w:rsidR="0071074A">
        <w:t>o 2013</w:t>
      </w:r>
      <w:r w:rsidR="00447854">
        <w:t xml:space="preserve"> (</w:t>
      </w:r>
      <w:r w:rsidR="00A8467B">
        <w:t>f</w:t>
      </w:r>
      <w:r w:rsidR="00530A70">
        <w:t>igure</w:t>
      </w:r>
      <w:r w:rsidR="00AC6D60">
        <w:t> </w:t>
      </w:r>
      <w:r w:rsidR="00B633AE">
        <w:t>5</w:t>
      </w:r>
      <w:r w:rsidR="00447854">
        <w:t>)</w:t>
      </w:r>
      <w:r w:rsidR="00530A70">
        <w:t>.</w:t>
      </w:r>
    </w:p>
    <w:p w14:paraId="2A0E1B27" w14:textId="0EAE6D68" w:rsidR="00B93566" w:rsidRDefault="00B93566" w:rsidP="007A7AD9">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B93566" w14:paraId="27CEAFD0" w14:textId="77777777" w:rsidTr="007A7AD9">
        <w:trPr>
          <w:tblHeader/>
        </w:trPr>
        <w:tc>
          <w:tcPr>
            <w:tcW w:w="8771" w:type="dxa"/>
            <w:tcBorders>
              <w:top w:val="single" w:sz="6" w:space="0" w:color="78A22F"/>
              <w:left w:val="nil"/>
              <w:bottom w:val="nil"/>
              <w:right w:val="nil"/>
            </w:tcBorders>
            <w:shd w:val="clear" w:color="auto" w:fill="auto"/>
          </w:tcPr>
          <w:p w14:paraId="7A3475D7" w14:textId="705AC184" w:rsidR="00B93566" w:rsidRPr="00F92BEC" w:rsidRDefault="00B93566" w:rsidP="007A7AD9">
            <w:pPr>
              <w:pStyle w:val="FigureTitle"/>
            </w:pPr>
            <w:r w:rsidRPr="00F92BEC">
              <w:rPr>
                <w:b w:val="0"/>
              </w:rPr>
              <w:t xml:space="preserve">Figure </w:t>
            </w:r>
            <w:r w:rsidR="00D95F04">
              <w:rPr>
                <w:b w:val="0"/>
                <w:noProof/>
              </w:rPr>
              <w:t>5</w:t>
            </w:r>
            <w:r w:rsidRPr="00F92BEC">
              <w:tab/>
            </w:r>
            <w:r w:rsidR="0018118A" w:rsidRPr="00F92BEC">
              <w:t xml:space="preserve">UK productivity growth rates and </w:t>
            </w:r>
            <w:r w:rsidR="00256416">
              <w:t>indexes</w:t>
            </w:r>
            <w:r w:rsidR="007825B6">
              <w:t xml:space="preserve"> for quality</w:t>
            </w:r>
            <w:r w:rsidR="007825B6">
              <w:noBreakHyphen/>
            </w:r>
            <w:r w:rsidR="00954C0A" w:rsidRPr="00F92BEC">
              <w:t xml:space="preserve">adjusted (QA) </w:t>
            </w:r>
            <w:r w:rsidR="0018118A" w:rsidRPr="00F92BEC">
              <w:t>and non</w:t>
            </w:r>
            <w:r w:rsidR="0018118A" w:rsidRPr="00F92BEC">
              <w:noBreakHyphen/>
            </w:r>
            <w:r w:rsidR="00954C0A" w:rsidRPr="00F92BEC">
              <w:t>QA</w:t>
            </w:r>
            <w:r w:rsidR="0018118A" w:rsidRPr="00F92BEC">
              <w:t xml:space="preserve"> total public services</w:t>
            </w:r>
          </w:p>
          <w:p w14:paraId="4999AEAB" w14:textId="6A2DB25A" w:rsidR="00F92BEC" w:rsidRPr="00F92BEC" w:rsidRDefault="00F92BEC" w:rsidP="007825B6">
            <w:pPr>
              <w:pStyle w:val="Subtitle"/>
            </w:pPr>
            <w:r w:rsidRPr="00F92BEC">
              <w:t>1997</w:t>
            </w:r>
            <w:r w:rsidR="007825B6">
              <w:noBreakHyphen/>
            </w:r>
            <w:r w:rsidRPr="00F92BEC">
              <w:t>2014</w:t>
            </w:r>
          </w:p>
        </w:tc>
      </w:tr>
      <w:tr w:rsidR="00B93566" w14:paraId="455C41CC" w14:textId="77777777" w:rsidTr="007A7AD9">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B93566" w:rsidRPr="00F92BEC" w14:paraId="69027F3D" w14:textId="77777777" w:rsidTr="00F92BEC">
              <w:trPr>
                <w:tblHeader/>
                <w:jc w:val="center"/>
              </w:trPr>
              <w:tc>
                <w:tcPr>
                  <w:tcW w:w="8504" w:type="dxa"/>
                  <w:tcBorders>
                    <w:top w:val="nil"/>
                    <w:bottom w:val="nil"/>
                  </w:tcBorders>
                </w:tcPr>
                <w:p w14:paraId="3F3B824C" w14:textId="0D3B7540" w:rsidR="0033080B" w:rsidRPr="00F92BEC" w:rsidRDefault="00F92BEC" w:rsidP="007A7AD9">
                  <w:pPr>
                    <w:pStyle w:val="Figure"/>
                    <w:spacing w:before="60" w:after="60"/>
                    <w:rPr>
                      <w:rFonts w:ascii="Arial" w:hAnsi="Arial" w:cs="Arial"/>
                      <w:sz w:val="18"/>
                      <w:szCs w:val="18"/>
                    </w:rPr>
                  </w:pPr>
                  <w:r w:rsidRPr="00F92BEC">
                    <w:rPr>
                      <w:noProof/>
                    </w:rPr>
                    <w:drawing>
                      <wp:inline distT="0" distB="0" distL="0" distR="0" wp14:anchorId="3D0DD65E" wp14:editId="40C54A88">
                        <wp:extent cx="5262880" cy="2929890"/>
                        <wp:effectExtent l="0" t="0" r="0" b="3810"/>
                        <wp:docPr id="2" name="Chart 2" descr="This chart shows results for overall public services in the United Kingdom, taking into account quality and non-quality adjusted outputs. When output was quality adjusted, the productivity growth rate was close to zero from 1997 to 2014 – though this was better than the rate where no quality adjustment was made."/>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1FD83B00" w14:textId="77777777" w:rsidR="00B93566" w:rsidRPr="00F92BEC" w:rsidRDefault="00B93566" w:rsidP="007A7AD9">
            <w:pPr>
              <w:pStyle w:val="Figure"/>
            </w:pPr>
          </w:p>
        </w:tc>
      </w:tr>
      <w:tr w:rsidR="00B93566" w:rsidRPr="00176D3F" w14:paraId="214E127D" w14:textId="77777777" w:rsidTr="007A7AD9">
        <w:tc>
          <w:tcPr>
            <w:tcW w:w="8771" w:type="dxa"/>
            <w:tcBorders>
              <w:top w:val="nil"/>
              <w:left w:val="nil"/>
              <w:bottom w:val="nil"/>
              <w:right w:val="nil"/>
            </w:tcBorders>
            <w:shd w:val="clear" w:color="auto" w:fill="auto"/>
          </w:tcPr>
          <w:p w14:paraId="31122CD1" w14:textId="4C634D69" w:rsidR="00B93566" w:rsidRPr="00F92BEC" w:rsidRDefault="00A8467B" w:rsidP="00DC0C92">
            <w:pPr>
              <w:pStyle w:val="Source"/>
            </w:pPr>
            <w:r w:rsidRPr="00F92BEC">
              <w:rPr>
                <w:i/>
              </w:rPr>
              <w:t>S</w:t>
            </w:r>
            <w:r w:rsidR="00B93566" w:rsidRPr="00F92BEC">
              <w:rPr>
                <w:i/>
              </w:rPr>
              <w:t>ource</w:t>
            </w:r>
            <w:r w:rsidR="00B93566" w:rsidRPr="00F92BEC">
              <w:t xml:space="preserve">: </w:t>
            </w:r>
            <w:r w:rsidR="00DC0C92" w:rsidRPr="00DC0C92">
              <w:rPr>
                <w:rFonts w:cs="Arial"/>
                <w:szCs w:val="24"/>
              </w:rPr>
              <w:t>(ONS 2017a)</w:t>
            </w:r>
            <w:r w:rsidR="009164FD" w:rsidRPr="00F92BEC">
              <w:t>.</w:t>
            </w:r>
          </w:p>
        </w:tc>
      </w:tr>
      <w:tr w:rsidR="00B93566" w14:paraId="58AC00D1" w14:textId="77777777" w:rsidTr="007A7AD9">
        <w:tc>
          <w:tcPr>
            <w:tcW w:w="8771" w:type="dxa"/>
            <w:tcBorders>
              <w:top w:val="nil"/>
              <w:left w:val="nil"/>
              <w:bottom w:val="single" w:sz="6" w:space="0" w:color="78A22F"/>
              <w:right w:val="nil"/>
            </w:tcBorders>
            <w:shd w:val="clear" w:color="auto" w:fill="auto"/>
          </w:tcPr>
          <w:p w14:paraId="4B28009A" w14:textId="77777777" w:rsidR="00B93566" w:rsidRDefault="00B93566" w:rsidP="007A7AD9">
            <w:pPr>
              <w:pStyle w:val="Figurespace"/>
            </w:pPr>
          </w:p>
        </w:tc>
      </w:tr>
      <w:tr w:rsidR="00B93566" w:rsidRPr="000863A5" w14:paraId="2333B4EC" w14:textId="77777777" w:rsidTr="007A7AD9">
        <w:tc>
          <w:tcPr>
            <w:tcW w:w="8771" w:type="dxa"/>
            <w:tcBorders>
              <w:top w:val="single" w:sz="6" w:space="0" w:color="78A22F"/>
              <w:left w:val="nil"/>
              <w:bottom w:val="nil"/>
              <w:right w:val="nil"/>
            </w:tcBorders>
          </w:tcPr>
          <w:p w14:paraId="59A828D7" w14:textId="3F79A939" w:rsidR="00B93566" w:rsidRPr="00626D32" w:rsidRDefault="00B93566" w:rsidP="007A7AD9">
            <w:pPr>
              <w:pStyle w:val="BoxSpaceBelow"/>
            </w:pPr>
          </w:p>
        </w:tc>
      </w:tr>
    </w:tbl>
    <w:p w14:paraId="5376B69A" w14:textId="77777777" w:rsidR="000C74C5" w:rsidRDefault="000C74C5" w:rsidP="000C74C5">
      <w:pPr>
        <w:pStyle w:val="Heading4"/>
      </w:pPr>
      <w:r>
        <w:t>New Zealand</w:t>
      </w:r>
    </w:p>
    <w:p w14:paraId="0C481BBF" w14:textId="0D7F9DDA" w:rsidR="000C74C5" w:rsidRDefault="00A8467B" w:rsidP="000C74C5">
      <w:pPr>
        <w:pStyle w:val="BodyText"/>
      </w:pPr>
      <w:r w:rsidRPr="00A8467B">
        <w:t>Following developmental work over the previous decade</w:t>
      </w:r>
      <w:r>
        <w:t>,</w:t>
      </w:r>
      <w:r w:rsidRPr="00A8467B">
        <w:t xml:space="preserve"> </w:t>
      </w:r>
      <w:r>
        <w:t>i</w:t>
      </w:r>
      <w:r w:rsidR="000C74C5">
        <w:t>n 2013</w:t>
      </w:r>
      <w:r w:rsidR="00ED1E37">
        <w:t xml:space="preserve">, Statistics NZ </w:t>
      </w:r>
      <w:r w:rsidR="000C74C5">
        <w:t xml:space="preserve">published initial estimates of productivity for the education and </w:t>
      </w:r>
      <w:r w:rsidR="003432F1">
        <w:t>health care</w:t>
      </w:r>
      <w:r w:rsidR="000C74C5">
        <w:t xml:space="preserve"> </w:t>
      </w:r>
      <w:r w:rsidR="007825B6">
        <w:t>industries</w:t>
      </w:r>
      <w:r w:rsidR="000C74C5">
        <w:t xml:space="preserve"> using select direct measures of output, such as the number of </w:t>
      </w:r>
      <w:r w:rsidR="000C74C5" w:rsidRPr="003A38F8">
        <w:t>cost</w:t>
      </w:r>
      <w:r w:rsidR="00AC6D60">
        <w:noBreakHyphen/>
      </w:r>
      <w:r w:rsidR="000C74C5" w:rsidRPr="003A38F8">
        <w:t>weighted</w:t>
      </w:r>
      <w:r w:rsidR="000C74C5">
        <w:t xml:space="preserve"> </w:t>
      </w:r>
      <w:r w:rsidR="00ED1E37">
        <w:t>equivalent full</w:t>
      </w:r>
      <w:r w:rsidR="00ED1E37">
        <w:noBreakHyphen/>
      </w:r>
      <w:r w:rsidR="000C74C5" w:rsidRPr="003A38F8">
        <w:t>time students (EFTS</w:t>
      </w:r>
      <w:r w:rsidR="000C74C5">
        <w:t xml:space="preserve">) for education output. These estimates indicated that </w:t>
      </w:r>
      <w:r w:rsidR="00485A36">
        <w:t>productivity</w:t>
      </w:r>
      <w:r w:rsidR="000C74C5">
        <w:t xml:space="preserve"> </w:t>
      </w:r>
      <w:r w:rsidR="00BA1762">
        <w:t xml:space="preserve">in the education </w:t>
      </w:r>
      <w:r w:rsidR="007825B6">
        <w:t>industry</w:t>
      </w:r>
      <w:r w:rsidR="00BA1762">
        <w:t xml:space="preserve"> </w:t>
      </w:r>
      <w:r w:rsidR="000C74C5">
        <w:t xml:space="preserve">fell by </w:t>
      </w:r>
      <w:r w:rsidR="00E81FF3">
        <w:t>about</w:t>
      </w:r>
      <w:r w:rsidR="000C74C5">
        <w:t xml:space="preserve"> 1.5 per cent annually between 1996 and 2011, while growing at an average annual rate of 0.8 per cent </w:t>
      </w:r>
      <w:r w:rsidR="00BA1762">
        <w:t>in</w:t>
      </w:r>
      <w:r w:rsidR="000C74C5">
        <w:t xml:space="preserve"> the </w:t>
      </w:r>
      <w:r w:rsidR="003432F1">
        <w:t>health care</w:t>
      </w:r>
      <w:r w:rsidR="000C74C5">
        <w:t xml:space="preserve"> </w:t>
      </w:r>
      <w:r w:rsidR="007825B6">
        <w:t>industry</w:t>
      </w:r>
      <w:r w:rsidR="000C74C5">
        <w:t xml:space="preserve">. Although the direct output measures used by Statistics NZ were largely unadjusted for quality and may not have been relevant to some activities, the experimental estimates </w:t>
      </w:r>
      <w:r w:rsidR="00447854">
        <w:t xml:space="preserve">form </w:t>
      </w:r>
      <w:r w:rsidR="000C74C5">
        <w:t xml:space="preserve">a foundation for further development </w:t>
      </w:r>
      <w:r w:rsidR="00485A36" w:rsidRPr="00485A36">
        <w:rPr>
          <w:szCs w:val="24"/>
        </w:rPr>
        <w:t>(Statistics NZ 2010, 2013)</w:t>
      </w:r>
      <w:r w:rsidR="000C74C5">
        <w:t>.</w:t>
      </w:r>
    </w:p>
    <w:p w14:paraId="455D3425" w14:textId="77777777" w:rsidR="000C74C5" w:rsidRDefault="000C74C5" w:rsidP="000C74C5">
      <w:pPr>
        <w:pStyle w:val="Heading4"/>
      </w:pPr>
      <w:r>
        <w:t>United States</w:t>
      </w:r>
    </w:p>
    <w:p w14:paraId="3DF439B7" w14:textId="46FD0149" w:rsidR="000C74C5" w:rsidRDefault="000C74C5" w:rsidP="000C74C5">
      <w:pPr>
        <w:pStyle w:val="BodyText"/>
      </w:pPr>
      <w:r>
        <w:t xml:space="preserve">The </w:t>
      </w:r>
      <w:r w:rsidR="007758E2">
        <w:t>U</w:t>
      </w:r>
      <w:r w:rsidR="000E4FD3">
        <w:t xml:space="preserve">nited </w:t>
      </w:r>
      <w:r w:rsidR="007758E2">
        <w:t>S</w:t>
      </w:r>
      <w:r w:rsidR="000E4FD3">
        <w:t>tates</w:t>
      </w:r>
      <w:r>
        <w:t xml:space="preserve"> has also been moving towards new measures of non</w:t>
      </w:r>
      <w:r w:rsidR="00AC6D60">
        <w:noBreakHyphen/>
      </w:r>
      <w:r>
        <w:t xml:space="preserve">market sector productivity, with a particular focus on the US </w:t>
      </w:r>
      <w:r w:rsidR="003432F1">
        <w:t>health care</w:t>
      </w:r>
      <w:r>
        <w:t xml:space="preserve"> industry, estimated to be worth 17.4 per cent of US GDP in 2013. In 2015 the Bureau of Economic Analysis (BEA), in collaboration with the National Academy of Sciences and the Bureau of Labour Statistics, launched a ‘</w:t>
      </w:r>
      <w:r w:rsidR="003432F1">
        <w:t>health care</w:t>
      </w:r>
      <w:r>
        <w:t xml:space="preserve"> satellite account’ (HCSA) to test new methods for analysing </w:t>
      </w:r>
      <w:r w:rsidR="003432F1">
        <w:t>health care</w:t>
      </w:r>
      <w:r>
        <w:t xml:space="preserve"> statistics </w:t>
      </w:r>
      <w:r w:rsidR="00ED1E37">
        <w:t>before adding them to the core n</w:t>
      </w:r>
      <w:r>
        <w:t xml:space="preserve">ational </w:t>
      </w:r>
      <w:r w:rsidR="00ED1E37">
        <w:t>a</w:t>
      </w:r>
      <w:r>
        <w:t>ccounts</w:t>
      </w:r>
      <w:r w:rsidR="00D5099A">
        <w:t xml:space="preserve">. </w:t>
      </w:r>
      <w:r w:rsidRPr="0095526D">
        <w:t xml:space="preserve">The </w:t>
      </w:r>
      <w:r>
        <w:t xml:space="preserve">BEA’s methodology </w:t>
      </w:r>
      <w:r w:rsidR="00D5099A">
        <w:t>use</w:t>
      </w:r>
      <w:r w:rsidR="00BA1762">
        <w:t>s</w:t>
      </w:r>
      <w:r w:rsidR="00D5099A">
        <w:t xml:space="preserve"> the diseases</w:t>
      </w:r>
      <w:r w:rsidR="00AC6D60">
        <w:noBreakHyphen/>
      </w:r>
      <w:r w:rsidR="00D5099A">
        <w:t>managed</w:t>
      </w:r>
      <w:r>
        <w:t xml:space="preserve"> approach </w:t>
      </w:r>
      <w:r w:rsidR="00D5099A">
        <w:t xml:space="preserve">to </w:t>
      </w:r>
      <w:r>
        <w:t xml:space="preserve">measure the output of the </w:t>
      </w:r>
      <w:r w:rsidR="003432F1">
        <w:t>health care</w:t>
      </w:r>
      <w:r>
        <w:t xml:space="preserve"> system on the basis of how m</w:t>
      </w:r>
      <w:r w:rsidR="00D5099A">
        <w:t xml:space="preserve">any diseases are treated </w:t>
      </w:r>
      <w:r w:rsidR="00D5099A" w:rsidRPr="00520995">
        <w:rPr>
          <w:szCs w:val="24"/>
        </w:rPr>
        <w:t>(Dunn, Rittmueller and Whitmire 2015; Washington, Jackson and Wasshausen 2015)</w:t>
      </w:r>
      <w:r w:rsidR="00D5099A">
        <w:t>.</w:t>
      </w:r>
    </w:p>
    <w:p w14:paraId="5E8C2AD5" w14:textId="681AFC69" w:rsidR="00BA0282" w:rsidRDefault="00D95F04" w:rsidP="00BA0282">
      <w:pPr>
        <w:pStyle w:val="Heading2"/>
      </w:pPr>
      <w:bookmarkStart w:id="12" w:name="_Toc488923581"/>
      <w:bookmarkStart w:id="13" w:name="_Toc488940675"/>
      <w:r>
        <w:rPr>
          <w:noProof/>
        </w:rPr>
        <w:t>5</w:t>
      </w:r>
      <w:r w:rsidR="00ED1E37">
        <w:tab/>
      </w:r>
      <w:r w:rsidR="000D1795">
        <w:t xml:space="preserve">The direction </w:t>
      </w:r>
      <w:r w:rsidR="00242262">
        <w:t xml:space="preserve">and applications </w:t>
      </w:r>
      <w:r w:rsidR="000D1795">
        <w:t>of future work</w:t>
      </w:r>
      <w:bookmarkEnd w:id="12"/>
      <w:bookmarkEnd w:id="13"/>
    </w:p>
    <w:p w14:paraId="676C6489" w14:textId="6A7F0D2D" w:rsidR="00595AD7" w:rsidRDefault="00347945" w:rsidP="00E81FF3">
      <w:pPr>
        <w:pStyle w:val="Heading3"/>
        <w:spacing w:before="280"/>
      </w:pPr>
      <w:r>
        <w:t>Productivity estimates in the n</w:t>
      </w:r>
      <w:r w:rsidR="00595AD7">
        <w:t xml:space="preserve">ational accounts </w:t>
      </w:r>
      <w:r w:rsidR="00333D68">
        <w:t xml:space="preserve">are </w:t>
      </w:r>
      <w:r w:rsidR="00AC3B1B">
        <w:t>good</w:t>
      </w:r>
      <w:r w:rsidR="00595AD7">
        <w:t xml:space="preserve"> to </w:t>
      </w:r>
      <w:r w:rsidR="008E2A8C">
        <w:t>know</w:t>
      </w:r>
      <w:r w:rsidR="00AC6D60">
        <w:t xml:space="preserve"> </w:t>
      </w:r>
      <w:r w:rsidR="00595AD7">
        <w:t>…</w:t>
      </w:r>
      <w:r w:rsidR="00595AD7" w:rsidRPr="00F27410">
        <w:t xml:space="preserve"> </w:t>
      </w:r>
    </w:p>
    <w:p w14:paraId="6A10397A" w14:textId="3EA816E8" w:rsidR="00ED1E37" w:rsidRDefault="00595AD7" w:rsidP="00ED1E37">
      <w:pPr>
        <w:pStyle w:val="BodyText"/>
      </w:pPr>
      <w:r w:rsidRPr="00F27410">
        <w:t xml:space="preserve">Historically, the national accounts have been used to summarise economic events and analyse an economy’s wealth and component factors to provide useful information for the formulation of macroeconomic policy </w:t>
      </w:r>
      <w:r w:rsidR="003870F8" w:rsidRPr="003870F8">
        <w:rPr>
          <w:szCs w:val="24"/>
        </w:rPr>
        <w:t>(ABS 2016b)</w:t>
      </w:r>
      <w:r w:rsidRPr="00F27410">
        <w:t>.</w:t>
      </w:r>
      <w:r w:rsidR="00ED1E37">
        <w:t xml:space="preserve"> Improvements in measures of outputs and productivity for the non</w:t>
      </w:r>
      <w:r w:rsidR="00ED1E37">
        <w:noBreakHyphen/>
        <w:t xml:space="preserve">market sector would (imperfectly) plug a gap in the national accounts and help to provide a better understanding of the Australian economy and how it functions. </w:t>
      </w:r>
      <w:r w:rsidR="007825B6">
        <w:t>Better measures</w:t>
      </w:r>
      <w:r w:rsidR="00ED1E37">
        <w:t xml:space="preserve"> would also provide a ‘rough and ready’ indicator that the sector’s performance was improving. Conversely, sustained low growth in productivity might reflect sluggish technological progress and weak diffusion of best</w:t>
      </w:r>
      <w:r w:rsidR="00AC6D60">
        <w:noBreakHyphen/>
      </w:r>
      <w:r w:rsidR="00ED1E37">
        <w:t>practice — which would warrant close policy attention (as has occurred for the MFP slowdown in the market sector).</w:t>
      </w:r>
    </w:p>
    <w:p w14:paraId="1C4BB1A5" w14:textId="717A4241" w:rsidR="00347945" w:rsidRDefault="00347945" w:rsidP="00595AD7">
      <w:pPr>
        <w:pStyle w:val="BodyText"/>
      </w:pPr>
      <w:r>
        <w:t xml:space="preserve">Australia </w:t>
      </w:r>
      <w:r w:rsidR="00D960F7">
        <w:t xml:space="preserve">also </w:t>
      </w:r>
      <w:r>
        <w:t xml:space="preserve">needs to catch up to progress made elsewhere, particularly in the </w:t>
      </w:r>
      <w:r w:rsidR="005174BD">
        <w:t>United Kingdom</w:t>
      </w:r>
      <w:r>
        <w:t xml:space="preserve"> and New Zealand, in order to adhere to international standards </w:t>
      </w:r>
      <w:r w:rsidR="007825B6">
        <w:t>f</w:t>
      </w:r>
      <w:r w:rsidR="00D960F7">
        <w:t>or</w:t>
      </w:r>
      <w:r>
        <w:t xml:space="preserve"> best</w:t>
      </w:r>
      <w:r w:rsidR="00AC6D60">
        <w:noBreakHyphen/>
      </w:r>
      <w:r>
        <w:t>practice national accounting</w:t>
      </w:r>
      <w:r w:rsidR="00ED1E37">
        <w:t>.</w:t>
      </w:r>
    </w:p>
    <w:p w14:paraId="3839F17B" w14:textId="35134DD5" w:rsidR="00595AD7" w:rsidRDefault="00595AD7" w:rsidP="00333D68">
      <w:pPr>
        <w:pStyle w:val="Heading3"/>
      </w:pPr>
      <w:r>
        <w:t xml:space="preserve">… but not vital </w:t>
      </w:r>
      <w:r w:rsidR="005A6A1C">
        <w:t>to</w:t>
      </w:r>
      <w:r>
        <w:t xml:space="preserve"> </w:t>
      </w:r>
      <w:r w:rsidR="00333D68">
        <w:t>improve outcomes</w:t>
      </w:r>
    </w:p>
    <w:p w14:paraId="578721DE" w14:textId="4D24AED8" w:rsidR="008E2A8C" w:rsidRDefault="00ED1E37" w:rsidP="00595AD7">
      <w:pPr>
        <w:pStyle w:val="BodyText"/>
      </w:pPr>
      <w:r w:rsidRPr="00F27410">
        <w:t>While creating MFP estimates as part of the national accounts is important for understanding the state of the economy</w:t>
      </w:r>
      <w:r>
        <w:t xml:space="preserve"> and to identify trends that should be further investigated</w:t>
      </w:r>
      <w:r w:rsidRPr="00F27410">
        <w:t xml:space="preserve">, such measures have limitations. </w:t>
      </w:r>
      <w:r>
        <w:t xml:space="preserve">Besides the methodological flaws discussed above, more critically, </w:t>
      </w:r>
      <w:r w:rsidRPr="00F27410">
        <w:t>MFP estimates for each of the non</w:t>
      </w:r>
      <w:r w:rsidR="00AC6D60">
        <w:noBreakHyphen/>
      </w:r>
      <w:r w:rsidRPr="00F27410">
        <w:t xml:space="preserve">market sectors in the national accounts have </w:t>
      </w:r>
      <w:r>
        <w:t xml:space="preserve">very </w:t>
      </w:r>
      <w:r w:rsidRPr="00F27410">
        <w:t>limit</w:t>
      </w:r>
      <w:r w:rsidR="000B49EE">
        <w:t>ed policy applications. In particular</w:t>
      </w:r>
      <w:r>
        <w:t>, they wou</w:t>
      </w:r>
      <w:r w:rsidRPr="00F27410">
        <w:t>ld likely be too broad to provide decision</w:t>
      </w:r>
      <w:r w:rsidRPr="00F27410">
        <w:noBreakHyphen/>
        <w:t>makers with the insights they need to improve outcomes for consumers</w:t>
      </w:r>
      <w:r w:rsidR="004E4DC8">
        <w:t xml:space="preserve"> </w:t>
      </w:r>
      <w:r w:rsidR="007825B6">
        <w:t>and</w:t>
      </w:r>
      <w:r w:rsidR="004E4DC8">
        <w:t xml:space="preserve"> taxpayers</w:t>
      </w:r>
      <w:r w:rsidRPr="00F27410">
        <w:t>.</w:t>
      </w:r>
      <w:r>
        <w:t xml:space="preserve"> </w:t>
      </w:r>
      <w:r w:rsidR="003A6B68">
        <w:t>As a result, such estimates would not be able to</w:t>
      </w:r>
      <w:r w:rsidR="008E2A8C">
        <w:t xml:space="preserve"> drive productivity improvement</w:t>
      </w:r>
      <w:r w:rsidR="000B49EE">
        <w:t>s</w:t>
      </w:r>
      <w:r w:rsidR="008E2A8C">
        <w:t xml:space="preserve">, as they do not provide enough detail to identify </w:t>
      </w:r>
      <w:r w:rsidR="003A6B68">
        <w:t xml:space="preserve">the </w:t>
      </w:r>
      <w:r w:rsidR="008E2A8C">
        <w:t xml:space="preserve">specific areas that need </w:t>
      </w:r>
      <w:r w:rsidR="003A6B68">
        <w:t>to be improved</w:t>
      </w:r>
      <w:r w:rsidR="008E2A8C">
        <w:t xml:space="preserve"> </w:t>
      </w:r>
      <w:r w:rsidR="009C07A1">
        <w:t>within each industry.</w:t>
      </w:r>
      <w:r w:rsidR="000B49EE" w:rsidRPr="000B49EE">
        <w:t xml:space="preserve"> </w:t>
      </w:r>
      <w:r w:rsidR="000B49EE">
        <w:t>More granular indicators of productivity and other performance metrics (for example, outcome effectiveness, value</w:t>
      </w:r>
      <w:r w:rsidR="000B49EE">
        <w:noBreakHyphen/>
        <w:t>for</w:t>
      </w:r>
      <w:r w:rsidR="000B49EE">
        <w:noBreakHyphen/>
        <w:t>money, marginal effects of more or fewer resources) are much better suited to identify specific areas that need to be improved in the non</w:t>
      </w:r>
      <w:r w:rsidR="00AC6D60">
        <w:noBreakHyphen/>
      </w:r>
      <w:r w:rsidR="000B49EE">
        <w:t>market sector</w:t>
      </w:r>
      <w:r w:rsidR="006B773A">
        <w:t xml:space="preserve"> (</w:t>
      </w:r>
      <w:r w:rsidR="00E81FF3">
        <w:t>SP</w:t>
      </w:r>
      <w:r w:rsidR="00D93E1D">
        <w:t> </w:t>
      </w:r>
      <w:r w:rsidR="00B633AE">
        <w:t>3</w:t>
      </w:r>
      <w:r w:rsidR="006B773A">
        <w:t>)</w:t>
      </w:r>
      <w:r w:rsidR="000B49EE">
        <w:t>.</w:t>
      </w:r>
    </w:p>
    <w:p w14:paraId="59487C41" w14:textId="536A8A9A" w:rsidR="000D1795" w:rsidRDefault="000D1795" w:rsidP="000D1795">
      <w:pPr>
        <w:pStyle w:val="BodyText"/>
      </w:pPr>
      <w:r w:rsidRPr="00F27410">
        <w:t>Th</w:t>
      </w:r>
      <w:r>
        <w:t>is</w:t>
      </w:r>
      <w:r w:rsidRPr="00F27410">
        <w:t xml:space="preserve"> distinction between measuring productivity for national accounts purposes and measuring it for the purpose of improving performance and service delivery outcomes was acknowledged in the OECD’s 2010 handbook on measuring non</w:t>
      </w:r>
      <w:r w:rsidR="00AC6D60">
        <w:noBreakHyphen/>
      </w:r>
      <w:r w:rsidRPr="00F27410">
        <w:t xml:space="preserve">market sector productivity </w:t>
      </w:r>
      <w:r w:rsidRPr="00F27410">
        <w:rPr>
          <w:szCs w:val="24"/>
        </w:rPr>
        <w:t>(Schreyer 2010)</w:t>
      </w:r>
      <w:r w:rsidRPr="00F27410">
        <w:t xml:space="preserve">. Similarly, in the </w:t>
      </w:r>
      <w:r w:rsidR="005174BD">
        <w:t>United Kingdom</w:t>
      </w:r>
      <w:r w:rsidRPr="00F27410">
        <w:t xml:space="preserve">, </w:t>
      </w:r>
      <w:r w:rsidR="007825B6" w:rsidRPr="00F27410">
        <w:rPr>
          <w:szCs w:val="24"/>
        </w:rPr>
        <w:t>Atkinson </w:t>
      </w:r>
      <w:r w:rsidR="007825B6" w:rsidRPr="007825B6">
        <w:t>(2005)</w:t>
      </w:r>
      <w:r w:rsidRPr="00F27410">
        <w:t xml:space="preserve"> recognized that no single number, however carefully constructed, can fully capture the performance of complex public services with multiple objectives, so it is not only necessary to estimate a single aggregated figure for each of the non</w:t>
      </w:r>
      <w:r w:rsidR="00AC6D60">
        <w:noBreakHyphen/>
      </w:r>
      <w:r w:rsidRPr="00F27410">
        <w:t>market sector</w:t>
      </w:r>
      <w:r w:rsidR="007825B6">
        <w:t xml:space="preserve"> industrie</w:t>
      </w:r>
      <w:r w:rsidRPr="00F27410">
        <w:t>s, but also to measure outputs in sufficient detail to determine the outcomes from individual decisions and policy changes.</w:t>
      </w:r>
    </w:p>
    <w:p w14:paraId="515CDFC3" w14:textId="45021BED" w:rsidR="000D1795" w:rsidRPr="00F27410" w:rsidRDefault="000D1795" w:rsidP="000D1795">
      <w:pPr>
        <w:pStyle w:val="BodyText"/>
      </w:pPr>
      <w:r w:rsidRPr="00F27410">
        <w:t>Further, the two goals — productivity measurement at the macro</w:t>
      </w:r>
      <w:r w:rsidR="00AC6D60">
        <w:noBreakHyphen/>
      </w:r>
      <w:r w:rsidRPr="00F27410">
        <w:t xml:space="preserve">level through the national accounts and at </w:t>
      </w:r>
      <w:r w:rsidR="002955D5">
        <w:t>a more</w:t>
      </w:r>
      <w:r w:rsidRPr="00F27410">
        <w:t xml:space="preserve"> micro</w:t>
      </w:r>
      <w:r w:rsidR="00AC6D60">
        <w:noBreakHyphen/>
      </w:r>
      <w:r w:rsidRPr="00F27410">
        <w:t xml:space="preserve">level through performance </w:t>
      </w:r>
      <w:r w:rsidR="002955D5">
        <w:t>metrics</w:t>
      </w:r>
      <w:r w:rsidRPr="00F27410">
        <w:t xml:space="preserve"> — are not necessarily mutually exclusive. A proliferation of high</w:t>
      </w:r>
      <w:r w:rsidR="005174BD">
        <w:t xml:space="preserve"> q</w:t>
      </w:r>
      <w:r w:rsidRPr="00F27410">
        <w:t>uality data and research relating to the inputs, outputs and productivity of individual non</w:t>
      </w:r>
      <w:r w:rsidR="00AC6D60">
        <w:noBreakHyphen/>
      </w:r>
      <w:r w:rsidRPr="00F27410">
        <w:t>market service providers can lead to greatly improved measures of sector</w:t>
      </w:r>
      <w:r w:rsidR="00AC6D60">
        <w:noBreakHyphen/>
      </w:r>
      <w:r w:rsidRPr="00F27410">
        <w:t>wide productivity in the national accounts, as the more detailed picture of micro</w:t>
      </w:r>
      <w:r w:rsidR="00AC6D60">
        <w:noBreakHyphen/>
      </w:r>
      <w:r w:rsidRPr="00F27410">
        <w:t xml:space="preserve">level </w:t>
      </w:r>
      <w:r w:rsidR="0042492E">
        <w:t>performance</w:t>
      </w:r>
      <w:r w:rsidRPr="00F27410">
        <w:t xml:space="preserve"> can help to inform an industry</w:t>
      </w:r>
      <w:r w:rsidR="00AC6D60">
        <w:noBreakHyphen/>
      </w:r>
      <w:r w:rsidRPr="00F27410">
        <w:t>wide estimate.</w:t>
      </w:r>
    </w:p>
    <w:p w14:paraId="55E380FD" w14:textId="02A48168" w:rsidR="000B49EE" w:rsidRPr="004E3B94" w:rsidRDefault="000B49EE" w:rsidP="001D7718">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70"/>
      </w:tblGrid>
      <w:tr w:rsidR="000B49EE" w14:paraId="13EE22AD" w14:textId="77777777" w:rsidTr="00A71F5E">
        <w:trPr>
          <w:cantSplit/>
          <w:tblHeader/>
        </w:trPr>
        <w:tc>
          <w:tcPr>
            <w:tcW w:w="8770" w:type="dxa"/>
            <w:tcBorders>
              <w:top w:val="single" w:sz="6" w:space="0" w:color="265A9A" w:themeColor="accent2"/>
              <w:left w:val="nil"/>
              <w:bottom w:val="nil"/>
              <w:right w:val="nil"/>
            </w:tcBorders>
            <w:shd w:val="clear" w:color="auto" w:fill="E1EBF5"/>
            <w:tcMar>
              <w:left w:w="170" w:type="dxa"/>
              <w:right w:w="170" w:type="dxa"/>
            </w:tcMar>
          </w:tcPr>
          <w:p w14:paraId="13D84A92" w14:textId="18E761D9" w:rsidR="000B49EE" w:rsidRPr="00A71F5E" w:rsidRDefault="00CE5BC6" w:rsidP="001D7718">
            <w:pPr>
              <w:pStyle w:val="FindingTitle"/>
              <w:spacing w:before="120"/>
            </w:pPr>
            <w:r w:rsidRPr="00A71F5E">
              <w:t>Conclusion</w:t>
            </w:r>
            <w:r w:rsidR="000B49EE" w:rsidRPr="00A71F5E">
              <w:t xml:space="preserve"> </w:t>
            </w:r>
            <w:r w:rsidR="00C01F72" w:rsidRPr="00A71F5E">
              <w:t>2</w:t>
            </w:r>
            <w:r w:rsidR="00D95F04" w:rsidRPr="00A71F5E">
              <w:t>.</w:t>
            </w:r>
            <w:r w:rsidR="00D95F04" w:rsidRPr="00A71F5E">
              <w:rPr>
                <w:noProof/>
              </w:rPr>
              <w:t>1</w:t>
            </w:r>
          </w:p>
          <w:p w14:paraId="6BB182A7" w14:textId="4BF2EF4C" w:rsidR="000B49EE" w:rsidRPr="00CE4C64" w:rsidRDefault="000B49EE" w:rsidP="000B49EE">
            <w:pPr>
              <w:pStyle w:val="Finding"/>
              <w:keepNext/>
            </w:pPr>
            <w:r w:rsidRPr="00A71F5E">
              <w:rPr>
                <w:rFonts w:cs="Arial"/>
                <w:sz w:val="20"/>
              </w:rPr>
              <w:t>Development of better measures of the output and productivity of the non</w:t>
            </w:r>
            <w:r w:rsidR="00AC6D60">
              <w:rPr>
                <w:rFonts w:cs="Arial"/>
                <w:sz w:val="20"/>
              </w:rPr>
              <w:noBreakHyphen/>
            </w:r>
            <w:r w:rsidRPr="00A71F5E">
              <w:rPr>
                <w:rFonts w:cs="Arial"/>
                <w:sz w:val="20"/>
              </w:rPr>
              <w:t>market sector at the national accounts level would improve the understanding of the state of the economy and help identify any troubling trends in performance that would warrant further investigation. However, more granular indicators of productivity and performance in specific parts of the non</w:t>
            </w:r>
            <w:r w:rsidR="00AC6D60">
              <w:rPr>
                <w:rFonts w:cs="Arial"/>
                <w:sz w:val="20"/>
              </w:rPr>
              <w:noBreakHyphen/>
            </w:r>
            <w:r w:rsidRPr="00A71F5E">
              <w:rPr>
                <w:rFonts w:cs="Arial"/>
                <w:sz w:val="20"/>
              </w:rPr>
              <w:t>market sector are needed to inform policy choices.</w:t>
            </w:r>
          </w:p>
        </w:tc>
      </w:tr>
      <w:tr w:rsidR="000B49EE" w14:paraId="0A526D08" w14:textId="77777777" w:rsidTr="00A71F5E">
        <w:trPr>
          <w:cantSplit/>
          <w:tblHeader/>
        </w:trPr>
        <w:tc>
          <w:tcPr>
            <w:tcW w:w="8770" w:type="dxa"/>
            <w:tcBorders>
              <w:top w:val="nil"/>
              <w:left w:val="nil"/>
              <w:bottom w:val="single" w:sz="6" w:space="0" w:color="265A9A" w:themeColor="accent2"/>
              <w:right w:val="nil"/>
            </w:tcBorders>
            <w:shd w:val="clear" w:color="auto" w:fill="E1EBF5"/>
            <w:tcMar>
              <w:left w:w="170" w:type="dxa"/>
              <w:right w:w="170" w:type="dxa"/>
            </w:tcMar>
          </w:tcPr>
          <w:p w14:paraId="31B510CE" w14:textId="77777777" w:rsidR="000B49EE" w:rsidRDefault="000B49EE" w:rsidP="001D7718">
            <w:pPr>
              <w:pStyle w:val="Space"/>
              <w:keepLines/>
            </w:pPr>
          </w:p>
        </w:tc>
      </w:tr>
      <w:tr w:rsidR="000B49EE" w:rsidRPr="000863A5" w14:paraId="461DF40D" w14:textId="77777777" w:rsidTr="00A71F5E">
        <w:trPr>
          <w:cantSplit/>
          <w:tblHeader/>
        </w:trPr>
        <w:tc>
          <w:tcPr>
            <w:tcW w:w="8770" w:type="dxa"/>
            <w:tcBorders>
              <w:top w:val="single" w:sz="6" w:space="0" w:color="265A9A" w:themeColor="accent2"/>
              <w:left w:val="nil"/>
              <w:bottom w:val="nil"/>
              <w:right w:val="nil"/>
            </w:tcBorders>
            <w:tcMar>
              <w:left w:w="170" w:type="dxa"/>
              <w:right w:w="170" w:type="dxa"/>
            </w:tcMar>
          </w:tcPr>
          <w:p w14:paraId="172D763E" w14:textId="0D2BD2C8" w:rsidR="000B49EE" w:rsidRPr="00626D32" w:rsidRDefault="000B49EE" w:rsidP="001D7718">
            <w:pPr>
              <w:pStyle w:val="BoxSpaceBelow"/>
              <w:keepLines/>
            </w:pPr>
          </w:p>
        </w:tc>
      </w:tr>
    </w:tbl>
    <w:p w14:paraId="0A75E872" w14:textId="77777777" w:rsidR="000D1795" w:rsidRDefault="000D1795">
      <w:pPr>
        <w:rPr>
          <w:szCs w:val="20"/>
        </w:rPr>
      </w:pPr>
      <w:r>
        <w:br w:type="page"/>
      </w:r>
    </w:p>
    <w:p w14:paraId="387D1458" w14:textId="62CF36A5" w:rsidR="002B0C62" w:rsidRPr="00FC7E1D" w:rsidRDefault="002B0C62" w:rsidP="00FC7E1D">
      <w:pPr>
        <w:pStyle w:val="Heading1"/>
        <w:spacing w:after="600"/>
      </w:pPr>
      <w:bookmarkStart w:id="14" w:name="_Toc488923582"/>
      <w:bookmarkStart w:id="15" w:name="_Toc488940676"/>
      <w:r w:rsidRPr="00FC7E1D">
        <w:t>References</w:t>
      </w:r>
      <w:bookmarkEnd w:id="14"/>
      <w:bookmarkEnd w:id="15"/>
    </w:p>
    <w:p w14:paraId="0BDDECDB" w14:textId="0B2866C6" w:rsidR="00244078" w:rsidRPr="00A40CDA" w:rsidRDefault="00244078" w:rsidP="00A71F5E">
      <w:pPr>
        <w:pStyle w:val="Reference"/>
      </w:pPr>
      <w:r w:rsidRPr="00A40CDA">
        <w:t xml:space="preserve">ABS (Australian Bureau of Statistics) 2000, </w:t>
      </w:r>
      <w:r w:rsidRPr="00A40CDA">
        <w:rPr>
          <w:i/>
          <w:iCs/>
        </w:rPr>
        <w:t>Unpaid Work and the Australian Economy, 1997</w:t>
      </w:r>
      <w:r w:rsidRPr="00A40CDA">
        <w:t>, October, Cat. no</w:t>
      </w:r>
      <w:r w:rsidR="005D29F4">
        <w:t>. </w:t>
      </w:r>
      <w:r w:rsidRPr="00A40CDA">
        <w:t>5240.0.</w:t>
      </w:r>
    </w:p>
    <w:p w14:paraId="5BD43E09" w14:textId="5B35F63D" w:rsidR="00244078" w:rsidRPr="00A40CDA" w:rsidRDefault="00FE1BD6" w:rsidP="00A71F5E">
      <w:pPr>
        <w:pStyle w:val="Reference"/>
      </w:pPr>
      <w:r>
        <w:t>—— </w:t>
      </w:r>
      <w:r w:rsidR="00244078" w:rsidRPr="00A40CDA">
        <w:t xml:space="preserve">2001, </w:t>
      </w:r>
      <w:r w:rsidR="00244078" w:rsidRPr="00A40CDA">
        <w:rPr>
          <w:i/>
          <w:iCs/>
        </w:rPr>
        <w:t>Australian National Accounts: National Income, Expenditure and Product, Mar 2001</w:t>
      </w:r>
      <w:r w:rsidR="00244078" w:rsidRPr="00A40CDA">
        <w:t>, June, Cat. no</w:t>
      </w:r>
      <w:r w:rsidR="005D29F4">
        <w:t>. </w:t>
      </w:r>
      <w:r w:rsidR="00244078" w:rsidRPr="00A40CDA">
        <w:t>5206.0.</w:t>
      </w:r>
    </w:p>
    <w:p w14:paraId="785CCD1C" w14:textId="0B974ACA" w:rsidR="00244078" w:rsidRPr="00A40CDA" w:rsidRDefault="00FE1BD6" w:rsidP="00A71F5E">
      <w:pPr>
        <w:pStyle w:val="Reference"/>
      </w:pPr>
      <w:r>
        <w:t>—— </w:t>
      </w:r>
      <w:r w:rsidR="00244078" w:rsidRPr="00A40CDA">
        <w:t xml:space="preserve">2007, </w:t>
      </w:r>
      <w:r w:rsidR="00244078" w:rsidRPr="00A40CDA">
        <w:rPr>
          <w:i/>
          <w:iCs/>
        </w:rPr>
        <w:t>Information paper: Experimental Estimates of Industry Multifactor Productivity</w:t>
      </w:r>
      <w:r w:rsidR="00244078" w:rsidRPr="00A40CDA">
        <w:t>, September, Cat. no</w:t>
      </w:r>
      <w:r w:rsidR="005D29F4">
        <w:t>. </w:t>
      </w:r>
      <w:r w:rsidR="00244078" w:rsidRPr="00A40CDA">
        <w:t>5260.0.55.001.</w:t>
      </w:r>
    </w:p>
    <w:p w14:paraId="1B35B651" w14:textId="786F6A58" w:rsidR="00244078" w:rsidRPr="00A40CDA" w:rsidRDefault="00FE1BD6" w:rsidP="00A71F5E">
      <w:pPr>
        <w:pStyle w:val="Reference"/>
      </w:pPr>
      <w:r>
        <w:t>—— </w:t>
      </w:r>
      <w:r w:rsidR="00244078" w:rsidRPr="00A40CDA">
        <w:t xml:space="preserve">2010, </w:t>
      </w:r>
      <w:r w:rsidR="00244078" w:rsidRPr="00A40CDA">
        <w:rPr>
          <w:i/>
          <w:iCs/>
        </w:rPr>
        <w:t>Experimental Estimates of Industry Multifactor Productivity, 2008</w:t>
      </w:r>
      <w:r w:rsidR="00AC6D60">
        <w:rPr>
          <w:i/>
          <w:iCs/>
        </w:rPr>
        <w:noBreakHyphen/>
      </w:r>
      <w:r w:rsidR="00244078" w:rsidRPr="00A40CDA">
        <w:rPr>
          <w:i/>
          <w:iCs/>
        </w:rPr>
        <w:t>09</w:t>
      </w:r>
      <w:r w:rsidR="00244078" w:rsidRPr="00A40CDA">
        <w:t>, February, Cat. no</w:t>
      </w:r>
      <w:r w:rsidR="005D29F4">
        <w:t>. </w:t>
      </w:r>
      <w:r w:rsidR="00244078" w:rsidRPr="00A40CDA">
        <w:t>5260.0.55.002.</w:t>
      </w:r>
    </w:p>
    <w:p w14:paraId="76A000BD" w14:textId="7E04943A" w:rsidR="00244078" w:rsidRPr="00A40CDA" w:rsidRDefault="00FE1BD6" w:rsidP="00A71F5E">
      <w:pPr>
        <w:pStyle w:val="Reference"/>
      </w:pPr>
      <w:r>
        <w:t>—— </w:t>
      </w:r>
      <w:r w:rsidR="00244078" w:rsidRPr="00A40CDA">
        <w:t xml:space="preserve">2013, </w:t>
      </w:r>
      <w:r w:rsidR="00244078" w:rsidRPr="00A40CDA">
        <w:rPr>
          <w:i/>
          <w:iCs/>
        </w:rPr>
        <w:t>Australian and New Zealand Standard Industrial Classification (ANZSIC), 2006 (Revision 2.0)</w:t>
      </w:r>
      <w:r w:rsidR="00244078" w:rsidRPr="00A40CDA">
        <w:t>, June, Cat. no</w:t>
      </w:r>
      <w:r w:rsidR="005D29F4">
        <w:t>. </w:t>
      </w:r>
      <w:r w:rsidR="00244078" w:rsidRPr="00A40CDA">
        <w:t>1292.0.</w:t>
      </w:r>
    </w:p>
    <w:p w14:paraId="73493F27" w14:textId="69C7486A" w:rsidR="00244078" w:rsidRPr="00A40CDA" w:rsidRDefault="00FE1BD6" w:rsidP="00A71F5E">
      <w:pPr>
        <w:pStyle w:val="Reference"/>
      </w:pPr>
      <w:r>
        <w:t>—— </w:t>
      </w:r>
      <w:r w:rsidR="00244078" w:rsidRPr="00A40CDA">
        <w:t xml:space="preserve">2014, </w:t>
      </w:r>
      <w:r w:rsidR="00244078" w:rsidRPr="00A40CDA">
        <w:rPr>
          <w:i/>
          <w:iCs/>
        </w:rPr>
        <w:t>Spotlight on National Accounts: Unpaid Work and the Australian Economy</w:t>
      </w:r>
      <w:r w:rsidR="00244078" w:rsidRPr="00A40CDA">
        <w:t>, May, Cat. no</w:t>
      </w:r>
      <w:r w:rsidR="005D29F4">
        <w:t>.</w:t>
      </w:r>
      <w:r w:rsidR="00244078" w:rsidRPr="00A40CDA">
        <w:t>5202.0.</w:t>
      </w:r>
    </w:p>
    <w:p w14:paraId="5C08BBF8" w14:textId="52413764" w:rsidR="00244078" w:rsidRPr="00A40CDA" w:rsidRDefault="00FE1BD6" w:rsidP="00A71F5E">
      <w:pPr>
        <w:pStyle w:val="Reference"/>
      </w:pPr>
      <w:r>
        <w:t>—— </w:t>
      </w:r>
      <w:r w:rsidR="00244078" w:rsidRPr="00A40CDA">
        <w:t xml:space="preserve">2016a, </w:t>
      </w:r>
      <w:r w:rsidR="00244078" w:rsidRPr="00A40CDA">
        <w:rPr>
          <w:i/>
          <w:iCs/>
        </w:rPr>
        <w:t>Australian System of National Accounts, 2015</w:t>
      </w:r>
      <w:r w:rsidR="00AC6D60">
        <w:rPr>
          <w:i/>
          <w:iCs/>
        </w:rPr>
        <w:noBreakHyphen/>
      </w:r>
      <w:r w:rsidR="00244078" w:rsidRPr="00A40CDA">
        <w:rPr>
          <w:i/>
          <w:iCs/>
        </w:rPr>
        <w:t>16</w:t>
      </w:r>
      <w:r w:rsidR="00244078" w:rsidRPr="00A40CDA">
        <w:t>, October, Cat. no</w:t>
      </w:r>
      <w:r w:rsidR="005D29F4">
        <w:t>. </w:t>
      </w:r>
      <w:r w:rsidR="00244078" w:rsidRPr="00A40CDA">
        <w:t>5204.0.</w:t>
      </w:r>
    </w:p>
    <w:p w14:paraId="561FFC39" w14:textId="1EF445A8" w:rsidR="00244078" w:rsidRPr="00A40CDA" w:rsidRDefault="00FE1BD6" w:rsidP="00A71F5E">
      <w:pPr>
        <w:pStyle w:val="Reference"/>
      </w:pPr>
      <w:r>
        <w:t>—— </w:t>
      </w:r>
      <w:r w:rsidR="00244078" w:rsidRPr="00A40CDA">
        <w:t xml:space="preserve">2016b, </w:t>
      </w:r>
      <w:r w:rsidR="00244078" w:rsidRPr="00A40CDA">
        <w:rPr>
          <w:i/>
          <w:iCs/>
        </w:rPr>
        <w:t>Australian System of National Accounts: Concepts, Sources and Methods, 2015</w:t>
      </w:r>
      <w:r w:rsidR="00244078" w:rsidRPr="00A40CDA">
        <w:t>, March, Cat. no</w:t>
      </w:r>
      <w:r w:rsidR="005D29F4">
        <w:t>. </w:t>
      </w:r>
      <w:r w:rsidR="00244078" w:rsidRPr="00A40CDA">
        <w:t>5216.0.</w:t>
      </w:r>
    </w:p>
    <w:p w14:paraId="241BFC76" w14:textId="2777FCE8" w:rsidR="00244078" w:rsidRPr="00A40CDA" w:rsidRDefault="00FE1BD6" w:rsidP="00A71F5E">
      <w:pPr>
        <w:pStyle w:val="Reference"/>
      </w:pPr>
      <w:r>
        <w:t>—— </w:t>
      </w:r>
      <w:r w:rsidR="00244078" w:rsidRPr="00A40CDA">
        <w:t xml:space="preserve">2016c, </w:t>
      </w:r>
      <w:r w:rsidR="00244078" w:rsidRPr="00A40CDA">
        <w:rPr>
          <w:i/>
          <w:iCs/>
        </w:rPr>
        <w:t>Criminal Courts, Australia, 2014</w:t>
      </w:r>
      <w:r w:rsidR="00AC6D60">
        <w:rPr>
          <w:i/>
          <w:iCs/>
        </w:rPr>
        <w:noBreakHyphen/>
      </w:r>
      <w:r w:rsidR="00244078" w:rsidRPr="00A40CDA">
        <w:rPr>
          <w:i/>
          <w:iCs/>
        </w:rPr>
        <w:t>15</w:t>
      </w:r>
      <w:r w:rsidR="00244078" w:rsidRPr="00A40CDA">
        <w:t>, March, Cat. no</w:t>
      </w:r>
      <w:r w:rsidR="005D29F4">
        <w:t>. </w:t>
      </w:r>
      <w:r w:rsidR="00244078" w:rsidRPr="00A40CDA">
        <w:t>4513.0.</w:t>
      </w:r>
    </w:p>
    <w:p w14:paraId="60B107F7" w14:textId="655A0C83" w:rsidR="00244078" w:rsidRPr="00A40CDA" w:rsidRDefault="00FE1BD6" w:rsidP="00A71F5E">
      <w:pPr>
        <w:pStyle w:val="Reference"/>
      </w:pPr>
      <w:r>
        <w:t>—— </w:t>
      </w:r>
      <w:r w:rsidR="00244078" w:rsidRPr="00A40CDA">
        <w:t xml:space="preserve">2016d, </w:t>
      </w:r>
      <w:r w:rsidR="00244078" w:rsidRPr="00A40CDA">
        <w:rPr>
          <w:i/>
          <w:iCs/>
        </w:rPr>
        <w:t>Labour Force, Australia, Detailed, Quarterly, Aug 2016</w:t>
      </w:r>
      <w:r w:rsidR="00244078" w:rsidRPr="00A40CDA">
        <w:t>, September, Cat. no</w:t>
      </w:r>
      <w:r w:rsidR="005D29F4">
        <w:t>. </w:t>
      </w:r>
      <w:r w:rsidR="00244078" w:rsidRPr="00A40CDA">
        <w:t>6291.0.55.003.</w:t>
      </w:r>
    </w:p>
    <w:p w14:paraId="028B8B6A" w14:textId="1EEC2A6F" w:rsidR="00244078" w:rsidRPr="00A40CDA" w:rsidRDefault="00FE1BD6" w:rsidP="00A71F5E">
      <w:pPr>
        <w:pStyle w:val="Reference"/>
      </w:pPr>
      <w:r>
        <w:t>—— </w:t>
      </w:r>
      <w:r w:rsidR="00244078" w:rsidRPr="00A40CDA">
        <w:t xml:space="preserve">2016e, </w:t>
      </w:r>
      <w:r w:rsidR="00244078" w:rsidRPr="00A40CDA">
        <w:rPr>
          <w:i/>
          <w:iCs/>
        </w:rPr>
        <w:t>Prisoners in Australia, 2016</w:t>
      </w:r>
      <w:r w:rsidR="00244078" w:rsidRPr="00A40CDA">
        <w:t>, December, Cat. no</w:t>
      </w:r>
      <w:r w:rsidR="005D29F4">
        <w:t>. </w:t>
      </w:r>
      <w:r w:rsidR="00244078" w:rsidRPr="00A40CDA">
        <w:t>4517.0.</w:t>
      </w:r>
    </w:p>
    <w:p w14:paraId="3E701E93" w14:textId="7281E7ED" w:rsidR="00244078" w:rsidRPr="00A40CDA" w:rsidRDefault="00FE1BD6" w:rsidP="005D29F4">
      <w:pPr>
        <w:pStyle w:val="Reference"/>
      </w:pPr>
      <w:r>
        <w:t>—— </w:t>
      </w:r>
      <w:r w:rsidR="00244078" w:rsidRPr="00A40CDA">
        <w:t xml:space="preserve">2017, </w:t>
      </w:r>
      <w:r w:rsidR="00244078" w:rsidRPr="00A40CDA">
        <w:rPr>
          <w:i/>
          <w:iCs/>
        </w:rPr>
        <w:t>Schools, Australia, 2016</w:t>
      </w:r>
      <w:r w:rsidR="005D29F4">
        <w:t>,</w:t>
      </w:r>
      <w:r w:rsidR="005D29F4" w:rsidRPr="00A40CDA">
        <w:t xml:space="preserve"> </w:t>
      </w:r>
      <w:r w:rsidR="00244078" w:rsidRPr="00A40CDA">
        <w:t>February</w:t>
      </w:r>
      <w:r w:rsidR="005D29F4" w:rsidRPr="00A40CDA">
        <w:t xml:space="preserve">, </w:t>
      </w:r>
      <w:r w:rsidR="005D29F4">
        <w:t>Cat. no. 4221.0</w:t>
      </w:r>
      <w:r w:rsidR="00244078" w:rsidRPr="00A40CDA">
        <w:t>.</w:t>
      </w:r>
    </w:p>
    <w:p w14:paraId="6E51C8AA" w14:textId="6BF9F375" w:rsidR="00244078" w:rsidRPr="00A40CDA" w:rsidRDefault="00244078" w:rsidP="00A71F5E">
      <w:pPr>
        <w:pStyle w:val="Reference"/>
      </w:pPr>
      <w:r w:rsidRPr="00A40CDA">
        <w:t xml:space="preserve">ACARA (Australian Curriculum, Assessment and Reporting Authority) 2016, </w:t>
      </w:r>
      <w:r w:rsidRPr="00A40CDA">
        <w:rPr>
          <w:i/>
          <w:iCs/>
        </w:rPr>
        <w:t xml:space="preserve">Time series </w:t>
      </w:r>
      <w:r w:rsidR="005D29F4">
        <w:rPr>
          <w:i/>
          <w:iCs/>
        </w:rPr>
        <w:t>—</w:t>
      </w:r>
      <w:r w:rsidRPr="00A40CDA">
        <w:rPr>
          <w:i/>
          <w:iCs/>
        </w:rPr>
        <w:t xml:space="preserve"> NAPLAN results</w:t>
      </w:r>
      <w:r w:rsidRPr="00A40CDA">
        <w:t>, www.reports.acara.edu.au/Home/TimeSeries (accessed 15</w:t>
      </w:r>
      <w:r w:rsidR="005D29F4">
        <w:t> </w:t>
      </w:r>
      <w:r w:rsidRPr="00A40CDA">
        <w:t>December 2016).</w:t>
      </w:r>
    </w:p>
    <w:p w14:paraId="528C1BBE" w14:textId="412B3637" w:rsidR="00244078" w:rsidRPr="00A40CDA" w:rsidRDefault="00244078" w:rsidP="00A71F5E">
      <w:pPr>
        <w:pStyle w:val="Reference"/>
      </w:pPr>
      <w:r w:rsidRPr="00A40CDA">
        <w:t xml:space="preserve">AIHW (Australian Institute of Health and Welfare) 2013, </w:t>
      </w:r>
      <w:r w:rsidRPr="00A40CDA">
        <w:rPr>
          <w:i/>
          <w:iCs/>
        </w:rPr>
        <w:t xml:space="preserve">Australian </w:t>
      </w:r>
      <w:r w:rsidR="00960421">
        <w:rPr>
          <w:i/>
          <w:iCs/>
        </w:rPr>
        <w:t>H</w:t>
      </w:r>
      <w:r w:rsidRPr="00A40CDA">
        <w:rPr>
          <w:i/>
          <w:iCs/>
        </w:rPr>
        <w:t xml:space="preserve">ospital </w:t>
      </w:r>
      <w:r w:rsidR="00960421">
        <w:rPr>
          <w:i/>
          <w:iCs/>
        </w:rPr>
        <w:t>S</w:t>
      </w:r>
      <w:r w:rsidRPr="00A40CDA">
        <w:rPr>
          <w:i/>
          <w:iCs/>
        </w:rPr>
        <w:t>tatistics 2012</w:t>
      </w:r>
      <w:r w:rsidR="00AC6D60">
        <w:rPr>
          <w:i/>
          <w:iCs/>
        </w:rPr>
        <w:noBreakHyphen/>
      </w:r>
      <w:r w:rsidRPr="00A40CDA">
        <w:rPr>
          <w:i/>
          <w:iCs/>
        </w:rPr>
        <w:t xml:space="preserve">13: </w:t>
      </w:r>
      <w:r w:rsidR="00960421">
        <w:rPr>
          <w:i/>
          <w:iCs/>
        </w:rPr>
        <w:t>E</w:t>
      </w:r>
      <w:r w:rsidRPr="00A40CDA">
        <w:rPr>
          <w:i/>
          <w:iCs/>
        </w:rPr>
        <w:t xml:space="preserve">mergency </w:t>
      </w:r>
      <w:r w:rsidR="00960421">
        <w:rPr>
          <w:i/>
          <w:iCs/>
        </w:rPr>
        <w:t>D</w:t>
      </w:r>
      <w:r w:rsidRPr="00A40CDA">
        <w:rPr>
          <w:i/>
          <w:iCs/>
        </w:rPr>
        <w:t xml:space="preserve">epartment </w:t>
      </w:r>
      <w:r w:rsidR="00960421">
        <w:rPr>
          <w:i/>
          <w:iCs/>
        </w:rPr>
        <w:t>C</w:t>
      </w:r>
      <w:r w:rsidRPr="00A40CDA">
        <w:rPr>
          <w:i/>
          <w:iCs/>
        </w:rPr>
        <w:t>are</w:t>
      </w:r>
      <w:r w:rsidRPr="00A40CDA">
        <w:t>, October.</w:t>
      </w:r>
    </w:p>
    <w:p w14:paraId="641116C5" w14:textId="16EB4F15" w:rsidR="00244078" w:rsidRPr="00A40CDA" w:rsidRDefault="00FE1BD6" w:rsidP="00A71F5E">
      <w:pPr>
        <w:pStyle w:val="Reference"/>
      </w:pPr>
      <w:r>
        <w:t>—— </w:t>
      </w:r>
      <w:r w:rsidR="00244078" w:rsidRPr="00A40CDA">
        <w:t xml:space="preserve">2015, </w:t>
      </w:r>
      <w:r w:rsidR="00244078" w:rsidRPr="00A40CDA">
        <w:rPr>
          <w:i/>
          <w:iCs/>
        </w:rPr>
        <w:t xml:space="preserve">Emergency </w:t>
      </w:r>
      <w:r w:rsidR="00960421">
        <w:rPr>
          <w:i/>
          <w:iCs/>
        </w:rPr>
        <w:t>D</w:t>
      </w:r>
      <w:r w:rsidR="00244078" w:rsidRPr="00A40CDA">
        <w:rPr>
          <w:i/>
          <w:iCs/>
        </w:rPr>
        <w:t xml:space="preserve">epartment </w:t>
      </w:r>
      <w:r w:rsidR="00960421">
        <w:rPr>
          <w:i/>
          <w:iCs/>
        </w:rPr>
        <w:t>C</w:t>
      </w:r>
      <w:r w:rsidR="00244078" w:rsidRPr="00A40CDA">
        <w:rPr>
          <w:i/>
          <w:iCs/>
        </w:rPr>
        <w:t>are 2014</w:t>
      </w:r>
      <w:r w:rsidR="00AC6D60">
        <w:rPr>
          <w:i/>
          <w:iCs/>
        </w:rPr>
        <w:noBreakHyphen/>
      </w:r>
      <w:r w:rsidR="00244078" w:rsidRPr="00A40CDA">
        <w:rPr>
          <w:i/>
          <w:iCs/>
        </w:rPr>
        <w:t xml:space="preserve">15: Australian </w:t>
      </w:r>
      <w:r w:rsidR="00960421">
        <w:rPr>
          <w:i/>
          <w:iCs/>
        </w:rPr>
        <w:t>H</w:t>
      </w:r>
      <w:r w:rsidR="00244078" w:rsidRPr="00A40CDA">
        <w:rPr>
          <w:i/>
          <w:iCs/>
        </w:rPr>
        <w:t xml:space="preserve">ospital </w:t>
      </w:r>
      <w:r w:rsidR="00960421">
        <w:rPr>
          <w:i/>
          <w:iCs/>
        </w:rPr>
        <w:t>S</w:t>
      </w:r>
      <w:r w:rsidR="00244078" w:rsidRPr="00A40CDA">
        <w:rPr>
          <w:i/>
          <w:iCs/>
        </w:rPr>
        <w:t>tatistics</w:t>
      </w:r>
      <w:r w:rsidR="00244078" w:rsidRPr="00A40CDA">
        <w:t>, November.</w:t>
      </w:r>
    </w:p>
    <w:p w14:paraId="7EA38018" w14:textId="3E68072D" w:rsidR="00244078" w:rsidRPr="00A40CDA" w:rsidRDefault="00FE1BD6" w:rsidP="00A71F5E">
      <w:pPr>
        <w:pStyle w:val="Reference"/>
      </w:pPr>
      <w:r>
        <w:t>—— </w:t>
      </w:r>
      <w:r w:rsidR="00244078" w:rsidRPr="00A40CDA">
        <w:t xml:space="preserve">2017a, </w:t>
      </w:r>
      <w:r w:rsidR="00244078" w:rsidRPr="00A40CDA">
        <w:rPr>
          <w:i/>
          <w:iCs/>
        </w:rPr>
        <w:t>Procedures data cubes</w:t>
      </w:r>
      <w:r w:rsidR="00244078" w:rsidRPr="00A40CDA">
        <w:t>.</w:t>
      </w:r>
    </w:p>
    <w:p w14:paraId="61761493" w14:textId="559D4AEC" w:rsidR="00244078" w:rsidRPr="00A40CDA" w:rsidRDefault="00FE1BD6" w:rsidP="00A71F5E">
      <w:pPr>
        <w:pStyle w:val="Reference"/>
      </w:pPr>
      <w:r>
        <w:t>—— </w:t>
      </w:r>
      <w:r w:rsidR="00244078" w:rsidRPr="00A40CDA">
        <w:t xml:space="preserve">2017b, </w:t>
      </w:r>
      <w:r w:rsidR="00244078" w:rsidRPr="00A40CDA">
        <w:rPr>
          <w:i/>
          <w:iCs/>
        </w:rPr>
        <w:t>Supplementary data for life expectancy</w:t>
      </w:r>
      <w:r w:rsidR="00244078" w:rsidRPr="00A40CDA">
        <w:t>, Dataset.</w:t>
      </w:r>
    </w:p>
    <w:p w14:paraId="0A002EFC" w14:textId="57BAEE00" w:rsidR="00244078" w:rsidRPr="00A40CDA" w:rsidRDefault="00244078" w:rsidP="00A71F5E">
      <w:pPr>
        <w:pStyle w:val="Reference"/>
      </w:pPr>
      <w:r w:rsidRPr="00A40CDA">
        <w:t xml:space="preserve">Aizcorbe, A. 2013, </w:t>
      </w:r>
      <w:r w:rsidRPr="00A40CDA">
        <w:rPr>
          <w:i/>
          <w:iCs/>
        </w:rPr>
        <w:t>Recent Research on Disease</w:t>
      </w:r>
      <w:r w:rsidR="00AC6D60">
        <w:rPr>
          <w:i/>
          <w:iCs/>
        </w:rPr>
        <w:noBreakHyphen/>
      </w:r>
      <w:r w:rsidRPr="00A40CDA">
        <w:rPr>
          <w:i/>
          <w:iCs/>
        </w:rPr>
        <w:t>Based Price Indexes: Where Do We Stand?</w:t>
      </w:r>
      <w:r w:rsidRPr="00A40CDA">
        <w:t>, July, Bureau of Economic Analysis, United States.</w:t>
      </w:r>
    </w:p>
    <w:p w14:paraId="44173C62" w14:textId="77777777" w:rsidR="00244078" w:rsidRPr="00A40CDA" w:rsidRDefault="00244078" w:rsidP="00A71F5E">
      <w:pPr>
        <w:pStyle w:val="Reference"/>
      </w:pPr>
      <w:r w:rsidRPr="00A40CDA">
        <w:t xml:space="preserve">——, Retus, B. and Smith, S. 2008, </w:t>
      </w:r>
      <w:r w:rsidRPr="00A40CDA">
        <w:rPr>
          <w:i/>
          <w:iCs/>
        </w:rPr>
        <w:t>Toward a Health Care Satellite Account</w:t>
      </w:r>
      <w:r w:rsidRPr="00A40CDA">
        <w:t>, May, Bureau of Economic Analysis, United States.</w:t>
      </w:r>
    </w:p>
    <w:p w14:paraId="4A745657" w14:textId="0B841C92" w:rsidR="00244078" w:rsidRPr="00A40CDA" w:rsidRDefault="00244078" w:rsidP="00A71F5E">
      <w:pPr>
        <w:pStyle w:val="Reference"/>
      </w:pPr>
      <w:r w:rsidRPr="00A40CDA">
        <w:t xml:space="preserve">Atkinson, T. 2005, </w:t>
      </w:r>
      <w:r w:rsidRPr="00A40CDA">
        <w:rPr>
          <w:i/>
          <w:iCs/>
        </w:rPr>
        <w:t xml:space="preserve">Atkinson Review: Final Report </w:t>
      </w:r>
      <w:r w:rsidR="00AC6D60">
        <w:rPr>
          <w:i/>
          <w:iCs/>
        </w:rPr>
        <w:noBreakHyphen/>
      </w:r>
      <w:r w:rsidRPr="00A40CDA">
        <w:rPr>
          <w:i/>
          <w:iCs/>
        </w:rPr>
        <w:t xml:space="preserve"> Measurement of Government Output and Productivity for the National Accounts</w:t>
      </w:r>
      <w:r w:rsidRPr="00A40CDA">
        <w:t>, United Kingdom.</w:t>
      </w:r>
    </w:p>
    <w:p w14:paraId="6C21202B" w14:textId="77777777" w:rsidR="00244078" w:rsidRPr="00A40CDA" w:rsidRDefault="00244078" w:rsidP="00A71F5E">
      <w:pPr>
        <w:pStyle w:val="Reference"/>
      </w:pPr>
      <w:r w:rsidRPr="00A40CDA">
        <w:t xml:space="preserve">Australian Government 2007, </w:t>
      </w:r>
      <w:r w:rsidRPr="00A40CDA">
        <w:rPr>
          <w:i/>
          <w:iCs/>
        </w:rPr>
        <w:t>Intergenerational Report 2007</w:t>
      </w:r>
      <w:r w:rsidRPr="00A40CDA">
        <w:t>, April.</w:t>
      </w:r>
    </w:p>
    <w:p w14:paraId="4DDC0649" w14:textId="0B4A6E0E" w:rsidR="00244078" w:rsidRPr="00A40CDA" w:rsidRDefault="00FE1BD6" w:rsidP="00A71F5E">
      <w:pPr>
        <w:pStyle w:val="Reference"/>
      </w:pPr>
      <w:r>
        <w:t>—— </w:t>
      </w:r>
      <w:r w:rsidR="00244078" w:rsidRPr="00A40CDA">
        <w:t xml:space="preserve">2015, </w:t>
      </w:r>
      <w:r w:rsidR="00244078" w:rsidRPr="00A40CDA">
        <w:rPr>
          <w:i/>
          <w:iCs/>
        </w:rPr>
        <w:t>2015 Intergenerational Report: Australia in 2055</w:t>
      </w:r>
      <w:r w:rsidR="00244078" w:rsidRPr="00A40CDA">
        <w:t>, March.</w:t>
      </w:r>
    </w:p>
    <w:p w14:paraId="0CE9F152" w14:textId="77777777" w:rsidR="00244078" w:rsidRPr="00A40CDA" w:rsidRDefault="00244078" w:rsidP="00A71F5E">
      <w:pPr>
        <w:pStyle w:val="Reference"/>
      </w:pPr>
      <w:r w:rsidRPr="00A40CDA">
        <w:t xml:space="preserve">Baxter, J. 2002, ‘Patterns of change and stability in the gender division of household labour in Australia, 1986–1997’, </w:t>
      </w:r>
      <w:r w:rsidRPr="00A40CDA">
        <w:rPr>
          <w:i/>
          <w:iCs/>
        </w:rPr>
        <w:t>Journal of Sociology</w:t>
      </w:r>
      <w:r w:rsidRPr="00A40CDA">
        <w:t>, vol. 38, no. 4, pp. 399–424.</w:t>
      </w:r>
    </w:p>
    <w:p w14:paraId="05DB7F41" w14:textId="743C2C8C" w:rsidR="00244078" w:rsidRPr="00A40CDA" w:rsidRDefault="00244078" w:rsidP="00A71F5E">
      <w:pPr>
        <w:pStyle w:val="Reference"/>
      </w:pPr>
      <w:r w:rsidRPr="00A40CDA">
        <w:t xml:space="preserve">Bridgman, B. 2016, ‘Home </w:t>
      </w:r>
      <w:r w:rsidR="00960421">
        <w:t>p</w:t>
      </w:r>
      <w:r w:rsidRPr="00A40CDA">
        <w:t xml:space="preserve">roductivity’, </w:t>
      </w:r>
      <w:r w:rsidRPr="00A40CDA">
        <w:rPr>
          <w:i/>
          <w:iCs/>
        </w:rPr>
        <w:t>Journal of Economic Dynamics and Control</w:t>
      </w:r>
      <w:r w:rsidRPr="00A40CDA">
        <w:t>, vol. 71, pp. 60–76.</w:t>
      </w:r>
    </w:p>
    <w:p w14:paraId="50AD9763" w14:textId="7C8FBB1D" w:rsidR="00244078" w:rsidRPr="00A40CDA" w:rsidRDefault="00244078" w:rsidP="00A71F5E">
      <w:pPr>
        <w:pStyle w:val="Reference"/>
      </w:pPr>
      <w:r w:rsidRPr="00A40CDA">
        <w:t xml:space="preserve">DET (Department of Education and Training) 2005, </w:t>
      </w:r>
      <w:r w:rsidRPr="00A40CDA">
        <w:rPr>
          <w:i/>
          <w:iCs/>
        </w:rPr>
        <w:t xml:space="preserve">Selected Higher Education Statistics </w:t>
      </w:r>
      <w:r w:rsidR="005D29F4">
        <w:rPr>
          <w:i/>
          <w:iCs/>
        </w:rPr>
        <w:t>—</w:t>
      </w:r>
      <w:r w:rsidRPr="00A40CDA">
        <w:rPr>
          <w:i/>
          <w:iCs/>
        </w:rPr>
        <w:t xml:space="preserve"> 2004 Student data: All student </w:t>
      </w:r>
      <w:r w:rsidR="00316C1F">
        <w:rPr>
          <w:i/>
          <w:iCs/>
        </w:rPr>
        <w:t>L</w:t>
      </w:r>
      <w:r w:rsidRPr="00A40CDA">
        <w:rPr>
          <w:i/>
          <w:iCs/>
        </w:rPr>
        <w:t>oad</w:t>
      </w:r>
      <w:r w:rsidRPr="00A40CDA">
        <w:t>.</w:t>
      </w:r>
    </w:p>
    <w:p w14:paraId="2E958257" w14:textId="5D32BBC6" w:rsidR="00244078" w:rsidRPr="00A40CDA" w:rsidRDefault="00FE1BD6" w:rsidP="00A71F5E">
      <w:pPr>
        <w:pStyle w:val="Reference"/>
      </w:pPr>
      <w:r>
        <w:t>—— </w:t>
      </w:r>
      <w:r w:rsidR="00244078" w:rsidRPr="00A40CDA">
        <w:t xml:space="preserve">2016, </w:t>
      </w:r>
      <w:r w:rsidR="00244078" w:rsidRPr="00A40CDA">
        <w:rPr>
          <w:i/>
          <w:iCs/>
        </w:rPr>
        <w:t xml:space="preserve">Selected Higher Education Statistics </w:t>
      </w:r>
      <w:r w:rsidR="005D29F4">
        <w:rPr>
          <w:i/>
          <w:iCs/>
        </w:rPr>
        <w:t>—</w:t>
      </w:r>
      <w:r w:rsidR="00244078" w:rsidRPr="00A40CDA">
        <w:rPr>
          <w:i/>
          <w:iCs/>
        </w:rPr>
        <w:t xml:space="preserve"> 2015 Student data: All student load</w:t>
      </w:r>
      <w:r w:rsidR="00244078" w:rsidRPr="00A40CDA">
        <w:t>.</w:t>
      </w:r>
    </w:p>
    <w:p w14:paraId="38B6011F" w14:textId="5BC98DAE" w:rsidR="00244078" w:rsidRPr="00A40CDA" w:rsidRDefault="00244078" w:rsidP="00A71F5E">
      <w:pPr>
        <w:pStyle w:val="Reference"/>
      </w:pPr>
      <w:r w:rsidRPr="00A40CDA">
        <w:t xml:space="preserve">Diewert, W.E. 2011, ‘Measuring </w:t>
      </w:r>
      <w:r w:rsidR="00960421">
        <w:t>p</w:t>
      </w:r>
      <w:r w:rsidRPr="00A40CDA">
        <w:t xml:space="preserve">roductivity in the </w:t>
      </w:r>
      <w:r w:rsidR="00960421">
        <w:t>p</w:t>
      </w:r>
      <w:r w:rsidRPr="00A40CDA">
        <w:t xml:space="preserve">ublic </w:t>
      </w:r>
      <w:r w:rsidR="00960421">
        <w:t>s</w:t>
      </w:r>
      <w:r w:rsidRPr="00A40CDA">
        <w:t xml:space="preserve">ector: Some </w:t>
      </w:r>
      <w:r w:rsidR="00960421">
        <w:t>c</w:t>
      </w:r>
      <w:r w:rsidRPr="00A40CDA">
        <w:t xml:space="preserve">onceptual </w:t>
      </w:r>
      <w:r w:rsidR="00960421">
        <w:t>p</w:t>
      </w:r>
      <w:r w:rsidRPr="00A40CDA">
        <w:t xml:space="preserve">roblems’, </w:t>
      </w:r>
      <w:r w:rsidRPr="00A40CDA">
        <w:rPr>
          <w:i/>
          <w:iCs/>
        </w:rPr>
        <w:t>Journal of Productivity Analysis</w:t>
      </w:r>
      <w:r w:rsidRPr="00A40CDA">
        <w:t>, vol. 36, no. 2, pp. 177–191.</w:t>
      </w:r>
    </w:p>
    <w:p w14:paraId="3955E0F9" w14:textId="7CA617A1" w:rsidR="00244078" w:rsidRPr="00A40CDA" w:rsidRDefault="00244078" w:rsidP="00A71F5E">
      <w:pPr>
        <w:pStyle w:val="Reference"/>
      </w:pPr>
      <w:r w:rsidRPr="00A40CDA">
        <w:t xml:space="preserve">DoH (Department of Health) 2003, </w:t>
      </w:r>
      <w:r w:rsidRPr="00A40CDA">
        <w:rPr>
          <w:i/>
          <w:iCs/>
        </w:rPr>
        <w:t xml:space="preserve">Pharmaceutical Benefits Scheme </w:t>
      </w:r>
      <w:r w:rsidR="00AC6D60">
        <w:rPr>
          <w:i/>
          <w:iCs/>
        </w:rPr>
        <w:noBreakHyphen/>
      </w:r>
      <w:r w:rsidRPr="00A40CDA">
        <w:rPr>
          <w:i/>
          <w:iCs/>
        </w:rPr>
        <w:t xml:space="preserve"> Expenditure and </w:t>
      </w:r>
      <w:r w:rsidR="005D29F4" w:rsidRPr="00A40CDA">
        <w:rPr>
          <w:i/>
          <w:iCs/>
        </w:rPr>
        <w:t xml:space="preserve">Prescriptions </w:t>
      </w:r>
      <w:r w:rsidRPr="00A40CDA">
        <w:rPr>
          <w:i/>
          <w:iCs/>
        </w:rPr>
        <w:t>twelve months to 30</w:t>
      </w:r>
      <w:r w:rsidR="00AC6D60">
        <w:rPr>
          <w:i/>
          <w:iCs/>
        </w:rPr>
        <w:t> </w:t>
      </w:r>
      <w:r w:rsidRPr="00A40CDA">
        <w:rPr>
          <w:i/>
          <w:iCs/>
        </w:rPr>
        <w:t>June 2003</w:t>
      </w:r>
      <w:r w:rsidRPr="00A40CDA">
        <w:t>.</w:t>
      </w:r>
    </w:p>
    <w:p w14:paraId="2EA47AB6" w14:textId="0C31515B" w:rsidR="00244078" w:rsidRPr="00A40CDA" w:rsidRDefault="00FE1BD6" w:rsidP="00A71F5E">
      <w:pPr>
        <w:pStyle w:val="Reference"/>
      </w:pPr>
      <w:r>
        <w:t>—— </w:t>
      </w:r>
      <w:r w:rsidR="00244078" w:rsidRPr="00A40CDA">
        <w:t xml:space="preserve">2016a, </w:t>
      </w:r>
      <w:r w:rsidR="00244078" w:rsidRPr="00A40CDA">
        <w:rPr>
          <w:i/>
          <w:iCs/>
        </w:rPr>
        <w:t>Annual Medicare Statistics</w:t>
      </w:r>
      <w:r w:rsidR="00244078" w:rsidRPr="00A40CDA">
        <w:t>, August.</w:t>
      </w:r>
    </w:p>
    <w:p w14:paraId="7704722E" w14:textId="21316231" w:rsidR="00244078" w:rsidRPr="00A40CDA" w:rsidRDefault="00FE1BD6" w:rsidP="00A71F5E">
      <w:pPr>
        <w:pStyle w:val="Reference"/>
      </w:pPr>
      <w:r>
        <w:t>—— </w:t>
      </w:r>
      <w:r w:rsidR="00244078" w:rsidRPr="00A40CDA">
        <w:t xml:space="preserve">2016b, </w:t>
      </w:r>
      <w:r w:rsidR="00244078" w:rsidRPr="00A40CDA">
        <w:rPr>
          <w:i/>
          <w:iCs/>
        </w:rPr>
        <w:t>Pharmaceutical Benefits Scheme expenditure and prescriptions twelve months to 30</w:t>
      </w:r>
      <w:r w:rsidR="00AC6D60">
        <w:rPr>
          <w:i/>
          <w:iCs/>
        </w:rPr>
        <w:t> </w:t>
      </w:r>
      <w:r w:rsidR="00244078" w:rsidRPr="00A40CDA">
        <w:rPr>
          <w:i/>
          <w:iCs/>
        </w:rPr>
        <w:t>June 2016</w:t>
      </w:r>
      <w:r w:rsidR="00244078" w:rsidRPr="00A40CDA">
        <w:t>, December.</w:t>
      </w:r>
    </w:p>
    <w:p w14:paraId="009D354B" w14:textId="77777777" w:rsidR="00244078" w:rsidRPr="00A40CDA" w:rsidRDefault="00244078" w:rsidP="00A71F5E">
      <w:pPr>
        <w:pStyle w:val="Reference"/>
      </w:pPr>
      <w:r w:rsidRPr="00A40CDA">
        <w:t xml:space="preserve">Douglas, J. 2006, </w:t>
      </w:r>
      <w:r w:rsidRPr="00A40CDA">
        <w:rPr>
          <w:i/>
          <w:iCs/>
        </w:rPr>
        <w:t>Measurement of Public Sector Output and Productivity</w:t>
      </w:r>
      <w:r w:rsidRPr="00A40CDA">
        <w:t>, Policy Perspectives Paper, November, NZ Treasury, Wellington, NZ.</w:t>
      </w:r>
    </w:p>
    <w:p w14:paraId="2A1224FC" w14:textId="6401484C" w:rsidR="00244078" w:rsidRPr="00A40CDA" w:rsidRDefault="00316C1F" w:rsidP="00A71F5E">
      <w:pPr>
        <w:pStyle w:val="Reference"/>
      </w:pPr>
      <w:r>
        <w:t xml:space="preserve">Dunleavy, P. 2016, </w:t>
      </w:r>
      <w:r w:rsidR="00244078" w:rsidRPr="00A40CDA">
        <w:t xml:space="preserve">Public </w:t>
      </w:r>
      <w:r>
        <w:t>s</w:t>
      </w:r>
      <w:r w:rsidR="00244078" w:rsidRPr="00A40CDA">
        <w:t xml:space="preserve">ector </w:t>
      </w:r>
      <w:r>
        <w:t>p</w:t>
      </w:r>
      <w:r w:rsidR="00244078" w:rsidRPr="00A40CDA">
        <w:t>roductivity: Measurement challenges, performance information, and prospects for improvement’, presented at The 12th Annual Meeting of the OECD Senior Budget Officials Performance and Results Network, Paris, November.</w:t>
      </w:r>
    </w:p>
    <w:p w14:paraId="1521ADDE" w14:textId="77777777" w:rsidR="00244078" w:rsidRPr="00A40CDA" w:rsidRDefault="00244078" w:rsidP="00A71F5E">
      <w:pPr>
        <w:pStyle w:val="Reference"/>
      </w:pPr>
      <w:r w:rsidRPr="00A40CDA">
        <w:t xml:space="preserve">Dunn, A., Rittmueller, L. and Whitmire, B. 2015, </w:t>
      </w:r>
      <w:r w:rsidRPr="00A40CDA">
        <w:rPr>
          <w:i/>
          <w:iCs/>
        </w:rPr>
        <w:t>Introducing the New BEA Health Care Satellite Account</w:t>
      </w:r>
      <w:r w:rsidRPr="00A40CDA">
        <w:t>, January, Bureau of Economic Analysis, United States.</w:t>
      </w:r>
    </w:p>
    <w:p w14:paraId="4817E637" w14:textId="77777777" w:rsidR="00244078" w:rsidRPr="00A40CDA" w:rsidRDefault="00244078" w:rsidP="00A71F5E">
      <w:pPr>
        <w:pStyle w:val="Reference"/>
      </w:pPr>
      <w:r w:rsidRPr="00A40CDA">
        <w:t xml:space="preserve">Eurostat 2001, </w:t>
      </w:r>
      <w:r w:rsidRPr="00A40CDA">
        <w:rPr>
          <w:i/>
          <w:iCs/>
        </w:rPr>
        <w:t>Handbook on Price and Volume Measures in National Accounts</w:t>
      </w:r>
      <w:r w:rsidRPr="00A40CDA">
        <w:t>, European Commission, Luxembourg.</w:t>
      </w:r>
    </w:p>
    <w:p w14:paraId="57E7B5E4" w14:textId="28633068" w:rsidR="00244078" w:rsidRPr="00A40CDA" w:rsidRDefault="00316C1F" w:rsidP="00A71F5E">
      <w:pPr>
        <w:pStyle w:val="Reference"/>
      </w:pPr>
      <w:r>
        <w:t xml:space="preserve">Gruen, D. 2012, </w:t>
      </w:r>
      <w:r w:rsidR="00244078" w:rsidRPr="00A40CDA">
        <w:t>The importance of productivity’, presented at Productivity Commission</w:t>
      </w:r>
      <w:r w:rsidR="00AC6D60">
        <w:t xml:space="preserve"> </w:t>
      </w:r>
      <w:r w:rsidR="004D28EC">
        <w:t>–</w:t>
      </w:r>
      <w:r w:rsidR="00AC6D60">
        <w:t xml:space="preserve"> </w:t>
      </w:r>
      <w:r w:rsidR="00244078" w:rsidRPr="00A40CDA">
        <w:t>Australian Bureau of Statistics Productivity Perspectives Conference, 20</w:t>
      </w:r>
      <w:r w:rsidR="005D29F4">
        <w:t> </w:t>
      </w:r>
      <w:r w:rsidR="00244078" w:rsidRPr="00A40CDA">
        <w:t>November.</w:t>
      </w:r>
    </w:p>
    <w:p w14:paraId="6F39CF2E" w14:textId="250F8398" w:rsidR="00244078" w:rsidRPr="00A40CDA" w:rsidRDefault="00244078" w:rsidP="00A71F5E">
      <w:pPr>
        <w:pStyle w:val="Reference"/>
      </w:pPr>
      <w:r w:rsidRPr="00A40CDA">
        <w:t xml:space="preserve">Lee, P. 2008, </w:t>
      </w:r>
      <w:r w:rsidRPr="00A40CDA">
        <w:rPr>
          <w:i/>
          <w:iCs/>
        </w:rPr>
        <w:t xml:space="preserve">Measuring </w:t>
      </w:r>
      <w:r w:rsidR="00316C1F">
        <w:rPr>
          <w:i/>
          <w:iCs/>
        </w:rPr>
        <w:t>N</w:t>
      </w:r>
      <w:r w:rsidRPr="00A40CDA">
        <w:rPr>
          <w:i/>
          <w:iCs/>
        </w:rPr>
        <w:t>on</w:t>
      </w:r>
      <w:r w:rsidR="00AC6D60">
        <w:rPr>
          <w:i/>
          <w:iCs/>
        </w:rPr>
        <w:noBreakHyphen/>
      </w:r>
      <w:r w:rsidRPr="00A40CDA">
        <w:rPr>
          <w:i/>
          <w:iCs/>
        </w:rPr>
        <w:t xml:space="preserve">market </w:t>
      </w:r>
      <w:r w:rsidR="00316C1F">
        <w:rPr>
          <w:i/>
          <w:iCs/>
        </w:rPr>
        <w:t>O</w:t>
      </w:r>
      <w:r w:rsidRPr="00A40CDA">
        <w:rPr>
          <w:i/>
          <w:iCs/>
        </w:rPr>
        <w:t xml:space="preserve">utput and </w:t>
      </w:r>
      <w:r w:rsidR="00316C1F">
        <w:rPr>
          <w:i/>
          <w:iCs/>
        </w:rPr>
        <w:t>P</w:t>
      </w:r>
      <w:r w:rsidRPr="00A40CDA">
        <w:rPr>
          <w:i/>
          <w:iCs/>
        </w:rPr>
        <w:t>roductivity</w:t>
      </w:r>
      <w:r w:rsidRPr="00A40CDA">
        <w:t>, December, Paper prepared for Economic Measurement Group meeting, Office for National Statistics.</w:t>
      </w:r>
    </w:p>
    <w:p w14:paraId="17CE125F" w14:textId="2FC9D4B6" w:rsidR="00244078" w:rsidRPr="00A40CDA" w:rsidRDefault="00244078" w:rsidP="00A71F5E">
      <w:pPr>
        <w:pStyle w:val="Reference"/>
      </w:pPr>
      <w:r w:rsidRPr="00A40CDA">
        <w:t xml:space="preserve">Northwood, K., Hinchcliffe, C., Henderson, L. and Rawnsley, T. 2001, </w:t>
      </w:r>
      <w:r w:rsidRPr="00A40CDA">
        <w:rPr>
          <w:i/>
          <w:iCs/>
        </w:rPr>
        <w:t>Experimental Output Measures for the Australian Justice Sector, 1993</w:t>
      </w:r>
      <w:r w:rsidR="00AC6D60">
        <w:rPr>
          <w:i/>
          <w:iCs/>
        </w:rPr>
        <w:noBreakHyphen/>
      </w:r>
      <w:r w:rsidRPr="00A40CDA">
        <w:rPr>
          <w:i/>
          <w:iCs/>
        </w:rPr>
        <w:t>94 and 1998</w:t>
      </w:r>
      <w:r w:rsidR="00AC6D60">
        <w:rPr>
          <w:i/>
          <w:iCs/>
        </w:rPr>
        <w:noBreakHyphen/>
      </w:r>
      <w:r w:rsidRPr="00A40CDA">
        <w:rPr>
          <w:i/>
          <w:iCs/>
        </w:rPr>
        <w:t>99</w:t>
      </w:r>
      <w:r w:rsidRPr="00A40CDA">
        <w:t>, August, Cat. no</w:t>
      </w:r>
      <w:r w:rsidR="005D29F4">
        <w:t>. </w:t>
      </w:r>
      <w:r w:rsidRPr="00A40CDA">
        <w:t>1351.0.55.003, Australian Bureau of Statistics.</w:t>
      </w:r>
    </w:p>
    <w:p w14:paraId="57A38753" w14:textId="4B8191F2" w:rsidR="00244078" w:rsidRPr="00A40CDA" w:rsidRDefault="00244078" w:rsidP="00A71F5E">
      <w:pPr>
        <w:pStyle w:val="Reference"/>
      </w:pPr>
      <w:r w:rsidRPr="00A40CDA">
        <w:t>OECD (Organisation for Economic Co</w:t>
      </w:r>
      <w:r w:rsidR="00AC6D60">
        <w:noBreakHyphen/>
      </w:r>
      <w:r w:rsidRPr="00A40CDA">
        <w:t xml:space="preserve">operation and Development) 2016, </w:t>
      </w:r>
      <w:r w:rsidRPr="00A40CDA">
        <w:rPr>
          <w:i/>
          <w:iCs/>
        </w:rPr>
        <w:t>Programme for International Student Assessment (PISA)</w:t>
      </w:r>
      <w:r w:rsidRPr="00A40CDA">
        <w:t>, Dataset, www.oecd.org/pisa/data/ (accessed 14</w:t>
      </w:r>
      <w:r w:rsidR="005D29F4">
        <w:t> </w:t>
      </w:r>
      <w:r w:rsidRPr="00A40CDA">
        <w:t>December 2016).</w:t>
      </w:r>
    </w:p>
    <w:p w14:paraId="378B5990" w14:textId="1060599F" w:rsidR="00244078" w:rsidRPr="00A40CDA" w:rsidRDefault="00244078" w:rsidP="00A71F5E">
      <w:pPr>
        <w:pStyle w:val="Reference"/>
      </w:pPr>
      <w:r w:rsidRPr="00A40CDA">
        <w:t xml:space="preserve">ONS (Office for National Statistics) 2017a, </w:t>
      </w:r>
      <w:r w:rsidRPr="00A40CDA">
        <w:rPr>
          <w:i/>
          <w:iCs/>
        </w:rPr>
        <w:t xml:space="preserve">Public </w:t>
      </w:r>
      <w:r w:rsidR="00316C1F">
        <w:rPr>
          <w:i/>
          <w:iCs/>
        </w:rPr>
        <w:t>S</w:t>
      </w:r>
      <w:r w:rsidRPr="00A40CDA">
        <w:rPr>
          <w:i/>
          <w:iCs/>
        </w:rPr>
        <w:t xml:space="preserve">ervice </w:t>
      </w:r>
      <w:r w:rsidR="00316C1F">
        <w:rPr>
          <w:i/>
          <w:iCs/>
        </w:rPr>
        <w:t>P</w:t>
      </w:r>
      <w:r w:rsidRPr="00A40CDA">
        <w:rPr>
          <w:i/>
          <w:iCs/>
        </w:rPr>
        <w:t xml:space="preserve">roductivity </w:t>
      </w:r>
      <w:r w:rsidR="00316C1F">
        <w:rPr>
          <w:i/>
          <w:iCs/>
        </w:rPr>
        <w:t>E</w:t>
      </w:r>
      <w:r w:rsidRPr="00A40CDA">
        <w:rPr>
          <w:i/>
          <w:iCs/>
        </w:rPr>
        <w:t xml:space="preserve">stimates: </w:t>
      </w:r>
      <w:r w:rsidR="00316C1F">
        <w:rPr>
          <w:i/>
          <w:iCs/>
        </w:rPr>
        <w:t>T</w:t>
      </w:r>
      <w:r w:rsidRPr="00A40CDA">
        <w:rPr>
          <w:i/>
          <w:iCs/>
        </w:rPr>
        <w:t xml:space="preserve">otal </w:t>
      </w:r>
      <w:r w:rsidR="00316C1F">
        <w:rPr>
          <w:i/>
          <w:iCs/>
        </w:rPr>
        <w:t>P</w:t>
      </w:r>
      <w:r w:rsidRPr="00A40CDA">
        <w:rPr>
          <w:i/>
          <w:iCs/>
        </w:rPr>
        <w:t xml:space="preserve">ublic </w:t>
      </w:r>
      <w:r w:rsidR="00316C1F">
        <w:rPr>
          <w:i/>
          <w:iCs/>
        </w:rPr>
        <w:t>S</w:t>
      </w:r>
      <w:r w:rsidRPr="00A40CDA">
        <w:rPr>
          <w:i/>
          <w:iCs/>
        </w:rPr>
        <w:t>ervice, UK: 2014</w:t>
      </w:r>
      <w:r w:rsidRPr="00A40CDA">
        <w:t>, 6</w:t>
      </w:r>
      <w:r w:rsidR="005D29F4">
        <w:t> </w:t>
      </w:r>
      <w:r w:rsidRPr="00A40CDA">
        <w:t>January, United Kingdom.</w:t>
      </w:r>
    </w:p>
    <w:p w14:paraId="77F7BE0E" w14:textId="10938256" w:rsidR="00244078" w:rsidRPr="00A40CDA" w:rsidRDefault="00FE1BD6" w:rsidP="00A71F5E">
      <w:pPr>
        <w:pStyle w:val="Reference"/>
      </w:pPr>
      <w:r>
        <w:t>—— </w:t>
      </w:r>
      <w:r w:rsidR="00244078" w:rsidRPr="00A40CDA">
        <w:t xml:space="preserve">2017b, </w:t>
      </w:r>
      <w:r w:rsidR="00244078" w:rsidRPr="00A40CDA">
        <w:rPr>
          <w:i/>
          <w:iCs/>
        </w:rPr>
        <w:t xml:space="preserve">UK </w:t>
      </w:r>
      <w:r w:rsidR="005D29F4" w:rsidRPr="00A40CDA">
        <w:rPr>
          <w:i/>
          <w:iCs/>
        </w:rPr>
        <w:t>Productivity Introduction</w:t>
      </w:r>
      <w:r w:rsidR="00244078" w:rsidRPr="00A40CDA">
        <w:rPr>
          <w:i/>
          <w:iCs/>
        </w:rPr>
        <w:t>: Oct to Dec 2016</w:t>
      </w:r>
      <w:r w:rsidR="00244078" w:rsidRPr="00A40CDA">
        <w:t>, 5 April, United Kingdom.</w:t>
      </w:r>
    </w:p>
    <w:p w14:paraId="764309A2" w14:textId="77777777" w:rsidR="00244078" w:rsidRPr="00A40CDA" w:rsidRDefault="00244078" w:rsidP="00A71F5E">
      <w:pPr>
        <w:pStyle w:val="Reference"/>
      </w:pPr>
      <w:r w:rsidRPr="00A40CDA">
        <w:t xml:space="preserve">PC (Productivity Commission) 2016, </w:t>
      </w:r>
      <w:r w:rsidRPr="00A40CDA">
        <w:rPr>
          <w:i/>
          <w:iCs/>
        </w:rPr>
        <w:t>PC Productivity Update 2016</w:t>
      </w:r>
      <w:r w:rsidRPr="00A40CDA">
        <w:t>.</w:t>
      </w:r>
    </w:p>
    <w:p w14:paraId="04D57115" w14:textId="2F18F468" w:rsidR="00244078" w:rsidRPr="00A40CDA" w:rsidRDefault="0034184C" w:rsidP="00A71F5E">
      <w:pPr>
        <w:pStyle w:val="Reference"/>
      </w:pPr>
      <w:r>
        <w:t xml:space="preserve">Schreyer, P. 2008, </w:t>
      </w:r>
      <w:r w:rsidR="00244078" w:rsidRPr="00A40CDA">
        <w:t xml:space="preserve">Output and </w:t>
      </w:r>
      <w:r>
        <w:t>o</w:t>
      </w:r>
      <w:r w:rsidR="00244078" w:rsidRPr="00A40CDA">
        <w:t xml:space="preserve">utcome </w:t>
      </w:r>
      <w:r w:rsidR="005D29F4">
        <w:t>—</w:t>
      </w:r>
      <w:r w:rsidR="00244078" w:rsidRPr="00A40CDA">
        <w:t xml:space="preserve"> Measuring the </w:t>
      </w:r>
      <w:r>
        <w:t>p</w:t>
      </w:r>
      <w:r w:rsidR="00244078" w:rsidRPr="00A40CDA">
        <w:t xml:space="preserve">roduction of </w:t>
      </w:r>
      <w:r>
        <w:t>n</w:t>
      </w:r>
      <w:r w:rsidR="00244078" w:rsidRPr="00A40CDA">
        <w:t>on</w:t>
      </w:r>
      <w:r w:rsidR="00AC6D60">
        <w:noBreakHyphen/>
      </w:r>
      <w:r>
        <w:t>m</w:t>
      </w:r>
      <w:r w:rsidR="00244078" w:rsidRPr="00A40CDA">
        <w:t xml:space="preserve">arket </w:t>
      </w:r>
      <w:r>
        <w:t>services</w:t>
      </w:r>
      <w:r w:rsidR="00244078" w:rsidRPr="00A40CDA">
        <w:t>, presented at 30th General Conference of The International Association for Research in Income and Wealth, Portoroz, Slovenia, August.</w:t>
      </w:r>
    </w:p>
    <w:p w14:paraId="0B5FF565" w14:textId="526CB2C2" w:rsidR="00244078" w:rsidRPr="00A40CDA" w:rsidRDefault="00FE1BD6" w:rsidP="00A71F5E">
      <w:pPr>
        <w:pStyle w:val="Reference"/>
      </w:pPr>
      <w:r>
        <w:t>—— </w:t>
      </w:r>
      <w:r w:rsidR="00244078" w:rsidRPr="00A40CDA">
        <w:t xml:space="preserve">2010, </w:t>
      </w:r>
      <w:r w:rsidR="00244078" w:rsidRPr="00A40CDA">
        <w:rPr>
          <w:i/>
          <w:iCs/>
        </w:rPr>
        <w:t>Towards Measuring the Volume Output of Education and Health Services: A Handbook</w:t>
      </w:r>
      <w:r w:rsidR="00244078" w:rsidRPr="00A40CDA">
        <w:t>, OECD Statistics Working Papers, 2010/02, OECD Publishing, Paris.</w:t>
      </w:r>
    </w:p>
    <w:p w14:paraId="7B55D118" w14:textId="77777777" w:rsidR="00244078" w:rsidRPr="00A40CDA" w:rsidRDefault="00244078" w:rsidP="00A71F5E">
      <w:pPr>
        <w:pStyle w:val="Reference"/>
      </w:pPr>
      <w:r w:rsidRPr="00A40CDA">
        <w:t xml:space="preserve">SCRGSP (Steering Committee for the Review of Government Service Provision) 1997, </w:t>
      </w:r>
      <w:r w:rsidRPr="00A40CDA">
        <w:rPr>
          <w:i/>
          <w:iCs/>
        </w:rPr>
        <w:t>Report on Government Services 1997</w:t>
      </w:r>
      <w:r w:rsidRPr="00A40CDA">
        <w:t>, Productivity Commission.</w:t>
      </w:r>
    </w:p>
    <w:p w14:paraId="264388C5" w14:textId="4DC12D74" w:rsidR="00244078" w:rsidRPr="00A40CDA" w:rsidRDefault="00FE1BD6" w:rsidP="00A71F5E">
      <w:pPr>
        <w:pStyle w:val="Reference"/>
      </w:pPr>
      <w:r>
        <w:t>—— </w:t>
      </w:r>
      <w:r w:rsidR="00244078" w:rsidRPr="00A40CDA">
        <w:t xml:space="preserve">2016, </w:t>
      </w:r>
      <w:r w:rsidR="00244078" w:rsidRPr="00A40CDA">
        <w:rPr>
          <w:i/>
          <w:iCs/>
        </w:rPr>
        <w:t>Report on Government Services 2016</w:t>
      </w:r>
      <w:r w:rsidR="00244078" w:rsidRPr="00A40CDA">
        <w:t>, Productivity Commission.</w:t>
      </w:r>
    </w:p>
    <w:p w14:paraId="07E2BB92" w14:textId="2ED985D3" w:rsidR="00244078" w:rsidRPr="00A40CDA" w:rsidRDefault="00FE1BD6" w:rsidP="00A71F5E">
      <w:pPr>
        <w:pStyle w:val="Reference"/>
      </w:pPr>
      <w:r>
        <w:t>—— </w:t>
      </w:r>
      <w:r w:rsidR="00244078" w:rsidRPr="00A40CDA">
        <w:t xml:space="preserve">2017, </w:t>
      </w:r>
      <w:r w:rsidR="00244078" w:rsidRPr="00A40CDA">
        <w:rPr>
          <w:i/>
          <w:iCs/>
        </w:rPr>
        <w:t>Report on Government Services 2017</w:t>
      </w:r>
      <w:r w:rsidR="00244078" w:rsidRPr="00A40CDA">
        <w:t>, Productivity Commission.</w:t>
      </w:r>
    </w:p>
    <w:p w14:paraId="204286E4" w14:textId="0D2A26F7" w:rsidR="00244078" w:rsidRPr="00A40CDA" w:rsidRDefault="00244078" w:rsidP="00A71F5E">
      <w:pPr>
        <w:pStyle w:val="Reference"/>
      </w:pPr>
      <w:r w:rsidRPr="00A40CDA">
        <w:t xml:space="preserve">Standing Committee on Economics 2010, </w:t>
      </w:r>
      <w:r w:rsidR="0034184C">
        <w:rPr>
          <w:i/>
          <w:iCs/>
        </w:rPr>
        <w:t>Inquiry into Raising the Productivity Growth Rate in the Australian E</w:t>
      </w:r>
      <w:r w:rsidRPr="00A40CDA">
        <w:rPr>
          <w:i/>
          <w:iCs/>
        </w:rPr>
        <w:t>conomy</w:t>
      </w:r>
      <w:r w:rsidRPr="00A40CDA">
        <w:t>, 28</w:t>
      </w:r>
      <w:r w:rsidR="005D29F4">
        <w:t> </w:t>
      </w:r>
      <w:r w:rsidRPr="00A40CDA">
        <w:t>April, House of Representatives.</w:t>
      </w:r>
    </w:p>
    <w:p w14:paraId="333D8ACE" w14:textId="0C66103B" w:rsidR="00244078" w:rsidRPr="00A40CDA" w:rsidRDefault="00244078" w:rsidP="00A71F5E">
      <w:pPr>
        <w:pStyle w:val="Reference"/>
      </w:pPr>
      <w:r w:rsidRPr="00A40CDA">
        <w:t xml:space="preserve">Statistics NZ 2010, </w:t>
      </w:r>
      <w:r w:rsidR="0034184C">
        <w:rPr>
          <w:i/>
          <w:iCs/>
        </w:rPr>
        <w:t>Measuring Government Sector Productivity in New Zealand: a Feasibility S</w:t>
      </w:r>
      <w:r w:rsidRPr="00A40CDA">
        <w:rPr>
          <w:i/>
          <w:iCs/>
        </w:rPr>
        <w:t>tudy</w:t>
      </w:r>
      <w:r w:rsidRPr="00A40CDA">
        <w:t>, March, New Zealand.</w:t>
      </w:r>
    </w:p>
    <w:p w14:paraId="5B02E098" w14:textId="4A92C01E" w:rsidR="00244078" w:rsidRPr="00A40CDA" w:rsidRDefault="00FE1BD6" w:rsidP="00A71F5E">
      <w:pPr>
        <w:pStyle w:val="Reference"/>
      </w:pPr>
      <w:r>
        <w:t>—— </w:t>
      </w:r>
      <w:r w:rsidR="00244078" w:rsidRPr="00A40CDA">
        <w:t xml:space="preserve">2013, </w:t>
      </w:r>
      <w:r w:rsidR="0034184C">
        <w:rPr>
          <w:i/>
          <w:iCs/>
        </w:rPr>
        <w:t>Education and Health Industry P</w:t>
      </w:r>
      <w:r w:rsidR="00244078" w:rsidRPr="00A40CDA">
        <w:rPr>
          <w:i/>
          <w:iCs/>
        </w:rPr>
        <w:t>roductivity 1996–2011</w:t>
      </w:r>
      <w:r w:rsidR="00244078" w:rsidRPr="00A40CDA">
        <w:t>, April, New Zealand.</w:t>
      </w:r>
    </w:p>
    <w:p w14:paraId="186F064E" w14:textId="2B4F0CFC" w:rsidR="00244078" w:rsidRPr="00A40CDA" w:rsidRDefault="0034184C" w:rsidP="00A71F5E">
      <w:pPr>
        <w:pStyle w:val="Reference"/>
      </w:pPr>
      <w:r>
        <w:t xml:space="preserve">Summers, L. 2015, </w:t>
      </w:r>
      <w:r w:rsidR="00244078" w:rsidRPr="00A40CDA">
        <w:t xml:space="preserve">Reflections on the </w:t>
      </w:r>
      <w:r>
        <w:t>p</w:t>
      </w:r>
      <w:r w:rsidR="00244078" w:rsidRPr="00A40CDA">
        <w:t xml:space="preserve">roductivity </w:t>
      </w:r>
      <w:r>
        <w:t>slowdown</w:t>
      </w:r>
      <w:r w:rsidR="00244078" w:rsidRPr="00A40CDA">
        <w:t>, presented at Making Sense of the Productivity Slowdown, United States, Peterson Institute for International Economics, 16 November.</w:t>
      </w:r>
    </w:p>
    <w:p w14:paraId="7651A511" w14:textId="04C0001E" w:rsidR="00244078" w:rsidRPr="00A40CDA" w:rsidRDefault="00244078" w:rsidP="00A71F5E">
      <w:pPr>
        <w:pStyle w:val="Reference"/>
      </w:pPr>
      <w:r w:rsidRPr="00A40CDA">
        <w:t xml:space="preserve">Thomson, S., De Bortoli, L. and Underwood, C. 2016, </w:t>
      </w:r>
      <w:r w:rsidRPr="00A40CDA">
        <w:rPr>
          <w:i/>
          <w:iCs/>
        </w:rPr>
        <w:t xml:space="preserve">PISA 2015: A </w:t>
      </w:r>
      <w:r w:rsidR="0034184C">
        <w:rPr>
          <w:i/>
          <w:iCs/>
        </w:rPr>
        <w:t>First Look at Australian Student’s P</w:t>
      </w:r>
      <w:r w:rsidRPr="00A40CDA">
        <w:rPr>
          <w:i/>
          <w:iCs/>
        </w:rPr>
        <w:t>erformance</w:t>
      </w:r>
      <w:r w:rsidRPr="00A40CDA">
        <w:t>, December, Australian Council for Educational Research.</w:t>
      </w:r>
    </w:p>
    <w:p w14:paraId="35366900" w14:textId="36FFEF68" w:rsidR="00244078" w:rsidRPr="00A40CDA" w:rsidRDefault="00244078" w:rsidP="00A71F5E">
      <w:pPr>
        <w:pStyle w:val="Reference"/>
      </w:pPr>
      <w:r w:rsidRPr="00A40CDA">
        <w:t xml:space="preserve">Trewin, D. 2004, ‘Measurement of services: Recent ABS experience’, </w:t>
      </w:r>
      <w:r w:rsidRPr="00A40CDA">
        <w:rPr>
          <w:i/>
          <w:iCs/>
        </w:rPr>
        <w:t xml:space="preserve">Statistical </w:t>
      </w:r>
      <w:r w:rsidR="005D29F4" w:rsidRPr="00A40CDA">
        <w:rPr>
          <w:i/>
          <w:iCs/>
        </w:rPr>
        <w:t>Journal</w:t>
      </w:r>
      <w:r w:rsidRPr="00A40CDA">
        <w:rPr>
          <w:i/>
          <w:iCs/>
        </w:rPr>
        <w:t xml:space="preserve"> of the United Nations Economic Commission for Europe</w:t>
      </w:r>
      <w:r w:rsidRPr="00A40CDA">
        <w:t>, vol. 21, pp. 277–290.</w:t>
      </w:r>
    </w:p>
    <w:p w14:paraId="0366E72A" w14:textId="77777777" w:rsidR="00244078" w:rsidRPr="00A40CDA" w:rsidRDefault="00244078" w:rsidP="00A71F5E">
      <w:pPr>
        <w:pStyle w:val="Reference"/>
      </w:pPr>
      <w:r w:rsidRPr="00A40CDA">
        <w:t xml:space="preserve">UN (United Nations) 1993, </w:t>
      </w:r>
      <w:r w:rsidRPr="00A40CDA">
        <w:rPr>
          <w:i/>
          <w:iCs/>
        </w:rPr>
        <w:t>System of National Accounts</w:t>
      </w:r>
      <w:r w:rsidRPr="00A40CDA">
        <w:t>.</w:t>
      </w:r>
    </w:p>
    <w:p w14:paraId="1DBEF8A6" w14:textId="3A704779" w:rsidR="00244078" w:rsidRPr="00A40CDA" w:rsidRDefault="00244078" w:rsidP="00A71F5E">
      <w:pPr>
        <w:pStyle w:val="Reference"/>
      </w:pPr>
      <w:r w:rsidRPr="00A40CDA">
        <w:t xml:space="preserve">Washington, P., Jackson, D. and Wasshausen, D. 2015, </w:t>
      </w:r>
      <w:r w:rsidRPr="00A40CDA">
        <w:rPr>
          <w:i/>
          <w:iCs/>
        </w:rPr>
        <w:t>Disease</w:t>
      </w:r>
      <w:r w:rsidR="00AC6D60">
        <w:rPr>
          <w:i/>
          <w:iCs/>
        </w:rPr>
        <w:noBreakHyphen/>
      </w:r>
      <w:r w:rsidRPr="00A40CDA">
        <w:rPr>
          <w:i/>
          <w:iCs/>
        </w:rPr>
        <w:t>Based Health Care Measures and the Industry Economic Accounts</w:t>
      </w:r>
      <w:r w:rsidRPr="00A40CDA">
        <w:t>, November, Bureau of Economic Analysis.</w:t>
      </w:r>
    </w:p>
    <w:p w14:paraId="4255A93C" w14:textId="77777777" w:rsidR="00244078" w:rsidRPr="00A40CDA" w:rsidRDefault="00244078" w:rsidP="00A71F5E">
      <w:pPr>
        <w:pStyle w:val="Reference"/>
      </w:pPr>
      <w:r w:rsidRPr="00A40CDA">
        <w:t xml:space="preserve">Whitehurst, G. and Chingos, M. 2011, </w:t>
      </w:r>
      <w:r w:rsidRPr="00A40CDA">
        <w:rPr>
          <w:i/>
          <w:iCs/>
        </w:rPr>
        <w:t>Class Size: What Research Says and What it Means for State Policy</w:t>
      </w:r>
      <w:r w:rsidRPr="00A40CDA">
        <w:t>, May, Brookings Institution.</w:t>
      </w:r>
    </w:p>
    <w:p w14:paraId="6B4A2DB9" w14:textId="77777777" w:rsidR="00244078" w:rsidRPr="00A40CDA" w:rsidRDefault="00244078" w:rsidP="00A71F5E">
      <w:pPr>
        <w:pStyle w:val="Reference"/>
      </w:pPr>
      <w:r w:rsidRPr="00A40CDA">
        <w:t xml:space="preserve">Wilkins, R. 2014, ‘Time spent in paid and unpaid work’, </w:t>
      </w:r>
      <w:r w:rsidRPr="00A40CDA">
        <w:rPr>
          <w:i/>
          <w:iCs/>
        </w:rPr>
        <w:t>Families, Incomes and Jobs, Volume 9: A Statistical Report on Waves 1 to 11 of the Household, Income and Labour Dynamics in Australia Survey</w:t>
      </w:r>
      <w:r w:rsidRPr="00A40CDA">
        <w:t>, University of Melbourne.</w:t>
      </w:r>
    </w:p>
    <w:p w14:paraId="17C904A0" w14:textId="05669F9A" w:rsidR="00244078" w:rsidRPr="00A40CDA" w:rsidRDefault="00244078" w:rsidP="00A71F5E">
      <w:pPr>
        <w:pStyle w:val="Reference"/>
      </w:pPr>
      <w:r w:rsidRPr="00A40CDA">
        <w:t xml:space="preserve">Zheng, S. 2005, </w:t>
      </w:r>
      <w:r w:rsidRPr="00A40CDA">
        <w:rPr>
          <w:i/>
          <w:iCs/>
        </w:rPr>
        <w:t>Estimating Industry</w:t>
      </w:r>
      <w:r w:rsidR="00AC6D60">
        <w:rPr>
          <w:i/>
          <w:iCs/>
        </w:rPr>
        <w:noBreakHyphen/>
      </w:r>
      <w:r w:rsidRPr="00A40CDA">
        <w:rPr>
          <w:i/>
          <w:iCs/>
        </w:rPr>
        <w:t>Level Multifactor Productivity for the Market</w:t>
      </w:r>
      <w:r w:rsidR="00AC6D60">
        <w:rPr>
          <w:i/>
          <w:iCs/>
        </w:rPr>
        <w:noBreakHyphen/>
      </w:r>
      <w:r w:rsidRPr="00A40CDA">
        <w:rPr>
          <w:i/>
          <w:iCs/>
        </w:rPr>
        <w:t>Sector Industries in Australia: Methods and Experimental Results</w:t>
      </w:r>
      <w:r w:rsidRPr="00A40CDA">
        <w:t>, Research Paper, July, Cat. no</w:t>
      </w:r>
      <w:r w:rsidR="005D29F4">
        <w:t>. </w:t>
      </w:r>
      <w:r w:rsidRPr="00A40CDA">
        <w:t>1351.0.55.004, Australian Bureau of Statistics.</w:t>
      </w:r>
    </w:p>
    <w:p w14:paraId="5A70A21E" w14:textId="466DD35C" w:rsidR="00FC7E1D" w:rsidRPr="00A71F5E" w:rsidRDefault="00244078" w:rsidP="00A71F5E">
      <w:pPr>
        <w:pStyle w:val="Reference"/>
      </w:pPr>
      <w:r w:rsidRPr="00A40CDA">
        <w:t xml:space="preserve">Zyngier, D. 2014, ‘Class size and academic results, with a focus on children from culturally, linguistically and economically disenfranchised communities’, </w:t>
      </w:r>
      <w:r w:rsidRPr="00A40CDA">
        <w:rPr>
          <w:i/>
          <w:iCs/>
        </w:rPr>
        <w:t>Evidence Base</w:t>
      </w:r>
      <w:r w:rsidR="00A71F5E">
        <w:t>, no. 1, pp. 1–23.</w:t>
      </w:r>
    </w:p>
    <w:sectPr w:rsidR="00FC7E1D" w:rsidRPr="00A71F5E" w:rsidSect="004456D5">
      <w:headerReference w:type="even" r:id="rId30"/>
      <w:headerReference w:type="default" r:id="rId31"/>
      <w:footerReference w:type="even" r:id="rId32"/>
      <w:footerReference w:type="default" r:id="rId33"/>
      <w:type w:val="evenPage"/>
      <w:pgSz w:w="11907" w:h="16840" w:code="9"/>
      <w:pgMar w:top="1985" w:right="1304" w:bottom="1247" w:left="1814" w:header="1701" w:footer="397" w:gutter="0"/>
      <w:pgNumType w:start="1" w:chapSep="period"/>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1AD8B0" w14:textId="77777777" w:rsidR="00AC6D60" w:rsidRDefault="00AC6D60">
      <w:r>
        <w:separator/>
      </w:r>
    </w:p>
  </w:endnote>
  <w:endnote w:type="continuationSeparator" w:id="0">
    <w:p w14:paraId="7786A959" w14:textId="77777777" w:rsidR="00AC6D60" w:rsidRDefault="00AC6D60">
      <w:r>
        <w:continuationSeparator/>
      </w:r>
    </w:p>
  </w:endnote>
  <w:endnote w:type="continuationNotice" w:id="1">
    <w:p w14:paraId="35F39428" w14:textId="77777777" w:rsidR="00AC6D60" w:rsidRDefault="00AC6D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AC6D60" w14:paraId="47E0DC7C" w14:textId="77777777" w:rsidTr="005F48ED">
      <w:trPr>
        <w:trHeight w:hRule="exact" w:val="567"/>
      </w:trPr>
      <w:tc>
        <w:tcPr>
          <w:tcW w:w="510" w:type="dxa"/>
        </w:tcPr>
        <w:p w14:paraId="5309B19F" w14:textId="77777777" w:rsidR="00AC6D60" w:rsidRPr="00A24443" w:rsidRDefault="00AC6D60"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2</w:t>
          </w:r>
          <w:r w:rsidRPr="00A24443">
            <w:rPr>
              <w:rStyle w:val="PageNumber"/>
              <w:caps w:val="0"/>
            </w:rPr>
            <w:fldChar w:fldCharType="end"/>
          </w:r>
        </w:p>
      </w:tc>
      <w:tc>
        <w:tcPr>
          <w:tcW w:w="7767" w:type="dxa"/>
        </w:tcPr>
        <w:p w14:paraId="35F00EAF" w14:textId="77777777" w:rsidR="00AC6D60" w:rsidRPr="0013739A" w:rsidRDefault="00AC6D60" w:rsidP="0013739A">
          <w:pPr>
            <w:pStyle w:val="Footer"/>
            <w:rPr>
              <w:rFonts w:cs="Arial"/>
            </w:rPr>
          </w:pPr>
          <w:r w:rsidRPr="00BA5B14">
            <w:rPr>
              <w:rFonts w:cs="Arial"/>
            </w:rPr>
            <w:fldChar w:fldCharType="begin"/>
          </w:r>
          <w:r w:rsidRPr="00BA5B14">
            <w:rPr>
              <w:rFonts w:cs="Arial"/>
            </w:rPr>
            <w:instrText xml:space="preserve"> SUBJECT  \* MERGEFORMAT </w:instrText>
          </w:r>
          <w:r w:rsidRPr="00BA5B14">
            <w:rPr>
              <w:rFonts w:cs="Arial"/>
            </w:rPr>
            <w:fldChar w:fldCharType="separate"/>
          </w:r>
          <w:r w:rsidR="00555886">
            <w:rPr>
              <w:rFonts w:cs="Arial"/>
            </w:rPr>
            <w:t>Productivity Review</w:t>
          </w:r>
          <w:r w:rsidRPr="00BA5B14">
            <w:rPr>
              <w:rFonts w:cs="Arial"/>
            </w:rPr>
            <w:fldChar w:fldCharType="end"/>
          </w:r>
        </w:p>
      </w:tc>
      <w:tc>
        <w:tcPr>
          <w:tcW w:w="510" w:type="dxa"/>
        </w:tcPr>
        <w:p w14:paraId="557014F5" w14:textId="77777777" w:rsidR="00AC6D60" w:rsidRDefault="00AC6D60" w:rsidP="0019293B">
          <w:pPr>
            <w:pStyle w:val="Footer"/>
          </w:pPr>
        </w:p>
      </w:tc>
    </w:tr>
  </w:tbl>
  <w:p w14:paraId="187766F4" w14:textId="77777777" w:rsidR="00AC6D60" w:rsidRDefault="00AC6D60" w:rsidP="0019293B">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AC6D60" w14:paraId="5FA7BBAC" w14:textId="77777777" w:rsidTr="005F48ED">
      <w:trPr>
        <w:trHeight w:hRule="exact" w:val="567"/>
      </w:trPr>
      <w:tc>
        <w:tcPr>
          <w:tcW w:w="510" w:type="dxa"/>
        </w:tcPr>
        <w:p w14:paraId="218AC317" w14:textId="77777777" w:rsidR="00AC6D60" w:rsidRDefault="00AC6D60">
          <w:pPr>
            <w:pStyle w:val="Footer"/>
            <w:ind w:right="360" w:firstLine="360"/>
          </w:pPr>
        </w:p>
      </w:tc>
      <w:tc>
        <w:tcPr>
          <w:tcW w:w="7767" w:type="dxa"/>
        </w:tcPr>
        <w:p w14:paraId="636B194E" w14:textId="2EEEC94A" w:rsidR="00AC6D60" w:rsidRPr="00BA5B14" w:rsidRDefault="005C7525" w:rsidP="00D93E1D">
          <w:pPr>
            <w:pStyle w:val="Footer"/>
            <w:jc w:val="right"/>
            <w:rPr>
              <w:rFonts w:cs="Arial"/>
            </w:rPr>
          </w:pPr>
          <w:r>
            <w:rPr>
              <w:rFonts w:cs="Arial"/>
            </w:rPr>
            <w:t xml:space="preserve">sp 2 </w:t>
          </w:r>
          <w:r>
            <w:t xml:space="preserve">– </w:t>
          </w:r>
          <w:r w:rsidR="00AC6D60">
            <w:rPr>
              <w:rFonts w:cs="Arial"/>
            </w:rPr>
            <w:t>non-market sector productivity</w:t>
          </w:r>
        </w:p>
      </w:tc>
      <w:tc>
        <w:tcPr>
          <w:tcW w:w="510" w:type="dxa"/>
        </w:tcPr>
        <w:p w14:paraId="1EB6A369" w14:textId="77777777" w:rsidR="00AC6D60" w:rsidRPr="00A24443" w:rsidRDefault="00AC6D60">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A03428">
            <w:rPr>
              <w:rStyle w:val="PageNumber"/>
              <w:caps w:val="0"/>
              <w:noProof/>
            </w:rPr>
            <w:t>1</w:t>
          </w:r>
          <w:r w:rsidRPr="00A24443">
            <w:rPr>
              <w:rStyle w:val="PageNumber"/>
              <w:caps w:val="0"/>
            </w:rPr>
            <w:fldChar w:fldCharType="end"/>
          </w:r>
        </w:p>
      </w:tc>
    </w:tr>
  </w:tbl>
  <w:p w14:paraId="40D7AF18" w14:textId="77777777" w:rsidR="00AC6D60" w:rsidRDefault="00AC6D60">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AC6D60" w14:paraId="2226FED0" w14:textId="77777777" w:rsidTr="005F48ED">
      <w:trPr>
        <w:trHeight w:hRule="exact" w:val="567"/>
      </w:trPr>
      <w:tc>
        <w:tcPr>
          <w:tcW w:w="510" w:type="dxa"/>
        </w:tcPr>
        <w:p w14:paraId="3FA56596" w14:textId="77777777" w:rsidR="00AC6D60" w:rsidRPr="00A24443" w:rsidRDefault="00AC6D60"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A03428">
            <w:rPr>
              <w:rStyle w:val="PageNumber"/>
              <w:caps w:val="0"/>
              <w:noProof/>
            </w:rPr>
            <w:t>18</w:t>
          </w:r>
          <w:r w:rsidRPr="00A24443">
            <w:rPr>
              <w:rStyle w:val="PageNumber"/>
              <w:caps w:val="0"/>
            </w:rPr>
            <w:fldChar w:fldCharType="end"/>
          </w:r>
        </w:p>
      </w:tc>
      <w:tc>
        <w:tcPr>
          <w:tcW w:w="7767" w:type="dxa"/>
        </w:tcPr>
        <w:p w14:paraId="4736FAEB" w14:textId="5E146983" w:rsidR="00AC6D60" w:rsidRPr="0013739A" w:rsidRDefault="00AC6D60" w:rsidP="0013739A">
          <w:pPr>
            <w:pStyle w:val="Footer"/>
            <w:rPr>
              <w:rFonts w:cs="Arial"/>
            </w:rPr>
          </w:pPr>
          <w:r>
            <w:rPr>
              <w:rFonts w:cs="Arial"/>
            </w:rPr>
            <w:t>Productivity Review</w:t>
          </w:r>
        </w:p>
      </w:tc>
      <w:tc>
        <w:tcPr>
          <w:tcW w:w="510" w:type="dxa"/>
        </w:tcPr>
        <w:p w14:paraId="2344D187" w14:textId="77777777" w:rsidR="00AC6D60" w:rsidRDefault="00AC6D60" w:rsidP="0019293B">
          <w:pPr>
            <w:pStyle w:val="Footer"/>
          </w:pPr>
        </w:p>
      </w:tc>
    </w:tr>
  </w:tbl>
  <w:p w14:paraId="4D0A3213" w14:textId="77777777" w:rsidR="00AC6D60" w:rsidRDefault="00AC6D60" w:rsidP="0019293B">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AC6D60" w14:paraId="77E5027E" w14:textId="77777777" w:rsidTr="005F48ED">
      <w:trPr>
        <w:trHeight w:hRule="exact" w:val="567"/>
      </w:trPr>
      <w:tc>
        <w:tcPr>
          <w:tcW w:w="510" w:type="dxa"/>
        </w:tcPr>
        <w:p w14:paraId="4D7FE1D3" w14:textId="77777777" w:rsidR="00AC6D60" w:rsidRDefault="00AC6D60">
          <w:pPr>
            <w:pStyle w:val="Footer"/>
            <w:ind w:right="360" w:firstLine="360"/>
          </w:pPr>
        </w:p>
      </w:tc>
      <w:tc>
        <w:tcPr>
          <w:tcW w:w="7767" w:type="dxa"/>
        </w:tcPr>
        <w:p w14:paraId="3E073B30" w14:textId="1CC06266" w:rsidR="00AC6D60" w:rsidRPr="00BA5B14" w:rsidRDefault="00AC6D60" w:rsidP="00EC1174">
          <w:pPr>
            <w:pStyle w:val="Footer"/>
            <w:jc w:val="right"/>
            <w:rPr>
              <w:rFonts w:cs="Arial"/>
            </w:rPr>
          </w:pPr>
          <w:r>
            <w:rPr>
              <w:rFonts w:cs="Arial"/>
            </w:rPr>
            <w:t>sp 2</w:t>
          </w:r>
          <w:r>
            <w:t xml:space="preserve"> – </w:t>
          </w:r>
          <w:r>
            <w:rPr>
              <w:rFonts w:cs="Arial"/>
            </w:rPr>
            <w:t>non-market sector productivity</w:t>
          </w:r>
        </w:p>
      </w:tc>
      <w:tc>
        <w:tcPr>
          <w:tcW w:w="510" w:type="dxa"/>
        </w:tcPr>
        <w:p w14:paraId="36766A9E" w14:textId="77777777" w:rsidR="00AC6D60" w:rsidRPr="00A24443" w:rsidRDefault="00AC6D60">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A03428">
            <w:rPr>
              <w:rStyle w:val="PageNumber"/>
              <w:caps w:val="0"/>
              <w:noProof/>
            </w:rPr>
            <w:t>19</w:t>
          </w:r>
          <w:r w:rsidRPr="00A24443">
            <w:rPr>
              <w:rStyle w:val="PageNumber"/>
              <w:caps w:val="0"/>
            </w:rPr>
            <w:fldChar w:fldCharType="end"/>
          </w:r>
        </w:p>
      </w:tc>
    </w:tr>
  </w:tbl>
  <w:p w14:paraId="279D8679" w14:textId="77777777" w:rsidR="00AC6D60" w:rsidRDefault="00AC6D60">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8119F9" w14:textId="77777777" w:rsidR="00AC6D60" w:rsidRDefault="00AC6D60">
      <w:r>
        <w:separator/>
      </w:r>
    </w:p>
  </w:footnote>
  <w:footnote w:type="continuationSeparator" w:id="0">
    <w:p w14:paraId="093CC559" w14:textId="77777777" w:rsidR="00AC6D60" w:rsidRDefault="00AC6D60">
      <w:r>
        <w:continuationSeparator/>
      </w:r>
    </w:p>
  </w:footnote>
  <w:footnote w:type="continuationNotice" w:id="1">
    <w:p w14:paraId="6930339A" w14:textId="77777777" w:rsidR="00AC6D60" w:rsidRDefault="00AC6D60"/>
  </w:footnote>
  <w:footnote w:id="2">
    <w:p w14:paraId="65A59E7C" w14:textId="77777777" w:rsidR="00F0389F" w:rsidRDefault="00F0389F" w:rsidP="00F0389F">
      <w:pPr>
        <w:pStyle w:val="FootnoteText"/>
      </w:pPr>
      <w:r w:rsidRPr="003F6B1C">
        <w:rPr>
          <w:rStyle w:val="FootnoteReference"/>
        </w:rPr>
        <w:footnoteRef/>
      </w:r>
      <w:r>
        <w:tab/>
        <w:t>I</w:t>
      </w:r>
      <w:r w:rsidRPr="00FC6CAD">
        <w:t xml:space="preserve">n practice, there are elements of the non-market sector </w:t>
      </w:r>
      <w:r>
        <w:t xml:space="preserve">that </w:t>
      </w:r>
      <w:r w:rsidRPr="00FC6CAD">
        <w:t>h</w:t>
      </w:r>
      <w:r>
        <w:t>ave private sector components (such as</w:t>
      </w:r>
      <w:r w:rsidRPr="00FC6CAD">
        <w:t xml:space="preserve"> private schools)</w:t>
      </w:r>
      <w:r>
        <w:t xml:space="preserve">, as well as </w:t>
      </w:r>
      <w:r w:rsidRPr="00FC6CAD">
        <w:t xml:space="preserve">elements </w:t>
      </w:r>
      <w:r>
        <w:t xml:space="preserve">of the market sector that are heavily subsidised </w:t>
      </w:r>
      <w:r w:rsidRPr="00FC6CAD">
        <w:t>(for example</w:t>
      </w:r>
      <w:r>
        <w:t>,</w:t>
      </w:r>
      <w:r w:rsidRPr="00FC6CAD">
        <w:t xml:space="preserve"> </w:t>
      </w:r>
      <w:r>
        <w:t>public transport)</w:t>
      </w:r>
      <w:r w:rsidRPr="00FC6CAD">
        <w:t xml:space="preserve">. However the three industries comprising the non-market sector </w:t>
      </w:r>
      <w:r>
        <w:t xml:space="preserve">are those where the effects of government subsidies are felt most strongly, as many of </w:t>
      </w:r>
      <w:r w:rsidRPr="00C77284">
        <w:t xml:space="preserve">the observed ‘prices’ </w:t>
      </w:r>
      <w:r>
        <w:t xml:space="preserve">in the non-market sector are still </w:t>
      </w:r>
      <w:r w:rsidRPr="00C77284">
        <w:t>artificially low</w:t>
      </w:r>
      <w:r>
        <w:t xml:space="preserve">, </w:t>
      </w:r>
      <w:r w:rsidRPr="00756A01">
        <w:t>making output difficult to measure</w:t>
      </w:r>
      <w:r w:rsidRPr="00C77284">
        <w:t xml:space="preserve"> </w:t>
      </w:r>
      <w:r>
        <w:t>(ABS, sub. 42, p. 4)</w:t>
      </w:r>
      <w:r w:rsidRPr="00FC6CAD">
        <w:t>.</w:t>
      </w:r>
    </w:p>
  </w:footnote>
  <w:footnote w:id="3">
    <w:p w14:paraId="024CB6EC" w14:textId="1DD1C16F" w:rsidR="00AC6D60" w:rsidRDefault="00AC6D60" w:rsidP="00F9707C">
      <w:pPr>
        <w:pStyle w:val="FootnoteText"/>
      </w:pPr>
      <w:r w:rsidRPr="003F6B1C">
        <w:rPr>
          <w:rStyle w:val="FootnoteReference"/>
        </w:rPr>
        <w:footnoteRef/>
      </w:r>
      <w:r>
        <w:tab/>
        <w:t>M</w:t>
      </w:r>
      <w:r w:rsidRPr="005B2F43">
        <w:t xml:space="preserve">easured by </w:t>
      </w:r>
      <w:r>
        <w:t xml:space="preserve">industry </w:t>
      </w:r>
      <w:r w:rsidRPr="005B2F43">
        <w:t>gross value added</w:t>
      </w:r>
      <w:r>
        <w:t xml:space="preserve"> (GVA) at current prices, including </w:t>
      </w:r>
      <w:r w:rsidRPr="005F72EC">
        <w:t>6.</w:t>
      </w:r>
      <w:r>
        <w:t>4</w:t>
      </w:r>
      <w:r w:rsidRPr="005F72EC">
        <w:t xml:space="preserve"> per cent for public administration and safety, 5.</w:t>
      </w:r>
      <w:r>
        <w:t>8</w:t>
      </w:r>
      <w:r w:rsidRPr="005F72EC">
        <w:t xml:space="preserve"> per cent for education and training and 8</w:t>
      </w:r>
      <w:r>
        <w:t>.1 </w:t>
      </w:r>
      <w:r w:rsidRPr="005F72EC">
        <w:t xml:space="preserve">per cent for health care and social </w:t>
      </w:r>
      <w:r>
        <w:t xml:space="preserve">services, based on </w:t>
      </w:r>
      <w:r w:rsidRPr="005F72EC">
        <w:t xml:space="preserve">shares of current price total industry </w:t>
      </w:r>
      <w:r>
        <w:t>GVA,</w:t>
      </w:r>
      <w:r w:rsidRPr="005F72EC">
        <w:t xml:space="preserve"> excluding ownership of dwellings</w:t>
      </w:r>
      <w:r>
        <w:t>.</w:t>
      </w:r>
    </w:p>
  </w:footnote>
  <w:footnote w:id="4">
    <w:p w14:paraId="13ACD2CE" w14:textId="7DE0849D" w:rsidR="00AC6D60" w:rsidRDefault="00AC6D60" w:rsidP="009A55FA">
      <w:pPr>
        <w:pStyle w:val="FootnoteText"/>
      </w:pPr>
      <w:r w:rsidRPr="003F6B1C">
        <w:rPr>
          <w:rStyle w:val="FootnoteReference"/>
        </w:rPr>
        <w:footnoteRef/>
      </w:r>
      <w:r>
        <w:tab/>
        <w:t>In the market sector, the ABS measures capital inputs as the weighted average of chain volume measures of the productive capital stock of different asset types, using rental prices for weights. In figure 3, the capital stocks are the ABS’s measure of the total capital stock for each sector (which, absent measures of rental prices for the non</w:t>
      </w:r>
      <w:r>
        <w:noBreakHyphen/>
        <w:t>market sector is the only data that allows comparisons between sectors).</w:t>
      </w:r>
    </w:p>
  </w:footnote>
  <w:footnote w:id="5">
    <w:p w14:paraId="3329AF14" w14:textId="7BA5A50F" w:rsidR="00AC6D60" w:rsidRDefault="00AC6D60" w:rsidP="00603105">
      <w:pPr>
        <w:pStyle w:val="FootnoteText"/>
      </w:pPr>
      <w:r w:rsidRPr="003F6B1C">
        <w:rPr>
          <w:rStyle w:val="FootnoteReference"/>
        </w:rPr>
        <w:footnoteRef/>
      </w:r>
      <w:r>
        <w:tab/>
        <w:t>Life expectancy at birth was 80.1 years for males and 84.3 years for females</w:t>
      </w:r>
      <w:r w:rsidRPr="00FA362D">
        <w:t xml:space="preserve"> </w:t>
      </w:r>
      <w:r>
        <w:t>in 2013.</w:t>
      </w:r>
    </w:p>
  </w:footnote>
  <w:footnote w:id="6">
    <w:p w14:paraId="506F5AFE" w14:textId="31D5498C" w:rsidR="00AC6D60" w:rsidRDefault="00AC6D60">
      <w:pPr>
        <w:pStyle w:val="FootnoteText"/>
      </w:pPr>
      <w:r w:rsidRPr="003F6B1C">
        <w:rPr>
          <w:rStyle w:val="FootnoteReference"/>
        </w:rPr>
        <w:footnoteRef/>
      </w:r>
      <w:r>
        <w:tab/>
      </w:r>
      <w:r w:rsidRPr="00483D99">
        <w:t>Whether or not it is worth investing in smaller classes, even in the context in which they have some beneficial outcomes, is another matter, and depends on whether better outcomes could be achieved through alternatives. It is important to distinguish between the measurement of quality improvements in productivity analysis and the policy question of whether such quality improvements should be sought.</w:t>
      </w:r>
    </w:p>
  </w:footnote>
  <w:footnote w:id="7">
    <w:p w14:paraId="04C11A71" w14:textId="77777777" w:rsidR="00AC6D60" w:rsidRDefault="00AC6D60" w:rsidP="00E81FF3">
      <w:pPr>
        <w:pStyle w:val="FootnoteText"/>
      </w:pPr>
      <w:r w:rsidRPr="003F6B1C">
        <w:rPr>
          <w:rStyle w:val="FootnoteReference"/>
        </w:rPr>
        <w:footnoteRef/>
      </w:r>
      <w:r>
        <w:tab/>
        <w:t>The ABS has</w:t>
      </w:r>
      <w:r w:rsidRPr="00EC03AF">
        <w:t xml:space="preserve"> </w:t>
      </w:r>
      <w:r>
        <w:t>‘</w:t>
      </w:r>
      <w:r w:rsidRPr="00EC03AF">
        <w:t>no</w:t>
      </w:r>
      <w:r>
        <w:t xml:space="preserve"> current</w:t>
      </w:r>
      <w:r w:rsidRPr="00EC03AF">
        <w:t xml:space="preserve"> plans</w:t>
      </w:r>
      <w:r>
        <w:t>’</w:t>
      </w:r>
      <w:r w:rsidRPr="00EC03AF">
        <w:t xml:space="preserve"> to develop public administration and safety industry output </w:t>
      </w:r>
      <w:r>
        <w:t>estimates in the near future</w:t>
      </w:r>
      <w:r w:rsidRPr="00EC03AF">
        <w:t>, due to the inherently difficult nature of that industry</w:t>
      </w:r>
      <w:r>
        <w:t xml:space="preserve"> (ABS, sub. 42, p. 10</w:t>
      </w:r>
      <w:r>
        <w:noBreakHyphen/>
        <w:t>11)</w:t>
      </w:r>
      <w:r w:rsidRPr="00EC03AF">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AC6D60" w14:paraId="7DECB3FF" w14:textId="77777777">
      <w:tc>
        <w:tcPr>
          <w:tcW w:w="2155" w:type="dxa"/>
          <w:tcBorders>
            <w:top w:val="single" w:sz="24" w:space="0" w:color="auto"/>
          </w:tcBorders>
        </w:tcPr>
        <w:p w14:paraId="3690DA90" w14:textId="77777777" w:rsidR="00AC6D60" w:rsidRDefault="00AC6D60" w:rsidP="0019293B">
          <w:pPr>
            <w:pStyle w:val="HeaderEven"/>
          </w:pPr>
        </w:p>
      </w:tc>
      <w:tc>
        <w:tcPr>
          <w:tcW w:w="6634" w:type="dxa"/>
          <w:tcBorders>
            <w:top w:val="single" w:sz="6" w:space="0" w:color="auto"/>
          </w:tcBorders>
        </w:tcPr>
        <w:p w14:paraId="6E1D87B9" w14:textId="77777777" w:rsidR="00AC6D60" w:rsidRDefault="00AC6D60" w:rsidP="0019293B">
          <w:pPr>
            <w:pStyle w:val="HeaderEven"/>
          </w:pPr>
        </w:p>
      </w:tc>
    </w:tr>
  </w:tbl>
  <w:p w14:paraId="7CC23E23" w14:textId="77777777" w:rsidR="00AC6D60" w:rsidRDefault="00AC6D60" w:rsidP="0019293B">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AC6D60" w14:paraId="303B00DC" w14:textId="77777777" w:rsidTr="000D15C2">
      <w:tc>
        <w:tcPr>
          <w:tcW w:w="6634" w:type="dxa"/>
          <w:tcBorders>
            <w:top w:val="single" w:sz="6" w:space="0" w:color="auto"/>
          </w:tcBorders>
        </w:tcPr>
        <w:p w14:paraId="2DE30E7B" w14:textId="77777777" w:rsidR="00AC6D60" w:rsidRDefault="00AC6D60" w:rsidP="000D15C2">
          <w:pPr>
            <w:pStyle w:val="HeaderOdd"/>
          </w:pPr>
        </w:p>
      </w:tc>
      <w:tc>
        <w:tcPr>
          <w:tcW w:w="2155" w:type="dxa"/>
          <w:tcBorders>
            <w:top w:val="single" w:sz="24" w:space="0" w:color="auto"/>
          </w:tcBorders>
        </w:tcPr>
        <w:p w14:paraId="7AAF4019" w14:textId="77777777" w:rsidR="00AC6D60" w:rsidRDefault="00AC6D60" w:rsidP="000D15C2">
          <w:pPr>
            <w:pStyle w:val="HeaderOdd"/>
          </w:pPr>
        </w:p>
      </w:tc>
    </w:tr>
  </w:tbl>
  <w:p w14:paraId="629CC279" w14:textId="77777777" w:rsidR="00AC6D60" w:rsidRDefault="00AC6D60" w:rsidP="00E669E2">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AC6D60" w14:paraId="2104418F" w14:textId="77777777">
      <w:tc>
        <w:tcPr>
          <w:tcW w:w="2155" w:type="dxa"/>
          <w:tcBorders>
            <w:top w:val="single" w:sz="24" w:space="0" w:color="auto"/>
          </w:tcBorders>
        </w:tcPr>
        <w:p w14:paraId="66B92003" w14:textId="77777777" w:rsidR="00AC6D60" w:rsidRDefault="00AC6D60" w:rsidP="0019293B">
          <w:pPr>
            <w:pStyle w:val="HeaderEven"/>
          </w:pPr>
        </w:p>
      </w:tc>
      <w:tc>
        <w:tcPr>
          <w:tcW w:w="6634" w:type="dxa"/>
          <w:tcBorders>
            <w:top w:val="single" w:sz="6" w:space="0" w:color="auto"/>
          </w:tcBorders>
        </w:tcPr>
        <w:p w14:paraId="670E0C8C" w14:textId="77777777" w:rsidR="00AC6D60" w:rsidRDefault="00AC6D60" w:rsidP="0019293B">
          <w:pPr>
            <w:pStyle w:val="HeaderEven"/>
          </w:pPr>
        </w:p>
      </w:tc>
    </w:tr>
  </w:tbl>
  <w:p w14:paraId="3B53D79A" w14:textId="77777777" w:rsidR="00AC6D60" w:rsidRDefault="00AC6D60" w:rsidP="0019293B">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AC6D60" w14:paraId="35832EB7" w14:textId="77777777" w:rsidTr="000D15C2">
      <w:tc>
        <w:tcPr>
          <w:tcW w:w="6634" w:type="dxa"/>
          <w:tcBorders>
            <w:top w:val="single" w:sz="6" w:space="0" w:color="auto"/>
          </w:tcBorders>
        </w:tcPr>
        <w:p w14:paraId="4E356C99" w14:textId="77777777" w:rsidR="00AC6D60" w:rsidRDefault="00AC6D60" w:rsidP="000D15C2">
          <w:pPr>
            <w:pStyle w:val="HeaderOdd"/>
          </w:pPr>
        </w:p>
      </w:tc>
      <w:tc>
        <w:tcPr>
          <w:tcW w:w="2155" w:type="dxa"/>
          <w:tcBorders>
            <w:top w:val="single" w:sz="24" w:space="0" w:color="auto"/>
          </w:tcBorders>
        </w:tcPr>
        <w:p w14:paraId="729411FE" w14:textId="77777777" w:rsidR="00AC6D60" w:rsidRDefault="00AC6D60" w:rsidP="000D15C2">
          <w:pPr>
            <w:pStyle w:val="HeaderOdd"/>
          </w:pPr>
        </w:p>
      </w:tc>
    </w:tr>
  </w:tbl>
  <w:p w14:paraId="04A3FCA0" w14:textId="77777777" w:rsidR="00AC6D60" w:rsidRDefault="00AC6D60" w:rsidP="00E669E2">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63A61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3A464EC"/>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A14EF7E"/>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9B2C2F6"/>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FE"/>
    <w:multiLevelType w:val="singleLevel"/>
    <w:tmpl w:val="FFFFFFFF"/>
    <w:lvl w:ilvl="0">
      <w:numFmt w:val="decimal"/>
      <w:lvlText w:val="*"/>
      <w:lvlJc w:val="left"/>
    </w:lvl>
  </w:abstractNum>
  <w:abstractNum w:abstractNumId="6"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8"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9"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2"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2432000"/>
    <w:multiLevelType w:val="hybridMultilevel"/>
    <w:tmpl w:val="2AA8F0A4"/>
    <w:lvl w:ilvl="0" w:tplc="D450C124">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5" w15:restartNumberingAfterBreak="0">
    <w:nsid w:val="26EF4B78"/>
    <w:multiLevelType w:val="hybridMultilevel"/>
    <w:tmpl w:val="CC6E417E"/>
    <w:lvl w:ilvl="0" w:tplc="0B94B05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8" w15:restartNumberingAfterBreak="0">
    <w:nsid w:val="3EE33C73"/>
    <w:multiLevelType w:val="hybridMultilevel"/>
    <w:tmpl w:val="016CDC12"/>
    <w:lvl w:ilvl="0" w:tplc="92F2E3A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365D47"/>
    <w:multiLevelType w:val="hybridMultilevel"/>
    <w:tmpl w:val="EA4C0646"/>
    <w:lvl w:ilvl="0" w:tplc="AB905A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55F0457"/>
    <w:multiLevelType w:val="hybridMultilevel"/>
    <w:tmpl w:val="33FEEC48"/>
    <w:lvl w:ilvl="0" w:tplc="6D76ABEE">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3"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4"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5"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8" w15:restartNumberingAfterBreak="0">
    <w:nsid w:val="6C5D6E4F"/>
    <w:multiLevelType w:val="hybridMultilevel"/>
    <w:tmpl w:val="AADEADA4"/>
    <w:lvl w:ilvl="0" w:tplc="C24EC38E">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0"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7"/>
  </w:num>
  <w:num w:numId="2">
    <w:abstractNumId w:val="6"/>
  </w:num>
  <w:num w:numId="3">
    <w:abstractNumId w:val="22"/>
  </w:num>
  <w:num w:numId="4">
    <w:abstractNumId w:val="7"/>
  </w:num>
  <w:num w:numId="5">
    <w:abstractNumId w:val="27"/>
  </w:num>
  <w:num w:numId="6">
    <w:abstractNumId w:val="24"/>
  </w:num>
  <w:num w:numId="7">
    <w:abstractNumId w:val="11"/>
  </w:num>
  <w:num w:numId="8">
    <w:abstractNumId w:val="23"/>
  </w:num>
  <w:num w:numId="9">
    <w:abstractNumId w:val="10"/>
  </w:num>
  <w:num w:numId="10">
    <w:abstractNumId w:val="9"/>
  </w:num>
  <w:num w:numId="11">
    <w:abstractNumId w:val="14"/>
  </w:num>
  <w:num w:numId="12">
    <w:abstractNumId w:val="16"/>
  </w:num>
  <w:num w:numId="13">
    <w:abstractNumId w:val="8"/>
  </w:num>
  <w:num w:numId="14">
    <w:abstractNumId w:val="25"/>
  </w:num>
  <w:num w:numId="15">
    <w:abstractNumId w:val="29"/>
  </w:num>
  <w:num w:numId="16">
    <w:abstractNumId w:val="21"/>
  </w:num>
  <w:num w:numId="17">
    <w:abstractNumId w:val="30"/>
  </w:num>
  <w:num w:numId="18">
    <w:abstractNumId w:val="4"/>
  </w:num>
  <w:num w:numId="19">
    <w:abstractNumId w:val="5"/>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0">
    <w:abstractNumId w:val="26"/>
  </w:num>
  <w:num w:numId="21">
    <w:abstractNumId w:val="12"/>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8"/>
  </w:num>
  <w:num w:numId="25">
    <w:abstractNumId w:val="20"/>
  </w:num>
  <w:num w:numId="26">
    <w:abstractNumId w:val="13"/>
  </w:num>
  <w:num w:numId="27">
    <w:abstractNumId w:val="18"/>
  </w:num>
  <w:num w:numId="28">
    <w:abstractNumId w:val="19"/>
  </w:num>
  <w:num w:numId="29">
    <w:abstractNumId w:val="3"/>
  </w:num>
  <w:num w:numId="30">
    <w:abstractNumId w:val="2"/>
  </w:num>
  <w:num w:numId="31">
    <w:abstractNumId w:val="1"/>
  </w:num>
  <w:num w:numId="32">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mirrorMargins/>
  <w:attachedTemplate r:id="rId1"/>
  <w:linkStyle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675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ndingOptions" w:val="1"/>
    <w:docVar w:name="RecOptions" w:val="111"/>
    <w:docVar w:name="ShortChapterTitle" w:val="Supporting Paper 2"/>
    <w:docVar w:name="ShortReportTitle" w:val="Productivity Review"/>
  </w:docVars>
  <w:rsids>
    <w:rsidRoot w:val="008037E6"/>
    <w:rsid w:val="0000041B"/>
    <w:rsid w:val="000006C8"/>
    <w:rsid w:val="000032AB"/>
    <w:rsid w:val="00004DEA"/>
    <w:rsid w:val="000066E3"/>
    <w:rsid w:val="00006D9A"/>
    <w:rsid w:val="0000701B"/>
    <w:rsid w:val="0001042E"/>
    <w:rsid w:val="0001043A"/>
    <w:rsid w:val="0001089A"/>
    <w:rsid w:val="00010EE8"/>
    <w:rsid w:val="00011684"/>
    <w:rsid w:val="00011862"/>
    <w:rsid w:val="000119C2"/>
    <w:rsid w:val="0001227D"/>
    <w:rsid w:val="00012AB9"/>
    <w:rsid w:val="0001328B"/>
    <w:rsid w:val="000138D7"/>
    <w:rsid w:val="000141DF"/>
    <w:rsid w:val="00014EAE"/>
    <w:rsid w:val="00015C19"/>
    <w:rsid w:val="00016D9C"/>
    <w:rsid w:val="00017B1E"/>
    <w:rsid w:val="00017B5D"/>
    <w:rsid w:val="00020755"/>
    <w:rsid w:val="00021704"/>
    <w:rsid w:val="00021F69"/>
    <w:rsid w:val="0002202B"/>
    <w:rsid w:val="00022325"/>
    <w:rsid w:val="000227D5"/>
    <w:rsid w:val="00022D0F"/>
    <w:rsid w:val="00023F9E"/>
    <w:rsid w:val="0002447B"/>
    <w:rsid w:val="000245AA"/>
    <w:rsid w:val="00026B11"/>
    <w:rsid w:val="00026FD3"/>
    <w:rsid w:val="00027CFF"/>
    <w:rsid w:val="00027DE2"/>
    <w:rsid w:val="000300BF"/>
    <w:rsid w:val="00031560"/>
    <w:rsid w:val="0003227B"/>
    <w:rsid w:val="0003261F"/>
    <w:rsid w:val="00034280"/>
    <w:rsid w:val="00034350"/>
    <w:rsid w:val="00034B09"/>
    <w:rsid w:val="00035340"/>
    <w:rsid w:val="000358CD"/>
    <w:rsid w:val="00036117"/>
    <w:rsid w:val="0003664B"/>
    <w:rsid w:val="00037661"/>
    <w:rsid w:val="00037B4B"/>
    <w:rsid w:val="0004079C"/>
    <w:rsid w:val="0004111F"/>
    <w:rsid w:val="000411D4"/>
    <w:rsid w:val="0004263A"/>
    <w:rsid w:val="00042744"/>
    <w:rsid w:val="00042851"/>
    <w:rsid w:val="00042A3E"/>
    <w:rsid w:val="00043CB6"/>
    <w:rsid w:val="00044049"/>
    <w:rsid w:val="000442A2"/>
    <w:rsid w:val="0004701C"/>
    <w:rsid w:val="00047204"/>
    <w:rsid w:val="000502A7"/>
    <w:rsid w:val="000502BC"/>
    <w:rsid w:val="00050846"/>
    <w:rsid w:val="00050AB1"/>
    <w:rsid w:val="000517CF"/>
    <w:rsid w:val="00051DB2"/>
    <w:rsid w:val="00052024"/>
    <w:rsid w:val="0005232E"/>
    <w:rsid w:val="0005234C"/>
    <w:rsid w:val="000523A6"/>
    <w:rsid w:val="000536EC"/>
    <w:rsid w:val="000537EF"/>
    <w:rsid w:val="00053F1B"/>
    <w:rsid w:val="000545D8"/>
    <w:rsid w:val="00055077"/>
    <w:rsid w:val="00055673"/>
    <w:rsid w:val="00055C52"/>
    <w:rsid w:val="00055D86"/>
    <w:rsid w:val="000563E8"/>
    <w:rsid w:val="000565B3"/>
    <w:rsid w:val="00057E31"/>
    <w:rsid w:val="0006102B"/>
    <w:rsid w:val="00061134"/>
    <w:rsid w:val="000618F3"/>
    <w:rsid w:val="0006196A"/>
    <w:rsid w:val="00063134"/>
    <w:rsid w:val="0006363D"/>
    <w:rsid w:val="00063953"/>
    <w:rsid w:val="000650A2"/>
    <w:rsid w:val="000661D0"/>
    <w:rsid w:val="00066AEB"/>
    <w:rsid w:val="00067272"/>
    <w:rsid w:val="000701C9"/>
    <w:rsid w:val="0007066B"/>
    <w:rsid w:val="000708B3"/>
    <w:rsid w:val="00070FA1"/>
    <w:rsid w:val="00071357"/>
    <w:rsid w:val="0007150B"/>
    <w:rsid w:val="00071DFE"/>
    <w:rsid w:val="00072A4B"/>
    <w:rsid w:val="000735EA"/>
    <w:rsid w:val="0007460F"/>
    <w:rsid w:val="0007593F"/>
    <w:rsid w:val="00075D0E"/>
    <w:rsid w:val="00076ABF"/>
    <w:rsid w:val="00077AD4"/>
    <w:rsid w:val="00081B40"/>
    <w:rsid w:val="0008200D"/>
    <w:rsid w:val="00083978"/>
    <w:rsid w:val="00083EA0"/>
    <w:rsid w:val="0008421D"/>
    <w:rsid w:val="000846FF"/>
    <w:rsid w:val="000872EA"/>
    <w:rsid w:val="00087CD1"/>
    <w:rsid w:val="00090670"/>
    <w:rsid w:val="00090679"/>
    <w:rsid w:val="000919F4"/>
    <w:rsid w:val="00091AB7"/>
    <w:rsid w:val="00091EA4"/>
    <w:rsid w:val="00092484"/>
    <w:rsid w:val="000924DC"/>
    <w:rsid w:val="000925FF"/>
    <w:rsid w:val="0009280A"/>
    <w:rsid w:val="000935B6"/>
    <w:rsid w:val="000938F5"/>
    <w:rsid w:val="000954ED"/>
    <w:rsid w:val="00095663"/>
    <w:rsid w:val="00095DD4"/>
    <w:rsid w:val="00096E55"/>
    <w:rsid w:val="00097460"/>
    <w:rsid w:val="0009783E"/>
    <w:rsid w:val="000A0097"/>
    <w:rsid w:val="000A017B"/>
    <w:rsid w:val="000A0E0B"/>
    <w:rsid w:val="000A1624"/>
    <w:rsid w:val="000A2D91"/>
    <w:rsid w:val="000A3AD2"/>
    <w:rsid w:val="000A3BE0"/>
    <w:rsid w:val="000A509C"/>
    <w:rsid w:val="000A5B69"/>
    <w:rsid w:val="000A6414"/>
    <w:rsid w:val="000B1022"/>
    <w:rsid w:val="000B1B67"/>
    <w:rsid w:val="000B2D06"/>
    <w:rsid w:val="000B3811"/>
    <w:rsid w:val="000B3A54"/>
    <w:rsid w:val="000B4007"/>
    <w:rsid w:val="000B49EE"/>
    <w:rsid w:val="000B593D"/>
    <w:rsid w:val="000B5D14"/>
    <w:rsid w:val="000B601B"/>
    <w:rsid w:val="000C0F8F"/>
    <w:rsid w:val="000C13B2"/>
    <w:rsid w:val="000C1862"/>
    <w:rsid w:val="000C1A06"/>
    <w:rsid w:val="000C1F69"/>
    <w:rsid w:val="000C207E"/>
    <w:rsid w:val="000C2324"/>
    <w:rsid w:val="000C233D"/>
    <w:rsid w:val="000C2791"/>
    <w:rsid w:val="000C2E35"/>
    <w:rsid w:val="000C32AE"/>
    <w:rsid w:val="000C52A6"/>
    <w:rsid w:val="000C53B7"/>
    <w:rsid w:val="000C59AB"/>
    <w:rsid w:val="000C5B0B"/>
    <w:rsid w:val="000C74C5"/>
    <w:rsid w:val="000C75E2"/>
    <w:rsid w:val="000D15C2"/>
    <w:rsid w:val="000D1795"/>
    <w:rsid w:val="000D1CDB"/>
    <w:rsid w:val="000D1E43"/>
    <w:rsid w:val="000D21E5"/>
    <w:rsid w:val="000D2BC9"/>
    <w:rsid w:val="000D41DE"/>
    <w:rsid w:val="000D41E9"/>
    <w:rsid w:val="000D4E73"/>
    <w:rsid w:val="000D64DB"/>
    <w:rsid w:val="000D6877"/>
    <w:rsid w:val="000D7FC7"/>
    <w:rsid w:val="000E012F"/>
    <w:rsid w:val="000E126A"/>
    <w:rsid w:val="000E163F"/>
    <w:rsid w:val="000E165C"/>
    <w:rsid w:val="000E194E"/>
    <w:rsid w:val="000E4D93"/>
    <w:rsid w:val="000E4E9D"/>
    <w:rsid w:val="000E4FD3"/>
    <w:rsid w:val="000E5B5F"/>
    <w:rsid w:val="000E72F7"/>
    <w:rsid w:val="000E7BC9"/>
    <w:rsid w:val="000E7D83"/>
    <w:rsid w:val="000F0035"/>
    <w:rsid w:val="000F04E7"/>
    <w:rsid w:val="000F060A"/>
    <w:rsid w:val="000F069F"/>
    <w:rsid w:val="000F0978"/>
    <w:rsid w:val="000F192F"/>
    <w:rsid w:val="000F36D0"/>
    <w:rsid w:val="000F3A6C"/>
    <w:rsid w:val="000F3F4B"/>
    <w:rsid w:val="000F420B"/>
    <w:rsid w:val="000F4969"/>
    <w:rsid w:val="000F4DE0"/>
    <w:rsid w:val="000F5377"/>
    <w:rsid w:val="000F61EB"/>
    <w:rsid w:val="000F6C85"/>
    <w:rsid w:val="001009D0"/>
    <w:rsid w:val="00100B0E"/>
    <w:rsid w:val="00101152"/>
    <w:rsid w:val="0010252B"/>
    <w:rsid w:val="00105D18"/>
    <w:rsid w:val="00106472"/>
    <w:rsid w:val="001076BA"/>
    <w:rsid w:val="00110116"/>
    <w:rsid w:val="0011053A"/>
    <w:rsid w:val="0011080F"/>
    <w:rsid w:val="00111290"/>
    <w:rsid w:val="00111CDE"/>
    <w:rsid w:val="00112A43"/>
    <w:rsid w:val="001135D0"/>
    <w:rsid w:val="0011445C"/>
    <w:rsid w:val="001159E1"/>
    <w:rsid w:val="00120072"/>
    <w:rsid w:val="001203DD"/>
    <w:rsid w:val="00120AF5"/>
    <w:rsid w:val="0012292C"/>
    <w:rsid w:val="00122C64"/>
    <w:rsid w:val="00122FC0"/>
    <w:rsid w:val="0012352D"/>
    <w:rsid w:val="00126A87"/>
    <w:rsid w:val="00126EB8"/>
    <w:rsid w:val="001274D4"/>
    <w:rsid w:val="00127C28"/>
    <w:rsid w:val="00130979"/>
    <w:rsid w:val="001317FE"/>
    <w:rsid w:val="00131880"/>
    <w:rsid w:val="001325CB"/>
    <w:rsid w:val="00133CEA"/>
    <w:rsid w:val="00133E1D"/>
    <w:rsid w:val="0013426B"/>
    <w:rsid w:val="00134EE4"/>
    <w:rsid w:val="0013528C"/>
    <w:rsid w:val="00135721"/>
    <w:rsid w:val="00135A17"/>
    <w:rsid w:val="00135FFF"/>
    <w:rsid w:val="001363AA"/>
    <w:rsid w:val="0013739A"/>
    <w:rsid w:val="00142165"/>
    <w:rsid w:val="00145613"/>
    <w:rsid w:val="0014562D"/>
    <w:rsid w:val="00146AD6"/>
    <w:rsid w:val="00146AF8"/>
    <w:rsid w:val="00146DDC"/>
    <w:rsid w:val="001470D1"/>
    <w:rsid w:val="00150A16"/>
    <w:rsid w:val="0015101D"/>
    <w:rsid w:val="00151E75"/>
    <w:rsid w:val="00152649"/>
    <w:rsid w:val="00152C7F"/>
    <w:rsid w:val="00153627"/>
    <w:rsid w:val="00153F56"/>
    <w:rsid w:val="001543B8"/>
    <w:rsid w:val="00157A4E"/>
    <w:rsid w:val="0016030C"/>
    <w:rsid w:val="00160E4D"/>
    <w:rsid w:val="00162434"/>
    <w:rsid w:val="00162978"/>
    <w:rsid w:val="0016424A"/>
    <w:rsid w:val="00165AAD"/>
    <w:rsid w:val="00165EE1"/>
    <w:rsid w:val="0016603E"/>
    <w:rsid w:val="0016636D"/>
    <w:rsid w:val="0017150C"/>
    <w:rsid w:val="00173086"/>
    <w:rsid w:val="0017398A"/>
    <w:rsid w:val="001740F8"/>
    <w:rsid w:val="001741B3"/>
    <w:rsid w:val="00175956"/>
    <w:rsid w:val="00175DDA"/>
    <w:rsid w:val="00176075"/>
    <w:rsid w:val="00176211"/>
    <w:rsid w:val="00176DF4"/>
    <w:rsid w:val="00177555"/>
    <w:rsid w:val="00177BF1"/>
    <w:rsid w:val="0018118A"/>
    <w:rsid w:val="00182A43"/>
    <w:rsid w:val="00183E82"/>
    <w:rsid w:val="001856EB"/>
    <w:rsid w:val="00186138"/>
    <w:rsid w:val="001878BB"/>
    <w:rsid w:val="001878BD"/>
    <w:rsid w:val="00187B08"/>
    <w:rsid w:val="001903CF"/>
    <w:rsid w:val="00190DCC"/>
    <w:rsid w:val="00190F27"/>
    <w:rsid w:val="00191492"/>
    <w:rsid w:val="00191AE0"/>
    <w:rsid w:val="00192167"/>
    <w:rsid w:val="0019293B"/>
    <w:rsid w:val="00193920"/>
    <w:rsid w:val="001939F6"/>
    <w:rsid w:val="0019426B"/>
    <w:rsid w:val="00194C3F"/>
    <w:rsid w:val="00196FBD"/>
    <w:rsid w:val="00197D10"/>
    <w:rsid w:val="001A16D5"/>
    <w:rsid w:val="001A2BD3"/>
    <w:rsid w:val="001A2F46"/>
    <w:rsid w:val="001A4FDC"/>
    <w:rsid w:val="001A5445"/>
    <w:rsid w:val="001A6A4B"/>
    <w:rsid w:val="001A6AC8"/>
    <w:rsid w:val="001A7C22"/>
    <w:rsid w:val="001A7DD1"/>
    <w:rsid w:val="001B061B"/>
    <w:rsid w:val="001B138C"/>
    <w:rsid w:val="001B20EB"/>
    <w:rsid w:val="001B2CA3"/>
    <w:rsid w:val="001B390F"/>
    <w:rsid w:val="001B6388"/>
    <w:rsid w:val="001B7F7D"/>
    <w:rsid w:val="001C001E"/>
    <w:rsid w:val="001C0865"/>
    <w:rsid w:val="001C0870"/>
    <w:rsid w:val="001C0AED"/>
    <w:rsid w:val="001C1199"/>
    <w:rsid w:val="001C1C68"/>
    <w:rsid w:val="001C1E6B"/>
    <w:rsid w:val="001C233E"/>
    <w:rsid w:val="001C260E"/>
    <w:rsid w:val="001C269B"/>
    <w:rsid w:val="001C2C46"/>
    <w:rsid w:val="001C3409"/>
    <w:rsid w:val="001C3ABA"/>
    <w:rsid w:val="001C4C59"/>
    <w:rsid w:val="001C5111"/>
    <w:rsid w:val="001C5AC6"/>
    <w:rsid w:val="001D0482"/>
    <w:rsid w:val="001D05A4"/>
    <w:rsid w:val="001D1D3C"/>
    <w:rsid w:val="001D28CC"/>
    <w:rsid w:val="001D2977"/>
    <w:rsid w:val="001D2AFB"/>
    <w:rsid w:val="001D2D8D"/>
    <w:rsid w:val="001D304C"/>
    <w:rsid w:val="001D3E64"/>
    <w:rsid w:val="001D43DE"/>
    <w:rsid w:val="001D465F"/>
    <w:rsid w:val="001D6310"/>
    <w:rsid w:val="001D7718"/>
    <w:rsid w:val="001D7EFD"/>
    <w:rsid w:val="001D7F02"/>
    <w:rsid w:val="001E2AA2"/>
    <w:rsid w:val="001E481D"/>
    <w:rsid w:val="001E5425"/>
    <w:rsid w:val="001E5FBC"/>
    <w:rsid w:val="001E7BE8"/>
    <w:rsid w:val="001F0248"/>
    <w:rsid w:val="001F0AF4"/>
    <w:rsid w:val="001F1669"/>
    <w:rsid w:val="001F1871"/>
    <w:rsid w:val="001F2844"/>
    <w:rsid w:val="001F2AA8"/>
    <w:rsid w:val="001F2C46"/>
    <w:rsid w:val="001F3D8D"/>
    <w:rsid w:val="001F3EB3"/>
    <w:rsid w:val="001F4F86"/>
    <w:rsid w:val="001F508E"/>
    <w:rsid w:val="001F62B4"/>
    <w:rsid w:val="001F6C06"/>
    <w:rsid w:val="001F7271"/>
    <w:rsid w:val="001F7282"/>
    <w:rsid w:val="001F7662"/>
    <w:rsid w:val="002002E7"/>
    <w:rsid w:val="00202C2C"/>
    <w:rsid w:val="00202C95"/>
    <w:rsid w:val="00203050"/>
    <w:rsid w:val="002044BC"/>
    <w:rsid w:val="002056CC"/>
    <w:rsid w:val="00205FDC"/>
    <w:rsid w:val="00206584"/>
    <w:rsid w:val="00207144"/>
    <w:rsid w:val="0020767E"/>
    <w:rsid w:val="00207A99"/>
    <w:rsid w:val="00207D2C"/>
    <w:rsid w:val="00207ECE"/>
    <w:rsid w:val="00210614"/>
    <w:rsid w:val="00210CD8"/>
    <w:rsid w:val="0021191E"/>
    <w:rsid w:val="002135AB"/>
    <w:rsid w:val="002144BE"/>
    <w:rsid w:val="002145C6"/>
    <w:rsid w:val="002164BD"/>
    <w:rsid w:val="00217B62"/>
    <w:rsid w:val="002208D6"/>
    <w:rsid w:val="00221DE8"/>
    <w:rsid w:val="0022274E"/>
    <w:rsid w:val="0022307B"/>
    <w:rsid w:val="002246C9"/>
    <w:rsid w:val="00226195"/>
    <w:rsid w:val="00227D44"/>
    <w:rsid w:val="0023001A"/>
    <w:rsid w:val="00230216"/>
    <w:rsid w:val="0023258A"/>
    <w:rsid w:val="0023357C"/>
    <w:rsid w:val="00233F48"/>
    <w:rsid w:val="0023445A"/>
    <w:rsid w:val="00234B16"/>
    <w:rsid w:val="00236C02"/>
    <w:rsid w:val="00236E3D"/>
    <w:rsid w:val="00237503"/>
    <w:rsid w:val="00241478"/>
    <w:rsid w:val="002415ED"/>
    <w:rsid w:val="00241F99"/>
    <w:rsid w:val="00242262"/>
    <w:rsid w:val="00242279"/>
    <w:rsid w:val="00242A33"/>
    <w:rsid w:val="002431DB"/>
    <w:rsid w:val="00243997"/>
    <w:rsid w:val="002439FE"/>
    <w:rsid w:val="00244078"/>
    <w:rsid w:val="0024516C"/>
    <w:rsid w:val="00245C82"/>
    <w:rsid w:val="00246178"/>
    <w:rsid w:val="002470C2"/>
    <w:rsid w:val="00247888"/>
    <w:rsid w:val="00247B31"/>
    <w:rsid w:val="00247CC2"/>
    <w:rsid w:val="00247E3F"/>
    <w:rsid w:val="00250F50"/>
    <w:rsid w:val="002516BF"/>
    <w:rsid w:val="002524E9"/>
    <w:rsid w:val="00252D15"/>
    <w:rsid w:val="002531CD"/>
    <w:rsid w:val="0025459B"/>
    <w:rsid w:val="00254806"/>
    <w:rsid w:val="00255E0C"/>
    <w:rsid w:val="00256416"/>
    <w:rsid w:val="00256C29"/>
    <w:rsid w:val="00257495"/>
    <w:rsid w:val="002576C7"/>
    <w:rsid w:val="002608FE"/>
    <w:rsid w:val="00260CDA"/>
    <w:rsid w:val="0026149D"/>
    <w:rsid w:val="00261724"/>
    <w:rsid w:val="0026177F"/>
    <w:rsid w:val="00262893"/>
    <w:rsid w:val="00262C8A"/>
    <w:rsid w:val="00264D73"/>
    <w:rsid w:val="002665A8"/>
    <w:rsid w:val="002669E7"/>
    <w:rsid w:val="00266BAD"/>
    <w:rsid w:val="002702EE"/>
    <w:rsid w:val="00271422"/>
    <w:rsid w:val="0027171D"/>
    <w:rsid w:val="002717C2"/>
    <w:rsid w:val="002724BA"/>
    <w:rsid w:val="00272EA4"/>
    <w:rsid w:val="0027477A"/>
    <w:rsid w:val="002750CB"/>
    <w:rsid w:val="0027764F"/>
    <w:rsid w:val="00280728"/>
    <w:rsid w:val="00280C94"/>
    <w:rsid w:val="002810A9"/>
    <w:rsid w:val="002813CF"/>
    <w:rsid w:val="00283080"/>
    <w:rsid w:val="0028667F"/>
    <w:rsid w:val="002912D7"/>
    <w:rsid w:val="002913EA"/>
    <w:rsid w:val="00291B40"/>
    <w:rsid w:val="00291C90"/>
    <w:rsid w:val="00293E56"/>
    <w:rsid w:val="002943FF"/>
    <w:rsid w:val="002955D5"/>
    <w:rsid w:val="00296569"/>
    <w:rsid w:val="0029656C"/>
    <w:rsid w:val="00296EE8"/>
    <w:rsid w:val="002A046C"/>
    <w:rsid w:val="002A0B4D"/>
    <w:rsid w:val="002A13DB"/>
    <w:rsid w:val="002A2C29"/>
    <w:rsid w:val="002A30CF"/>
    <w:rsid w:val="002A33CC"/>
    <w:rsid w:val="002A41EB"/>
    <w:rsid w:val="002A46A8"/>
    <w:rsid w:val="002A69CD"/>
    <w:rsid w:val="002A7E31"/>
    <w:rsid w:val="002B07E7"/>
    <w:rsid w:val="002B0B6A"/>
    <w:rsid w:val="002B0C62"/>
    <w:rsid w:val="002B2546"/>
    <w:rsid w:val="002B2D06"/>
    <w:rsid w:val="002B2FF4"/>
    <w:rsid w:val="002B4008"/>
    <w:rsid w:val="002B4B09"/>
    <w:rsid w:val="002B5EBA"/>
    <w:rsid w:val="002B61B7"/>
    <w:rsid w:val="002B6B94"/>
    <w:rsid w:val="002B6E39"/>
    <w:rsid w:val="002C04BE"/>
    <w:rsid w:val="002C0A2C"/>
    <w:rsid w:val="002C1CFC"/>
    <w:rsid w:val="002C1D20"/>
    <w:rsid w:val="002C439F"/>
    <w:rsid w:val="002C43C6"/>
    <w:rsid w:val="002C69F1"/>
    <w:rsid w:val="002C73C2"/>
    <w:rsid w:val="002C77FD"/>
    <w:rsid w:val="002C7D5B"/>
    <w:rsid w:val="002D071C"/>
    <w:rsid w:val="002D0C42"/>
    <w:rsid w:val="002D0E8E"/>
    <w:rsid w:val="002D2477"/>
    <w:rsid w:val="002D437E"/>
    <w:rsid w:val="002D4910"/>
    <w:rsid w:val="002D4C2F"/>
    <w:rsid w:val="002D5B6B"/>
    <w:rsid w:val="002D64C0"/>
    <w:rsid w:val="002D64E3"/>
    <w:rsid w:val="002D74F4"/>
    <w:rsid w:val="002D786F"/>
    <w:rsid w:val="002D7A5F"/>
    <w:rsid w:val="002E0B57"/>
    <w:rsid w:val="002E0FDC"/>
    <w:rsid w:val="002E155A"/>
    <w:rsid w:val="002E27E8"/>
    <w:rsid w:val="002E2915"/>
    <w:rsid w:val="002E3D91"/>
    <w:rsid w:val="002E3F71"/>
    <w:rsid w:val="002E4ABB"/>
    <w:rsid w:val="002E4DDE"/>
    <w:rsid w:val="002E651C"/>
    <w:rsid w:val="002E76EB"/>
    <w:rsid w:val="002F01F2"/>
    <w:rsid w:val="002F192E"/>
    <w:rsid w:val="002F2042"/>
    <w:rsid w:val="002F3E36"/>
    <w:rsid w:val="002F4467"/>
    <w:rsid w:val="002F568C"/>
    <w:rsid w:val="002F5861"/>
    <w:rsid w:val="002F6DE2"/>
    <w:rsid w:val="002F78E3"/>
    <w:rsid w:val="002F7A4F"/>
    <w:rsid w:val="00300A3D"/>
    <w:rsid w:val="00301189"/>
    <w:rsid w:val="00301E4A"/>
    <w:rsid w:val="003026FD"/>
    <w:rsid w:val="00303E67"/>
    <w:rsid w:val="003054A2"/>
    <w:rsid w:val="00305508"/>
    <w:rsid w:val="00306EA2"/>
    <w:rsid w:val="003071F6"/>
    <w:rsid w:val="003078FC"/>
    <w:rsid w:val="00311EE5"/>
    <w:rsid w:val="003120D6"/>
    <w:rsid w:val="0031244D"/>
    <w:rsid w:val="00312FDF"/>
    <w:rsid w:val="003132E6"/>
    <w:rsid w:val="00313501"/>
    <w:rsid w:val="003168B8"/>
    <w:rsid w:val="003168CC"/>
    <w:rsid w:val="00316C1F"/>
    <w:rsid w:val="00317679"/>
    <w:rsid w:val="00317894"/>
    <w:rsid w:val="00320375"/>
    <w:rsid w:val="00322D64"/>
    <w:rsid w:val="00322DA8"/>
    <w:rsid w:val="00322E39"/>
    <w:rsid w:val="00323E09"/>
    <w:rsid w:val="003245BD"/>
    <w:rsid w:val="0032527E"/>
    <w:rsid w:val="003259F1"/>
    <w:rsid w:val="003263C3"/>
    <w:rsid w:val="00327868"/>
    <w:rsid w:val="0033080B"/>
    <w:rsid w:val="003312E5"/>
    <w:rsid w:val="00331710"/>
    <w:rsid w:val="00331990"/>
    <w:rsid w:val="0033199F"/>
    <w:rsid w:val="00331EF8"/>
    <w:rsid w:val="00332088"/>
    <w:rsid w:val="00332DC4"/>
    <w:rsid w:val="00333932"/>
    <w:rsid w:val="00333D68"/>
    <w:rsid w:val="0033508E"/>
    <w:rsid w:val="00336A16"/>
    <w:rsid w:val="00336EF8"/>
    <w:rsid w:val="00340954"/>
    <w:rsid w:val="0034184C"/>
    <w:rsid w:val="00342143"/>
    <w:rsid w:val="00342623"/>
    <w:rsid w:val="003432F1"/>
    <w:rsid w:val="00343777"/>
    <w:rsid w:val="00343848"/>
    <w:rsid w:val="00343E59"/>
    <w:rsid w:val="0034419F"/>
    <w:rsid w:val="00344230"/>
    <w:rsid w:val="00344993"/>
    <w:rsid w:val="00345BF9"/>
    <w:rsid w:val="0034700C"/>
    <w:rsid w:val="003471C5"/>
    <w:rsid w:val="00347945"/>
    <w:rsid w:val="00347A98"/>
    <w:rsid w:val="00347C03"/>
    <w:rsid w:val="00347FBD"/>
    <w:rsid w:val="00351424"/>
    <w:rsid w:val="003518AA"/>
    <w:rsid w:val="00352165"/>
    <w:rsid w:val="00352445"/>
    <w:rsid w:val="00353182"/>
    <w:rsid w:val="003554CB"/>
    <w:rsid w:val="00355FE5"/>
    <w:rsid w:val="003565D9"/>
    <w:rsid w:val="003566C4"/>
    <w:rsid w:val="00356DF4"/>
    <w:rsid w:val="003571BF"/>
    <w:rsid w:val="003602E1"/>
    <w:rsid w:val="00360EC9"/>
    <w:rsid w:val="00361743"/>
    <w:rsid w:val="00363027"/>
    <w:rsid w:val="00363DD9"/>
    <w:rsid w:val="00363F31"/>
    <w:rsid w:val="0036437D"/>
    <w:rsid w:val="0036594E"/>
    <w:rsid w:val="00366EDA"/>
    <w:rsid w:val="0037026F"/>
    <w:rsid w:val="00371240"/>
    <w:rsid w:val="00371790"/>
    <w:rsid w:val="0037199E"/>
    <w:rsid w:val="00371E4F"/>
    <w:rsid w:val="00373EE1"/>
    <w:rsid w:val="00374731"/>
    <w:rsid w:val="00374C46"/>
    <w:rsid w:val="00374CA5"/>
    <w:rsid w:val="0037613D"/>
    <w:rsid w:val="00376E59"/>
    <w:rsid w:val="00377237"/>
    <w:rsid w:val="00377EC1"/>
    <w:rsid w:val="00380340"/>
    <w:rsid w:val="00381A3F"/>
    <w:rsid w:val="003832D1"/>
    <w:rsid w:val="0038416B"/>
    <w:rsid w:val="00386627"/>
    <w:rsid w:val="003870F8"/>
    <w:rsid w:val="0039157E"/>
    <w:rsid w:val="003919F9"/>
    <w:rsid w:val="003920CF"/>
    <w:rsid w:val="00392567"/>
    <w:rsid w:val="00392FDF"/>
    <w:rsid w:val="00393028"/>
    <w:rsid w:val="003930AA"/>
    <w:rsid w:val="00393AAC"/>
    <w:rsid w:val="00394522"/>
    <w:rsid w:val="00394AC4"/>
    <w:rsid w:val="00394DFC"/>
    <w:rsid w:val="00395F55"/>
    <w:rsid w:val="00395F92"/>
    <w:rsid w:val="00396B31"/>
    <w:rsid w:val="0039781E"/>
    <w:rsid w:val="003A0604"/>
    <w:rsid w:val="003A1785"/>
    <w:rsid w:val="003A1A36"/>
    <w:rsid w:val="003A1F75"/>
    <w:rsid w:val="003A24DE"/>
    <w:rsid w:val="003A37DD"/>
    <w:rsid w:val="003A38F8"/>
    <w:rsid w:val="003A4745"/>
    <w:rsid w:val="003A5292"/>
    <w:rsid w:val="003A562C"/>
    <w:rsid w:val="003A6B1B"/>
    <w:rsid w:val="003A6B68"/>
    <w:rsid w:val="003A75C4"/>
    <w:rsid w:val="003B07DD"/>
    <w:rsid w:val="003B0DC8"/>
    <w:rsid w:val="003B11FA"/>
    <w:rsid w:val="003B23C2"/>
    <w:rsid w:val="003B2F0B"/>
    <w:rsid w:val="003B308D"/>
    <w:rsid w:val="003B3308"/>
    <w:rsid w:val="003B378F"/>
    <w:rsid w:val="003B3F43"/>
    <w:rsid w:val="003B4EF5"/>
    <w:rsid w:val="003B75DE"/>
    <w:rsid w:val="003B7D2F"/>
    <w:rsid w:val="003C0FCD"/>
    <w:rsid w:val="003C112F"/>
    <w:rsid w:val="003C2460"/>
    <w:rsid w:val="003C2B3B"/>
    <w:rsid w:val="003C2DA3"/>
    <w:rsid w:val="003C38B5"/>
    <w:rsid w:val="003C5BAB"/>
    <w:rsid w:val="003C5D99"/>
    <w:rsid w:val="003C61FA"/>
    <w:rsid w:val="003C7C7E"/>
    <w:rsid w:val="003D0A45"/>
    <w:rsid w:val="003D1087"/>
    <w:rsid w:val="003D1664"/>
    <w:rsid w:val="003D2DF1"/>
    <w:rsid w:val="003D41E0"/>
    <w:rsid w:val="003D524B"/>
    <w:rsid w:val="003D5CEE"/>
    <w:rsid w:val="003D69FF"/>
    <w:rsid w:val="003D6DAF"/>
    <w:rsid w:val="003E0B40"/>
    <w:rsid w:val="003E15F2"/>
    <w:rsid w:val="003E210C"/>
    <w:rsid w:val="003E2EBB"/>
    <w:rsid w:val="003E2F59"/>
    <w:rsid w:val="003E431F"/>
    <w:rsid w:val="003E5094"/>
    <w:rsid w:val="003E5E74"/>
    <w:rsid w:val="003E62C5"/>
    <w:rsid w:val="003E6A74"/>
    <w:rsid w:val="003E6B80"/>
    <w:rsid w:val="003E73F7"/>
    <w:rsid w:val="003E746B"/>
    <w:rsid w:val="003E7630"/>
    <w:rsid w:val="003E7A02"/>
    <w:rsid w:val="003E7E4E"/>
    <w:rsid w:val="003F0377"/>
    <w:rsid w:val="003F046F"/>
    <w:rsid w:val="003F0789"/>
    <w:rsid w:val="003F13F4"/>
    <w:rsid w:val="003F1CF4"/>
    <w:rsid w:val="003F2669"/>
    <w:rsid w:val="003F29B2"/>
    <w:rsid w:val="003F3F59"/>
    <w:rsid w:val="003F4AE9"/>
    <w:rsid w:val="003F5B11"/>
    <w:rsid w:val="003F6B1C"/>
    <w:rsid w:val="003F74E8"/>
    <w:rsid w:val="00400827"/>
    <w:rsid w:val="00400EFF"/>
    <w:rsid w:val="004010AC"/>
    <w:rsid w:val="004010E9"/>
    <w:rsid w:val="00401277"/>
    <w:rsid w:val="00401882"/>
    <w:rsid w:val="00401F45"/>
    <w:rsid w:val="00402C3F"/>
    <w:rsid w:val="0040305B"/>
    <w:rsid w:val="00405BDA"/>
    <w:rsid w:val="004064E0"/>
    <w:rsid w:val="00407086"/>
    <w:rsid w:val="00407AFA"/>
    <w:rsid w:val="004100C8"/>
    <w:rsid w:val="00410277"/>
    <w:rsid w:val="0041061E"/>
    <w:rsid w:val="004106A9"/>
    <w:rsid w:val="00411BE0"/>
    <w:rsid w:val="00411DBD"/>
    <w:rsid w:val="00412284"/>
    <w:rsid w:val="00412ACE"/>
    <w:rsid w:val="004145D2"/>
    <w:rsid w:val="00415873"/>
    <w:rsid w:val="00416195"/>
    <w:rsid w:val="00416F1C"/>
    <w:rsid w:val="004224AA"/>
    <w:rsid w:val="0042338A"/>
    <w:rsid w:val="0042352C"/>
    <w:rsid w:val="004238EC"/>
    <w:rsid w:val="00423DC9"/>
    <w:rsid w:val="00424845"/>
    <w:rsid w:val="0042492E"/>
    <w:rsid w:val="00424B7F"/>
    <w:rsid w:val="0042587A"/>
    <w:rsid w:val="00425CAC"/>
    <w:rsid w:val="004264DE"/>
    <w:rsid w:val="00426644"/>
    <w:rsid w:val="00426951"/>
    <w:rsid w:val="004269E5"/>
    <w:rsid w:val="00426CB4"/>
    <w:rsid w:val="00426D16"/>
    <w:rsid w:val="004276DB"/>
    <w:rsid w:val="00430428"/>
    <w:rsid w:val="00431249"/>
    <w:rsid w:val="004318E4"/>
    <w:rsid w:val="00434C19"/>
    <w:rsid w:val="00436ECA"/>
    <w:rsid w:val="0043725F"/>
    <w:rsid w:val="00437B18"/>
    <w:rsid w:val="00437C8E"/>
    <w:rsid w:val="00437D89"/>
    <w:rsid w:val="00440107"/>
    <w:rsid w:val="0044157D"/>
    <w:rsid w:val="00441C16"/>
    <w:rsid w:val="00442028"/>
    <w:rsid w:val="00442D2A"/>
    <w:rsid w:val="004434BA"/>
    <w:rsid w:val="00444639"/>
    <w:rsid w:val="004456D5"/>
    <w:rsid w:val="004459BB"/>
    <w:rsid w:val="00446702"/>
    <w:rsid w:val="00446C13"/>
    <w:rsid w:val="00446D53"/>
    <w:rsid w:val="00447854"/>
    <w:rsid w:val="004507D6"/>
    <w:rsid w:val="00450810"/>
    <w:rsid w:val="00450CF7"/>
    <w:rsid w:val="004516D7"/>
    <w:rsid w:val="004550DA"/>
    <w:rsid w:val="00455403"/>
    <w:rsid w:val="00455782"/>
    <w:rsid w:val="00455D9C"/>
    <w:rsid w:val="00457135"/>
    <w:rsid w:val="00460DB6"/>
    <w:rsid w:val="004619C9"/>
    <w:rsid w:val="00461F41"/>
    <w:rsid w:val="00462C59"/>
    <w:rsid w:val="00463A6E"/>
    <w:rsid w:val="00464A4A"/>
    <w:rsid w:val="00464E12"/>
    <w:rsid w:val="00465A27"/>
    <w:rsid w:val="004663A1"/>
    <w:rsid w:val="00467B80"/>
    <w:rsid w:val="00467D26"/>
    <w:rsid w:val="00470737"/>
    <w:rsid w:val="004725F2"/>
    <w:rsid w:val="004727C1"/>
    <w:rsid w:val="00474139"/>
    <w:rsid w:val="00474A92"/>
    <w:rsid w:val="00476F85"/>
    <w:rsid w:val="00477144"/>
    <w:rsid w:val="004777DF"/>
    <w:rsid w:val="004778C8"/>
    <w:rsid w:val="00477C35"/>
    <w:rsid w:val="0048089D"/>
    <w:rsid w:val="00480B4D"/>
    <w:rsid w:val="00481317"/>
    <w:rsid w:val="0048160B"/>
    <w:rsid w:val="004828E3"/>
    <w:rsid w:val="00483680"/>
    <w:rsid w:val="004837D3"/>
    <w:rsid w:val="00483D99"/>
    <w:rsid w:val="00484931"/>
    <w:rsid w:val="00484B45"/>
    <w:rsid w:val="00485A36"/>
    <w:rsid w:val="00486033"/>
    <w:rsid w:val="0048627D"/>
    <w:rsid w:val="00487335"/>
    <w:rsid w:val="004876C3"/>
    <w:rsid w:val="00487CED"/>
    <w:rsid w:val="00490D1B"/>
    <w:rsid w:val="00491189"/>
    <w:rsid w:val="00491380"/>
    <w:rsid w:val="00491AC7"/>
    <w:rsid w:val="0049453E"/>
    <w:rsid w:val="0049459F"/>
    <w:rsid w:val="00496A99"/>
    <w:rsid w:val="00496E05"/>
    <w:rsid w:val="00497307"/>
    <w:rsid w:val="00497BD7"/>
    <w:rsid w:val="004A38DD"/>
    <w:rsid w:val="004A3ABC"/>
    <w:rsid w:val="004A3E17"/>
    <w:rsid w:val="004A488D"/>
    <w:rsid w:val="004A56E9"/>
    <w:rsid w:val="004A5D52"/>
    <w:rsid w:val="004A70E2"/>
    <w:rsid w:val="004A754D"/>
    <w:rsid w:val="004B1C3F"/>
    <w:rsid w:val="004B2132"/>
    <w:rsid w:val="004B35CB"/>
    <w:rsid w:val="004B387D"/>
    <w:rsid w:val="004B3A50"/>
    <w:rsid w:val="004B3BD0"/>
    <w:rsid w:val="004B4111"/>
    <w:rsid w:val="004B43AE"/>
    <w:rsid w:val="004B453F"/>
    <w:rsid w:val="004B52B2"/>
    <w:rsid w:val="004B530B"/>
    <w:rsid w:val="004B6464"/>
    <w:rsid w:val="004B65CA"/>
    <w:rsid w:val="004B6C1E"/>
    <w:rsid w:val="004B7469"/>
    <w:rsid w:val="004B77A3"/>
    <w:rsid w:val="004C124E"/>
    <w:rsid w:val="004C30ED"/>
    <w:rsid w:val="004C339F"/>
    <w:rsid w:val="004C3527"/>
    <w:rsid w:val="004C5E2A"/>
    <w:rsid w:val="004C682D"/>
    <w:rsid w:val="004C6838"/>
    <w:rsid w:val="004D28EC"/>
    <w:rsid w:val="004D34F4"/>
    <w:rsid w:val="004D3557"/>
    <w:rsid w:val="004D383B"/>
    <w:rsid w:val="004D42C5"/>
    <w:rsid w:val="004D52BE"/>
    <w:rsid w:val="004D5675"/>
    <w:rsid w:val="004D6D58"/>
    <w:rsid w:val="004D7665"/>
    <w:rsid w:val="004E0A0E"/>
    <w:rsid w:val="004E0E9A"/>
    <w:rsid w:val="004E0F72"/>
    <w:rsid w:val="004E23A6"/>
    <w:rsid w:val="004E4C84"/>
    <w:rsid w:val="004E4DC8"/>
    <w:rsid w:val="004E5457"/>
    <w:rsid w:val="004E5CC7"/>
    <w:rsid w:val="004E61CD"/>
    <w:rsid w:val="004E678A"/>
    <w:rsid w:val="004E71A0"/>
    <w:rsid w:val="004E71DE"/>
    <w:rsid w:val="004E732E"/>
    <w:rsid w:val="004F0443"/>
    <w:rsid w:val="004F0532"/>
    <w:rsid w:val="004F30D9"/>
    <w:rsid w:val="004F3A84"/>
    <w:rsid w:val="004F4185"/>
    <w:rsid w:val="004F56D3"/>
    <w:rsid w:val="004F5C12"/>
    <w:rsid w:val="004F6906"/>
    <w:rsid w:val="004F797E"/>
    <w:rsid w:val="00500601"/>
    <w:rsid w:val="00502477"/>
    <w:rsid w:val="00502C5F"/>
    <w:rsid w:val="00503EFD"/>
    <w:rsid w:val="005050AD"/>
    <w:rsid w:val="005052AC"/>
    <w:rsid w:val="005065A5"/>
    <w:rsid w:val="00506757"/>
    <w:rsid w:val="00507B93"/>
    <w:rsid w:val="0051082C"/>
    <w:rsid w:val="00512282"/>
    <w:rsid w:val="005127E5"/>
    <w:rsid w:val="005145E8"/>
    <w:rsid w:val="00514C81"/>
    <w:rsid w:val="00514F4D"/>
    <w:rsid w:val="005174BD"/>
    <w:rsid w:val="00517795"/>
    <w:rsid w:val="005178D6"/>
    <w:rsid w:val="005206CD"/>
    <w:rsid w:val="00520995"/>
    <w:rsid w:val="00520E1A"/>
    <w:rsid w:val="005218B3"/>
    <w:rsid w:val="00521998"/>
    <w:rsid w:val="00522748"/>
    <w:rsid w:val="00523407"/>
    <w:rsid w:val="00523639"/>
    <w:rsid w:val="00523A38"/>
    <w:rsid w:val="00523C02"/>
    <w:rsid w:val="00523F7C"/>
    <w:rsid w:val="00523F97"/>
    <w:rsid w:val="00524061"/>
    <w:rsid w:val="005249B2"/>
    <w:rsid w:val="0052507A"/>
    <w:rsid w:val="005274AA"/>
    <w:rsid w:val="00527767"/>
    <w:rsid w:val="00530116"/>
    <w:rsid w:val="00530A70"/>
    <w:rsid w:val="00530D53"/>
    <w:rsid w:val="00530DCC"/>
    <w:rsid w:val="00531FE5"/>
    <w:rsid w:val="005324F6"/>
    <w:rsid w:val="00533750"/>
    <w:rsid w:val="00534E9F"/>
    <w:rsid w:val="005357E2"/>
    <w:rsid w:val="00536414"/>
    <w:rsid w:val="00536811"/>
    <w:rsid w:val="005402FA"/>
    <w:rsid w:val="00540DE5"/>
    <w:rsid w:val="00541C4E"/>
    <w:rsid w:val="00542281"/>
    <w:rsid w:val="00542C66"/>
    <w:rsid w:val="00543327"/>
    <w:rsid w:val="005442B6"/>
    <w:rsid w:val="00544F4C"/>
    <w:rsid w:val="005474A6"/>
    <w:rsid w:val="0054795E"/>
    <w:rsid w:val="00550B25"/>
    <w:rsid w:val="00551727"/>
    <w:rsid w:val="005522C0"/>
    <w:rsid w:val="005531C0"/>
    <w:rsid w:val="005532AA"/>
    <w:rsid w:val="005534D1"/>
    <w:rsid w:val="005539BB"/>
    <w:rsid w:val="005546FA"/>
    <w:rsid w:val="00554D0B"/>
    <w:rsid w:val="00555886"/>
    <w:rsid w:val="005572D3"/>
    <w:rsid w:val="00560543"/>
    <w:rsid w:val="00560D51"/>
    <w:rsid w:val="005616CF"/>
    <w:rsid w:val="00563939"/>
    <w:rsid w:val="005642EA"/>
    <w:rsid w:val="00564AC3"/>
    <w:rsid w:val="00564CA7"/>
    <w:rsid w:val="005657C0"/>
    <w:rsid w:val="00565B0F"/>
    <w:rsid w:val="005666D6"/>
    <w:rsid w:val="00566B39"/>
    <w:rsid w:val="0056710A"/>
    <w:rsid w:val="00567BD6"/>
    <w:rsid w:val="00570769"/>
    <w:rsid w:val="00571F4F"/>
    <w:rsid w:val="00572805"/>
    <w:rsid w:val="005729BD"/>
    <w:rsid w:val="005732D3"/>
    <w:rsid w:val="005735C9"/>
    <w:rsid w:val="00573914"/>
    <w:rsid w:val="0057407E"/>
    <w:rsid w:val="00575836"/>
    <w:rsid w:val="00576A67"/>
    <w:rsid w:val="00577144"/>
    <w:rsid w:val="0057772C"/>
    <w:rsid w:val="00577943"/>
    <w:rsid w:val="00580154"/>
    <w:rsid w:val="00582250"/>
    <w:rsid w:val="00582814"/>
    <w:rsid w:val="00582924"/>
    <w:rsid w:val="0058318B"/>
    <w:rsid w:val="00583A87"/>
    <w:rsid w:val="00583C39"/>
    <w:rsid w:val="005859B2"/>
    <w:rsid w:val="005862FA"/>
    <w:rsid w:val="00586A90"/>
    <w:rsid w:val="005872C9"/>
    <w:rsid w:val="00587852"/>
    <w:rsid w:val="00587F28"/>
    <w:rsid w:val="005909CF"/>
    <w:rsid w:val="00590F40"/>
    <w:rsid w:val="00591485"/>
    <w:rsid w:val="00591E71"/>
    <w:rsid w:val="005921B1"/>
    <w:rsid w:val="00592E1A"/>
    <w:rsid w:val="00592FA0"/>
    <w:rsid w:val="00593155"/>
    <w:rsid w:val="00593271"/>
    <w:rsid w:val="005939CC"/>
    <w:rsid w:val="00594ED0"/>
    <w:rsid w:val="00594EE6"/>
    <w:rsid w:val="00595652"/>
    <w:rsid w:val="00595961"/>
    <w:rsid w:val="00595AD7"/>
    <w:rsid w:val="00595C37"/>
    <w:rsid w:val="00595FB6"/>
    <w:rsid w:val="00596D2C"/>
    <w:rsid w:val="005A069F"/>
    <w:rsid w:val="005A0D41"/>
    <w:rsid w:val="005A0F4D"/>
    <w:rsid w:val="005A1629"/>
    <w:rsid w:val="005A1751"/>
    <w:rsid w:val="005A1BA0"/>
    <w:rsid w:val="005A30B2"/>
    <w:rsid w:val="005A404A"/>
    <w:rsid w:val="005A544F"/>
    <w:rsid w:val="005A5D20"/>
    <w:rsid w:val="005A6A1C"/>
    <w:rsid w:val="005A7136"/>
    <w:rsid w:val="005A7E60"/>
    <w:rsid w:val="005B00B8"/>
    <w:rsid w:val="005B0136"/>
    <w:rsid w:val="005B1178"/>
    <w:rsid w:val="005B1DC9"/>
    <w:rsid w:val="005B22E4"/>
    <w:rsid w:val="005B2F43"/>
    <w:rsid w:val="005B2FE6"/>
    <w:rsid w:val="005B33D0"/>
    <w:rsid w:val="005B39CB"/>
    <w:rsid w:val="005B4822"/>
    <w:rsid w:val="005B5C3B"/>
    <w:rsid w:val="005B6448"/>
    <w:rsid w:val="005B756D"/>
    <w:rsid w:val="005B76EE"/>
    <w:rsid w:val="005C0BBE"/>
    <w:rsid w:val="005C12E5"/>
    <w:rsid w:val="005C1959"/>
    <w:rsid w:val="005C352D"/>
    <w:rsid w:val="005C4354"/>
    <w:rsid w:val="005C4ACF"/>
    <w:rsid w:val="005C5929"/>
    <w:rsid w:val="005C624A"/>
    <w:rsid w:val="005C6498"/>
    <w:rsid w:val="005C7072"/>
    <w:rsid w:val="005C7311"/>
    <w:rsid w:val="005C7355"/>
    <w:rsid w:val="005C7525"/>
    <w:rsid w:val="005C7BDB"/>
    <w:rsid w:val="005D06C4"/>
    <w:rsid w:val="005D1653"/>
    <w:rsid w:val="005D29F4"/>
    <w:rsid w:val="005D3067"/>
    <w:rsid w:val="005D329F"/>
    <w:rsid w:val="005D4568"/>
    <w:rsid w:val="005D45F2"/>
    <w:rsid w:val="005D5393"/>
    <w:rsid w:val="005D5575"/>
    <w:rsid w:val="005D5C29"/>
    <w:rsid w:val="005E0224"/>
    <w:rsid w:val="005E0FB0"/>
    <w:rsid w:val="005E14AB"/>
    <w:rsid w:val="005E1E60"/>
    <w:rsid w:val="005E28D7"/>
    <w:rsid w:val="005E3074"/>
    <w:rsid w:val="005E3975"/>
    <w:rsid w:val="005E48E0"/>
    <w:rsid w:val="005E5092"/>
    <w:rsid w:val="005E51CD"/>
    <w:rsid w:val="005E6606"/>
    <w:rsid w:val="005E66AE"/>
    <w:rsid w:val="005E7887"/>
    <w:rsid w:val="005E79D1"/>
    <w:rsid w:val="005F1AC4"/>
    <w:rsid w:val="005F2931"/>
    <w:rsid w:val="005F3D92"/>
    <w:rsid w:val="005F48ED"/>
    <w:rsid w:val="005F4D1B"/>
    <w:rsid w:val="005F52F5"/>
    <w:rsid w:val="005F5C67"/>
    <w:rsid w:val="005F63FF"/>
    <w:rsid w:val="005F64D7"/>
    <w:rsid w:val="005F6B66"/>
    <w:rsid w:val="005F72EC"/>
    <w:rsid w:val="0060100C"/>
    <w:rsid w:val="00601647"/>
    <w:rsid w:val="0060263F"/>
    <w:rsid w:val="00603105"/>
    <w:rsid w:val="0060365F"/>
    <w:rsid w:val="00603B26"/>
    <w:rsid w:val="0060446C"/>
    <w:rsid w:val="00606E78"/>
    <w:rsid w:val="00607BF1"/>
    <w:rsid w:val="0061367B"/>
    <w:rsid w:val="00614523"/>
    <w:rsid w:val="00616F4C"/>
    <w:rsid w:val="00617792"/>
    <w:rsid w:val="006178FF"/>
    <w:rsid w:val="00617A60"/>
    <w:rsid w:val="00620A5C"/>
    <w:rsid w:val="00620EE2"/>
    <w:rsid w:val="00621444"/>
    <w:rsid w:val="00622477"/>
    <w:rsid w:val="00622923"/>
    <w:rsid w:val="00624349"/>
    <w:rsid w:val="006243DE"/>
    <w:rsid w:val="00624443"/>
    <w:rsid w:val="00624757"/>
    <w:rsid w:val="00624BD2"/>
    <w:rsid w:val="00625026"/>
    <w:rsid w:val="006262A9"/>
    <w:rsid w:val="00627B2C"/>
    <w:rsid w:val="00630C4B"/>
    <w:rsid w:val="00630D4D"/>
    <w:rsid w:val="00630ECA"/>
    <w:rsid w:val="00631D1E"/>
    <w:rsid w:val="00631D76"/>
    <w:rsid w:val="00632A74"/>
    <w:rsid w:val="0063333F"/>
    <w:rsid w:val="006339CD"/>
    <w:rsid w:val="00633DFE"/>
    <w:rsid w:val="006349D6"/>
    <w:rsid w:val="00634CA1"/>
    <w:rsid w:val="0063587E"/>
    <w:rsid w:val="0063641F"/>
    <w:rsid w:val="006375A7"/>
    <w:rsid w:val="00637C93"/>
    <w:rsid w:val="00640661"/>
    <w:rsid w:val="006422D8"/>
    <w:rsid w:val="00642434"/>
    <w:rsid w:val="00642695"/>
    <w:rsid w:val="00643189"/>
    <w:rsid w:val="0064365A"/>
    <w:rsid w:val="00643EE2"/>
    <w:rsid w:val="00643FAD"/>
    <w:rsid w:val="006441AF"/>
    <w:rsid w:val="00644E1C"/>
    <w:rsid w:val="006453CC"/>
    <w:rsid w:val="006463DF"/>
    <w:rsid w:val="00646973"/>
    <w:rsid w:val="00646E91"/>
    <w:rsid w:val="00650EEB"/>
    <w:rsid w:val="00650F23"/>
    <w:rsid w:val="00651A9E"/>
    <w:rsid w:val="00651E68"/>
    <w:rsid w:val="00653784"/>
    <w:rsid w:val="0065498A"/>
    <w:rsid w:val="00654ABA"/>
    <w:rsid w:val="00654D42"/>
    <w:rsid w:val="006552F8"/>
    <w:rsid w:val="0065599C"/>
    <w:rsid w:val="006565A1"/>
    <w:rsid w:val="00656BDA"/>
    <w:rsid w:val="00657738"/>
    <w:rsid w:val="00660648"/>
    <w:rsid w:val="00660AF4"/>
    <w:rsid w:val="00660D70"/>
    <w:rsid w:val="00660ECF"/>
    <w:rsid w:val="006610D5"/>
    <w:rsid w:val="00661A3A"/>
    <w:rsid w:val="00662211"/>
    <w:rsid w:val="00662613"/>
    <w:rsid w:val="0066329E"/>
    <w:rsid w:val="00663866"/>
    <w:rsid w:val="00663C3B"/>
    <w:rsid w:val="00666E02"/>
    <w:rsid w:val="006671E6"/>
    <w:rsid w:val="006673E0"/>
    <w:rsid w:val="0066767B"/>
    <w:rsid w:val="00672159"/>
    <w:rsid w:val="00674B26"/>
    <w:rsid w:val="00674B7F"/>
    <w:rsid w:val="00674E42"/>
    <w:rsid w:val="00675657"/>
    <w:rsid w:val="00675A0A"/>
    <w:rsid w:val="00676B0B"/>
    <w:rsid w:val="0067734A"/>
    <w:rsid w:val="006777FE"/>
    <w:rsid w:val="00681542"/>
    <w:rsid w:val="00681E5F"/>
    <w:rsid w:val="0068214D"/>
    <w:rsid w:val="0068328B"/>
    <w:rsid w:val="00683380"/>
    <w:rsid w:val="00685149"/>
    <w:rsid w:val="006868AC"/>
    <w:rsid w:val="00686A34"/>
    <w:rsid w:val="00687BA7"/>
    <w:rsid w:val="006902E3"/>
    <w:rsid w:val="00690F95"/>
    <w:rsid w:val="0069132A"/>
    <w:rsid w:val="00691444"/>
    <w:rsid w:val="00692C8E"/>
    <w:rsid w:val="00692D24"/>
    <w:rsid w:val="00695E57"/>
    <w:rsid w:val="006976A1"/>
    <w:rsid w:val="00697826"/>
    <w:rsid w:val="006A0690"/>
    <w:rsid w:val="006A0E11"/>
    <w:rsid w:val="006A1CE3"/>
    <w:rsid w:val="006A3556"/>
    <w:rsid w:val="006A4655"/>
    <w:rsid w:val="006A49A9"/>
    <w:rsid w:val="006A5440"/>
    <w:rsid w:val="006A565C"/>
    <w:rsid w:val="006B1556"/>
    <w:rsid w:val="006B1654"/>
    <w:rsid w:val="006B2B3C"/>
    <w:rsid w:val="006B339F"/>
    <w:rsid w:val="006B3435"/>
    <w:rsid w:val="006B4482"/>
    <w:rsid w:val="006B773A"/>
    <w:rsid w:val="006C07C2"/>
    <w:rsid w:val="006C1D81"/>
    <w:rsid w:val="006C1DFF"/>
    <w:rsid w:val="006C2861"/>
    <w:rsid w:val="006C296D"/>
    <w:rsid w:val="006C2A29"/>
    <w:rsid w:val="006C30DA"/>
    <w:rsid w:val="006C3668"/>
    <w:rsid w:val="006C3B49"/>
    <w:rsid w:val="006C489A"/>
    <w:rsid w:val="006C5658"/>
    <w:rsid w:val="006C6C68"/>
    <w:rsid w:val="006C6F4A"/>
    <w:rsid w:val="006C7038"/>
    <w:rsid w:val="006D0756"/>
    <w:rsid w:val="006D14DB"/>
    <w:rsid w:val="006D1A82"/>
    <w:rsid w:val="006D3ECB"/>
    <w:rsid w:val="006D4736"/>
    <w:rsid w:val="006D5A4D"/>
    <w:rsid w:val="006D776F"/>
    <w:rsid w:val="006D7C59"/>
    <w:rsid w:val="006E09FB"/>
    <w:rsid w:val="006E1620"/>
    <w:rsid w:val="006E1717"/>
    <w:rsid w:val="006E1975"/>
    <w:rsid w:val="006E1C3E"/>
    <w:rsid w:val="006E246B"/>
    <w:rsid w:val="006E449E"/>
    <w:rsid w:val="006E50B2"/>
    <w:rsid w:val="006E6FAB"/>
    <w:rsid w:val="006E73EF"/>
    <w:rsid w:val="006F1C79"/>
    <w:rsid w:val="006F2723"/>
    <w:rsid w:val="006F2793"/>
    <w:rsid w:val="006F4600"/>
    <w:rsid w:val="006F4AD4"/>
    <w:rsid w:val="006F6EBE"/>
    <w:rsid w:val="006F7206"/>
    <w:rsid w:val="00702710"/>
    <w:rsid w:val="00702AF9"/>
    <w:rsid w:val="00703D74"/>
    <w:rsid w:val="00705351"/>
    <w:rsid w:val="0070643D"/>
    <w:rsid w:val="00706DD0"/>
    <w:rsid w:val="007079C9"/>
    <w:rsid w:val="0071074A"/>
    <w:rsid w:val="0071204B"/>
    <w:rsid w:val="00714D4D"/>
    <w:rsid w:val="00715565"/>
    <w:rsid w:val="007156C2"/>
    <w:rsid w:val="00716282"/>
    <w:rsid w:val="007168AE"/>
    <w:rsid w:val="00717933"/>
    <w:rsid w:val="007204ED"/>
    <w:rsid w:val="0072053D"/>
    <w:rsid w:val="00720632"/>
    <w:rsid w:val="00720B2B"/>
    <w:rsid w:val="00721467"/>
    <w:rsid w:val="007235B0"/>
    <w:rsid w:val="00724A04"/>
    <w:rsid w:val="007252BC"/>
    <w:rsid w:val="00725E8F"/>
    <w:rsid w:val="007266D3"/>
    <w:rsid w:val="00726B09"/>
    <w:rsid w:val="00730D26"/>
    <w:rsid w:val="00730D65"/>
    <w:rsid w:val="007311BD"/>
    <w:rsid w:val="00732029"/>
    <w:rsid w:val="007328F3"/>
    <w:rsid w:val="007335BE"/>
    <w:rsid w:val="007348CB"/>
    <w:rsid w:val="0073578E"/>
    <w:rsid w:val="007358CD"/>
    <w:rsid w:val="00736564"/>
    <w:rsid w:val="00736573"/>
    <w:rsid w:val="00736CD2"/>
    <w:rsid w:val="00740585"/>
    <w:rsid w:val="0074106D"/>
    <w:rsid w:val="00741384"/>
    <w:rsid w:val="007414EB"/>
    <w:rsid w:val="00741FAC"/>
    <w:rsid w:val="00742CED"/>
    <w:rsid w:val="007438E5"/>
    <w:rsid w:val="00744AF2"/>
    <w:rsid w:val="00744B9A"/>
    <w:rsid w:val="00746233"/>
    <w:rsid w:val="00746889"/>
    <w:rsid w:val="007476B4"/>
    <w:rsid w:val="00747996"/>
    <w:rsid w:val="007516DE"/>
    <w:rsid w:val="00751985"/>
    <w:rsid w:val="007519E5"/>
    <w:rsid w:val="0075327E"/>
    <w:rsid w:val="00753523"/>
    <w:rsid w:val="00754BA6"/>
    <w:rsid w:val="007559E4"/>
    <w:rsid w:val="007560A9"/>
    <w:rsid w:val="00756A01"/>
    <w:rsid w:val="0075714C"/>
    <w:rsid w:val="0075752D"/>
    <w:rsid w:val="007604BB"/>
    <w:rsid w:val="007612D6"/>
    <w:rsid w:val="0076249E"/>
    <w:rsid w:val="0076267D"/>
    <w:rsid w:val="00762E22"/>
    <w:rsid w:val="0076344C"/>
    <w:rsid w:val="00764154"/>
    <w:rsid w:val="00764ABE"/>
    <w:rsid w:val="00765F02"/>
    <w:rsid w:val="00772467"/>
    <w:rsid w:val="00772909"/>
    <w:rsid w:val="00772A19"/>
    <w:rsid w:val="007739A3"/>
    <w:rsid w:val="00774D0F"/>
    <w:rsid w:val="007758E2"/>
    <w:rsid w:val="00776345"/>
    <w:rsid w:val="007804E1"/>
    <w:rsid w:val="0078080A"/>
    <w:rsid w:val="007809C1"/>
    <w:rsid w:val="00780F25"/>
    <w:rsid w:val="0078125E"/>
    <w:rsid w:val="00781755"/>
    <w:rsid w:val="007817E9"/>
    <w:rsid w:val="007825B6"/>
    <w:rsid w:val="00783C90"/>
    <w:rsid w:val="00783DAE"/>
    <w:rsid w:val="00784165"/>
    <w:rsid w:val="0078433E"/>
    <w:rsid w:val="0078472C"/>
    <w:rsid w:val="007849CE"/>
    <w:rsid w:val="00785232"/>
    <w:rsid w:val="00785ED9"/>
    <w:rsid w:val="00786738"/>
    <w:rsid w:val="007871AF"/>
    <w:rsid w:val="00787AD5"/>
    <w:rsid w:val="00787DB5"/>
    <w:rsid w:val="00791215"/>
    <w:rsid w:val="0079293E"/>
    <w:rsid w:val="007936FD"/>
    <w:rsid w:val="00795089"/>
    <w:rsid w:val="00795382"/>
    <w:rsid w:val="00796593"/>
    <w:rsid w:val="00796DA7"/>
    <w:rsid w:val="0079701E"/>
    <w:rsid w:val="007971BB"/>
    <w:rsid w:val="007A0B5D"/>
    <w:rsid w:val="007A14EE"/>
    <w:rsid w:val="007A219C"/>
    <w:rsid w:val="007A21EB"/>
    <w:rsid w:val="007A23D3"/>
    <w:rsid w:val="007A2A59"/>
    <w:rsid w:val="007A35B4"/>
    <w:rsid w:val="007A4637"/>
    <w:rsid w:val="007A4669"/>
    <w:rsid w:val="007A586B"/>
    <w:rsid w:val="007A597F"/>
    <w:rsid w:val="007A5CD1"/>
    <w:rsid w:val="007A60F9"/>
    <w:rsid w:val="007A633D"/>
    <w:rsid w:val="007A6F46"/>
    <w:rsid w:val="007A7AD9"/>
    <w:rsid w:val="007B0FE9"/>
    <w:rsid w:val="007B1861"/>
    <w:rsid w:val="007B1A2B"/>
    <w:rsid w:val="007B1A93"/>
    <w:rsid w:val="007B2526"/>
    <w:rsid w:val="007B29E5"/>
    <w:rsid w:val="007B2BE3"/>
    <w:rsid w:val="007B54E2"/>
    <w:rsid w:val="007B7636"/>
    <w:rsid w:val="007B79B8"/>
    <w:rsid w:val="007C035F"/>
    <w:rsid w:val="007C12C1"/>
    <w:rsid w:val="007C2BCB"/>
    <w:rsid w:val="007C302E"/>
    <w:rsid w:val="007C305A"/>
    <w:rsid w:val="007C3167"/>
    <w:rsid w:val="007C3461"/>
    <w:rsid w:val="007C36C9"/>
    <w:rsid w:val="007C444A"/>
    <w:rsid w:val="007C505E"/>
    <w:rsid w:val="007C6D69"/>
    <w:rsid w:val="007C7A2D"/>
    <w:rsid w:val="007D01B7"/>
    <w:rsid w:val="007D07F0"/>
    <w:rsid w:val="007D19C1"/>
    <w:rsid w:val="007D1D78"/>
    <w:rsid w:val="007D2053"/>
    <w:rsid w:val="007D2459"/>
    <w:rsid w:val="007D26BF"/>
    <w:rsid w:val="007D2BC1"/>
    <w:rsid w:val="007D2D5D"/>
    <w:rsid w:val="007D350D"/>
    <w:rsid w:val="007D434E"/>
    <w:rsid w:val="007D6131"/>
    <w:rsid w:val="007D6401"/>
    <w:rsid w:val="007D6E39"/>
    <w:rsid w:val="007D76EC"/>
    <w:rsid w:val="007D772B"/>
    <w:rsid w:val="007E01E4"/>
    <w:rsid w:val="007E13AB"/>
    <w:rsid w:val="007E1DC3"/>
    <w:rsid w:val="007E2017"/>
    <w:rsid w:val="007E2C03"/>
    <w:rsid w:val="007E2D20"/>
    <w:rsid w:val="007E2E5E"/>
    <w:rsid w:val="007E36D4"/>
    <w:rsid w:val="007E3CDF"/>
    <w:rsid w:val="007E41DD"/>
    <w:rsid w:val="007E4885"/>
    <w:rsid w:val="007E517C"/>
    <w:rsid w:val="007E5731"/>
    <w:rsid w:val="007E599F"/>
    <w:rsid w:val="007E7A12"/>
    <w:rsid w:val="007E7C70"/>
    <w:rsid w:val="007E7E50"/>
    <w:rsid w:val="007F004F"/>
    <w:rsid w:val="007F048B"/>
    <w:rsid w:val="007F0EB0"/>
    <w:rsid w:val="007F102F"/>
    <w:rsid w:val="007F1E2E"/>
    <w:rsid w:val="007F1FA8"/>
    <w:rsid w:val="007F311E"/>
    <w:rsid w:val="007F3692"/>
    <w:rsid w:val="007F3CDA"/>
    <w:rsid w:val="007F4771"/>
    <w:rsid w:val="007F4E7D"/>
    <w:rsid w:val="007F56FC"/>
    <w:rsid w:val="007F61B4"/>
    <w:rsid w:val="007F6426"/>
    <w:rsid w:val="007F6549"/>
    <w:rsid w:val="007F6DC1"/>
    <w:rsid w:val="007F7107"/>
    <w:rsid w:val="00800A32"/>
    <w:rsid w:val="00800D4C"/>
    <w:rsid w:val="00801658"/>
    <w:rsid w:val="00801A2E"/>
    <w:rsid w:val="00802DE7"/>
    <w:rsid w:val="0080315C"/>
    <w:rsid w:val="008037E6"/>
    <w:rsid w:val="00804E98"/>
    <w:rsid w:val="0080548F"/>
    <w:rsid w:val="00805FE9"/>
    <w:rsid w:val="00807ABE"/>
    <w:rsid w:val="00810051"/>
    <w:rsid w:val="0081030F"/>
    <w:rsid w:val="0081084F"/>
    <w:rsid w:val="00810F2D"/>
    <w:rsid w:val="00812F4A"/>
    <w:rsid w:val="00814A90"/>
    <w:rsid w:val="0082087D"/>
    <w:rsid w:val="00822484"/>
    <w:rsid w:val="00822B7A"/>
    <w:rsid w:val="008236EB"/>
    <w:rsid w:val="00823A1F"/>
    <w:rsid w:val="008260BE"/>
    <w:rsid w:val="0082761C"/>
    <w:rsid w:val="0083034F"/>
    <w:rsid w:val="00831E94"/>
    <w:rsid w:val="00832AF5"/>
    <w:rsid w:val="008335B9"/>
    <w:rsid w:val="00834C88"/>
    <w:rsid w:val="008351B8"/>
    <w:rsid w:val="00835771"/>
    <w:rsid w:val="00835DD3"/>
    <w:rsid w:val="00836873"/>
    <w:rsid w:val="00836D40"/>
    <w:rsid w:val="00836F62"/>
    <w:rsid w:val="00837EAA"/>
    <w:rsid w:val="00841446"/>
    <w:rsid w:val="008420E0"/>
    <w:rsid w:val="0084288D"/>
    <w:rsid w:val="00842933"/>
    <w:rsid w:val="008431E3"/>
    <w:rsid w:val="00843571"/>
    <w:rsid w:val="00844810"/>
    <w:rsid w:val="0084500F"/>
    <w:rsid w:val="00846194"/>
    <w:rsid w:val="008461F9"/>
    <w:rsid w:val="00846F87"/>
    <w:rsid w:val="00847390"/>
    <w:rsid w:val="00850F15"/>
    <w:rsid w:val="0085141E"/>
    <w:rsid w:val="008559FA"/>
    <w:rsid w:val="0085686C"/>
    <w:rsid w:val="00857621"/>
    <w:rsid w:val="00857696"/>
    <w:rsid w:val="0086082C"/>
    <w:rsid w:val="00861118"/>
    <w:rsid w:val="00861563"/>
    <w:rsid w:val="00862B04"/>
    <w:rsid w:val="0086364B"/>
    <w:rsid w:val="00864603"/>
    <w:rsid w:val="00864ADC"/>
    <w:rsid w:val="00864B95"/>
    <w:rsid w:val="0086704F"/>
    <w:rsid w:val="00867661"/>
    <w:rsid w:val="0086770A"/>
    <w:rsid w:val="00867C1F"/>
    <w:rsid w:val="00867DA3"/>
    <w:rsid w:val="008708FC"/>
    <w:rsid w:val="00870905"/>
    <w:rsid w:val="00871CEB"/>
    <w:rsid w:val="008722E5"/>
    <w:rsid w:val="00872F39"/>
    <w:rsid w:val="00873499"/>
    <w:rsid w:val="0087366E"/>
    <w:rsid w:val="00873A4F"/>
    <w:rsid w:val="00874927"/>
    <w:rsid w:val="00876EA3"/>
    <w:rsid w:val="008773F9"/>
    <w:rsid w:val="00877F87"/>
    <w:rsid w:val="00880153"/>
    <w:rsid w:val="00880D07"/>
    <w:rsid w:val="00880F97"/>
    <w:rsid w:val="0088133A"/>
    <w:rsid w:val="00881883"/>
    <w:rsid w:val="008831F4"/>
    <w:rsid w:val="00884D58"/>
    <w:rsid w:val="00885503"/>
    <w:rsid w:val="00886194"/>
    <w:rsid w:val="008865C4"/>
    <w:rsid w:val="00886E57"/>
    <w:rsid w:val="0089031A"/>
    <w:rsid w:val="00891C2F"/>
    <w:rsid w:val="00891E41"/>
    <w:rsid w:val="00891F69"/>
    <w:rsid w:val="008922D5"/>
    <w:rsid w:val="0089253A"/>
    <w:rsid w:val="0089285E"/>
    <w:rsid w:val="00892B61"/>
    <w:rsid w:val="00892FC5"/>
    <w:rsid w:val="0089436C"/>
    <w:rsid w:val="008969B6"/>
    <w:rsid w:val="00896ED5"/>
    <w:rsid w:val="00896F10"/>
    <w:rsid w:val="008A0919"/>
    <w:rsid w:val="008A0C2A"/>
    <w:rsid w:val="008A0E1C"/>
    <w:rsid w:val="008A1187"/>
    <w:rsid w:val="008A23C6"/>
    <w:rsid w:val="008A2D62"/>
    <w:rsid w:val="008A314E"/>
    <w:rsid w:val="008A503D"/>
    <w:rsid w:val="008B1A11"/>
    <w:rsid w:val="008B2133"/>
    <w:rsid w:val="008B2EB2"/>
    <w:rsid w:val="008B2EC6"/>
    <w:rsid w:val="008B30FF"/>
    <w:rsid w:val="008B438C"/>
    <w:rsid w:val="008B45E7"/>
    <w:rsid w:val="008B482A"/>
    <w:rsid w:val="008B4C3E"/>
    <w:rsid w:val="008B4D05"/>
    <w:rsid w:val="008B529B"/>
    <w:rsid w:val="008B5377"/>
    <w:rsid w:val="008B5B14"/>
    <w:rsid w:val="008B615F"/>
    <w:rsid w:val="008B64FA"/>
    <w:rsid w:val="008B665C"/>
    <w:rsid w:val="008B7777"/>
    <w:rsid w:val="008C0AA2"/>
    <w:rsid w:val="008C0EEA"/>
    <w:rsid w:val="008C2DA4"/>
    <w:rsid w:val="008C3CC9"/>
    <w:rsid w:val="008C4534"/>
    <w:rsid w:val="008C4927"/>
    <w:rsid w:val="008C4BD8"/>
    <w:rsid w:val="008C5ABE"/>
    <w:rsid w:val="008C6345"/>
    <w:rsid w:val="008C6360"/>
    <w:rsid w:val="008C7280"/>
    <w:rsid w:val="008C7597"/>
    <w:rsid w:val="008C79B3"/>
    <w:rsid w:val="008C79B9"/>
    <w:rsid w:val="008C7CC9"/>
    <w:rsid w:val="008D0855"/>
    <w:rsid w:val="008D1BC5"/>
    <w:rsid w:val="008D20F9"/>
    <w:rsid w:val="008D213B"/>
    <w:rsid w:val="008D21F5"/>
    <w:rsid w:val="008D365C"/>
    <w:rsid w:val="008D3B26"/>
    <w:rsid w:val="008D64C9"/>
    <w:rsid w:val="008D7499"/>
    <w:rsid w:val="008D7622"/>
    <w:rsid w:val="008D7C25"/>
    <w:rsid w:val="008E03CB"/>
    <w:rsid w:val="008E0483"/>
    <w:rsid w:val="008E1CE0"/>
    <w:rsid w:val="008E1DF1"/>
    <w:rsid w:val="008E2A8C"/>
    <w:rsid w:val="008E2EAB"/>
    <w:rsid w:val="008E40CA"/>
    <w:rsid w:val="008E4B5F"/>
    <w:rsid w:val="008F03E1"/>
    <w:rsid w:val="008F1504"/>
    <w:rsid w:val="008F15A8"/>
    <w:rsid w:val="008F1C1E"/>
    <w:rsid w:val="008F2826"/>
    <w:rsid w:val="008F2D57"/>
    <w:rsid w:val="008F502D"/>
    <w:rsid w:val="008F5B0A"/>
    <w:rsid w:val="008F6ECE"/>
    <w:rsid w:val="008F7056"/>
    <w:rsid w:val="008F770E"/>
    <w:rsid w:val="00900479"/>
    <w:rsid w:val="00900526"/>
    <w:rsid w:val="0090164B"/>
    <w:rsid w:val="009021A6"/>
    <w:rsid w:val="009024D5"/>
    <w:rsid w:val="009030BF"/>
    <w:rsid w:val="00903B52"/>
    <w:rsid w:val="0090432F"/>
    <w:rsid w:val="00905782"/>
    <w:rsid w:val="00905CB1"/>
    <w:rsid w:val="00905ECB"/>
    <w:rsid w:val="00905ED5"/>
    <w:rsid w:val="0091032F"/>
    <w:rsid w:val="009107E0"/>
    <w:rsid w:val="0091124D"/>
    <w:rsid w:val="009124F6"/>
    <w:rsid w:val="00913378"/>
    <w:rsid w:val="0091351C"/>
    <w:rsid w:val="00914368"/>
    <w:rsid w:val="00914BC5"/>
    <w:rsid w:val="009164FD"/>
    <w:rsid w:val="00916A93"/>
    <w:rsid w:val="00917DE3"/>
    <w:rsid w:val="00920481"/>
    <w:rsid w:val="009205DA"/>
    <w:rsid w:val="0092093F"/>
    <w:rsid w:val="00920C95"/>
    <w:rsid w:val="00922BB3"/>
    <w:rsid w:val="00923064"/>
    <w:rsid w:val="00924622"/>
    <w:rsid w:val="009256E5"/>
    <w:rsid w:val="00926E59"/>
    <w:rsid w:val="00930357"/>
    <w:rsid w:val="00931076"/>
    <w:rsid w:val="00932471"/>
    <w:rsid w:val="00932FFF"/>
    <w:rsid w:val="00933840"/>
    <w:rsid w:val="009345D9"/>
    <w:rsid w:val="00934B15"/>
    <w:rsid w:val="009359C4"/>
    <w:rsid w:val="00935BBB"/>
    <w:rsid w:val="00936C29"/>
    <w:rsid w:val="00936FC9"/>
    <w:rsid w:val="00940C87"/>
    <w:rsid w:val="009417C6"/>
    <w:rsid w:val="00941CF5"/>
    <w:rsid w:val="009424A8"/>
    <w:rsid w:val="00942B62"/>
    <w:rsid w:val="0094677E"/>
    <w:rsid w:val="0094686E"/>
    <w:rsid w:val="00947607"/>
    <w:rsid w:val="00950CDD"/>
    <w:rsid w:val="009512C2"/>
    <w:rsid w:val="00951EED"/>
    <w:rsid w:val="00952368"/>
    <w:rsid w:val="0095323B"/>
    <w:rsid w:val="0095395C"/>
    <w:rsid w:val="00954C0A"/>
    <w:rsid w:val="00954F06"/>
    <w:rsid w:val="009550C7"/>
    <w:rsid w:val="0095526D"/>
    <w:rsid w:val="0095642C"/>
    <w:rsid w:val="0095656E"/>
    <w:rsid w:val="00956806"/>
    <w:rsid w:val="00956A0C"/>
    <w:rsid w:val="00956BD9"/>
    <w:rsid w:val="00960421"/>
    <w:rsid w:val="00961EA9"/>
    <w:rsid w:val="00962489"/>
    <w:rsid w:val="009624FB"/>
    <w:rsid w:val="00964087"/>
    <w:rsid w:val="009642E1"/>
    <w:rsid w:val="00965679"/>
    <w:rsid w:val="00965907"/>
    <w:rsid w:val="00966895"/>
    <w:rsid w:val="00966A61"/>
    <w:rsid w:val="00967CD3"/>
    <w:rsid w:val="00967D76"/>
    <w:rsid w:val="00967DF4"/>
    <w:rsid w:val="00971A4C"/>
    <w:rsid w:val="00972ED3"/>
    <w:rsid w:val="00972ED4"/>
    <w:rsid w:val="00972F20"/>
    <w:rsid w:val="00974549"/>
    <w:rsid w:val="009752A1"/>
    <w:rsid w:val="009759BB"/>
    <w:rsid w:val="0097647A"/>
    <w:rsid w:val="009772C4"/>
    <w:rsid w:val="00981E41"/>
    <w:rsid w:val="009820B7"/>
    <w:rsid w:val="00982184"/>
    <w:rsid w:val="009836D1"/>
    <w:rsid w:val="00986343"/>
    <w:rsid w:val="00986CC9"/>
    <w:rsid w:val="0098786F"/>
    <w:rsid w:val="00990937"/>
    <w:rsid w:val="00990C2C"/>
    <w:rsid w:val="00991937"/>
    <w:rsid w:val="00994BB8"/>
    <w:rsid w:val="0099520E"/>
    <w:rsid w:val="0099573F"/>
    <w:rsid w:val="00995F4B"/>
    <w:rsid w:val="009961CE"/>
    <w:rsid w:val="00996387"/>
    <w:rsid w:val="00996798"/>
    <w:rsid w:val="0099732D"/>
    <w:rsid w:val="00997746"/>
    <w:rsid w:val="00997A91"/>
    <w:rsid w:val="009A1A41"/>
    <w:rsid w:val="009A246D"/>
    <w:rsid w:val="009A2A52"/>
    <w:rsid w:val="009A3002"/>
    <w:rsid w:val="009A39CD"/>
    <w:rsid w:val="009A50F1"/>
    <w:rsid w:val="009A5171"/>
    <w:rsid w:val="009A55FA"/>
    <w:rsid w:val="009A5B1A"/>
    <w:rsid w:val="009A66A2"/>
    <w:rsid w:val="009B076B"/>
    <w:rsid w:val="009B0EA5"/>
    <w:rsid w:val="009B4F35"/>
    <w:rsid w:val="009B5244"/>
    <w:rsid w:val="009B53D6"/>
    <w:rsid w:val="009B54C1"/>
    <w:rsid w:val="009B5AA1"/>
    <w:rsid w:val="009B5F57"/>
    <w:rsid w:val="009B6628"/>
    <w:rsid w:val="009B7A17"/>
    <w:rsid w:val="009B7ECD"/>
    <w:rsid w:val="009C00ED"/>
    <w:rsid w:val="009C07A1"/>
    <w:rsid w:val="009C1CCF"/>
    <w:rsid w:val="009C1D1D"/>
    <w:rsid w:val="009C1E16"/>
    <w:rsid w:val="009C209A"/>
    <w:rsid w:val="009C2831"/>
    <w:rsid w:val="009C299C"/>
    <w:rsid w:val="009C2C3B"/>
    <w:rsid w:val="009C2F49"/>
    <w:rsid w:val="009C3135"/>
    <w:rsid w:val="009C395D"/>
    <w:rsid w:val="009C3AA0"/>
    <w:rsid w:val="009C4268"/>
    <w:rsid w:val="009C49F0"/>
    <w:rsid w:val="009C4A22"/>
    <w:rsid w:val="009C65C8"/>
    <w:rsid w:val="009C6D01"/>
    <w:rsid w:val="009C6DF2"/>
    <w:rsid w:val="009C6F2E"/>
    <w:rsid w:val="009C70F3"/>
    <w:rsid w:val="009C7C9B"/>
    <w:rsid w:val="009D0412"/>
    <w:rsid w:val="009D0945"/>
    <w:rsid w:val="009D1DF7"/>
    <w:rsid w:val="009D22C4"/>
    <w:rsid w:val="009D3554"/>
    <w:rsid w:val="009D38F0"/>
    <w:rsid w:val="009D3C65"/>
    <w:rsid w:val="009D5134"/>
    <w:rsid w:val="009D58B3"/>
    <w:rsid w:val="009D6A25"/>
    <w:rsid w:val="009D6BF3"/>
    <w:rsid w:val="009D757B"/>
    <w:rsid w:val="009D7A5C"/>
    <w:rsid w:val="009D7CC7"/>
    <w:rsid w:val="009D7FD3"/>
    <w:rsid w:val="009E11AA"/>
    <w:rsid w:val="009E1844"/>
    <w:rsid w:val="009E1CC7"/>
    <w:rsid w:val="009E38F7"/>
    <w:rsid w:val="009E40BF"/>
    <w:rsid w:val="009E6589"/>
    <w:rsid w:val="009E78CD"/>
    <w:rsid w:val="009F0817"/>
    <w:rsid w:val="009F0B70"/>
    <w:rsid w:val="009F0D1B"/>
    <w:rsid w:val="009F2CA0"/>
    <w:rsid w:val="009F380A"/>
    <w:rsid w:val="009F408F"/>
    <w:rsid w:val="009F4FDB"/>
    <w:rsid w:val="009F5399"/>
    <w:rsid w:val="009F5946"/>
    <w:rsid w:val="009F5A2E"/>
    <w:rsid w:val="009F5BBD"/>
    <w:rsid w:val="009F5BE7"/>
    <w:rsid w:val="009F5C15"/>
    <w:rsid w:val="009F6568"/>
    <w:rsid w:val="009F696D"/>
    <w:rsid w:val="009F6A3B"/>
    <w:rsid w:val="009F6BC6"/>
    <w:rsid w:val="009F6E98"/>
    <w:rsid w:val="009F74EF"/>
    <w:rsid w:val="009F7B6A"/>
    <w:rsid w:val="009F7F0A"/>
    <w:rsid w:val="00A00361"/>
    <w:rsid w:val="00A005C4"/>
    <w:rsid w:val="00A01A34"/>
    <w:rsid w:val="00A01B36"/>
    <w:rsid w:val="00A01DE5"/>
    <w:rsid w:val="00A02826"/>
    <w:rsid w:val="00A033EA"/>
    <w:rsid w:val="00A03428"/>
    <w:rsid w:val="00A05A90"/>
    <w:rsid w:val="00A06080"/>
    <w:rsid w:val="00A068C1"/>
    <w:rsid w:val="00A10E8C"/>
    <w:rsid w:val="00A11618"/>
    <w:rsid w:val="00A122F8"/>
    <w:rsid w:val="00A12E7C"/>
    <w:rsid w:val="00A13A05"/>
    <w:rsid w:val="00A145CA"/>
    <w:rsid w:val="00A14F97"/>
    <w:rsid w:val="00A15D5A"/>
    <w:rsid w:val="00A16440"/>
    <w:rsid w:val="00A16E9B"/>
    <w:rsid w:val="00A17328"/>
    <w:rsid w:val="00A175AD"/>
    <w:rsid w:val="00A17AF3"/>
    <w:rsid w:val="00A209D5"/>
    <w:rsid w:val="00A21EB5"/>
    <w:rsid w:val="00A23A20"/>
    <w:rsid w:val="00A23BFA"/>
    <w:rsid w:val="00A23F64"/>
    <w:rsid w:val="00A24443"/>
    <w:rsid w:val="00A25111"/>
    <w:rsid w:val="00A2526E"/>
    <w:rsid w:val="00A25BAB"/>
    <w:rsid w:val="00A2652C"/>
    <w:rsid w:val="00A268B9"/>
    <w:rsid w:val="00A26C39"/>
    <w:rsid w:val="00A26E4C"/>
    <w:rsid w:val="00A2703A"/>
    <w:rsid w:val="00A3334F"/>
    <w:rsid w:val="00A33DCB"/>
    <w:rsid w:val="00A33DFF"/>
    <w:rsid w:val="00A341AB"/>
    <w:rsid w:val="00A34215"/>
    <w:rsid w:val="00A35115"/>
    <w:rsid w:val="00A353A3"/>
    <w:rsid w:val="00A356E8"/>
    <w:rsid w:val="00A36352"/>
    <w:rsid w:val="00A36D9A"/>
    <w:rsid w:val="00A37151"/>
    <w:rsid w:val="00A37281"/>
    <w:rsid w:val="00A40CDA"/>
    <w:rsid w:val="00A41034"/>
    <w:rsid w:val="00A4124D"/>
    <w:rsid w:val="00A4191E"/>
    <w:rsid w:val="00A41B1A"/>
    <w:rsid w:val="00A429EB"/>
    <w:rsid w:val="00A43EE1"/>
    <w:rsid w:val="00A4413C"/>
    <w:rsid w:val="00A4422E"/>
    <w:rsid w:val="00A451DC"/>
    <w:rsid w:val="00A46365"/>
    <w:rsid w:val="00A4652A"/>
    <w:rsid w:val="00A46955"/>
    <w:rsid w:val="00A5004F"/>
    <w:rsid w:val="00A5056A"/>
    <w:rsid w:val="00A50960"/>
    <w:rsid w:val="00A50D9B"/>
    <w:rsid w:val="00A520DF"/>
    <w:rsid w:val="00A524CF"/>
    <w:rsid w:val="00A52BA3"/>
    <w:rsid w:val="00A532B4"/>
    <w:rsid w:val="00A5385F"/>
    <w:rsid w:val="00A53956"/>
    <w:rsid w:val="00A54433"/>
    <w:rsid w:val="00A54636"/>
    <w:rsid w:val="00A54B95"/>
    <w:rsid w:val="00A54C7D"/>
    <w:rsid w:val="00A54DD3"/>
    <w:rsid w:val="00A554AB"/>
    <w:rsid w:val="00A554D8"/>
    <w:rsid w:val="00A55FFB"/>
    <w:rsid w:val="00A56FAD"/>
    <w:rsid w:val="00A57062"/>
    <w:rsid w:val="00A61C3B"/>
    <w:rsid w:val="00A61E74"/>
    <w:rsid w:val="00A620D6"/>
    <w:rsid w:val="00A6235D"/>
    <w:rsid w:val="00A62B58"/>
    <w:rsid w:val="00A63801"/>
    <w:rsid w:val="00A6449F"/>
    <w:rsid w:val="00A64804"/>
    <w:rsid w:val="00A653A9"/>
    <w:rsid w:val="00A67045"/>
    <w:rsid w:val="00A67396"/>
    <w:rsid w:val="00A67781"/>
    <w:rsid w:val="00A67C88"/>
    <w:rsid w:val="00A70604"/>
    <w:rsid w:val="00A7084C"/>
    <w:rsid w:val="00A710DD"/>
    <w:rsid w:val="00A71644"/>
    <w:rsid w:val="00A71F5E"/>
    <w:rsid w:val="00A7203B"/>
    <w:rsid w:val="00A7342B"/>
    <w:rsid w:val="00A734EC"/>
    <w:rsid w:val="00A73C58"/>
    <w:rsid w:val="00A75355"/>
    <w:rsid w:val="00A753D3"/>
    <w:rsid w:val="00A761F9"/>
    <w:rsid w:val="00A7735B"/>
    <w:rsid w:val="00A773B9"/>
    <w:rsid w:val="00A77CC5"/>
    <w:rsid w:val="00A77F69"/>
    <w:rsid w:val="00A8092E"/>
    <w:rsid w:val="00A809D7"/>
    <w:rsid w:val="00A80D09"/>
    <w:rsid w:val="00A8105E"/>
    <w:rsid w:val="00A81DBE"/>
    <w:rsid w:val="00A83112"/>
    <w:rsid w:val="00A831D7"/>
    <w:rsid w:val="00A83734"/>
    <w:rsid w:val="00A8467B"/>
    <w:rsid w:val="00A879C4"/>
    <w:rsid w:val="00A902D2"/>
    <w:rsid w:val="00A90916"/>
    <w:rsid w:val="00A91FBF"/>
    <w:rsid w:val="00A9280C"/>
    <w:rsid w:val="00A92B53"/>
    <w:rsid w:val="00A93817"/>
    <w:rsid w:val="00A93AF9"/>
    <w:rsid w:val="00A93B8F"/>
    <w:rsid w:val="00A940B3"/>
    <w:rsid w:val="00A94FA6"/>
    <w:rsid w:val="00A96169"/>
    <w:rsid w:val="00A9791E"/>
    <w:rsid w:val="00A979E3"/>
    <w:rsid w:val="00A97FDF"/>
    <w:rsid w:val="00AA004A"/>
    <w:rsid w:val="00AA0A93"/>
    <w:rsid w:val="00AA0A9B"/>
    <w:rsid w:val="00AA19E2"/>
    <w:rsid w:val="00AA1B58"/>
    <w:rsid w:val="00AA2349"/>
    <w:rsid w:val="00AA255B"/>
    <w:rsid w:val="00AA2C1D"/>
    <w:rsid w:val="00AA44C1"/>
    <w:rsid w:val="00AA49A0"/>
    <w:rsid w:val="00AA5090"/>
    <w:rsid w:val="00AA6710"/>
    <w:rsid w:val="00AA6F10"/>
    <w:rsid w:val="00AA733D"/>
    <w:rsid w:val="00AA7B47"/>
    <w:rsid w:val="00AB0681"/>
    <w:rsid w:val="00AB2454"/>
    <w:rsid w:val="00AB24E2"/>
    <w:rsid w:val="00AB3185"/>
    <w:rsid w:val="00AB389F"/>
    <w:rsid w:val="00AB3D55"/>
    <w:rsid w:val="00AB403E"/>
    <w:rsid w:val="00AB5B89"/>
    <w:rsid w:val="00AB60FE"/>
    <w:rsid w:val="00AB61EE"/>
    <w:rsid w:val="00AB6E86"/>
    <w:rsid w:val="00AB7058"/>
    <w:rsid w:val="00AC02B6"/>
    <w:rsid w:val="00AC09A5"/>
    <w:rsid w:val="00AC11EA"/>
    <w:rsid w:val="00AC17E4"/>
    <w:rsid w:val="00AC2840"/>
    <w:rsid w:val="00AC289D"/>
    <w:rsid w:val="00AC31FC"/>
    <w:rsid w:val="00AC3666"/>
    <w:rsid w:val="00AC3A15"/>
    <w:rsid w:val="00AC3B1B"/>
    <w:rsid w:val="00AC3CB2"/>
    <w:rsid w:val="00AC4825"/>
    <w:rsid w:val="00AC4F83"/>
    <w:rsid w:val="00AC56E7"/>
    <w:rsid w:val="00AC6D60"/>
    <w:rsid w:val="00AC7864"/>
    <w:rsid w:val="00AD0C3F"/>
    <w:rsid w:val="00AD0CAA"/>
    <w:rsid w:val="00AD2214"/>
    <w:rsid w:val="00AD3F9C"/>
    <w:rsid w:val="00AD520B"/>
    <w:rsid w:val="00AD54E2"/>
    <w:rsid w:val="00AD5757"/>
    <w:rsid w:val="00AD695E"/>
    <w:rsid w:val="00AE3BCC"/>
    <w:rsid w:val="00AE4B70"/>
    <w:rsid w:val="00AE4E4C"/>
    <w:rsid w:val="00AE5884"/>
    <w:rsid w:val="00AE605E"/>
    <w:rsid w:val="00AE61DF"/>
    <w:rsid w:val="00AE72ED"/>
    <w:rsid w:val="00AE786E"/>
    <w:rsid w:val="00AF17CD"/>
    <w:rsid w:val="00AF3708"/>
    <w:rsid w:val="00AF3F03"/>
    <w:rsid w:val="00AF4004"/>
    <w:rsid w:val="00AF46EF"/>
    <w:rsid w:val="00AF4814"/>
    <w:rsid w:val="00AF4A77"/>
    <w:rsid w:val="00AF510A"/>
    <w:rsid w:val="00AF5802"/>
    <w:rsid w:val="00AF6C66"/>
    <w:rsid w:val="00AF75EF"/>
    <w:rsid w:val="00B01218"/>
    <w:rsid w:val="00B01C40"/>
    <w:rsid w:val="00B01F25"/>
    <w:rsid w:val="00B03A64"/>
    <w:rsid w:val="00B04511"/>
    <w:rsid w:val="00B04D05"/>
    <w:rsid w:val="00B05161"/>
    <w:rsid w:val="00B05B13"/>
    <w:rsid w:val="00B069DF"/>
    <w:rsid w:val="00B06B78"/>
    <w:rsid w:val="00B06FB8"/>
    <w:rsid w:val="00B07C2A"/>
    <w:rsid w:val="00B11070"/>
    <w:rsid w:val="00B11FBD"/>
    <w:rsid w:val="00B12ADE"/>
    <w:rsid w:val="00B13583"/>
    <w:rsid w:val="00B136C6"/>
    <w:rsid w:val="00B1403B"/>
    <w:rsid w:val="00B1405D"/>
    <w:rsid w:val="00B1416B"/>
    <w:rsid w:val="00B15881"/>
    <w:rsid w:val="00B15C78"/>
    <w:rsid w:val="00B16670"/>
    <w:rsid w:val="00B17429"/>
    <w:rsid w:val="00B17A29"/>
    <w:rsid w:val="00B17C98"/>
    <w:rsid w:val="00B2030A"/>
    <w:rsid w:val="00B20D29"/>
    <w:rsid w:val="00B21BB1"/>
    <w:rsid w:val="00B21D3F"/>
    <w:rsid w:val="00B223B6"/>
    <w:rsid w:val="00B22CF6"/>
    <w:rsid w:val="00B23873"/>
    <w:rsid w:val="00B245DA"/>
    <w:rsid w:val="00B24B9F"/>
    <w:rsid w:val="00B24C05"/>
    <w:rsid w:val="00B256E2"/>
    <w:rsid w:val="00B30089"/>
    <w:rsid w:val="00B30581"/>
    <w:rsid w:val="00B30733"/>
    <w:rsid w:val="00B30B23"/>
    <w:rsid w:val="00B32140"/>
    <w:rsid w:val="00B35C83"/>
    <w:rsid w:val="00B35E0A"/>
    <w:rsid w:val="00B379E2"/>
    <w:rsid w:val="00B37E30"/>
    <w:rsid w:val="00B407DD"/>
    <w:rsid w:val="00B41F73"/>
    <w:rsid w:val="00B425C3"/>
    <w:rsid w:val="00B42E5A"/>
    <w:rsid w:val="00B43D69"/>
    <w:rsid w:val="00B43DBE"/>
    <w:rsid w:val="00B440AD"/>
    <w:rsid w:val="00B45ACD"/>
    <w:rsid w:val="00B4643E"/>
    <w:rsid w:val="00B47111"/>
    <w:rsid w:val="00B479BB"/>
    <w:rsid w:val="00B47C06"/>
    <w:rsid w:val="00B47FDA"/>
    <w:rsid w:val="00B50468"/>
    <w:rsid w:val="00B5227F"/>
    <w:rsid w:val="00B52421"/>
    <w:rsid w:val="00B52871"/>
    <w:rsid w:val="00B531D0"/>
    <w:rsid w:val="00B532E3"/>
    <w:rsid w:val="00B5397D"/>
    <w:rsid w:val="00B53B9D"/>
    <w:rsid w:val="00B53E7E"/>
    <w:rsid w:val="00B54734"/>
    <w:rsid w:val="00B54B6F"/>
    <w:rsid w:val="00B54F81"/>
    <w:rsid w:val="00B5520E"/>
    <w:rsid w:val="00B5572D"/>
    <w:rsid w:val="00B55D0B"/>
    <w:rsid w:val="00B56A58"/>
    <w:rsid w:val="00B56BCD"/>
    <w:rsid w:val="00B56E8E"/>
    <w:rsid w:val="00B57587"/>
    <w:rsid w:val="00B60C5B"/>
    <w:rsid w:val="00B612BF"/>
    <w:rsid w:val="00B613AC"/>
    <w:rsid w:val="00B61921"/>
    <w:rsid w:val="00B62177"/>
    <w:rsid w:val="00B62E6F"/>
    <w:rsid w:val="00B633AE"/>
    <w:rsid w:val="00B6342E"/>
    <w:rsid w:val="00B63507"/>
    <w:rsid w:val="00B64B03"/>
    <w:rsid w:val="00B658A6"/>
    <w:rsid w:val="00B666F8"/>
    <w:rsid w:val="00B669A7"/>
    <w:rsid w:val="00B6785B"/>
    <w:rsid w:val="00B70729"/>
    <w:rsid w:val="00B70BE0"/>
    <w:rsid w:val="00B7113F"/>
    <w:rsid w:val="00B71593"/>
    <w:rsid w:val="00B717F4"/>
    <w:rsid w:val="00B723E8"/>
    <w:rsid w:val="00B72DA2"/>
    <w:rsid w:val="00B737C0"/>
    <w:rsid w:val="00B73F58"/>
    <w:rsid w:val="00B74F4F"/>
    <w:rsid w:val="00B772EB"/>
    <w:rsid w:val="00B77D2D"/>
    <w:rsid w:val="00B809A9"/>
    <w:rsid w:val="00B80DEC"/>
    <w:rsid w:val="00B81468"/>
    <w:rsid w:val="00B81534"/>
    <w:rsid w:val="00B82465"/>
    <w:rsid w:val="00B82C01"/>
    <w:rsid w:val="00B85C09"/>
    <w:rsid w:val="00B862DB"/>
    <w:rsid w:val="00B87087"/>
    <w:rsid w:val="00B912E9"/>
    <w:rsid w:val="00B93566"/>
    <w:rsid w:val="00B93C3B"/>
    <w:rsid w:val="00B96A26"/>
    <w:rsid w:val="00B97CE6"/>
    <w:rsid w:val="00BA0282"/>
    <w:rsid w:val="00BA0C35"/>
    <w:rsid w:val="00BA0CD3"/>
    <w:rsid w:val="00BA1762"/>
    <w:rsid w:val="00BA2BCF"/>
    <w:rsid w:val="00BA5B14"/>
    <w:rsid w:val="00BA73B6"/>
    <w:rsid w:val="00BA7E27"/>
    <w:rsid w:val="00BA7EDC"/>
    <w:rsid w:val="00BA7FF5"/>
    <w:rsid w:val="00BB1443"/>
    <w:rsid w:val="00BB1AAC"/>
    <w:rsid w:val="00BB1F70"/>
    <w:rsid w:val="00BB2603"/>
    <w:rsid w:val="00BB4B3A"/>
    <w:rsid w:val="00BB4FCD"/>
    <w:rsid w:val="00BB71B7"/>
    <w:rsid w:val="00BB7C3F"/>
    <w:rsid w:val="00BB7CA4"/>
    <w:rsid w:val="00BB7F21"/>
    <w:rsid w:val="00BC02EB"/>
    <w:rsid w:val="00BC04E9"/>
    <w:rsid w:val="00BC0D07"/>
    <w:rsid w:val="00BC10F3"/>
    <w:rsid w:val="00BC168D"/>
    <w:rsid w:val="00BC1937"/>
    <w:rsid w:val="00BC2F7E"/>
    <w:rsid w:val="00BC319E"/>
    <w:rsid w:val="00BC38C7"/>
    <w:rsid w:val="00BC40B4"/>
    <w:rsid w:val="00BC438D"/>
    <w:rsid w:val="00BC43DB"/>
    <w:rsid w:val="00BC48FE"/>
    <w:rsid w:val="00BC5740"/>
    <w:rsid w:val="00BC6220"/>
    <w:rsid w:val="00BC64DC"/>
    <w:rsid w:val="00BC6704"/>
    <w:rsid w:val="00BC78D8"/>
    <w:rsid w:val="00BD13EA"/>
    <w:rsid w:val="00BD24C7"/>
    <w:rsid w:val="00BD2E22"/>
    <w:rsid w:val="00BD3115"/>
    <w:rsid w:val="00BD365E"/>
    <w:rsid w:val="00BD39FB"/>
    <w:rsid w:val="00BD44D7"/>
    <w:rsid w:val="00BD5A3E"/>
    <w:rsid w:val="00BD5CCB"/>
    <w:rsid w:val="00BD6028"/>
    <w:rsid w:val="00BD65A0"/>
    <w:rsid w:val="00BE3808"/>
    <w:rsid w:val="00BE5020"/>
    <w:rsid w:val="00BE54F0"/>
    <w:rsid w:val="00BE5B78"/>
    <w:rsid w:val="00BE663F"/>
    <w:rsid w:val="00BE6B99"/>
    <w:rsid w:val="00BE70A8"/>
    <w:rsid w:val="00BE7C0E"/>
    <w:rsid w:val="00BE7EBD"/>
    <w:rsid w:val="00BF011A"/>
    <w:rsid w:val="00BF0DDF"/>
    <w:rsid w:val="00BF182B"/>
    <w:rsid w:val="00BF26CA"/>
    <w:rsid w:val="00BF26DD"/>
    <w:rsid w:val="00BF42F9"/>
    <w:rsid w:val="00BF43F4"/>
    <w:rsid w:val="00BF441F"/>
    <w:rsid w:val="00BF49BF"/>
    <w:rsid w:val="00BF4EEE"/>
    <w:rsid w:val="00C00583"/>
    <w:rsid w:val="00C00E31"/>
    <w:rsid w:val="00C01286"/>
    <w:rsid w:val="00C0187F"/>
    <w:rsid w:val="00C01F2F"/>
    <w:rsid w:val="00C01F72"/>
    <w:rsid w:val="00C02288"/>
    <w:rsid w:val="00C03B88"/>
    <w:rsid w:val="00C03F07"/>
    <w:rsid w:val="00C03F89"/>
    <w:rsid w:val="00C0402C"/>
    <w:rsid w:val="00C048E5"/>
    <w:rsid w:val="00C05185"/>
    <w:rsid w:val="00C05583"/>
    <w:rsid w:val="00C062E9"/>
    <w:rsid w:val="00C06679"/>
    <w:rsid w:val="00C06BC9"/>
    <w:rsid w:val="00C06C6D"/>
    <w:rsid w:val="00C0748F"/>
    <w:rsid w:val="00C07B64"/>
    <w:rsid w:val="00C102EE"/>
    <w:rsid w:val="00C10F85"/>
    <w:rsid w:val="00C1121D"/>
    <w:rsid w:val="00C12A2E"/>
    <w:rsid w:val="00C13721"/>
    <w:rsid w:val="00C13BB9"/>
    <w:rsid w:val="00C13F4D"/>
    <w:rsid w:val="00C14270"/>
    <w:rsid w:val="00C1458E"/>
    <w:rsid w:val="00C147F1"/>
    <w:rsid w:val="00C14D00"/>
    <w:rsid w:val="00C14FE4"/>
    <w:rsid w:val="00C21A9D"/>
    <w:rsid w:val="00C256B0"/>
    <w:rsid w:val="00C26CA4"/>
    <w:rsid w:val="00C27615"/>
    <w:rsid w:val="00C27A45"/>
    <w:rsid w:val="00C3035E"/>
    <w:rsid w:val="00C30427"/>
    <w:rsid w:val="00C304CA"/>
    <w:rsid w:val="00C3066D"/>
    <w:rsid w:val="00C31950"/>
    <w:rsid w:val="00C31E97"/>
    <w:rsid w:val="00C3216D"/>
    <w:rsid w:val="00C3299E"/>
    <w:rsid w:val="00C32F70"/>
    <w:rsid w:val="00C34DC4"/>
    <w:rsid w:val="00C36552"/>
    <w:rsid w:val="00C36FA7"/>
    <w:rsid w:val="00C40332"/>
    <w:rsid w:val="00C41015"/>
    <w:rsid w:val="00C41470"/>
    <w:rsid w:val="00C41B8D"/>
    <w:rsid w:val="00C43D24"/>
    <w:rsid w:val="00C43D62"/>
    <w:rsid w:val="00C45D67"/>
    <w:rsid w:val="00C45EC8"/>
    <w:rsid w:val="00C47901"/>
    <w:rsid w:val="00C479C3"/>
    <w:rsid w:val="00C500F0"/>
    <w:rsid w:val="00C50555"/>
    <w:rsid w:val="00C511CF"/>
    <w:rsid w:val="00C51C3A"/>
    <w:rsid w:val="00C52416"/>
    <w:rsid w:val="00C53352"/>
    <w:rsid w:val="00C543B1"/>
    <w:rsid w:val="00C543F4"/>
    <w:rsid w:val="00C54FA1"/>
    <w:rsid w:val="00C5656A"/>
    <w:rsid w:val="00C575A8"/>
    <w:rsid w:val="00C57D9C"/>
    <w:rsid w:val="00C57E61"/>
    <w:rsid w:val="00C604BF"/>
    <w:rsid w:val="00C61F7B"/>
    <w:rsid w:val="00C625CD"/>
    <w:rsid w:val="00C6291C"/>
    <w:rsid w:val="00C62B82"/>
    <w:rsid w:val="00C633CB"/>
    <w:rsid w:val="00C63C3C"/>
    <w:rsid w:val="00C664CD"/>
    <w:rsid w:val="00C6660E"/>
    <w:rsid w:val="00C66B3C"/>
    <w:rsid w:val="00C6723A"/>
    <w:rsid w:val="00C67AAB"/>
    <w:rsid w:val="00C67DD4"/>
    <w:rsid w:val="00C70A84"/>
    <w:rsid w:val="00C70D7D"/>
    <w:rsid w:val="00C71EEC"/>
    <w:rsid w:val="00C720AC"/>
    <w:rsid w:val="00C72EE5"/>
    <w:rsid w:val="00C736B7"/>
    <w:rsid w:val="00C739C0"/>
    <w:rsid w:val="00C75E1E"/>
    <w:rsid w:val="00C75F0A"/>
    <w:rsid w:val="00C762D5"/>
    <w:rsid w:val="00C77284"/>
    <w:rsid w:val="00C77397"/>
    <w:rsid w:val="00C8176E"/>
    <w:rsid w:val="00C81B1E"/>
    <w:rsid w:val="00C81D4A"/>
    <w:rsid w:val="00C8203E"/>
    <w:rsid w:val="00C846BA"/>
    <w:rsid w:val="00C851A2"/>
    <w:rsid w:val="00C85297"/>
    <w:rsid w:val="00C85B87"/>
    <w:rsid w:val="00C86F6C"/>
    <w:rsid w:val="00C8762C"/>
    <w:rsid w:val="00C92D44"/>
    <w:rsid w:val="00C934E0"/>
    <w:rsid w:val="00C93FE3"/>
    <w:rsid w:val="00C94C19"/>
    <w:rsid w:val="00C956E9"/>
    <w:rsid w:val="00CA00F9"/>
    <w:rsid w:val="00CA014D"/>
    <w:rsid w:val="00CA2123"/>
    <w:rsid w:val="00CA2961"/>
    <w:rsid w:val="00CA33D8"/>
    <w:rsid w:val="00CA4250"/>
    <w:rsid w:val="00CA4E96"/>
    <w:rsid w:val="00CA5D90"/>
    <w:rsid w:val="00CA5EFD"/>
    <w:rsid w:val="00CA6E36"/>
    <w:rsid w:val="00CB2026"/>
    <w:rsid w:val="00CB24F0"/>
    <w:rsid w:val="00CB29A0"/>
    <w:rsid w:val="00CB3867"/>
    <w:rsid w:val="00CB46EF"/>
    <w:rsid w:val="00CB4A10"/>
    <w:rsid w:val="00CB50D7"/>
    <w:rsid w:val="00CB62A1"/>
    <w:rsid w:val="00CB7177"/>
    <w:rsid w:val="00CB7424"/>
    <w:rsid w:val="00CB762C"/>
    <w:rsid w:val="00CB7BD9"/>
    <w:rsid w:val="00CB7CED"/>
    <w:rsid w:val="00CC00D9"/>
    <w:rsid w:val="00CC025E"/>
    <w:rsid w:val="00CC070F"/>
    <w:rsid w:val="00CC1576"/>
    <w:rsid w:val="00CC1998"/>
    <w:rsid w:val="00CC1CEF"/>
    <w:rsid w:val="00CC33C6"/>
    <w:rsid w:val="00CC3700"/>
    <w:rsid w:val="00CC4946"/>
    <w:rsid w:val="00CC4E6E"/>
    <w:rsid w:val="00CC5E08"/>
    <w:rsid w:val="00CC64A1"/>
    <w:rsid w:val="00CC6E46"/>
    <w:rsid w:val="00CC7370"/>
    <w:rsid w:val="00CD0820"/>
    <w:rsid w:val="00CD13DE"/>
    <w:rsid w:val="00CD280E"/>
    <w:rsid w:val="00CD3875"/>
    <w:rsid w:val="00CD3F7E"/>
    <w:rsid w:val="00CD4240"/>
    <w:rsid w:val="00CD4276"/>
    <w:rsid w:val="00CD437A"/>
    <w:rsid w:val="00CD6AED"/>
    <w:rsid w:val="00CD7675"/>
    <w:rsid w:val="00CE2951"/>
    <w:rsid w:val="00CE3356"/>
    <w:rsid w:val="00CE4008"/>
    <w:rsid w:val="00CE4D10"/>
    <w:rsid w:val="00CE5BC6"/>
    <w:rsid w:val="00CE684F"/>
    <w:rsid w:val="00CE69A5"/>
    <w:rsid w:val="00CE71CD"/>
    <w:rsid w:val="00CE720A"/>
    <w:rsid w:val="00CE7D9E"/>
    <w:rsid w:val="00CF040E"/>
    <w:rsid w:val="00CF0DF2"/>
    <w:rsid w:val="00CF2C49"/>
    <w:rsid w:val="00CF2E00"/>
    <w:rsid w:val="00CF3416"/>
    <w:rsid w:val="00CF3878"/>
    <w:rsid w:val="00CF3B11"/>
    <w:rsid w:val="00CF4A36"/>
    <w:rsid w:val="00CF596F"/>
    <w:rsid w:val="00CF6D51"/>
    <w:rsid w:val="00CF734D"/>
    <w:rsid w:val="00CF78DD"/>
    <w:rsid w:val="00D01985"/>
    <w:rsid w:val="00D01D1D"/>
    <w:rsid w:val="00D02A1D"/>
    <w:rsid w:val="00D04068"/>
    <w:rsid w:val="00D04292"/>
    <w:rsid w:val="00D04877"/>
    <w:rsid w:val="00D04DE8"/>
    <w:rsid w:val="00D05118"/>
    <w:rsid w:val="00D05915"/>
    <w:rsid w:val="00D109EE"/>
    <w:rsid w:val="00D111FE"/>
    <w:rsid w:val="00D121B4"/>
    <w:rsid w:val="00D12827"/>
    <w:rsid w:val="00D132E6"/>
    <w:rsid w:val="00D14509"/>
    <w:rsid w:val="00D14BD6"/>
    <w:rsid w:val="00D14F1C"/>
    <w:rsid w:val="00D15664"/>
    <w:rsid w:val="00D15CD0"/>
    <w:rsid w:val="00D172D2"/>
    <w:rsid w:val="00D207E0"/>
    <w:rsid w:val="00D20B20"/>
    <w:rsid w:val="00D220F9"/>
    <w:rsid w:val="00D227EC"/>
    <w:rsid w:val="00D24675"/>
    <w:rsid w:val="00D269EB"/>
    <w:rsid w:val="00D2703C"/>
    <w:rsid w:val="00D270A4"/>
    <w:rsid w:val="00D273B0"/>
    <w:rsid w:val="00D27AC7"/>
    <w:rsid w:val="00D31675"/>
    <w:rsid w:val="00D31CF1"/>
    <w:rsid w:val="00D31FE9"/>
    <w:rsid w:val="00D32672"/>
    <w:rsid w:val="00D34E1B"/>
    <w:rsid w:val="00D36838"/>
    <w:rsid w:val="00D371E9"/>
    <w:rsid w:val="00D372E0"/>
    <w:rsid w:val="00D376BA"/>
    <w:rsid w:val="00D37B22"/>
    <w:rsid w:val="00D408DC"/>
    <w:rsid w:val="00D408ED"/>
    <w:rsid w:val="00D41373"/>
    <w:rsid w:val="00D41B7E"/>
    <w:rsid w:val="00D423B0"/>
    <w:rsid w:val="00D429CA"/>
    <w:rsid w:val="00D434A0"/>
    <w:rsid w:val="00D43741"/>
    <w:rsid w:val="00D43F3E"/>
    <w:rsid w:val="00D44138"/>
    <w:rsid w:val="00D44BCD"/>
    <w:rsid w:val="00D44DC6"/>
    <w:rsid w:val="00D45634"/>
    <w:rsid w:val="00D4586E"/>
    <w:rsid w:val="00D45A80"/>
    <w:rsid w:val="00D47DC3"/>
    <w:rsid w:val="00D5099A"/>
    <w:rsid w:val="00D50AF8"/>
    <w:rsid w:val="00D51790"/>
    <w:rsid w:val="00D542E5"/>
    <w:rsid w:val="00D544F7"/>
    <w:rsid w:val="00D54696"/>
    <w:rsid w:val="00D546E4"/>
    <w:rsid w:val="00D54914"/>
    <w:rsid w:val="00D54A69"/>
    <w:rsid w:val="00D55514"/>
    <w:rsid w:val="00D5568A"/>
    <w:rsid w:val="00D558C9"/>
    <w:rsid w:val="00D56238"/>
    <w:rsid w:val="00D57DFB"/>
    <w:rsid w:val="00D60066"/>
    <w:rsid w:val="00D6088D"/>
    <w:rsid w:val="00D6132A"/>
    <w:rsid w:val="00D614DD"/>
    <w:rsid w:val="00D614E3"/>
    <w:rsid w:val="00D62BCD"/>
    <w:rsid w:val="00D63D73"/>
    <w:rsid w:val="00D64452"/>
    <w:rsid w:val="00D66E1E"/>
    <w:rsid w:val="00D70696"/>
    <w:rsid w:val="00D70971"/>
    <w:rsid w:val="00D71169"/>
    <w:rsid w:val="00D7264C"/>
    <w:rsid w:val="00D736CD"/>
    <w:rsid w:val="00D742BA"/>
    <w:rsid w:val="00D74587"/>
    <w:rsid w:val="00D755D1"/>
    <w:rsid w:val="00D75722"/>
    <w:rsid w:val="00D774D1"/>
    <w:rsid w:val="00D77A97"/>
    <w:rsid w:val="00D77AEF"/>
    <w:rsid w:val="00D77ED8"/>
    <w:rsid w:val="00D8052C"/>
    <w:rsid w:val="00D809A0"/>
    <w:rsid w:val="00D80CF5"/>
    <w:rsid w:val="00D81140"/>
    <w:rsid w:val="00D81405"/>
    <w:rsid w:val="00D81D37"/>
    <w:rsid w:val="00D82C0B"/>
    <w:rsid w:val="00D83355"/>
    <w:rsid w:val="00D838B8"/>
    <w:rsid w:val="00D85263"/>
    <w:rsid w:val="00D8720C"/>
    <w:rsid w:val="00D8742E"/>
    <w:rsid w:val="00D878A4"/>
    <w:rsid w:val="00D87D88"/>
    <w:rsid w:val="00D91295"/>
    <w:rsid w:val="00D91EE2"/>
    <w:rsid w:val="00D92545"/>
    <w:rsid w:val="00D9294D"/>
    <w:rsid w:val="00D93826"/>
    <w:rsid w:val="00D93E1D"/>
    <w:rsid w:val="00D93EF8"/>
    <w:rsid w:val="00D94B2F"/>
    <w:rsid w:val="00D9540C"/>
    <w:rsid w:val="00D95F04"/>
    <w:rsid w:val="00D960F7"/>
    <w:rsid w:val="00D963CE"/>
    <w:rsid w:val="00D9641D"/>
    <w:rsid w:val="00D96E5A"/>
    <w:rsid w:val="00D96F3B"/>
    <w:rsid w:val="00D97F06"/>
    <w:rsid w:val="00DA30B8"/>
    <w:rsid w:val="00DA4205"/>
    <w:rsid w:val="00DA45DB"/>
    <w:rsid w:val="00DA4E5E"/>
    <w:rsid w:val="00DA5149"/>
    <w:rsid w:val="00DA5195"/>
    <w:rsid w:val="00DA5BBA"/>
    <w:rsid w:val="00DB086A"/>
    <w:rsid w:val="00DB0F57"/>
    <w:rsid w:val="00DB25B6"/>
    <w:rsid w:val="00DB26D2"/>
    <w:rsid w:val="00DB2B91"/>
    <w:rsid w:val="00DB3ED9"/>
    <w:rsid w:val="00DB4E0D"/>
    <w:rsid w:val="00DB4F15"/>
    <w:rsid w:val="00DB50E3"/>
    <w:rsid w:val="00DB67C9"/>
    <w:rsid w:val="00DB7C0B"/>
    <w:rsid w:val="00DC0C92"/>
    <w:rsid w:val="00DC0C95"/>
    <w:rsid w:val="00DC15A7"/>
    <w:rsid w:val="00DC29CD"/>
    <w:rsid w:val="00DC387A"/>
    <w:rsid w:val="00DC3B36"/>
    <w:rsid w:val="00DC4023"/>
    <w:rsid w:val="00DC41E2"/>
    <w:rsid w:val="00DC4F0B"/>
    <w:rsid w:val="00DC5255"/>
    <w:rsid w:val="00DC5811"/>
    <w:rsid w:val="00DC5B26"/>
    <w:rsid w:val="00DC61B6"/>
    <w:rsid w:val="00DC6D9F"/>
    <w:rsid w:val="00DD12A7"/>
    <w:rsid w:val="00DD1A14"/>
    <w:rsid w:val="00DD2AB5"/>
    <w:rsid w:val="00DD2C40"/>
    <w:rsid w:val="00DD30A9"/>
    <w:rsid w:val="00DD42F9"/>
    <w:rsid w:val="00DD449D"/>
    <w:rsid w:val="00DD4CCD"/>
    <w:rsid w:val="00DD6580"/>
    <w:rsid w:val="00DD6DCA"/>
    <w:rsid w:val="00DD7183"/>
    <w:rsid w:val="00DE07D3"/>
    <w:rsid w:val="00DE1934"/>
    <w:rsid w:val="00DE1AA1"/>
    <w:rsid w:val="00DE1B9D"/>
    <w:rsid w:val="00DE21B6"/>
    <w:rsid w:val="00DE2B7F"/>
    <w:rsid w:val="00DE3072"/>
    <w:rsid w:val="00DE376F"/>
    <w:rsid w:val="00DE47F5"/>
    <w:rsid w:val="00DE483B"/>
    <w:rsid w:val="00DE7E5B"/>
    <w:rsid w:val="00DF029B"/>
    <w:rsid w:val="00DF1A3E"/>
    <w:rsid w:val="00DF322C"/>
    <w:rsid w:val="00DF34B9"/>
    <w:rsid w:val="00DF65EA"/>
    <w:rsid w:val="00DF735B"/>
    <w:rsid w:val="00DF7A0A"/>
    <w:rsid w:val="00E0020E"/>
    <w:rsid w:val="00E00A4A"/>
    <w:rsid w:val="00E01D7F"/>
    <w:rsid w:val="00E01E00"/>
    <w:rsid w:val="00E02728"/>
    <w:rsid w:val="00E02F72"/>
    <w:rsid w:val="00E03A14"/>
    <w:rsid w:val="00E03AD1"/>
    <w:rsid w:val="00E05402"/>
    <w:rsid w:val="00E05C03"/>
    <w:rsid w:val="00E067BC"/>
    <w:rsid w:val="00E1008C"/>
    <w:rsid w:val="00E13940"/>
    <w:rsid w:val="00E13CC5"/>
    <w:rsid w:val="00E13F4C"/>
    <w:rsid w:val="00E14C59"/>
    <w:rsid w:val="00E15932"/>
    <w:rsid w:val="00E15AE5"/>
    <w:rsid w:val="00E15C77"/>
    <w:rsid w:val="00E162B6"/>
    <w:rsid w:val="00E16750"/>
    <w:rsid w:val="00E17B1A"/>
    <w:rsid w:val="00E17C72"/>
    <w:rsid w:val="00E17FBA"/>
    <w:rsid w:val="00E20ADE"/>
    <w:rsid w:val="00E21CCC"/>
    <w:rsid w:val="00E21FC6"/>
    <w:rsid w:val="00E22633"/>
    <w:rsid w:val="00E241DB"/>
    <w:rsid w:val="00E24247"/>
    <w:rsid w:val="00E254C4"/>
    <w:rsid w:val="00E25608"/>
    <w:rsid w:val="00E27104"/>
    <w:rsid w:val="00E3160E"/>
    <w:rsid w:val="00E33601"/>
    <w:rsid w:val="00E34867"/>
    <w:rsid w:val="00E36493"/>
    <w:rsid w:val="00E36D54"/>
    <w:rsid w:val="00E36F41"/>
    <w:rsid w:val="00E36F7B"/>
    <w:rsid w:val="00E40123"/>
    <w:rsid w:val="00E41588"/>
    <w:rsid w:val="00E419B1"/>
    <w:rsid w:val="00E419BB"/>
    <w:rsid w:val="00E41A96"/>
    <w:rsid w:val="00E42412"/>
    <w:rsid w:val="00E42926"/>
    <w:rsid w:val="00E431A9"/>
    <w:rsid w:val="00E43694"/>
    <w:rsid w:val="00E43761"/>
    <w:rsid w:val="00E445B2"/>
    <w:rsid w:val="00E4471B"/>
    <w:rsid w:val="00E455E9"/>
    <w:rsid w:val="00E45799"/>
    <w:rsid w:val="00E4742B"/>
    <w:rsid w:val="00E47729"/>
    <w:rsid w:val="00E47BBF"/>
    <w:rsid w:val="00E511B9"/>
    <w:rsid w:val="00E513A2"/>
    <w:rsid w:val="00E5163E"/>
    <w:rsid w:val="00E52420"/>
    <w:rsid w:val="00E525A7"/>
    <w:rsid w:val="00E526F1"/>
    <w:rsid w:val="00E52E84"/>
    <w:rsid w:val="00E5331E"/>
    <w:rsid w:val="00E541B8"/>
    <w:rsid w:val="00E54909"/>
    <w:rsid w:val="00E559B5"/>
    <w:rsid w:val="00E56AE9"/>
    <w:rsid w:val="00E56F24"/>
    <w:rsid w:val="00E57AAE"/>
    <w:rsid w:val="00E6098C"/>
    <w:rsid w:val="00E61473"/>
    <w:rsid w:val="00E61DC0"/>
    <w:rsid w:val="00E636FD"/>
    <w:rsid w:val="00E64019"/>
    <w:rsid w:val="00E646B8"/>
    <w:rsid w:val="00E64910"/>
    <w:rsid w:val="00E657AA"/>
    <w:rsid w:val="00E669E2"/>
    <w:rsid w:val="00E66D75"/>
    <w:rsid w:val="00E6722D"/>
    <w:rsid w:val="00E672F3"/>
    <w:rsid w:val="00E6744D"/>
    <w:rsid w:val="00E718E6"/>
    <w:rsid w:val="00E71E87"/>
    <w:rsid w:val="00E7290E"/>
    <w:rsid w:val="00E73323"/>
    <w:rsid w:val="00E733DA"/>
    <w:rsid w:val="00E736C6"/>
    <w:rsid w:val="00E74276"/>
    <w:rsid w:val="00E76135"/>
    <w:rsid w:val="00E7615A"/>
    <w:rsid w:val="00E76B73"/>
    <w:rsid w:val="00E7753B"/>
    <w:rsid w:val="00E80579"/>
    <w:rsid w:val="00E80926"/>
    <w:rsid w:val="00E80A7C"/>
    <w:rsid w:val="00E81370"/>
    <w:rsid w:val="00E81669"/>
    <w:rsid w:val="00E81B1C"/>
    <w:rsid w:val="00E81FF3"/>
    <w:rsid w:val="00E82409"/>
    <w:rsid w:val="00E82700"/>
    <w:rsid w:val="00E82770"/>
    <w:rsid w:val="00E82F4F"/>
    <w:rsid w:val="00E844F6"/>
    <w:rsid w:val="00E85FD1"/>
    <w:rsid w:val="00E8601E"/>
    <w:rsid w:val="00E864DF"/>
    <w:rsid w:val="00E8795D"/>
    <w:rsid w:val="00E87F4A"/>
    <w:rsid w:val="00E91ADF"/>
    <w:rsid w:val="00E92973"/>
    <w:rsid w:val="00E93A2D"/>
    <w:rsid w:val="00E941D1"/>
    <w:rsid w:val="00E94245"/>
    <w:rsid w:val="00E94685"/>
    <w:rsid w:val="00E95102"/>
    <w:rsid w:val="00E951A7"/>
    <w:rsid w:val="00E9566F"/>
    <w:rsid w:val="00E96604"/>
    <w:rsid w:val="00E96AAD"/>
    <w:rsid w:val="00EA00DD"/>
    <w:rsid w:val="00EA023D"/>
    <w:rsid w:val="00EA0BF9"/>
    <w:rsid w:val="00EA11F5"/>
    <w:rsid w:val="00EA1272"/>
    <w:rsid w:val="00EA17D2"/>
    <w:rsid w:val="00EA3F72"/>
    <w:rsid w:val="00EA4606"/>
    <w:rsid w:val="00EA5020"/>
    <w:rsid w:val="00EA50A5"/>
    <w:rsid w:val="00EA5225"/>
    <w:rsid w:val="00EA6254"/>
    <w:rsid w:val="00EA677F"/>
    <w:rsid w:val="00EA735E"/>
    <w:rsid w:val="00EA7A22"/>
    <w:rsid w:val="00EB00C2"/>
    <w:rsid w:val="00EB2CC3"/>
    <w:rsid w:val="00EB3039"/>
    <w:rsid w:val="00EB31D8"/>
    <w:rsid w:val="00EB337D"/>
    <w:rsid w:val="00EB5A4C"/>
    <w:rsid w:val="00EB5AA0"/>
    <w:rsid w:val="00EB5BF0"/>
    <w:rsid w:val="00EB6CB7"/>
    <w:rsid w:val="00EB6DF7"/>
    <w:rsid w:val="00EB728F"/>
    <w:rsid w:val="00EB75FC"/>
    <w:rsid w:val="00EB7A20"/>
    <w:rsid w:val="00EC00FF"/>
    <w:rsid w:val="00EC0171"/>
    <w:rsid w:val="00EC03AF"/>
    <w:rsid w:val="00EC04D8"/>
    <w:rsid w:val="00EC061A"/>
    <w:rsid w:val="00EC0F8E"/>
    <w:rsid w:val="00EC1174"/>
    <w:rsid w:val="00EC1C5C"/>
    <w:rsid w:val="00EC203D"/>
    <w:rsid w:val="00EC2370"/>
    <w:rsid w:val="00EC2390"/>
    <w:rsid w:val="00EC24BE"/>
    <w:rsid w:val="00EC2844"/>
    <w:rsid w:val="00EC4115"/>
    <w:rsid w:val="00EC4270"/>
    <w:rsid w:val="00EC432B"/>
    <w:rsid w:val="00EC51B2"/>
    <w:rsid w:val="00EC5500"/>
    <w:rsid w:val="00EC652E"/>
    <w:rsid w:val="00ED18F8"/>
    <w:rsid w:val="00ED1C81"/>
    <w:rsid w:val="00ED1E37"/>
    <w:rsid w:val="00ED227C"/>
    <w:rsid w:val="00ED295A"/>
    <w:rsid w:val="00ED3B1C"/>
    <w:rsid w:val="00ED402E"/>
    <w:rsid w:val="00ED46AF"/>
    <w:rsid w:val="00ED4E9D"/>
    <w:rsid w:val="00ED61D1"/>
    <w:rsid w:val="00ED6C31"/>
    <w:rsid w:val="00ED72D8"/>
    <w:rsid w:val="00ED732C"/>
    <w:rsid w:val="00ED796F"/>
    <w:rsid w:val="00ED7BFB"/>
    <w:rsid w:val="00EE0596"/>
    <w:rsid w:val="00EE14DF"/>
    <w:rsid w:val="00EE1736"/>
    <w:rsid w:val="00EE3277"/>
    <w:rsid w:val="00EE4459"/>
    <w:rsid w:val="00EE6EDA"/>
    <w:rsid w:val="00EE778E"/>
    <w:rsid w:val="00EE7CE6"/>
    <w:rsid w:val="00EE7D65"/>
    <w:rsid w:val="00EF016F"/>
    <w:rsid w:val="00EF0272"/>
    <w:rsid w:val="00EF1917"/>
    <w:rsid w:val="00EF2587"/>
    <w:rsid w:val="00EF2EE1"/>
    <w:rsid w:val="00EF458D"/>
    <w:rsid w:val="00EF6401"/>
    <w:rsid w:val="00EF6719"/>
    <w:rsid w:val="00EF6B50"/>
    <w:rsid w:val="00EF6C6C"/>
    <w:rsid w:val="00EF780B"/>
    <w:rsid w:val="00F00811"/>
    <w:rsid w:val="00F014ED"/>
    <w:rsid w:val="00F01D1C"/>
    <w:rsid w:val="00F02902"/>
    <w:rsid w:val="00F02BEE"/>
    <w:rsid w:val="00F02F0E"/>
    <w:rsid w:val="00F02F68"/>
    <w:rsid w:val="00F032B7"/>
    <w:rsid w:val="00F0389F"/>
    <w:rsid w:val="00F03966"/>
    <w:rsid w:val="00F044C8"/>
    <w:rsid w:val="00F04695"/>
    <w:rsid w:val="00F04A27"/>
    <w:rsid w:val="00F04FC6"/>
    <w:rsid w:val="00F0549C"/>
    <w:rsid w:val="00F056FC"/>
    <w:rsid w:val="00F059FF"/>
    <w:rsid w:val="00F0632F"/>
    <w:rsid w:val="00F069AE"/>
    <w:rsid w:val="00F07795"/>
    <w:rsid w:val="00F07F60"/>
    <w:rsid w:val="00F10021"/>
    <w:rsid w:val="00F10476"/>
    <w:rsid w:val="00F1063F"/>
    <w:rsid w:val="00F106CF"/>
    <w:rsid w:val="00F10C2D"/>
    <w:rsid w:val="00F11975"/>
    <w:rsid w:val="00F135D8"/>
    <w:rsid w:val="00F13816"/>
    <w:rsid w:val="00F13E65"/>
    <w:rsid w:val="00F14E8B"/>
    <w:rsid w:val="00F159A8"/>
    <w:rsid w:val="00F15FAB"/>
    <w:rsid w:val="00F165AD"/>
    <w:rsid w:val="00F207D5"/>
    <w:rsid w:val="00F22150"/>
    <w:rsid w:val="00F235E9"/>
    <w:rsid w:val="00F23ABB"/>
    <w:rsid w:val="00F23F91"/>
    <w:rsid w:val="00F25CD8"/>
    <w:rsid w:val="00F26EA5"/>
    <w:rsid w:val="00F26FC0"/>
    <w:rsid w:val="00F273F9"/>
    <w:rsid w:val="00F31299"/>
    <w:rsid w:val="00F313D9"/>
    <w:rsid w:val="00F32047"/>
    <w:rsid w:val="00F3274E"/>
    <w:rsid w:val="00F334B7"/>
    <w:rsid w:val="00F343A7"/>
    <w:rsid w:val="00F3534A"/>
    <w:rsid w:val="00F35BFB"/>
    <w:rsid w:val="00F35C68"/>
    <w:rsid w:val="00F36ACC"/>
    <w:rsid w:val="00F36B51"/>
    <w:rsid w:val="00F36F78"/>
    <w:rsid w:val="00F3720D"/>
    <w:rsid w:val="00F4099B"/>
    <w:rsid w:val="00F40DE6"/>
    <w:rsid w:val="00F4156D"/>
    <w:rsid w:val="00F426FD"/>
    <w:rsid w:val="00F42BA9"/>
    <w:rsid w:val="00F43B0A"/>
    <w:rsid w:val="00F44DF4"/>
    <w:rsid w:val="00F463C0"/>
    <w:rsid w:val="00F46CB3"/>
    <w:rsid w:val="00F47FAC"/>
    <w:rsid w:val="00F50F86"/>
    <w:rsid w:val="00F51609"/>
    <w:rsid w:val="00F53FA8"/>
    <w:rsid w:val="00F5454E"/>
    <w:rsid w:val="00F554F2"/>
    <w:rsid w:val="00F559E2"/>
    <w:rsid w:val="00F55C25"/>
    <w:rsid w:val="00F56111"/>
    <w:rsid w:val="00F573FE"/>
    <w:rsid w:val="00F57843"/>
    <w:rsid w:val="00F57B10"/>
    <w:rsid w:val="00F60775"/>
    <w:rsid w:val="00F6091C"/>
    <w:rsid w:val="00F6222E"/>
    <w:rsid w:val="00F641F4"/>
    <w:rsid w:val="00F64E89"/>
    <w:rsid w:val="00F658E7"/>
    <w:rsid w:val="00F66080"/>
    <w:rsid w:val="00F66087"/>
    <w:rsid w:val="00F6691D"/>
    <w:rsid w:val="00F66B03"/>
    <w:rsid w:val="00F66D0D"/>
    <w:rsid w:val="00F6764E"/>
    <w:rsid w:val="00F71013"/>
    <w:rsid w:val="00F71CE7"/>
    <w:rsid w:val="00F72C7D"/>
    <w:rsid w:val="00F73727"/>
    <w:rsid w:val="00F75556"/>
    <w:rsid w:val="00F76368"/>
    <w:rsid w:val="00F766A7"/>
    <w:rsid w:val="00F76CE3"/>
    <w:rsid w:val="00F80814"/>
    <w:rsid w:val="00F81006"/>
    <w:rsid w:val="00F8116A"/>
    <w:rsid w:val="00F824EC"/>
    <w:rsid w:val="00F82C56"/>
    <w:rsid w:val="00F83715"/>
    <w:rsid w:val="00F85219"/>
    <w:rsid w:val="00F85325"/>
    <w:rsid w:val="00F85896"/>
    <w:rsid w:val="00F85D64"/>
    <w:rsid w:val="00F85E01"/>
    <w:rsid w:val="00F86B55"/>
    <w:rsid w:val="00F87388"/>
    <w:rsid w:val="00F910B3"/>
    <w:rsid w:val="00F919C0"/>
    <w:rsid w:val="00F91C20"/>
    <w:rsid w:val="00F91F96"/>
    <w:rsid w:val="00F92BEC"/>
    <w:rsid w:val="00F93143"/>
    <w:rsid w:val="00F9336E"/>
    <w:rsid w:val="00F944A1"/>
    <w:rsid w:val="00F95FF8"/>
    <w:rsid w:val="00F967C5"/>
    <w:rsid w:val="00F9707C"/>
    <w:rsid w:val="00F9709C"/>
    <w:rsid w:val="00F97AC0"/>
    <w:rsid w:val="00FA0742"/>
    <w:rsid w:val="00FA19ED"/>
    <w:rsid w:val="00FA362D"/>
    <w:rsid w:val="00FA3726"/>
    <w:rsid w:val="00FA3CB6"/>
    <w:rsid w:val="00FA4C9A"/>
    <w:rsid w:val="00FA561F"/>
    <w:rsid w:val="00FA65D4"/>
    <w:rsid w:val="00FA7E02"/>
    <w:rsid w:val="00FA7FD6"/>
    <w:rsid w:val="00FB0F15"/>
    <w:rsid w:val="00FB28E5"/>
    <w:rsid w:val="00FB2CB7"/>
    <w:rsid w:val="00FB2EFF"/>
    <w:rsid w:val="00FB3815"/>
    <w:rsid w:val="00FB74D8"/>
    <w:rsid w:val="00FB7C8B"/>
    <w:rsid w:val="00FC0240"/>
    <w:rsid w:val="00FC2843"/>
    <w:rsid w:val="00FC3BDF"/>
    <w:rsid w:val="00FC4BD4"/>
    <w:rsid w:val="00FC5447"/>
    <w:rsid w:val="00FC67FF"/>
    <w:rsid w:val="00FC6CAD"/>
    <w:rsid w:val="00FC6E90"/>
    <w:rsid w:val="00FC7E1D"/>
    <w:rsid w:val="00FD13E1"/>
    <w:rsid w:val="00FD1DC3"/>
    <w:rsid w:val="00FD1F20"/>
    <w:rsid w:val="00FD22B1"/>
    <w:rsid w:val="00FD3023"/>
    <w:rsid w:val="00FD33F1"/>
    <w:rsid w:val="00FD3566"/>
    <w:rsid w:val="00FD356F"/>
    <w:rsid w:val="00FD3AC2"/>
    <w:rsid w:val="00FD4326"/>
    <w:rsid w:val="00FD5283"/>
    <w:rsid w:val="00FD75B9"/>
    <w:rsid w:val="00FE178E"/>
    <w:rsid w:val="00FE1BD6"/>
    <w:rsid w:val="00FE1D5E"/>
    <w:rsid w:val="00FE2066"/>
    <w:rsid w:val="00FE23DA"/>
    <w:rsid w:val="00FE2465"/>
    <w:rsid w:val="00FE2F6A"/>
    <w:rsid w:val="00FE3A4B"/>
    <w:rsid w:val="00FE3DBE"/>
    <w:rsid w:val="00FE4367"/>
    <w:rsid w:val="00FE52AF"/>
    <w:rsid w:val="00FE5397"/>
    <w:rsid w:val="00FE60D8"/>
    <w:rsid w:val="00FE7379"/>
    <w:rsid w:val="00FE7AE0"/>
    <w:rsid w:val="00FE7FD8"/>
    <w:rsid w:val="00FF015B"/>
    <w:rsid w:val="00FF05B0"/>
    <w:rsid w:val="00FF0DFA"/>
    <w:rsid w:val="00FF13C4"/>
    <w:rsid w:val="00FF157E"/>
    <w:rsid w:val="00FF22EB"/>
    <w:rsid w:val="00FF2BD7"/>
    <w:rsid w:val="00FF2C6B"/>
    <w:rsid w:val="00FF3551"/>
    <w:rsid w:val="00FF4DF8"/>
    <w:rsid w:val="00FF5A45"/>
    <w:rsid w:val="00FF6999"/>
    <w:rsid w:val="00FF7C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086E2767"/>
  <w15:docId w15:val="{71BD27F3-192A-4524-A5B7-6DDA3ED98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3428"/>
    <w:rPr>
      <w:sz w:val="24"/>
      <w:szCs w:val="24"/>
    </w:rPr>
  </w:style>
  <w:style w:type="paragraph" w:styleId="Heading1">
    <w:name w:val="heading 1"/>
    <w:basedOn w:val="BodyText"/>
    <w:next w:val="BodyText"/>
    <w:rsid w:val="00A03428"/>
    <w:pPr>
      <w:keepNext/>
      <w:spacing w:before="160" w:after="1360" w:line="600" w:lineRule="exact"/>
      <w:ind w:left="907" w:hanging="907"/>
      <w:jc w:val="left"/>
      <w:outlineLvl w:val="0"/>
    </w:pPr>
    <w:rPr>
      <w:sz w:val="52"/>
    </w:rPr>
  </w:style>
  <w:style w:type="paragraph" w:styleId="Heading2">
    <w:name w:val="heading 2"/>
    <w:basedOn w:val="Chapter"/>
    <w:next w:val="BodyText"/>
    <w:qFormat/>
    <w:rsid w:val="00A03428"/>
    <w:pPr>
      <w:spacing w:before="600" w:after="0" w:line="400" w:lineRule="exact"/>
      <w:ind w:left="907" w:hanging="907"/>
      <w:outlineLvl w:val="1"/>
    </w:pPr>
    <w:rPr>
      <w:rFonts w:ascii="Arial" w:hAnsi="Arial"/>
      <w:b/>
      <w:sz w:val="32"/>
    </w:rPr>
  </w:style>
  <w:style w:type="paragraph" w:styleId="Heading3">
    <w:name w:val="heading 3"/>
    <w:basedOn w:val="Heading2"/>
    <w:next w:val="BodyText"/>
    <w:qFormat/>
    <w:rsid w:val="00A03428"/>
    <w:pPr>
      <w:spacing w:before="560" w:line="320" w:lineRule="exact"/>
      <w:ind w:left="0" w:firstLine="0"/>
      <w:outlineLvl w:val="2"/>
    </w:pPr>
    <w:rPr>
      <w:sz w:val="26"/>
    </w:rPr>
  </w:style>
  <w:style w:type="paragraph" w:styleId="Heading4">
    <w:name w:val="heading 4"/>
    <w:basedOn w:val="Heading3"/>
    <w:next w:val="BodyText"/>
    <w:qFormat/>
    <w:rsid w:val="00A03428"/>
    <w:pPr>
      <w:spacing w:before="480"/>
      <w:outlineLvl w:val="3"/>
    </w:pPr>
    <w:rPr>
      <w:b w:val="0"/>
      <w:sz w:val="24"/>
    </w:rPr>
  </w:style>
  <w:style w:type="paragraph" w:styleId="Heading5">
    <w:name w:val="heading 5"/>
    <w:basedOn w:val="Heading4"/>
    <w:next w:val="BodyText"/>
    <w:link w:val="Heading5Char"/>
    <w:qFormat/>
    <w:rsid w:val="00A03428"/>
    <w:pPr>
      <w:outlineLvl w:val="4"/>
    </w:pPr>
    <w:rPr>
      <w:i/>
      <w:sz w:val="22"/>
    </w:rPr>
  </w:style>
  <w:style w:type="paragraph" w:styleId="Heading6">
    <w:name w:val="heading 6"/>
    <w:basedOn w:val="BodyText"/>
    <w:next w:val="BodyText"/>
    <w:semiHidden/>
    <w:rsid w:val="00A03428"/>
    <w:pPr>
      <w:spacing w:after="60"/>
      <w:jc w:val="left"/>
      <w:outlineLvl w:val="5"/>
    </w:pPr>
    <w:rPr>
      <w:i/>
      <w:sz w:val="22"/>
    </w:rPr>
  </w:style>
  <w:style w:type="paragraph" w:styleId="Heading7">
    <w:name w:val="heading 7"/>
    <w:basedOn w:val="BodyText"/>
    <w:next w:val="BodyText"/>
    <w:semiHidden/>
    <w:rsid w:val="00A03428"/>
    <w:pPr>
      <w:spacing w:after="60" w:line="240" w:lineRule="auto"/>
      <w:jc w:val="left"/>
      <w:outlineLvl w:val="6"/>
    </w:pPr>
    <w:rPr>
      <w:rFonts w:ascii="Arial" w:hAnsi="Arial"/>
      <w:sz w:val="20"/>
    </w:rPr>
  </w:style>
  <w:style w:type="paragraph" w:styleId="Heading8">
    <w:name w:val="heading 8"/>
    <w:basedOn w:val="BodyText"/>
    <w:next w:val="BodyText"/>
    <w:semiHidden/>
    <w:rsid w:val="00A03428"/>
    <w:pPr>
      <w:spacing w:after="60" w:line="240" w:lineRule="auto"/>
      <w:jc w:val="left"/>
      <w:outlineLvl w:val="7"/>
    </w:pPr>
    <w:rPr>
      <w:rFonts w:ascii="Arial" w:hAnsi="Arial"/>
      <w:i/>
      <w:sz w:val="20"/>
    </w:rPr>
  </w:style>
  <w:style w:type="paragraph" w:styleId="Heading9">
    <w:name w:val="heading 9"/>
    <w:basedOn w:val="BodyText"/>
    <w:next w:val="BodyText"/>
    <w:semiHidden/>
    <w:rsid w:val="00A034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rsid w:val="00A0342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03428"/>
  </w:style>
  <w:style w:type="paragraph" w:styleId="BodyText">
    <w:name w:val="Body Text"/>
    <w:link w:val="BodyTextChar"/>
    <w:qFormat/>
    <w:rsid w:val="00A03428"/>
    <w:pPr>
      <w:spacing w:before="240" w:line="300" w:lineRule="atLeast"/>
      <w:jc w:val="both"/>
    </w:pPr>
    <w:rPr>
      <w:sz w:val="24"/>
    </w:rPr>
  </w:style>
  <w:style w:type="paragraph" w:styleId="Footer">
    <w:name w:val="footer"/>
    <w:basedOn w:val="BodyText"/>
    <w:link w:val="FooterChar"/>
    <w:semiHidden/>
    <w:rsid w:val="00A03428"/>
    <w:pPr>
      <w:spacing w:before="80" w:line="200" w:lineRule="exact"/>
      <w:ind w:right="6"/>
      <w:jc w:val="left"/>
    </w:pPr>
    <w:rPr>
      <w:rFonts w:ascii="Arial" w:hAnsi="Arial"/>
      <w:caps/>
      <w:spacing w:val="-4"/>
      <w:sz w:val="16"/>
    </w:rPr>
  </w:style>
  <w:style w:type="paragraph" w:customStyle="1" w:styleId="FooterEnd">
    <w:name w:val="Footer End"/>
    <w:basedOn w:val="Footer"/>
    <w:rsid w:val="00A03428"/>
    <w:pPr>
      <w:spacing w:before="0" w:line="20" w:lineRule="exact"/>
    </w:pPr>
  </w:style>
  <w:style w:type="paragraph" w:styleId="Header">
    <w:name w:val="header"/>
    <w:basedOn w:val="BodyText"/>
    <w:rsid w:val="00A034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A03428"/>
    <w:pPr>
      <w:spacing w:line="20" w:lineRule="exact"/>
    </w:pPr>
    <w:rPr>
      <w:sz w:val="16"/>
    </w:rPr>
  </w:style>
  <w:style w:type="paragraph" w:customStyle="1" w:styleId="HeaderEven">
    <w:name w:val="Header Even"/>
    <w:basedOn w:val="Header"/>
    <w:semiHidden/>
    <w:rsid w:val="00A03428"/>
  </w:style>
  <w:style w:type="paragraph" w:customStyle="1" w:styleId="HeaderOdd">
    <w:name w:val="Header Odd"/>
    <w:basedOn w:val="Header"/>
    <w:semiHidden/>
    <w:rsid w:val="00A03428"/>
  </w:style>
  <w:style w:type="character" w:styleId="PageNumber">
    <w:name w:val="page number"/>
    <w:basedOn w:val="DefaultParagraphFont"/>
    <w:rsid w:val="00A03428"/>
    <w:rPr>
      <w:rFonts w:ascii="Arial" w:hAnsi="Arial"/>
      <w:b/>
      <w:sz w:val="16"/>
    </w:rPr>
  </w:style>
  <w:style w:type="paragraph" w:customStyle="1" w:styleId="Abbreviation">
    <w:name w:val="Abbreviation"/>
    <w:basedOn w:val="BodyText"/>
    <w:rsid w:val="00A03428"/>
    <w:pPr>
      <w:spacing w:before="120"/>
      <w:ind w:left="2381" w:hanging="2381"/>
      <w:jc w:val="left"/>
    </w:pPr>
  </w:style>
  <w:style w:type="paragraph" w:customStyle="1" w:styleId="Box">
    <w:name w:val="Box"/>
    <w:basedOn w:val="BodyText"/>
    <w:qFormat/>
    <w:rsid w:val="00A03428"/>
    <w:pPr>
      <w:keepNext/>
      <w:spacing w:before="120" w:line="260" w:lineRule="atLeast"/>
    </w:pPr>
    <w:rPr>
      <w:rFonts w:ascii="Arial" w:hAnsi="Arial"/>
      <w:sz w:val="20"/>
    </w:rPr>
  </w:style>
  <w:style w:type="paragraph" w:customStyle="1" w:styleId="BoxContinued">
    <w:name w:val="Box Continued"/>
    <w:basedOn w:val="BodyText"/>
    <w:next w:val="BodyText"/>
    <w:semiHidden/>
    <w:rsid w:val="00A03428"/>
    <w:pPr>
      <w:spacing w:before="180" w:line="220" w:lineRule="exact"/>
      <w:jc w:val="right"/>
    </w:pPr>
    <w:rPr>
      <w:rFonts w:ascii="Arial" w:hAnsi="Arial"/>
      <w:sz w:val="18"/>
    </w:rPr>
  </w:style>
  <w:style w:type="paragraph" w:customStyle="1" w:styleId="BoxHeading1">
    <w:name w:val="Box Heading 1"/>
    <w:basedOn w:val="BodyText"/>
    <w:next w:val="Box"/>
    <w:rsid w:val="00A03428"/>
    <w:pPr>
      <w:keepNext/>
      <w:spacing w:before="200" w:line="280" w:lineRule="atLeast"/>
    </w:pPr>
    <w:rPr>
      <w:rFonts w:ascii="Arial" w:hAnsi="Arial"/>
      <w:b/>
      <w:sz w:val="22"/>
    </w:rPr>
  </w:style>
  <w:style w:type="paragraph" w:customStyle="1" w:styleId="BoxHeading2">
    <w:name w:val="Box Heading 2"/>
    <w:basedOn w:val="BoxHeading1"/>
    <w:next w:val="Normal"/>
    <w:rsid w:val="00A03428"/>
    <w:rPr>
      <w:b w:val="0"/>
      <w:i/>
    </w:rPr>
  </w:style>
  <w:style w:type="paragraph" w:customStyle="1" w:styleId="BoxListBullet">
    <w:name w:val="Box List Bullet"/>
    <w:basedOn w:val="BodyText"/>
    <w:rsid w:val="00A03428"/>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A03428"/>
    <w:pPr>
      <w:numPr>
        <w:numId w:val="13"/>
      </w:numPr>
      <w:ind w:left="568" w:hanging="284"/>
    </w:pPr>
  </w:style>
  <w:style w:type="paragraph" w:customStyle="1" w:styleId="BoxListNumber">
    <w:name w:val="Box List Number"/>
    <w:basedOn w:val="BodyText"/>
    <w:rsid w:val="00A03428"/>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A03428"/>
    <w:pPr>
      <w:numPr>
        <w:ilvl w:val="1"/>
      </w:numPr>
      <w:ind w:left="681" w:hanging="397"/>
    </w:pPr>
  </w:style>
  <w:style w:type="paragraph" w:customStyle="1" w:styleId="BoxQuote">
    <w:name w:val="Box Quote"/>
    <w:basedOn w:val="BodyText"/>
    <w:next w:val="Box"/>
    <w:qFormat/>
    <w:rsid w:val="00A03428"/>
    <w:pPr>
      <w:keepNext/>
      <w:spacing w:before="60" w:line="240" w:lineRule="exact"/>
      <w:ind w:left="284"/>
    </w:pPr>
    <w:rPr>
      <w:rFonts w:ascii="Arial" w:hAnsi="Arial"/>
      <w:sz w:val="18"/>
    </w:rPr>
  </w:style>
  <w:style w:type="paragraph" w:customStyle="1" w:styleId="Note">
    <w:name w:val="Note"/>
    <w:basedOn w:val="BodyText"/>
    <w:next w:val="BodyText"/>
    <w:rsid w:val="00A03428"/>
    <w:pPr>
      <w:keepLines/>
      <w:spacing w:before="80" w:line="220" w:lineRule="exact"/>
    </w:pPr>
    <w:rPr>
      <w:rFonts w:ascii="Arial" w:hAnsi="Arial"/>
      <w:sz w:val="18"/>
    </w:rPr>
  </w:style>
  <w:style w:type="paragraph" w:customStyle="1" w:styleId="Source">
    <w:name w:val="Source"/>
    <w:basedOn w:val="Normal"/>
    <w:next w:val="BodyText"/>
    <w:rsid w:val="00A03428"/>
    <w:pPr>
      <w:keepLines/>
      <w:spacing w:before="80" w:line="220" w:lineRule="exact"/>
      <w:jc w:val="both"/>
    </w:pPr>
    <w:rPr>
      <w:rFonts w:ascii="Arial" w:hAnsi="Arial"/>
      <w:sz w:val="18"/>
      <w:szCs w:val="20"/>
    </w:rPr>
  </w:style>
  <w:style w:type="paragraph" w:customStyle="1" w:styleId="BoxSource">
    <w:name w:val="Box Source"/>
    <w:basedOn w:val="Source"/>
    <w:next w:val="BodyText"/>
    <w:rsid w:val="00A03428"/>
    <w:pPr>
      <w:spacing w:before="120"/>
    </w:pPr>
  </w:style>
  <w:style w:type="paragraph" w:customStyle="1" w:styleId="BoxSpaceAbove">
    <w:name w:val="Box Space Above"/>
    <w:basedOn w:val="BodyText"/>
    <w:rsid w:val="00A03428"/>
    <w:pPr>
      <w:keepNext/>
      <w:spacing w:before="360" w:line="80" w:lineRule="exact"/>
      <w:jc w:val="left"/>
    </w:pPr>
  </w:style>
  <w:style w:type="paragraph" w:styleId="Caption">
    <w:name w:val="caption"/>
    <w:basedOn w:val="Normal"/>
    <w:next w:val="BodyText"/>
    <w:rsid w:val="00A034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A03428"/>
    <w:pPr>
      <w:spacing w:before="120" w:after="0"/>
    </w:pPr>
  </w:style>
  <w:style w:type="paragraph" w:customStyle="1" w:styleId="BoxSubtitle">
    <w:name w:val="Box Subtitle"/>
    <w:basedOn w:val="BoxTitle"/>
    <w:next w:val="Normal"/>
    <w:rsid w:val="00A03428"/>
    <w:pPr>
      <w:spacing w:after="80" w:line="200" w:lineRule="exact"/>
      <w:ind w:firstLine="0"/>
    </w:pPr>
    <w:rPr>
      <w:b w:val="0"/>
      <w:sz w:val="20"/>
    </w:rPr>
  </w:style>
  <w:style w:type="paragraph" w:customStyle="1" w:styleId="Chapter">
    <w:name w:val="Chapter"/>
    <w:basedOn w:val="Heading1"/>
    <w:next w:val="BodyText"/>
    <w:semiHidden/>
    <w:rsid w:val="00A03428"/>
    <w:pPr>
      <w:ind w:left="0" w:firstLine="0"/>
      <w:outlineLvl w:val="9"/>
    </w:pPr>
  </w:style>
  <w:style w:type="paragraph" w:customStyle="1" w:styleId="ChapterSummary">
    <w:name w:val="Chapter Summary"/>
    <w:basedOn w:val="BodyText"/>
    <w:rsid w:val="00A03428"/>
    <w:pPr>
      <w:spacing w:line="280" w:lineRule="atLeast"/>
      <w:ind w:left="907"/>
    </w:pPr>
    <w:rPr>
      <w:rFonts w:ascii="Arial" w:hAnsi="Arial"/>
      <w:b/>
      <w:sz w:val="20"/>
    </w:rPr>
  </w:style>
  <w:style w:type="character" w:styleId="CommentReference">
    <w:name w:val="annotation reference"/>
    <w:basedOn w:val="DefaultParagraphFont"/>
    <w:semiHidden/>
    <w:rsid w:val="00A03428"/>
    <w:rPr>
      <w:b/>
      <w:vanish/>
      <w:color w:val="FF00FF"/>
      <w:sz w:val="20"/>
    </w:rPr>
  </w:style>
  <w:style w:type="paragraph" w:styleId="CommentText">
    <w:name w:val="annotation text"/>
    <w:basedOn w:val="Normal"/>
    <w:link w:val="CommentTextChar"/>
    <w:semiHidden/>
    <w:rsid w:val="00A03428"/>
    <w:pPr>
      <w:spacing w:before="120" w:line="240" w:lineRule="atLeast"/>
      <w:ind w:left="567" w:hanging="567"/>
    </w:pPr>
    <w:rPr>
      <w:sz w:val="20"/>
    </w:rPr>
  </w:style>
  <w:style w:type="paragraph" w:customStyle="1" w:styleId="Continued">
    <w:name w:val="Continued"/>
    <w:basedOn w:val="BoxContinued"/>
    <w:next w:val="BodyText"/>
    <w:rsid w:val="00A03428"/>
  </w:style>
  <w:style w:type="character" w:customStyle="1" w:styleId="DocumentInfo">
    <w:name w:val="Document Info"/>
    <w:basedOn w:val="DefaultParagraphFont"/>
    <w:semiHidden/>
    <w:rsid w:val="00A03428"/>
    <w:rPr>
      <w:rFonts w:ascii="Arial" w:hAnsi="Arial"/>
      <w:sz w:val="14"/>
    </w:rPr>
  </w:style>
  <w:style w:type="character" w:customStyle="1" w:styleId="DraftingNote">
    <w:name w:val="Drafting Note"/>
    <w:basedOn w:val="DefaultParagraphFont"/>
    <w:rsid w:val="00A03428"/>
    <w:rPr>
      <w:b/>
      <w:color w:val="FF0000"/>
      <w:sz w:val="24"/>
      <w:u w:val="dotted"/>
    </w:rPr>
  </w:style>
  <w:style w:type="paragraph" w:customStyle="1" w:styleId="Figure">
    <w:name w:val="Figure"/>
    <w:basedOn w:val="BodyText"/>
    <w:rsid w:val="00A03428"/>
    <w:pPr>
      <w:keepNext/>
      <w:spacing w:before="120" w:after="120" w:line="240" w:lineRule="atLeast"/>
      <w:jc w:val="center"/>
    </w:pPr>
  </w:style>
  <w:style w:type="paragraph" w:customStyle="1" w:styleId="FigureTitle">
    <w:name w:val="Figure Title"/>
    <w:basedOn w:val="Caption"/>
    <w:next w:val="Subtitle"/>
    <w:rsid w:val="00A03428"/>
    <w:pPr>
      <w:spacing w:before="120"/>
    </w:pPr>
  </w:style>
  <w:style w:type="paragraph" w:styleId="Subtitle">
    <w:name w:val="Subtitle"/>
    <w:basedOn w:val="Caption"/>
    <w:link w:val="SubtitleChar"/>
    <w:qFormat/>
    <w:rsid w:val="00A03428"/>
    <w:pPr>
      <w:spacing w:before="0" w:line="200" w:lineRule="exact"/>
      <w:ind w:firstLine="0"/>
    </w:pPr>
    <w:rPr>
      <w:b w:val="0"/>
      <w:sz w:val="20"/>
    </w:rPr>
  </w:style>
  <w:style w:type="paragraph" w:customStyle="1" w:styleId="Finding">
    <w:name w:val="Finding"/>
    <w:basedOn w:val="BodyText"/>
    <w:rsid w:val="00A03428"/>
    <w:pPr>
      <w:keepLines/>
      <w:spacing w:before="120" w:line="280" w:lineRule="atLeast"/>
    </w:pPr>
    <w:rPr>
      <w:rFonts w:ascii="Arial" w:hAnsi="Arial"/>
      <w:sz w:val="22"/>
    </w:rPr>
  </w:style>
  <w:style w:type="paragraph" w:customStyle="1" w:styleId="FindingBullet">
    <w:name w:val="Finding Bullet"/>
    <w:basedOn w:val="Finding"/>
    <w:rsid w:val="00A03428"/>
    <w:pPr>
      <w:numPr>
        <w:numId w:val="15"/>
      </w:numPr>
      <w:spacing w:before="80"/>
    </w:pPr>
  </w:style>
  <w:style w:type="paragraph" w:customStyle="1" w:styleId="FindingNoTitle">
    <w:name w:val="Finding NoTitle"/>
    <w:basedOn w:val="Finding"/>
    <w:semiHidden/>
    <w:rsid w:val="00A03428"/>
    <w:pPr>
      <w:spacing w:before="240"/>
    </w:pPr>
  </w:style>
  <w:style w:type="paragraph" w:customStyle="1" w:styleId="RecTitle">
    <w:name w:val="Rec Title"/>
    <w:basedOn w:val="BodyText"/>
    <w:next w:val="Rec"/>
    <w:qFormat/>
    <w:rsid w:val="00A03428"/>
    <w:pPr>
      <w:keepNext/>
      <w:keepLines/>
      <w:spacing w:line="280" w:lineRule="atLeast"/>
    </w:pPr>
    <w:rPr>
      <w:rFonts w:ascii="Arial" w:hAnsi="Arial"/>
      <w:caps/>
      <w:sz w:val="18"/>
    </w:rPr>
  </w:style>
  <w:style w:type="paragraph" w:customStyle="1" w:styleId="FindingTitle">
    <w:name w:val="Finding Title"/>
    <w:basedOn w:val="RecTitle"/>
    <w:next w:val="Finding"/>
    <w:rsid w:val="00A03428"/>
  </w:style>
  <w:style w:type="character" w:styleId="FootnoteReference">
    <w:name w:val="footnote reference"/>
    <w:basedOn w:val="DefaultParagraphFont"/>
    <w:semiHidden/>
    <w:rsid w:val="00A03428"/>
    <w:rPr>
      <w:rFonts w:ascii="Times New Roman" w:hAnsi="Times New Roman"/>
      <w:position w:val="6"/>
      <w:sz w:val="20"/>
      <w:vertAlign w:val="baseline"/>
    </w:rPr>
  </w:style>
  <w:style w:type="paragraph" w:styleId="FootnoteText">
    <w:name w:val="footnote text"/>
    <w:basedOn w:val="BodyText"/>
    <w:rsid w:val="00A03428"/>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A03428"/>
    <w:rPr>
      <w:i/>
    </w:rPr>
  </w:style>
  <w:style w:type="paragraph" w:customStyle="1" w:styleId="Jurisdictioncommentsbodytext">
    <w:name w:val="Jurisdiction comments body text"/>
    <w:rsid w:val="00A03428"/>
    <w:pPr>
      <w:spacing w:after="140"/>
      <w:jc w:val="both"/>
    </w:pPr>
    <w:rPr>
      <w:rFonts w:ascii="Arial" w:hAnsi="Arial"/>
      <w:sz w:val="24"/>
      <w:lang w:eastAsia="en-US"/>
    </w:rPr>
  </w:style>
  <w:style w:type="paragraph" w:customStyle="1" w:styleId="Jurisdictioncommentsheading">
    <w:name w:val="Jurisdiction comments heading"/>
    <w:rsid w:val="00A034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03428"/>
    <w:pPr>
      <w:numPr>
        <w:numId w:val="2"/>
      </w:numPr>
      <w:spacing w:after="140"/>
      <w:jc w:val="both"/>
    </w:pPr>
    <w:rPr>
      <w:rFonts w:ascii="Arial" w:hAnsi="Arial"/>
      <w:sz w:val="24"/>
      <w:lang w:eastAsia="en-US"/>
    </w:rPr>
  </w:style>
  <w:style w:type="paragraph" w:styleId="ListBullet">
    <w:name w:val="List Bullet"/>
    <w:basedOn w:val="BodyText"/>
    <w:rsid w:val="00A03428"/>
    <w:pPr>
      <w:numPr>
        <w:numId w:val="3"/>
      </w:numPr>
      <w:spacing w:before="120"/>
    </w:pPr>
  </w:style>
  <w:style w:type="paragraph" w:styleId="ListBullet2">
    <w:name w:val="List Bullet 2"/>
    <w:basedOn w:val="BodyText"/>
    <w:rsid w:val="00A03428"/>
    <w:pPr>
      <w:numPr>
        <w:numId w:val="4"/>
      </w:numPr>
      <w:spacing w:before="120"/>
    </w:pPr>
  </w:style>
  <w:style w:type="paragraph" w:styleId="ListBullet3">
    <w:name w:val="List Bullet 3"/>
    <w:basedOn w:val="BodyText"/>
    <w:rsid w:val="00A03428"/>
    <w:pPr>
      <w:numPr>
        <w:numId w:val="5"/>
      </w:numPr>
      <w:spacing w:before="120"/>
      <w:ind w:left="1020" w:hanging="340"/>
    </w:pPr>
  </w:style>
  <w:style w:type="paragraph" w:styleId="ListNumber">
    <w:name w:val="List Number"/>
    <w:basedOn w:val="BodyText"/>
    <w:rsid w:val="00A03428"/>
    <w:pPr>
      <w:numPr>
        <w:numId w:val="9"/>
      </w:numPr>
      <w:spacing w:before="120"/>
    </w:pPr>
  </w:style>
  <w:style w:type="paragraph" w:styleId="ListNumber2">
    <w:name w:val="List Number 2"/>
    <w:basedOn w:val="ListNumber"/>
    <w:rsid w:val="00A03428"/>
    <w:pPr>
      <w:numPr>
        <w:ilvl w:val="1"/>
      </w:numPr>
    </w:pPr>
  </w:style>
  <w:style w:type="paragraph" w:styleId="ListNumber3">
    <w:name w:val="List Number 3"/>
    <w:basedOn w:val="ListNumber2"/>
    <w:rsid w:val="00A03428"/>
    <w:pPr>
      <w:numPr>
        <w:ilvl w:val="2"/>
      </w:numPr>
    </w:pPr>
  </w:style>
  <w:style w:type="character" w:customStyle="1" w:styleId="NoteLabel">
    <w:name w:val="Note Label"/>
    <w:basedOn w:val="DefaultParagraphFont"/>
    <w:rsid w:val="00A03428"/>
    <w:rPr>
      <w:rFonts w:ascii="Arial" w:hAnsi="Arial"/>
      <w:b/>
      <w:position w:val="6"/>
      <w:sz w:val="18"/>
    </w:rPr>
  </w:style>
  <w:style w:type="paragraph" w:customStyle="1" w:styleId="PartDivider">
    <w:name w:val="Part Divider"/>
    <w:basedOn w:val="BodyText"/>
    <w:next w:val="BodyText"/>
    <w:semiHidden/>
    <w:rsid w:val="00A03428"/>
    <w:pPr>
      <w:spacing w:before="0" w:line="40" w:lineRule="exact"/>
      <w:jc w:val="right"/>
    </w:pPr>
    <w:rPr>
      <w:smallCaps/>
      <w:sz w:val="16"/>
    </w:rPr>
  </w:style>
  <w:style w:type="paragraph" w:customStyle="1" w:styleId="PartNumber">
    <w:name w:val="Part Number"/>
    <w:basedOn w:val="BodyText"/>
    <w:next w:val="BodyText"/>
    <w:rsid w:val="00A03428"/>
    <w:pPr>
      <w:spacing w:before="4000" w:line="320" w:lineRule="exact"/>
      <w:ind w:left="6634"/>
      <w:jc w:val="right"/>
    </w:pPr>
    <w:rPr>
      <w:smallCaps/>
      <w:spacing w:val="60"/>
      <w:sz w:val="32"/>
    </w:rPr>
  </w:style>
  <w:style w:type="paragraph" w:customStyle="1" w:styleId="PartTitle">
    <w:name w:val="Part Title"/>
    <w:basedOn w:val="BodyText"/>
    <w:semiHidden/>
    <w:rsid w:val="00A03428"/>
    <w:pPr>
      <w:spacing w:before="160" w:after="1360" w:line="520" w:lineRule="exact"/>
      <w:ind w:right="2381"/>
      <w:jc w:val="right"/>
    </w:pPr>
    <w:rPr>
      <w:smallCaps/>
      <w:sz w:val="52"/>
    </w:rPr>
  </w:style>
  <w:style w:type="paragraph" w:styleId="Quote">
    <w:name w:val="Quote"/>
    <w:basedOn w:val="BodyText"/>
    <w:next w:val="BodyText"/>
    <w:qFormat/>
    <w:rsid w:val="00A03428"/>
    <w:pPr>
      <w:spacing w:before="120" w:line="280" w:lineRule="exact"/>
      <w:ind w:left="340"/>
    </w:pPr>
    <w:rPr>
      <w:sz w:val="22"/>
    </w:rPr>
  </w:style>
  <w:style w:type="paragraph" w:customStyle="1" w:styleId="QuoteBullet">
    <w:name w:val="Quote Bullet"/>
    <w:basedOn w:val="Quote"/>
    <w:rsid w:val="00A03428"/>
    <w:pPr>
      <w:numPr>
        <w:numId w:val="6"/>
      </w:numPr>
    </w:pPr>
  </w:style>
  <w:style w:type="paragraph" w:customStyle="1" w:styleId="Rec">
    <w:name w:val="Rec"/>
    <w:basedOn w:val="BodyText"/>
    <w:qFormat/>
    <w:rsid w:val="00A03428"/>
    <w:pPr>
      <w:keepLines/>
      <w:spacing w:before="120" w:line="280" w:lineRule="atLeast"/>
    </w:pPr>
    <w:rPr>
      <w:rFonts w:ascii="Arial" w:hAnsi="Arial"/>
      <w:sz w:val="22"/>
    </w:rPr>
  </w:style>
  <w:style w:type="paragraph" w:customStyle="1" w:styleId="RecBullet">
    <w:name w:val="Rec Bullet"/>
    <w:basedOn w:val="Rec"/>
    <w:rsid w:val="00A03428"/>
    <w:pPr>
      <w:numPr>
        <w:numId w:val="17"/>
      </w:numPr>
      <w:spacing w:before="80"/>
    </w:pPr>
  </w:style>
  <w:style w:type="paragraph" w:customStyle="1" w:styleId="RecB">
    <w:name w:val="RecB"/>
    <w:basedOn w:val="Normal"/>
    <w:semiHidden/>
    <w:rsid w:val="00A03428"/>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A03428"/>
    <w:pPr>
      <w:numPr>
        <w:numId w:val="11"/>
      </w:numPr>
      <w:spacing w:before="80"/>
    </w:pPr>
  </w:style>
  <w:style w:type="paragraph" w:customStyle="1" w:styleId="RecBNoTitle">
    <w:name w:val="RecB NoTitle"/>
    <w:basedOn w:val="RecB"/>
    <w:semiHidden/>
    <w:rsid w:val="00A03428"/>
    <w:pPr>
      <w:spacing w:before="240"/>
    </w:pPr>
  </w:style>
  <w:style w:type="paragraph" w:customStyle="1" w:styleId="Reference">
    <w:name w:val="Reference"/>
    <w:basedOn w:val="BodyText"/>
    <w:rsid w:val="00A03428"/>
    <w:pPr>
      <w:spacing w:before="120"/>
      <w:ind w:left="340" w:hanging="340"/>
    </w:pPr>
  </w:style>
  <w:style w:type="paragraph" w:customStyle="1" w:styleId="SequenceInfo">
    <w:name w:val="Sequence Info"/>
    <w:basedOn w:val="BodyText"/>
    <w:semiHidden/>
    <w:rsid w:val="00A03428"/>
    <w:rPr>
      <w:vanish/>
      <w:sz w:val="16"/>
    </w:rPr>
  </w:style>
  <w:style w:type="paragraph" w:customStyle="1" w:styleId="SideNote">
    <w:name w:val="Side Note"/>
    <w:basedOn w:val="BodyText"/>
    <w:next w:val="BodyText"/>
    <w:semiHidden/>
    <w:rsid w:val="00A034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03428"/>
    <w:pPr>
      <w:framePr w:wrap="around"/>
      <w:numPr>
        <w:numId w:val="7"/>
      </w:numPr>
      <w:tabs>
        <w:tab w:val="left" w:pos="227"/>
      </w:tabs>
    </w:pPr>
  </w:style>
  <w:style w:type="paragraph" w:customStyle="1" w:styleId="SideNoteGraphic">
    <w:name w:val="Side Note Graphic"/>
    <w:basedOn w:val="SideNote"/>
    <w:next w:val="BodyText"/>
    <w:semiHidden/>
    <w:rsid w:val="00A03428"/>
    <w:pPr>
      <w:framePr w:wrap="around"/>
    </w:pPr>
  </w:style>
  <w:style w:type="paragraph" w:customStyle="1" w:styleId="TableBodyText">
    <w:name w:val="Table Body Text"/>
    <w:basedOn w:val="BodyText"/>
    <w:rsid w:val="00A03428"/>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A03428"/>
    <w:pPr>
      <w:numPr>
        <w:numId w:val="8"/>
      </w:numPr>
      <w:jc w:val="left"/>
    </w:pPr>
  </w:style>
  <w:style w:type="paragraph" w:customStyle="1" w:styleId="TableColumnHeading">
    <w:name w:val="Table Column Heading"/>
    <w:basedOn w:val="TableBodyText"/>
    <w:rsid w:val="00A03428"/>
    <w:pPr>
      <w:spacing w:before="80" w:after="80"/>
    </w:pPr>
    <w:rPr>
      <w:i/>
    </w:rPr>
  </w:style>
  <w:style w:type="paragraph" w:styleId="TOC2">
    <w:name w:val="toc 2"/>
    <w:basedOn w:val="TOC1"/>
    <w:rsid w:val="00A03428"/>
    <w:pPr>
      <w:ind w:left="1134" w:hanging="624"/>
    </w:pPr>
    <w:rPr>
      <w:b w:val="0"/>
    </w:rPr>
  </w:style>
  <w:style w:type="paragraph" w:styleId="TOC3">
    <w:name w:val="toc 3"/>
    <w:basedOn w:val="TOC2"/>
    <w:rsid w:val="00A03428"/>
    <w:pPr>
      <w:spacing w:before="60"/>
      <w:ind w:left="1190" w:hanging="680"/>
    </w:pPr>
  </w:style>
  <w:style w:type="paragraph" w:styleId="TableofFigures">
    <w:name w:val="table of figures"/>
    <w:basedOn w:val="TOC3"/>
    <w:next w:val="BodyText"/>
    <w:semiHidden/>
    <w:rsid w:val="00A03428"/>
    <w:pPr>
      <w:ind w:left="737" w:hanging="737"/>
    </w:pPr>
  </w:style>
  <w:style w:type="paragraph" w:customStyle="1" w:styleId="TableTitle">
    <w:name w:val="Table Title"/>
    <w:basedOn w:val="Caption"/>
    <w:next w:val="Subtitle"/>
    <w:qFormat/>
    <w:rsid w:val="00A03428"/>
    <w:pPr>
      <w:spacing w:before="120"/>
    </w:pPr>
  </w:style>
  <w:style w:type="paragraph" w:customStyle="1" w:styleId="TableUnitsRow">
    <w:name w:val="Table Units Row"/>
    <w:basedOn w:val="TableBodyText"/>
    <w:rsid w:val="00A03428"/>
    <w:pPr>
      <w:spacing w:before="40"/>
    </w:pPr>
  </w:style>
  <w:style w:type="paragraph" w:styleId="TOC1">
    <w:name w:val="toc 1"/>
    <w:basedOn w:val="Normal"/>
    <w:next w:val="TOC2"/>
    <w:link w:val="TOC1Char"/>
    <w:rsid w:val="00A03428"/>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03428"/>
    <w:pPr>
      <w:ind w:left="1191" w:firstLine="0"/>
    </w:pPr>
  </w:style>
  <w:style w:type="paragraph" w:customStyle="1" w:styleId="RecBBullet2">
    <w:name w:val="RecB Bullet 2"/>
    <w:basedOn w:val="ListBullet2"/>
    <w:semiHidden/>
    <w:rsid w:val="00A03428"/>
    <w:pPr>
      <w:pBdr>
        <w:left w:val="single" w:sz="24" w:space="29" w:color="C0C0C0"/>
      </w:pBdr>
    </w:pPr>
    <w:rPr>
      <w:b/>
      <w:i/>
    </w:rPr>
  </w:style>
  <w:style w:type="paragraph" w:styleId="BalloonText">
    <w:name w:val="Balloon Text"/>
    <w:basedOn w:val="Normal"/>
    <w:link w:val="BalloonTextChar"/>
    <w:rsid w:val="00A03428"/>
    <w:rPr>
      <w:rFonts w:ascii="Tahoma" w:hAnsi="Tahoma" w:cs="Tahoma"/>
      <w:sz w:val="16"/>
      <w:szCs w:val="16"/>
    </w:rPr>
  </w:style>
  <w:style w:type="character" w:customStyle="1" w:styleId="BalloonTextChar">
    <w:name w:val="Balloon Text Char"/>
    <w:basedOn w:val="DefaultParagraphFont"/>
    <w:link w:val="BalloonText"/>
    <w:rsid w:val="00A03428"/>
    <w:rPr>
      <w:rFonts w:ascii="Tahoma" w:hAnsi="Tahoma" w:cs="Tahoma"/>
      <w:sz w:val="16"/>
      <w:szCs w:val="16"/>
    </w:rPr>
  </w:style>
  <w:style w:type="character" w:customStyle="1" w:styleId="SubtitleChar">
    <w:name w:val="Subtitle Char"/>
    <w:basedOn w:val="DefaultParagraphFont"/>
    <w:link w:val="Subtitle"/>
    <w:rsid w:val="00A03428"/>
    <w:rPr>
      <w:rFonts w:ascii="Arial" w:hAnsi="Arial"/>
      <w:szCs w:val="24"/>
    </w:rPr>
  </w:style>
  <w:style w:type="paragraph" w:customStyle="1" w:styleId="BoxListBullet3">
    <w:name w:val="Box List Bullet 3"/>
    <w:basedOn w:val="ListBullet3"/>
    <w:rsid w:val="00A03428"/>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A03428"/>
    <w:rPr>
      <w:i/>
      <w:iCs/>
    </w:rPr>
  </w:style>
  <w:style w:type="paragraph" w:customStyle="1" w:styleId="BoxQuoteBullet">
    <w:name w:val="Box Quote Bullet"/>
    <w:basedOn w:val="BoxQuote"/>
    <w:next w:val="Box"/>
    <w:rsid w:val="00A03428"/>
    <w:pPr>
      <w:numPr>
        <w:numId w:val="12"/>
      </w:numPr>
      <w:ind w:left="568" w:hanging="284"/>
    </w:pPr>
  </w:style>
  <w:style w:type="paragraph" w:customStyle="1" w:styleId="InformationRequestBullet">
    <w:name w:val="Information Request Bullet"/>
    <w:basedOn w:val="ListBullet"/>
    <w:next w:val="BodyText"/>
    <w:rsid w:val="00A03428"/>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A03428"/>
    <w:pPr>
      <w:keepNext w:val="0"/>
      <w:spacing w:before="60" w:after="60" w:line="80" w:lineRule="exact"/>
    </w:pPr>
    <w:rPr>
      <w:sz w:val="14"/>
    </w:rPr>
  </w:style>
  <w:style w:type="paragraph" w:customStyle="1" w:styleId="KeyPointsListBullet">
    <w:name w:val="Key Points List Bullet"/>
    <w:basedOn w:val="Normal"/>
    <w:qFormat/>
    <w:rsid w:val="00A03428"/>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A03428"/>
    <w:pPr>
      <w:numPr>
        <w:numId w:val="21"/>
      </w:numPr>
      <w:ind w:left="568" w:hanging="284"/>
    </w:pPr>
  </w:style>
  <w:style w:type="paragraph" w:customStyle="1" w:styleId="InformationRequestTitle">
    <w:name w:val="Information Request Title"/>
    <w:basedOn w:val="FindingTitle"/>
    <w:next w:val="InformationRequest"/>
    <w:rsid w:val="00A03428"/>
    <w:rPr>
      <w:i/>
    </w:rPr>
  </w:style>
  <w:style w:type="paragraph" w:customStyle="1" w:styleId="Space">
    <w:name w:val="Space"/>
    <w:basedOn w:val="Normal"/>
    <w:rsid w:val="00A03428"/>
    <w:pPr>
      <w:keepNext/>
      <w:spacing w:line="120" w:lineRule="exact"/>
      <w:jc w:val="both"/>
    </w:pPr>
    <w:rPr>
      <w:rFonts w:ascii="Arial" w:hAnsi="Arial"/>
      <w:sz w:val="20"/>
      <w:szCs w:val="20"/>
    </w:rPr>
  </w:style>
  <w:style w:type="paragraph" w:customStyle="1" w:styleId="Heading1nochapterno">
    <w:name w:val="Heading 1 (no chapter no.)"/>
    <w:basedOn w:val="Heading1"/>
    <w:rsid w:val="00A03428"/>
    <w:pPr>
      <w:spacing w:before="0"/>
      <w:ind w:left="0" w:firstLine="0"/>
    </w:pPr>
  </w:style>
  <w:style w:type="paragraph" w:customStyle="1" w:styleId="Heading2nosectionno">
    <w:name w:val="Heading 2 (no section no.)"/>
    <w:basedOn w:val="Heading2"/>
    <w:rsid w:val="00A03428"/>
    <w:pPr>
      <w:ind w:left="0" w:firstLine="0"/>
    </w:pPr>
  </w:style>
  <w:style w:type="character" w:customStyle="1" w:styleId="Heading5Char">
    <w:name w:val="Heading 5 Char"/>
    <w:basedOn w:val="DefaultParagraphFont"/>
    <w:link w:val="Heading5"/>
    <w:rsid w:val="00A03428"/>
    <w:rPr>
      <w:rFonts w:ascii="Arial" w:hAnsi="Arial"/>
      <w:i/>
      <w:sz w:val="22"/>
    </w:rPr>
  </w:style>
  <w:style w:type="paragraph" w:customStyle="1" w:styleId="Figurespace">
    <w:name w:val="Figure space"/>
    <w:basedOn w:val="Box"/>
    <w:rsid w:val="00A03428"/>
    <w:pPr>
      <w:spacing w:before="0" w:line="120" w:lineRule="exact"/>
    </w:pPr>
  </w:style>
  <w:style w:type="paragraph" w:customStyle="1" w:styleId="FooterDraftReport">
    <w:name w:val="FooterDraftReport"/>
    <w:basedOn w:val="Footer"/>
    <w:link w:val="FooterDraftReportChar"/>
    <w:rsid w:val="00A03428"/>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A03428"/>
    <w:rPr>
      <w:sz w:val="24"/>
    </w:rPr>
  </w:style>
  <w:style w:type="character" w:customStyle="1" w:styleId="FooterChar">
    <w:name w:val="Footer Char"/>
    <w:basedOn w:val="BodyTextChar"/>
    <w:link w:val="Footer"/>
    <w:semiHidden/>
    <w:rsid w:val="00A03428"/>
    <w:rPr>
      <w:rFonts w:ascii="Arial" w:hAnsi="Arial"/>
      <w:caps/>
      <w:spacing w:val="-4"/>
      <w:sz w:val="16"/>
    </w:rPr>
  </w:style>
  <w:style w:type="character" w:customStyle="1" w:styleId="FooterDraftReportChar">
    <w:name w:val="FooterDraftReport Char"/>
    <w:basedOn w:val="FooterChar"/>
    <w:link w:val="FooterDraftReport"/>
    <w:rsid w:val="00A03428"/>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A03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A03428"/>
    <w:rPr>
      <w:rFonts w:ascii="Arial" w:hAnsi="Arial"/>
      <w:b/>
      <w:sz w:val="26"/>
      <w:szCs w:val="26"/>
      <w:lang w:eastAsia="en-US"/>
    </w:rPr>
  </w:style>
  <w:style w:type="paragraph" w:styleId="CommentSubject">
    <w:name w:val="annotation subject"/>
    <w:basedOn w:val="CommentText"/>
    <w:next w:val="CommentText"/>
    <w:link w:val="CommentSubjectChar"/>
    <w:rsid w:val="00043CB6"/>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043CB6"/>
    <w:rPr>
      <w:szCs w:val="24"/>
    </w:rPr>
  </w:style>
  <w:style w:type="character" w:customStyle="1" w:styleId="CommentSubjectChar">
    <w:name w:val="Comment Subject Char"/>
    <w:basedOn w:val="CommentTextChar"/>
    <w:link w:val="CommentSubject"/>
    <w:rsid w:val="00043CB6"/>
    <w:rPr>
      <w:b/>
      <w:bCs/>
      <w:szCs w:val="24"/>
    </w:rPr>
  </w:style>
  <w:style w:type="paragraph" w:styleId="Bibliography">
    <w:name w:val="Bibliography"/>
    <w:basedOn w:val="Normal"/>
    <w:next w:val="Normal"/>
    <w:uiPriority w:val="37"/>
    <w:unhideWhenUsed/>
    <w:rsid w:val="003C2B3B"/>
    <w:pPr>
      <w:spacing w:after="240"/>
      <w:ind w:left="720" w:hanging="720"/>
    </w:pPr>
  </w:style>
  <w:style w:type="paragraph" w:customStyle="1" w:styleId="BoxSpaceAboveElement">
    <w:name w:val="Box Space Above Element"/>
    <w:basedOn w:val="BoxSpaceAbove"/>
    <w:link w:val="BoxSpaceAboveElementChar"/>
    <w:qFormat/>
    <w:rsid w:val="001F7282"/>
    <w:pPr>
      <w:spacing w:before="240"/>
    </w:pPr>
    <w:rPr>
      <w:b/>
      <w:vanish/>
      <w:color w:val="FF00FF"/>
      <w:sz w:val="14"/>
    </w:rPr>
  </w:style>
  <w:style w:type="character" w:customStyle="1" w:styleId="BoxSpaceAboveElementChar">
    <w:name w:val="Box Space Above Element Char"/>
    <w:basedOn w:val="DefaultParagraphFont"/>
    <w:link w:val="BoxSpaceAboveElement"/>
    <w:rsid w:val="001F7282"/>
    <w:rPr>
      <w:b/>
      <w:vanish/>
      <w:color w:val="FF00FF"/>
      <w:sz w:val="14"/>
    </w:rPr>
  </w:style>
  <w:style w:type="paragraph" w:customStyle="1" w:styleId="Default">
    <w:name w:val="Default"/>
    <w:rsid w:val="00A23F64"/>
    <w:pPr>
      <w:autoSpaceDE w:val="0"/>
      <w:autoSpaceDN w:val="0"/>
      <w:adjustRightInd w:val="0"/>
    </w:pPr>
    <w:rPr>
      <w:color w:val="000000"/>
      <w:sz w:val="24"/>
      <w:szCs w:val="24"/>
    </w:rPr>
  </w:style>
  <w:style w:type="character" w:styleId="Hyperlink">
    <w:name w:val="Hyperlink"/>
    <w:basedOn w:val="DefaultParagraphFont"/>
    <w:rsid w:val="00DF1A3E"/>
    <w:rPr>
      <w:color w:val="78A22F" w:themeColor="hyperlink"/>
      <w:u w:val="single"/>
    </w:rPr>
  </w:style>
  <w:style w:type="character" w:styleId="EndnoteReference">
    <w:name w:val="endnote reference"/>
    <w:basedOn w:val="DefaultParagraphFont"/>
    <w:rsid w:val="00876EA3"/>
    <w:rPr>
      <w:vertAlign w:val="superscript"/>
    </w:rPr>
  </w:style>
  <w:style w:type="character" w:styleId="FollowedHyperlink">
    <w:name w:val="FollowedHyperlink"/>
    <w:basedOn w:val="DefaultParagraphFont"/>
    <w:rsid w:val="005A1751"/>
    <w:rPr>
      <w:color w:val="387DD2" w:themeColor="followedHyperlink"/>
      <w:u w:val="single"/>
    </w:rPr>
  </w:style>
  <w:style w:type="paragraph" w:customStyle="1" w:styleId="Heading1NotTOC">
    <w:name w:val="Heading 1 Not TOC"/>
    <w:basedOn w:val="Heading1"/>
    <w:next w:val="BodyText"/>
    <w:rsid w:val="00B16670"/>
    <w:rPr>
      <w:kern w:val="28"/>
      <w:szCs w:val="26"/>
      <w:lang w:eastAsia="en-US"/>
    </w:rPr>
  </w:style>
  <w:style w:type="paragraph" w:customStyle="1" w:styleId="Copyrightheading">
    <w:name w:val="Copyright heading"/>
    <w:basedOn w:val="TOC1"/>
    <w:link w:val="CopyrightheadingChar"/>
    <w:qFormat/>
    <w:rsid w:val="000D15C2"/>
    <w:pPr>
      <w:spacing w:line="300" w:lineRule="exact"/>
    </w:pPr>
    <w:rPr>
      <w:sz w:val="22"/>
    </w:rPr>
  </w:style>
  <w:style w:type="character" w:customStyle="1" w:styleId="CopyrightheadingChar">
    <w:name w:val="Copyright heading Char"/>
    <w:basedOn w:val="DefaultParagraphFont"/>
    <w:link w:val="Copyrightheading"/>
    <w:rsid w:val="000D15C2"/>
    <w:rPr>
      <w:rFonts w:ascii="Arial" w:hAnsi="Arial"/>
      <w:b/>
      <w:sz w:val="22"/>
      <w:szCs w:val="26"/>
      <w:lang w:eastAsia="en-US"/>
    </w:rPr>
  </w:style>
  <w:style w:type="paragraph" w:customStyle="1" w:styleId="Copyrightsubtitle">
    <w:name w:val="Copyright subtitle"/>
    <w:basedOn w:val="BodyText"/>
    <w:rsid w:val="000D15C2"/>
    <w:rPr>
      <w:rFonts w:ascii="Arial" w:hAnsi="Arial"/>
      <w:b/>
      <w:sz w:val="22"/>
      <w:szCs w:val="25"/>
    </w:rPr>
  </w:style>
  <w:style w:type="paragraph" w:customStyle="1" w:styleId="Copyrightbodytext">
    <w:name w:val="Copyright bodytext"/>
    <w:basedOn w:val="BodyText"/>
    <w:link w:val="CopyrightbodytextChar"/>
    <w:qFormat/>
    <w:rsid w:val="000D15C2"/>
    <w:pPr>
      <w:spacing w:before="60"/>
    </w:pPr>
  </w:style>
  <w:style w:type="character" w:customStyle="1" w:styleId="CopyrightbodytextChar">
    <w:name w:val="Copyright bodytext Char"/>
    <w:basedOn w:val="BodyTextChar"/>
    <w:link w:val="Copyrightbodytext"/>
    <w:rsid w:val="000D15C2"/>
    <w:rPr>
      <w:sz w:val="24"/>
    </w:rPr>
  </w:style>
  <w:style w:type="character" w:customStyle="1" w:styleId="Continuedintitle">
    <w:name w:val="Continued (in title)"/>
    <w:basedOn w:val="DefaultParagraphFont"/>
    <w:rsid w:val="00A03428"/>
    <w:rPr>
      <w:rFonts w:ascii="Arial" w:hAnsi="Arial"/>
      <w:b/>
      <w:sz w:val="18"/>
    </w:rPr>
  </w:style>
  <w:style w:type="paragraph" w:styleId="BlockText">
    <w:name w:val="Block Text"/>
    <w:basedOn w:val="Normal"/>
    <w:semiHidden/>
    <w:unhideWhenUsed/>
    <w:rsid w:val="003E431F"/>
    <w:pPr>
      <w:pBdr>
        <w:top w:val="single" w:sz="2" w:space="10" w:color="78A22F" w:themeColor="accent1" w:shadow="1" w:frame="1"/>
        <w:left w:val="single" w:sz="2" w:space="10" w:color="78A22F" w:themeColor="accent1" w:shadow="1" w:frame="1"/>
        <w:bottom w:val="single" w:sz="2" w:space="10" w:color="78A22F" w:themeColor="accent1" w:shadow="1" w:frame="1"/>
        <w:right w:val="single" w:sz="2" w:space="10" w:color="78A22F" w:themeColor="accent1" w:shadow="1" w:frame="1"/>
      </w:pBdr>
      <w:ind w:left="1152" w:right="1152"/>
    </w:pPr>
    <w:rPr>
      <w:rFonts w:asciiTheme="minorHAnsi" w:eastAsiaTheme="minorEastAsia" w:hAnsiTheme="minorHAnsi" w:cstheme="minorBidi"/>
      <w:i/>
      <w:iCs/>
      <w:color w:val="78A22F" w:themeColor="accent1"/>
    </w:rPr>
  </w:style>
  <w:style w:type="paragraph" w:styleId="BodyText2">
    <w:name w:val="Body Text 2"/>
    <w:basedOn w:val="Normal"/>
    <w:link w:val="BodyText2Char"/>
    <w:semiHidden/>
    <w:unhideWhenUsed/>
    <w:rsid w:val="003E431F"/>
    <w:pPr>
      <w:spacing w:after="120" w:line="480" w:lineRule="auto"/>
    </w:pPr>
  </w:style>
  <w:style w:type="character" w:customStyle="1" w:styleId="BodyText2Char">
    <w:name w:val="Body Text 2 Char"/>
    <w:basedOn w:val="DefaultParagraphFont"/>
    <w:link w:val="BodyText2"/>
    <w:semiHidden/>
    <w:rsid w:val="003E431F"/>
    <w:rPr>
      <w:sz w:val="24"/>
      <w:szCs w:val="24"/>
    </w:rPr>
  </w:style>
  <w:style w:type="paragraph" w:styleId="BodyText3">
    <w:name w:val="Body Text 3"/>
    <w:basedOn w:val="Normal"/>
    <w:link w:val="BodyText3Char"/>
    <w:semiHidden/>
    <w:unhideWhenUsed/>
    <w:rsid w:val="003E431F"/>
    <w:pPr>
      <w:spacing w:after="120"/>
    </w:pPr>
    <w:rPr>
      <w:sz w:val="16"/>
      <w:szCs w:val="16"/>
    </w:rPr>
  </w:style>
  <w:style w:type="character" w:customStyle="1" w:styleId="BodyText3Char">
    <w:name w:val="Body Text 3 Char"/>
    <w:basedOn w:val="DefaultParagraphFont"/>
    <w:link w:val="BodyText3"/>
    <w:semiHidden/>
    <w:rsid w:val="003E431F"/>
    <w:rPr>
      <w:sz w:val="16"/>
      <w:szCs w:val="16"/>
    </w:rPr>
  </w:style>
  <w:style w:type="paragraph" w:styleId="BodyTextFirstIndent">
    <w:name w:val="Body Text First Indent"/>
    <w:basedOn w:val="BodyText"/>
    <w:link w:val="BodyTextFirstIndentChar"/>
    <w:rsid w:val="003E431F"/>
    <w:pPr>
      <w:spacing w:before="0" w:line="240" w:lineRule="auto"/>
      <w:ind w:firstLine="360"/>
      <w:jc w:val="left"/>
    </w:pPr>
    <w:rPr>
      <w:szCs w:val="24"/>
    </w:rPr>
  </w:style>
  <w:style w:type="character" w:customStyle="1" w:styleId="BodyTextFirstIndentChar">
    <w:name w:val="Body Text First Indent Char"/>
    <w:basedOn w:val="BodyTextChar"/>
    <w:link w:val="BodyTextFirstIndent"/>
    <w:rsid w:val="003E431F"/>
    <w:rPr>
      <w:sz w:val="24"/>
      <w:szCs w:val="24"/>
    </w:rPr>
  </w:style>
  <w:style w:type="paragraph" w:styleId="BodyTextIndent">
    <w:name w:val="Body Text Indent"/>
    <w:basedOn w:val="Normal"/>
    <w:link w:val="BodyTextIndentChar"/>
    <w:semiHidden/>
    <w:unhideWhenUsed/>
    <w:rsid w:val="003E431F"/>
    <w:pPr>
      <w:spacing w:after="120"/>
      <w:ind w:left="283"/>
    </w:pPr>
  </w:style>
  <w:style w:type="character" w:customStyle="1" w:styleId="BodyTextIndentChar">
    <w:name w:val="Body Text Indent Char"/>
    <w:basedOn w:val="DefaultParagraphFont"/>
    <w:link w:val="BodyTextIndent"/>
    <w:semiHidden/>
    <w:rsid w:val="003E431F"/>
    <w:rPr>
      <w:sz w:val="24"/>
      <w:szCs w:val="24"/>
    </w:rPr>
  </w:style>
  <w:style w:type="paragraph" w:styleId="BodyTextFirstIndent2">
    <w:name w:val="Body Text First Indent 2"/>
    <w:basedOn w:val="BodyTextIndent"/>
    <w:link w:val="BodyTextFirstIndent2Char"/>
    <w:semiHidden/>
    <w:unhideWhenUsed/>
    <w:rsid w:val="003E431F"/>
    <w:pPr>
      <w:spacing w:after="0"/>
      <w:ind w:left="360" w:firstLine="360"/>
    </w:pPr>
  </w:style>
  <w:style w:type="character" w:customStyle="1" w:styleId="BodyTextFirstIndent2Char">
    <w:name w:val="Body Text First Indent 2 Char"/>
    <w:basedOn w:val="BodyTextIndentChar"/>
    <w:link w:val="BodyTextFirstIndent2"/>
    <w:semiHidden/>
    <w:rsid w:val="003E431F"/>
    <w:rPr>
      <w:sz w:val="24"/>
      <w:szCs w:val="24"/>
    </w:rPr>
  </w:style>
  <w:style w:type="paragraph" w:styleId="BodyTextIndent2">
    <w:name w:val="Body Text Indent 2"/>
    <w:basedOn w:val="Normal"/>
    <w:link w:val="BodyTextIndent2Char"/>
    <w:semiHidden/>
    <w:unhideWhenUsed/>
    <w:rsid w:val="003E431F"/>
    <w:pPr>
      <w:spacing w:after="120" w:line="480" w:lineRule="auto"/>
      <w:ind w:left="283"/>
    </w:pPr>
  </w:style>
  <w:style w:type="character" w:customStyle="1" w:styleId="BodyTextIndent2Char">
    <w:name w:val="Body Text Indent 2 Char"/>
    <w:basedOn w:val="DefaultParagraphFont"/>
    <w:link w:val="BodyTextIndent2"/>
    <w:semiHidden/>
    <w:rsid w:val="003E431F"/>
    <w:rPr>
      <w:sz w:val="24"/>
      <w:szCs w:val="24"/>
    </w:rPr>
  </w:style>
  <w:style w:type="paragraph" w:styleId="BodyTextIndent3">
    <w:name w:val="Body Text Indent 3"/>
    <w:basedOn w:val="Normal"/>
    <w:link w:val="BodyTextIndent3Char"/>
    <w:semiHidden/>
    <w:unhideWhenUsed/>
    <w:rsid w:val="003E431F"/>
    <w:pPr>
      <w:spacing w:after="120"/>
      <w:ind w:left="283"/>
    </w:pPr>
    <w:rPr>
      <w:sz w:val="16"/>
      <w:szCs w:val="16"/>
    </w:rPr>
  </w:style>
  <w:style w:type="character" w:customStyle="1" w:styleId="BodyTextIndent3Char">
    <w:name w:val="Body Text Indent 3 Char"/>
    <w:basedOn w:val="DefaultParagraphFont"/>
    <w:link w:val="BodyTextIndent3"/>
    <w:semiHidden/>
    <w:rsid w:val="003E431F"/>
    <w:rPr>
      <w:sz w:val="16"/>
      <w:szCs w:val="16"/>
    </w:rPr>
  </w:style>
  <w:style w:type="paragraph" w:styleId="Closing">
    <w:name w:val="Closing"/>
    <w:basedOn w:val="Normal"/>
    <w:link w:val="ClosingChar"/>
    <w:semiHidden/>
    <w:unhideWhenUsed/>
    <w:rsid w:val="003E431F"/>
    <w:pPr>
      <w:ind w:left="4252"/>
    </w:pPr>
  </w:style>
  <w:style w:type="character" w:customStyle="1" w:styleId="ClosingChar">
    <w:name w:val="Closing Char"/>
    <w:basedOn w:val="DefaultParagraphFont"/>
    <w:link w:val="Closing"/>
    <w:semiHidden/>
    <w:rsid w:val="003E431F"/>
    <w:rPr>
      <w:sz w:val="24"/>
      <w:szCs w:val="24"/>
    </w:rPr>
  </w:style>
  <w:style w:type="paragraph" w:styleId="Date">
    <w:name w:val="Date"/>
    <w:basedOn w:val="Normal"/>
    <w:next w:val="Normal"/>
    <w:link w:val="DateChar"/>
    <w:rsid w:val="003E431F"/>
  </w:style>
  <w:style w:type="character" w:customStyle="1" w:styleId="DateChar">
    <w:name w:val="Date Char"/>
    <w:basedOn w:val="DefaultParagraphFont"/>
    <w:link w:val="Date"/>
    <w:rsid w:val="003E431F"/>
    <w:rPr>
      <w:sz w:val="24"/>
      <w:szCs w:val="24"/>
    </w:rPr>
  </w:style>
  <w:style w:type="paragraph" w:styleId="DocumentMap">
    <w:name w:val="Document Map"/>
    <w:basedOn w:val="Normal"/>
    <w:link w:val="DocumentMapChar"/>
    <w:semiHidden/>
    <w:unhideWhenUsed/>
    <w:rsid w:val="003E431F"/>
    <w:rPr>
      <w:rFonts w:ascii="Segoe UI" w:hAnsi="Segoe UI" w:cs="Segoe UI"/>
      <w:sz w:val="16"/>
      <w:szCs w:val="16"/>
    </w:rPr>
  </w:style>
  <w:style w:type="character" w:customStyle="1" w:styleId="DocumentMapChar">
    <w:name w:val="Document Map Char"/>
    <w:basedOn w:val="DefaultParagraphFont"/>
    <w:link w:val="DocumentMap"/>
    <w:semiHidden/>
    <w:rsid w:val="003E431F"/>
    <w:rPr>
      <w:rFonts w:ascii="Segoe UI" w:hAnsi="Segoe UI" w:cs="Segoe UI"/>
      <w:sz w:val="16"/>
      <w:szCs w:val="16"/>
    </w:rPr>
  </w:style>
  <w:style w:type="paragraph" w:styleId="E-mailSignature">
    <w:name w:val="E-mail Signature"/>
    <w:basedOn w:val="Normal"/>
    <w:link w:val="E-mailSignatureChar"/>
    <w:semiHidden/>
    <w:unhideWhenUsed/>
    <w:rsid w:val="003E431F"/>
  </w:style>
  <w:style w:type="character" w:customStyle="1" w:styleId="E-mailSignatureChar">
    <w:name w:val="E-mail Signature Char"/>
    <w:basedOn w:val="DefaultParagraphFont"/>
    <w:link w:val="E-mailSignature"/>
    <w:semiHidden/>
    <w:rsid w:val="003E431F"/>
    <w:rPr>
      <w:sz w:val="24"/>
      <w:szCs w:val="24"/>
    </w:rPr>
  </w:style>
  <w:style w:type="paragraph" w:styleId="EndnoteText">
    <w:name w:val="endnote text"/>
    <w:basedOn w:val="Normal"/>
    <w:link w:val="EndnoteTextChar"/>
    <w:semiHidden/>
    <w:unhideWhenUsed/>
    <w:rsid w:val="003E431F"/>
    <w:rPr>
      <w:sz w:val="20"/>
      <w:szCs w:val="20"/>
    </w:rPr>
  </w:style>
  <w:style w:type="character" w:customStyle="1" w:styleId="EndnoteTextChar">
    <w:name w:val="Endnote Text Char"/>
    <w:basedOn w:val="DefaultParagraphFont"/>
    <w:link w:val="EndnoteText"/>
    <w:semiHidden/>
    <w:rsid w:val="003E431F"/>
  </w:style>
  <w:style w:type="paragraph" w:styleId="EnvelopeAddress">
    <w:name w:val="envelope address"/>
    <w:basedOn w:val="Normal"/>
    <w:semiHidden/>
    <w:unhideWhenUsed/>
    <w:rsid w:val="003E431F"/>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rsid w:val="003E431F"/>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rsid w:val="003E431F"/>
    <w:rPr>
      <w:i/>
      <w:iCs/>
    </w:rPr>
  </w:style>
  <w:style w:type="character" w:customStyle="1" w:styleId="HTMLAddressChar">
    <w:name w:val="HTML Address Char"/>
    <w:basedOn w:val="DefaultParagraphFont"/>
    <w:link w:val="HTMLAddress"/>
    <w:semiHidden/>
    <w:rsid w:val="003E431F"/>
    <w:rPr>
      <w:i/>
      <w:iCs/>
      <w:sz w:val="24"/>
      <w:szCs w:val="24"/>
    </w:rPr>
  </w:style>
  <w:style w:type="paragraph" w:styleId="HTMLPreformatted">
    <w:name w:val="HTML Preformatted"/>
    <w:basedOn w:val="Normal"/>
    <w:link w:val="HTMLPreformattedChar"/>
    <w:semiHidden/>
    <w:unhideWhenUsed/>
    <w:rsid w:val="003E431F"/>
    <w:rPr>
      <w:rFonts w:ascii="Consolas" w:hAnsi="Consolas"/>
      <w:sz w:val="20"/>
      <w:szCs w:val="20"/>
    </w:rPr>
  </w:style>
  <w:style w:type="character" w:customStyle="1" w:styleId="HTMLPreformattedChar">
    <w:name w:val="HTML Preformatted Char"/>
    <w:basedOn w:val="DefaultParagraphFont"/>
    <w:link w:val="HTMLPreformatted"/>
    <w:semiHidden/>
    <w:rsid w:val="003E431F"/>
    <w:rPr>
      <w:rFonts w:ascii="Consolas" w:hAnsi="Consolas"/>
    </w:rPr>
  </w:style>
  <w:style w:type="paragraph" w:styleId="Index1">
    <w:name w:val="index 1"/>
    <w:basedOn w:val="Normal"/>
    <w:next w:val="Normal"/>
    <w:autoRedefine/>
    <w:semiHidden/>
    <w:unhideWhenUsed/>
    <w:rsid w:val="003E431F"/>
    <w:pPr>
      <w:ind w:left="240" w:hanging="240"/>
    </w:pPr>
  </w:style>
  <w:style w:type="paragraph" w:styleId="Index2">
    <w:name w:val="index 2"/>
    <w:basedOn w:val="Normal"/>
    <w:next w:val="Normal"/>
    <w:autoRedefine/>
    <w:semiHidden/>
    <w:unhideWhenUsed/>
    <w:rsid w:val="003E431F"/>
    <w:pPr>
      <w:ind w:left="480" w:hanging="240"/>
    </w:pPr>
  </w:style>
  <w:style w:type="paragraph" w:styleId="Index3">
    <w:name w:val="index 3"/>
    <w:basedOn w:val="Normal"/>
    <w:next w:val="Normal"/>
    <w:autoRedefine/>
    <w:semiHidden/>
    <w:unhideWhenUsed/>
    <w:rsid w:val="003E431F"/>
    <w:pPr>
      <w:ind w:left="720" w:hanging="240"/>
    </w:pPr>
  </w:style>
  <w:style w:type="paragraph" w:styleId="Index4">
    <w:name w:val="index 4"/>
    <w:basedOn w:val="Normal"/>
    <w:next w:val="Normal"/>
    <w:autoRedefine/>
    <w:semiHidden/>
    <w:unhideWhenUsed/>
    <w:rsid w:val="003E431F"/>
    <w:pPr>
      <w:ind w:left="960" w:hanging="240"/>
    </w:pPr>
  </w:style>
  <w:style w:type="paragraph" w:styleId="Index5">
    <w:name w:val="index 5"/>
    <w:basedOn w:val="Normal"/>
    <w:next w:val="Normal"/>
    <w:autoRedefine/>
    <w:semiHidden/>
    <w:unhideWhenUsed/>
    <w:rsid w:val="003E431F"/>
    <w:pPr>
      <w:ind w:left="1200" w:hanging="240"/>
    </w:pPr>
  </w:style>
  <w:style w:type="paragraph" w:styleId="Index6">
    <w:name w:val="index 6"/>
    <w:basedOn w:val="Normal"/>
    <w:next w:val="Normal"/>
    <w:autoRedefine/>
    <w:semiHidden/>
    <w:unhideWhenUsed/>
    <w:rsid w:val="003E431F"/>
    <w:pPr>
      <w:ind w:left="1440" w:hanging="240"/>
    </w:pPr>
  </w:style>
  <w:style w:type="paragraph" w:styleId="Index7">
    <w:name w:val="index 7"/>
    <w:basedOn w:val="Normal"/>
    <w:next w:val="Normal"/>
    <w:autoRedefine/>
    <w:semiHidden/>
    <w:unhideWhenUsed/>
    <w:rsid w:val="003E431F"/>
    <w:pPr>
      <w:ind w:left="1680" w:hanging="240"/>
    </w:pPr>
  </w:style>
  <w:style w:type="paragraph" w:styleId="Index8">
    <w:name w:val="index 8"/>
    <w:basedOn w:val="Normal"/>
    <w:next w:val="Normal"/>
    <w:autoRedefine/>
    <w:semiHidden/>
    <w:unhideWhenUsed/>
    <w:rsid w:val="003E431F"/>
    <w:pPr>
      <w:ind w:left="1920" w:hanging="240"/>
    </w:pPr>
  </w:style>
  <w:style w:type="paragraph" w:styleId="Index9">
    <w:name w:val="index 9"/>
    <w:basedOn w:val="Normal"/>
    <w:next w:val="Normal"/>
    <w:autoRedefine/>
    <w:semiHidden/>
    <w:unhideWhenUsed/>
    <w:rsid w:val="003E431F"/>
    <w:pPr>
      <w:ind w:left="2160" w:hanging="240"/>
    </w:pPr>
  </w:style>
  <w:style w:type="paragraph" w:styleId="IndexHeading">
    <w:name w:val="index heading"/>
    <w:basedOn w:val="Normal"/>
    <w:next w:val="Index1"/>
    <w:semiHidden/>
    <w:unhideWhenUsed/>
    <w:rsid w:val="003E431F"/>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3E431F"/>
    <w:pPr>
      <w:pBdr>
        <w:top w:val="single" w:sz="4" w:space="10" w:color="78A22F" w:themeColor="accent1"/>
        <w:bottom w:val="single" w:sz="4" w:space="10" w:color="78A22F" w:themeColor="accent1"/>
      </w:pBdr>
      <w:spacing w:before="360" w:after="360"/>
      <w:ind w:left="864" w:right="864"/>
      <w:jc w:val="center"/>
    </w:pPr>
    <w:rPr>
      <w:i/>
      <w:iCs/>
      <w:color w:val="78A22F" w:themeColor="accent1"/>
    </w:rPr>
  </w:style>
  <w:style w:type="character" w:customStyle="1" w:styleId="IntenseQuoteChar">
    <w:name w:val="Intense Quote Char"/>
    <w:basedOn w:val="DefaultParagraphFont"/>
    <w:link w:val="IntenseQuote"/>
    <w:uiPriority w:val="30"/>
    <w:rsid w:val="003E431F"/>
    <w:rPr>
      <w:i/>
      <w:iCs/>
      <w:color w:val="78A22F" w:themeColor="accent1"/>
      <w:sz w:val="24"/>
      <w:szCs w:val="24"/>
    </w:rPr>
  </w:style>
  <w:style w:type="paragraph" w:styleId="List">
    <w:name w:val="List"/>
    <w:basedOn w:val="Normal"/>
    <w:semiHidden/>
    <w:unhideWhenUsed/>
    <w:rsid w:val="003E431F"/>
    <w:pPr>
      <w:ind w:left="283" w:hanging="283"/>
      <w:contextualSpacing/>
    </w:pPr>
  </w:style>
  <w:style w:type="paragraph" w:styleId="List2">
    <w:name w:val="List 2"/>
    <w:basedOn w:val="Normal"/>
    <w:semiHidden/>
    <w:unhideWhenUsed/>
    <w:rsid w:val="003E431F"/>
    <w:pPr>
      <w:ind w:left="566" w:hanging="283"/>
      <w:contextualSpacing/>
    </w:pPr>
  </w:style>
  <w:style w:type="paragraph" w:styleId="List3">
    <w:name w:val="List 3"/>
    <w:basedOn w:val="Normal"/>
    <w:semiHidden/>
    <w:unhideWhenUsed/>
    <w:rsid w:val="003E431F"/>
    <w:pPr>
      <w:ind w:left="849" w:hanging="283"/>
      <w:contextualSpacing/>
    </w:pPr>
  </w:style>
  <w:style w:type="paragraph" w:styleId="List4">
    <w:name w:val="List 4"/>
    <w:basedOn w:val="Normal"/>
    <w:rsid w:val="003E431F"/>
    <w:pPr>
      <w:ind w:left="1132" w:hanging="283"/>
      <w:contextualSpacing/>
    </w:pPr>
  </w:style>
  <w:style w:type="paragraph" w:styleId="List5">
    <w:name w:val="List 5"/>
    <w:basedOn w:val="Normal"/>
    <w:rsid w:val="003E431F"/>
    <w:pPr>
      <w:ind w:left="1415" w:hanging="283"/>
      <w:contextualSpacing/>
    </w:pPr>
  </w:style>
  <w:style w:type="paragraph" w:styleId="ListBullet4">
    <w:name w:val="List Bullet 4"/>
    <w:basedOn w:val="Normal"/>
    <w:semiHidden/>
    <w:unhideWhenUsed/>
    <w:rsid w:val="003E431F"/>
    <w:pPr>
      <w:numPr>
        <w:numId w:val="29"/>
      </w:numPr>
      <w:contextualSpacing/>
    </w:pPr>
  </w:style>
  <w:style w:type="paragraph" w:styleId="ListBullet5">
    <w:name w:val="List Bullet 5"/>
    <w:basedOn w:val="Normal"/>
    <w:semiHidden/>
    <w:unhideWhenUsed/>
    <w:rsid w:val="003E431F"/>
    <w:pPr>
      <w:numPr>
        <w:numId w:val="30"/>
      </w:numPr>
      <w:contextualSpacing/>
    </w:pPr>
  </w:style>
  <w:style w:type="paragraph" w:styleId="ListContinue">
    <w:name w:val="List Continue"/>
    <w:basedOn w:val="Normal"/>
    <w:semiHidden/>
    <w:unhideWhenUsed/>
    <w:rsid w:val="003E431F"/>
    <w:pPr>
      <w:spacing w:after="120"/>
      <w:ind w:left="283"/>
      <w:contextualSpacing/>
    </w:pPr>
  </w:style>
  <w:style w:type="paragraph" w:styleId="ListContinue2">
    <w:name w:val="List Continue 2"/>
    <w:basedOn w:val="Normal"/>
    <w:semiHidden/>
    <w:unhideWhenUsed/>
    <w:rsid w:val="003E431F"/>
    <w:pPr>
      <w:spacing w:after="120"/>
      <w:ind w:left="566"/>
      <w:contextualSpacing/>
    </w:pPr>
  </w:style>
  <w:style w:type="paragraph" w:styleId="ListContinue3">
    <w:name w:val="List Continue 3"/>
    <w:basedOn w:val="Normal"/>
    <w:semiHidden/>
    <w:unhideWhenUsed/>
    <w:rsid w:val="003E431F"/>
    <w:pPr>
      <w:spacing w:after="120"/>
      <w:ind w:left="849"/>
      <w:contextualSpacing/>
    </w:pPr>
  </w:style>
  <w:style w:type="paragraph" w:styleId="ListContinue4">
    <w:name w:val="List Continue 4"/>
    <w:basedOn w:val="Normal"/>
    <w:semiHidden/>
    <w:unhideWhenUsed/>
    <w:rsid w:val="003E431F"/>
    <w:pPr>
      <w:spacing w:after="120"/>
      <w:ind w:left="1132"/>
      <w:contextualSpacing/>
    </w:pPr>
  </w:style>
  <w:style w:type="paragraph" w:styleId="ListContinue5">
    <w:name w:val="List Continue 5"/>
    <w:basedOn w:val="Normal"/>
    <w:semiHidden/>
    <w:unhideWhenUsed/>
    <w:rsid w:val="003E431F"/>
    <w:pPr>
      <w:spacing w:after="120"/>
      <w:ind w:left="1415"/>
      <w:contextualSpacing/>
    </w:pPr>
  </w:style>
  <w:style w:type="paragraph" w:styleId="ListNumber4">
    <w:name w:val="List Number 4"/>
    <w:basedOn w:val="Normal"/>
    <w:semiHidden/>
    <w:unhideWhenUsed/>
    <w:rsid w:val="003E431F"/>
    <w:pPr>
      <w:numPr>
        <w:numId w:val="31"/>
      </w:numPr>
      <w:contextualSpacing/>
    </w:pPr>
  </w:style>
  <w:style w:type="paragraph" w:styleId="ListNumber5">
    <w:name w:val="List Number 5"/>
    <w:basedOn w:val="Normal"/>
    <w:semiHidden/>
    <w:unhideWhenUsed/>
    <w:rsid w:val="003E431F"/>
    <w:pPr>
      <w:numPr>
        <w:numId w:val="32"/>
      </w:numPr>
      <w:contextualSpacing/>
    </w:pPr>
  </w:style>
  <w:style w:type="paragraph" w:styleId="ListParagraph">
    <w:name w:val="List Paragraph"/>
    <w:basedOn w:val="Normal"/>
    <w:uiPriority w:val="34"/>
    <w:rsid w:val="003E431F"/>
    <w:pPr>
      <w:ind w:left="720"/>
      <w:contextualSpacing/>
    </w:pPr>
  </w:style>
  <w:style w:type="paragraph" w:styleId="MacroText">
    <w:name w:val="macro"/>
    <w:link w:val="MacroTextChar"/>
    <w:semiHidden/>
    <w:unhideWhenUsed/>
    <w:rsid w:val="003E431F"/>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3E431F"/>
    <w:rPr>
      <w:rFonts w:ascii="Consolas" w:hAnsi="Consolas"/>
    </w:rPr>
  </w:style>
  <w:style w:type="paragraph" w:styleId="MessageHeader">
    <w:name w:val="Message Header"/>
    <w:basedOn w:val="Normal"/>
    <w:link w:val="MessageHeaderChar"/>
    <w:semiHidden/>
    <w:unhideWhenUsed/>
    <w:rsid w:val="003E431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3E431F"/>
    <w:rPr>
      <w:rFonts w:asciiTheme="majorHAnsi" w:eastAsiaTheme="majorEastAsia" w:hAnsiTheme="majorHAnsi" w:cstheme="majorBidi"/>
      <w:sz w:val="24"/>
      <w:szCs w:val="24"/>
      <w:shd w:val="pct20" w:color="auto" w:fill="auto"/>
    </w:rPr>
  </w:style>
  <w:style w:type="paragraph" w:styleId="NoSpacing">
    <w:name w:val="No Spacing"/>
    <w:uiPriority w:val="1"/>
    <w:rsid w:val="003E431F"/>
    <w:rPr>
      <w:sz w:val="24"/>
      <w:szCs w:val="24"/>
    </w:rPr>
  </w:style>
  <w:style w:type="paragraph" w:styleId="NormalWeb">
    <w:name w:val="Normal (Web)"/>
    <w:basedOn w:val="Normal"/>
    <w:semiHidden/>
    <w:unhideWhenUsed/>
    <w:rsid w:val="003E431F"/>
  </w:style>
  <w:style w:type="paragraph" w:styleId="NormalIndent">
    <w:name w:val="Normal Indent"/>
    <w:basedOn w:val="Normal"/>
    <w:semiHidden/>
    <w:unhideWhenUsed/>
    <w:rsid w:val="003E431F"/>
    <w:pPr>
      <w:ind w:left="720"/>
    </w:pPr>
  </w:style>
  <w:style w:type="paragraph" w:styleId="NoteHeading">
    <w:name w:val="Note Heading"/>
    <w:basedOn w:val="Normal"/>
    <w:next w:val="Normal"/>
    <w:link w:val="NoteHeadingChar"/>
    <w:semiHidden/>
    <w:unhideWhenUsed/>
    <w:rsid w:val="003E431F"/>
  </w:style>
  <w:style w:type="character" w:customStyle="1" w:styleId="NoteHeadingChar">
    <w:name w:val="Note Heading Char"/>
    <w:basedOn w:val="DefaultParagraphFont"/>
    <w:link w:val="NoteHeading"/>
    <w:semiHidden/>
    <w:rsid w:val="003E431F"/>
    <w:rPr>
      <w:sz w:val="24"/>
      <w:szCs w:val="24"/>
    </w:rPr>
  </w:style>
  <w:style w:type="paragraph" w:styleId="PlainText">
    <w:name w:val="Plain Text"/>
    <w:basedOn w:val="Normal"/>
    <w:link w:val="PlainTextChar"/>
    <w:semiHidden/>
    <w:unhideWhenUsed/>
    <w:rsid w:val="003E431F"/>
    <w:rPr>
      <w:rFonts w:ascii="Consolas" w:hAnsi="Consolas"/>
      <w:sz w:val="21"/>
      <w:szCs w:val="21"/>
    </w:rPr>
  </w:style>
  <w:style w:type="character" w:customStyle="1" w:styleId="PlainTextChar">
    <w:name w:val="Plain Text Char"/>
    <w:basedOn w:val="DefaultParagraphFont"/>
    <w:link w:val="PlainText"/>
    <w:semiHidden/>
    <w:rsid w:val="003E431F"/>
    <w:rPr>
      <w:rFonts w:ascii="Consolas" w:hAnsi="Consolas"/>
      <w:sz w:val="21"/>
      <w:szCs w:val="21"/>
    </w:rPr>
  </w:style>
  <w:style w:type="paragraph" w:styleId="Salutation">
    <w:name w:val="Salutation"/>
    <w:basedOn w:val="Normal"/>
    <w:next w:val="Normal"/>
    <w:link w:val="SalutationChar"/>
    <w:rsid w:val="003E431F"/>
  </w:style>
  <w:style w:type="character" w:customStyle="1" w:styleId="SalutationChar">
    <w:name w:val="Salutation Char"/>
    <w:basedOn w:val="DefaultParagraphFont"/>
    <w:link w:val="Salutation"/>
    <w:rsid w:val="003E431F"/>
    <w:rPr>
      <w:sz w:val="24"/>
      <w:szCs w:val="24"/>
    </w:rPr>
  </w:style>
  <w:style w:type="paragraph" w:styleId="Signature">
    <w:name w:val="Signature"/>
    <w:basedOn w:val="Normal"/>
    <w:link w:val="SignatureChar"/>
    <w:semiHidden/>
    <w:unhideWhenUsed/>
    <w:rsid w:val="003E431F"/>
    <w:pPr>
      <w:ind w:left="4252"/>
    </w:pPr>
  </w:style>
  <w:style w:type="character" w:customStyle="1" w:styleId="SignatureChar">
    <w:name w:val="Signature Char"/>
    <w:basedOn w:val="DefaultParagraphFont"/>
    <w:link w:val="Signature"/>
    <w:semiHidden/>
    <w:rsid w:val="003E431F"/>
    <w:rPr>
      <w:sz w:val="24"/>
      <w:szCs w:val="24"/>
    </w:rPr>
  </w:style>
  <w:style w:type="paragraph" w:styleId="TableofAuthorities">
    <w:name w:val="table of authorities"/>
    <w:basedOn w:val="Normal"/>
    <w:next w:val="Normal"/>
    <w:semiHidden/>
    <w:unhideWhenUsed/>
    <w:rsid w:val="003E431F"/>
    <w:pPr>
      <w:ind w:left="240" w:hanging="240"/>
    </w:pPr>
  </w:style>
  <w:style w:type="paragraph" w:styleId="Title">
    <w:name w:val="Title"/>
    <w:basedOn w:val="Normal"/>
    <w:next w:val="Normal"/>
    <w:link w:val="TitleChar"/>
    <w:rsid w:val="003E431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E431F"/>
    <w:rPr>
      <w:rFonts w:asciiTheme="majorHAnsi" w:eastAsiaTheme="majorEastAsia" w:hAnsiTheme="majorHAnsi" w:cstheme="majorBidi"/>
      <w:spacing w:val="-10"/>
      <w:kern w:val="28"/>
      <w:sz w:val="56"/>
      <w:szCs w:val="56"/>
    </w:rPr>
  </w:style>
  <w:style w:type="paragraph" w:styleId="TOAHeading">
    <w:name w:val="toa heading"/>
    <w:basedOn w:val="Normal"/>
    <w:next w:val="Normal"/>
    <w:semiHidden/>
    <w:unhideWhenUsed/>
    <w:rsid w:val="003E431F"/>
    <w:pPr>
      <w:spacing w:before="120"/>
    </w:pPr>
    <w:rPr>
      <w:rFonts w:asciiTheme="majorHAnsi" w:eastAsiaTheme="majorEastAsia" w:hAnsiTheme="majorHAnsi" w:cstheme="majorBidi"/>
      <w:b/>
      <w:bCs/>
    </w:rPr>
  </w:style>
  <w:style w:type="paragraph" w:styleId="TOC5">
    <w:name w:val="toc 5"/>
    <w:basedOn w:val="Normal"/>
    <w:next w:val="Normal"/>
    <w:autoRedefine/>
    <w:semiHidden/>
    <w:unhideWhenUsed/>
    <w:rsid w:val="003E431F"/>
    <w:pPr>
      <w:spacing w:after="100"/>
      <w:ind w:left="960"/>
    </w:pPr>
  </w:style>
  <w:style w:type="paragraph" w:styleId="TOC6">
    <w:name w:val="toc 6"/>
    <w:basedOn w:val="Normal"/>
    <w:next w:val="Normal"/>
    <w:autoRedefine/>
    <w:semiHidden/>
    <w:unhideWhenUsed/>
    <w:rsid w:val="003E431F"/>
    <w:pPr>
      <w:spacing w:after="100"/>
      <w:ind w:left="1200"/>
    </w:pPr>
  </w:style>
  <w:style w:type="paragraph" w:styleId="TOC7">
    <w:name w:val="toc 7"/>
    <w:basedOn w:val="Normal"/>
    <w:next w:val="Normal"/>
    <w:autoRedefine/>
    <w:semiHidden/>
    <w:unhideWhenUsed/>
    <w:rsid w:val="003E431F"/>
    <w:pPr>
      <w:spacing w:after="100"/>
      <w:ind w:left="1440"/>
    </w:pPr>
  </w:style>
  <w:style w:type="paragraph" w:styleId="TOC8">
    <w:name w:val="toc 8"/>
    <w:basedOn w:val="Normal"/>
    <w:next w:val="Normal"/>
    <w:autoRedefine/>
    <w:semiHidden/>
    <w:unhideWhenUsed/>
    <w:rsid w:val="003E431F"/>
    <w:pPr>
      <w:spacing w:after="100"/>
      <w:ind w:left="1680"/>
    </w:pPr>
  </w:style>
  <w:style w:type="paragraph" w:styleId="TOC9">
    <w:name w:val="toc 9"/>
    <w:basedOn w:val="Normal"/>
    <w:next w:val="Normal"/>
    <w:autoRedefine/>
    <w:semiHidden/>
    <w:unhideWhenUsed/>
    <w:rsid w:val="003E431F"/>
    <w:pPr>
      <w:spacing w:after="100"/>
      <w:ind w:left="1920"/>
    </w:pPr>
  </w:style>
  <w:style w:type="paragraph" w:styleId="TOCHeading">
    <w:name w:val="TOC Heading"/>
    <w:basedOn w:val="Heading1"/>
    <w:next w:val="Normal"/>
    <w:uiPriority w:val="39"/>
    <w:semiHidden/>
    <w:unhideWhenUsed/>
    <w:qFormat/>
    <w:rsid w:val="003E431F"/>
    <w:pPr>
      <w:keepLines/>
      <w:spacing w:before="240" w:after="0" w:line="240" w:lineRule="auto"/>
      <w:ind w:left="0" w:firstLine="0"/>
      <w:outlineLvl w:val="9"/>
    </w:pPr>
    <w:rPr>
      <w:rFonts w:asciiTheme="majorHAnsi" w:eastAsiaTheme="majorEastAsia" w:hAnsiTheme="majorHAnsi" w:cstheme="majorBidi"/>
      <w:color w:val="597923"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932908">
      <w:bodyDiv w:val="1"/>
      <w:marLeft w:val="0"/>
      <w:marRight w:val="0"/>
      <w:marTop w:val="0"/>
      <w:marBottom w:val="0"/>
      <w:divBdr>
        <w:top w:val="none" w:sz="0" w:space="0" w:color="auto"/>
        <w:left w:val="none" w:sz="0" w:space="0" w:color="auto"/>
        <w:bottom w:val="none" w:sz="0" w:space="0" w:color="auto"/>
        <w:right w:val="none" w:sz="0" w:space="0" w:color="auto"/>
      </w:divBdr>
    </w:div>
    <w:div w:id="216668548">
      <w:bodyDiv w:val="1"/>
      <w:marLeft w:val="0"/>
      <w:marRight w:val="0"/>
      <w:marTop w:val="0"/>
      <w:marBottom w:val="0"/>
      <w:divBdr>
        <w:top w:val="none" w:sz="0" w:space="0" w:color="auto"/>
        <w:left w:val="none" w:sz="0" w:space="0" w:color="auto"/>
        <w:bottom w:val="none" w:sz="0" w:space="0" w:color="auto"/>
        <w:right w:val="none" w:sz="0" w:space="0" w:color="auto"/>
      </w:divBdr>
    </w:div>
    <w:div w:id="409425729">
      <w:bodyDiv w:val="1"/>
      <w:marLeft w:val="0"/>
      <w:marRight w:val="0"/>
      <w:marTop w:val="0"/>
      <w:marBottom w:val="0"/>
      <w:divBdr>
        <w:top w:val="none" w:sz="0" w:space="0" w:color="auto"/>
        <w:left w:val="none" w:sz="0" w:space="0" w:color="auto"/>
        <w:bottom w:val="none" w:sz="0" w:space="0" w:color="auto"/>
        <w:right w:val="none" w:sz="0" w:space="0" w:color="auto"/>
      </w:divBdr>
    </w:div>
    <w:div w:id="548305722">
      <w:bodyDiv w:val="1"/>
      <w:marLeft w:val="0"/>
      <w:marRight w:val="0"/>
      <w:marTop w:val="0"/>
      <w:marBottom w:val="0"/>
      <w:divBdr>
        <w:top w:val="none" w:sz="0" w:space="0" w:color="auto"/>
        <w:left w:val="none" w:sz="0" w:space="0" w:color="auto"/>
        <w:bottom w:val="none" w:sz="0" w:space="0" w:color="auto"/>
        <w:right w:val="none" w:sz="0" w:space="0" w:color="auto"/>
      </w:divBdr>
    </w:div>
    <w:div w:id="719675482">
      <w:bodyDiv w:val="1"/>
      <w:marLeft w:val="0"/>
      <w:marRight w:val="0"/>
      <w:marTop w:val="0"/>
      <w:marBottom w:val="0"/>
      <w:divBdr>
        <w:top w:val="none" w:sz="0" w:space="0" w:color="auto"/>
        <w:left w:val="none" w:sz="0" w:space="0" w:color="auto"/>
        <w:bottom w:val="none" w:sz="0" w:space="0" w:color="auto"/>
        <w:right w:val="none" w:sz="0" w:space="0" w:color="auto"/>
      </w:divBdr>
    </w:div>
    <w:div w:id="961232681">
      <w:bodyDiv w:val="1"/>
      <w:marLeft w:val="0"/>
      <w:marRight w:val="0"/>
      <w:marTop w:val="0"/>
      <w:marBottom w:val="0"/>
      <w:divBdr>
        <w:top w:val="none" w:sz="0" w:space="0" w:color="auto"/>
        <w:left w:val="none" w:sz="0" w:space="0" w:color="auto"/>
        <w:bottom w:val="none" w:sz="0" w:space="0" w:color="auto"/>
        <w:right w:val="none" w:sz="0" w:space="0" w:color="auto"/>
      </w:divBdr>
      <w:divsChild>
        <w:div w:id="677150606">
          <w:marLeft w:val="0"/>
          <w:marRight w:val="0"/>
          <w:marTop w:val="0"/>
          <w:marBottom w:val="192"/>
          <w:divBdr>
            <w:top w:val="none" w:sz="0" w:space="0" w:color="auto"/>
            <w:left w:val="none" w:sz="0" w:space="0" w:color="auto"/>
            <w:bottom w:val="none" w:sz="0" w:space="0" w:color="auto"/>
            <w:right w:val="none" w:sz="0" w:space="0" w:color="auto"/>
          </w:divBdr>
          <w:divsChild>
            <w:div w:id="1947274078">
              <w:marLeft w:val="0"/>
              <w:marRight w:val="0"/>
              <w:marTop w:val="0"/>
              <w:marBottom w:val="0"/>
              <w:divBdr>
                <w:top w:val="none" w:sz="0" w:space="0" w:color="auto"/>
                <w:left w:val="none" w:sz="0" w:space="0" w:color="auto"/>
                <w:bottom w:val="none" w:sz="0" w:space="0" w:color="auto"/>
                <w:right w:val="none" w:sz="0" w:space="0" w:color="auto"/>
              </w:divBdr>
              <w:divsChild>
                <w:div w:id="961037210">
                  <w:marLeft w:val="0"/>
                  <w:marRight w:val="0"/>
                  <w:marTop w:val="0"/>
                  <w:marBottom w:val="0"/>
                  <w:divBdr>
                    <w:top w:val="none" w:sz="0" w:space="0" w:color="auto"/>
                    <w:left w:val="none" w:sz="0" w:space="0" w:color="auto"/>
                    <w:bottom w:val="none" w:sz="0" w:space="0" w:color="auto"/>
                    <w:right w:val="none" w:sz="0" w:space="0" w:color="auto"/>
                  </w:divBdr>
                  <w:divsChild>
                    <w:div w:id="111293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763746">
      <w:bodyDiv w:val="1"/>
      <w:marLeft w:val="0"/>
      <w:marRight w:val="0"/>
      <w:marTop w:val="0"/>
      <w:marBottom w:val="0"/>
      <w:divBdr>
        <w:top w:val="none" w:sz="0" w:space="0" w:color="auto"/>
        <w:left w:val="none" w:sz="0" w:space="0" w:color="auto"/>
        <w:bottom w:val="none" w:sz="0" w:space="0" w:color="auto"/>
        <w:right w:val="none" w:sz="0" w:space="0" w:color="auto"/>
      </w:divBdr>
    </w:div>
    <w:div w:id="1264344319">
      <w:bodyDiv w:val="1"/>
      <w:marLeft w:val="0"/>
      <w:marRight w:val="0"/>
      <w:marTop w:val="0"/>
      <w:marBottom w:val="0"/>
      <w:divBdr>
        <w:top w:val="none" w:sz="0" w:space="0" w:color="auto"/>
        <w:left w:val="none" w:sz="0" w:space="0" w:color="auto"/>
        <w:bottom w:val="none" w:sz="0" w:space="0" w:color="auto"/>
        <w:right w:val="none" w:sz="0" w:space="0" w:color="auto"/>
      </w:divBdr>
    </w:div>
    <w:div w:id="1306623841">
      <w:bodyDiv w:val="1"/>
      <w:marLeft w:val="0"/>
      <w:marRight w:val="0"/>
      <w:marTop w:val="0"/>
      <w:marBottom w:val="0"/>
      <w:divBdr>
        <w:top w:val="none" w:sz="0" w:space="0" w:color="auto"/>
        <w:left w:val="none" w:sz="0" w:space="0" w:color="auto"/>
        <w:bottom w:val="none" w:sz="0" w:space="0" w:color="auto"/>
        <w:right w:val="none" w:sz="0" w:space="0" w:color="auto"/>
      </w:divBdr>
    </w:div>
    <w:div w:id="1362391178">
      <w:bodyDiv w:val="1"/>
      <w:marLeft w:val="0"/>
      <w:marRight w:val="0"/>
      <w:marTop w:val="0"/>
      <w:marBottom w:val="0"/>
      <w:divBdr>
        <w:top w:val="none" w:sz="0" w:space="0" w:color="auto"/>
        <w:left w:val="none" w:sz="0" w:space="0" w:color="auto"/>
        <w:bottom w:val="none" w:sz="0" w:space="0" w:color="auto"/>
        <w:right w:val="none" w:sz="0" w:space="0" w:color="auto"/>
      </w:divBdr>
    </w:div>
    <w:div w:id="1570841231">
      <w:bodyDiv w:val="1"/>
      <w:marLeft w:val="0"/>
      <w:marRight w:val="0"/>
      <w:marTop w:val="0"/>
      <w:marBottom w:val="0"/>
      <w:divBdr>
        <w:top w:val="none" w:sz="0" w:space="0" w:color="auto"/>
        <w:left w:val="none" w:sz="0" w:space="0" w:color="auto"/>
        <w:bottom w:val="none" w:sz="0" w:space="0" w:color="auto"/>
        <w:right w:val="none" w:sz="0" w:space="0" w:color="auto"/>
      </w:divBdr>
    </w:div>
    <w:div w:id="1642542442">
      <w:bodyDiv w:val="1"/>
      <w:marLeft w:val="0"/>
      <w:marRight w:val="0"/>
      <w:marTop w:val="0"/>
      <w:marBottom w:val="0"/>
      <w:divBdr>
        <w:top w:val="none" w:sz="0" w:space="0" w:color="auto"/>
        <w:left w:val="none" w:sz="0" w:space="0" w:color="auto"/>
        <w:bottom w:val="none" w:sz="0" w:space="0" w:color="auto"/>
        <w:right w:val="none" w:sz="0" w:space="0" w:color="auto"/>
      </w:divBdr>
    </w:div>
    <w:div w:id="1741516827">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 w:id="1931698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chart" Target="charts/chart7.xml"/><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chart" Target="charts/chart6.xm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hart" Target="charts/chart1.xm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chart" Target="charts/chart5.xml"/><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chart" Target="charts/chart4.xml"/><Relationship Id="rId28" Type="http://schemas.openxmlformats.org/officeDocument/2006/relationships/image" Target="media/image3.png"/><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header" Target="header3.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898308370136368E-2"/>
          <c:y val="4.1952707856598014E-2"/>
          <c:w val="0.79252020892598007"/>
          <c:h val="0.88320540310035611"/>
        </c:manualLayout>
      </c:layout>
      <c:lineChart>
        <c:grouping val="standard"/>
        <c:varyColors val="0"/>
        <c:ser>
          <c:idx val="0"/>
          <c:order val="0"/>
          <c:tx>
            <c:strRef>
              <c:f>'All industries'!$X$6</c:f>
              <c:strCache>
                <c:ptCount val="1"/>
                <c:pt idx="0">
                  <c:v>Public administration and safety</c:v>
                </c:pt>
              </c:strCache>
            </c:strRef>
          </c:tx>
          <c:spPr>
            <a:ln w="28575" cap="rnd" cmpd="sng" algn="ctr">
              <a:solidFill>
                <a:schemeClr val="accent1">
                  <a:shade val="95000"/>
                  <a:satMod val="105000"/>
                </a:schemeClr>
              </a:solidFill>
              <a:prstDash val="solid"/>
              <a:round/>
            </a:ln>
            <a:effectLst/>
          </c:spPr>
          <c:marker>
            <c:symbol val="none"/>
          </c:marker>
          <c:cat>
            <c:numRef>
              <c:f>'All industries'!$A$10:$A$36</c:f>
              <c:numCache>
                <c:formatCode>mmm\-yyyy</c:formatCode>
                <c:ptCount val="27"/>
                <c:pt idx="0">
                  <c:v>33025</c:v>
                </c:pt>
                <c:pt idx="1">
                  <c:v>33390</c:v>
                </c:pt>
                <c:pt idx="2">
                  <c:v>33756</c:v>
                </c:pt>
                <c:pt idx="3">
                  <c:v>34121</c:v>
                </c:pt>
                <c:pt idx="4">
                  <c:v>34486</c:v>
                </c:pt>
                <c:pt idx="5">
                  <c:v>34851</c:v>
                </c:pt>
                <c:pt idx="6">
                  <c:v>35217</c:v>
                </c:pt>
                <c:pt idx="7">
                  <c:v>35582</c:v>
                </c:pt>
                <c:pt idx="8">
                  <c:v>35947</c:v>
                </c:pt>
                <c:pt idx="9">
                  <c:v>36312</c:v>
                </c:pt>
                <c:pt idx="10">
                  <c:v>36678</c:v>
                </c:pt>
                <c:pt idx="11">
                  <c:v>37043</c:v>
                </c:pt>
                <c:pt idx="12">
                  <c:v>37408</c:v>
                </c:pt>
                <c:pt idx="13">
                  <c:v>37773</c:v>
                </c:pt>
                <c:pt idx="14">
                  <c:v>38139</c:v>
                </c:pt>
                <c:pt idx="15">
                  <c:v>38504</c:v>
                </c:pt>
                <c:pt idx="16">
                  <c:v>38869</c:v>
                </c:pt>
                <c:pt idx="17">
                  <c:v>39234</c:v>
                </c:pt>
                <c:pt idx="18">
                  <c:v>39600</c:v>
                </c:pt>
                <c:pt idx="19">
                  <c:v>39965</c:v>
                </c:pt>
                <c:pt idx="20">
                  <c:v>40330</c:v>
                </c:pt>
                <c:pt idx="21">
                  <c:v>40695</c:v>
                </c:pt>
                <c:pt idx="22">
                  <c:v>41061</c:v>
                </c:pt>
                <c:pt idx="23">
                  <c:v>41426</c:v>
                </c:pt>
                <c:pt idx="24">
                  <c:v>41791</c:v>
                </c:pt>
                <c:pt idx="25">
                  <c:v>42156</c:v>
                </c:pt>
                <c:pt idx="26">
                  <c:v>42522</c:v>
                </c:pt>
              </c:numCache>
            </c:numRef>
          </c:cat>
          <c:val>
            <c:numRef>
              <c:f>'All industries'!$X$10:$X$36</c:f>
              <c:numCache>
                <c:formatCode>0.0;\-0.0;0.0;@</c:formatCode>
                <c:ptCount val="27"/>
                <c:pt idx="0">
                  <c:v>6.6539084779035527</c:v>
                </c:pt>
                <c:pt idx="1">
                  <c:v>7.0796132013577884</c:v>
                </c:pt>
                <c:pt idx="2">
                  <c:v>7.1728316775875438</c:v>
                </c:pt>
                <c:pt idx="3">
                  <c:v>7.0448261327154693</c:v>
                </c:pt>
                <c:pt idx="4">
                  <c:v>6.9146510168752657</c:v>
                </c:pt>
                <c:pt idx="5">
                  <c:v>6.9311409492352984</c:v>
                </c:pt>
                <c:pt idx="6">
                  <c:v>6.8988653976475955</c:v>
                </c:pt>
                <c:pt idx="7">
                  <c:v>7.2134946051876394</c:v>
                </c:pt>
                <c:pt idx="8">
                  <c:v>7.0761703439645496</c:v>
                </c:pt>
                <c:pt idx="9">
                  <c:v>7.0713870444600841</c:v>
                </c:pt>
                <c:pt idx="10">
                  <c:v>6.8081624743644262</c:v>
                </c:pt>
                <c:pt idx="11">
                  <c:v>6.7959457082154895</c:v>
                </c:pt>
                <c:pt idx="12">
                  <c:v>6.8498496648070279</c:v>
                </c:pt>
                <c:pt idx="13">
                  <c:v>6.7226452020955412</c:v>
                </c:pt>
                <c:pt idx="14">
                  <c:v>6.7258269817020393</c:v>
                </c:pt>
                <c:pt idx="15">
                  <c:v>6.567807778002055</c:v>
                </c:pt>
                <c:pt idx="16">
                  <c:v>6.5056087940204455</c:v>
                </c:pt>
                <c:pt idx="17">
                  <c:v>6.2765330765435099</c:v>
                </c:pt>
                <c:pt idx="18">
                  <c:v>5.9245888487765743</c:v>
                </c:pt>
                <c:pt idx="19">
                  <c:v>5.9765267695880882</c:v>
                </c:pt>
                <c:pt idx="20">
                  <c:v>6.213030407560888</c:v>
                </c:pt>
                <c:pt idx="21">
                  <c:v>6.0882629857044446</c:v>
                </c:pt>
                <c:pt idx="22">
                  <c:v>6.1146408017619214</c:v>
                </c:pt>
                <c:pt idx="23">
                  <c:v>6.1821337219311836</c:v>
                </c:pt>
                <c:pt idx="24">
                  <c:v>6.1699187703797591</c:v>
                </c:pt>
                <c:pt idx="25">
                  <c:v>6.2512748494760464</c:v>
                </c:pt>
                <c:pt idx="26">
                  <c:v>6.4439149352838481</c:v>
                </c:pt>
              </c:numCache>
            </c:numRef>
          </c:val>
          <c:smooth val="0"/>
        </c:ser>
        <c:ser>
          <c:idx val="1"/>
          <c:order val="1"/>
          <c:tx>
            <c:strRef>
              <c:f>'All industries'!$Y$6</c:f>
              <c:strCache>
                <c:ptCount val="1"/>
                <c:pt idx="0">
                  <c:v>Education and training</c:v>
                </c:pt>
              </c:strCache>
            </c:strRef>
          </c:tx>
          <c:spPr>
            <a:ln w="28575" cap="rnd" cmpd="sng" algn="ctr">
              <a:solidFill>
                <a:schemeClr val="accent3">
                  <a:shade val="95000"/>
                  <a:satMod val="105000"/>
                </a:schemeClr>
              </a:solidFill>
              <a:prstDash val="solid"/>
              <a:round/>
            </a:ln>
            <a:effectLst/>
          </c:spPr>
          <c:marker>
            <c:symbol val="none"/>
          </c:marker>
          <c:cat>
            <c:numRef>
              <c:f>'All industries'!$A$10:$A$36</c:f>
              <c:numCache>
                <c:formatCode>mmm\-yyyy</c:formatCode>
                <c:ptCount val="27"/>
                <c:pt idx="0">
                  <c:v>33025</c:v>
                </c:pt>
                <c:pt idx="1">
                  <c:v>33390</c:v>
                </c:pt>
                <c:pt idx="2">
                  <c:v>33756</c:v>
                </c:pt>
                <c:pt idx="3">
                  <c:v>34121</c:v>
                </c:pt>
                <c:pt idx="4">
                  <c:v>34486</c:v>
                </c:pt>
                <c:pt idx="5">
                  <c:v>34851</c:v>
                </c:pt>
                <c:pt idx="6">
                  <c:v>35217</c:v>
                </c:pt>
                <c:pt idx="7">
                  <c:v>35582</c:v>
                </c:pt>
                <c:pt idx="8">
                  <c:v>35947</c:v>
                </c:pt>
                <c:pt idx="9">
                  <c:v>36312</c:v>
                </c:pt>
                <c:pt idx="10">
                  <c:v>36678</c:v>
                </c:pt>
                <c:pt idx="11">
                  <c:v>37043</c:v>
                </c:pt>
                <c:pt idx="12">
                  <c:v>37408</c:v>
                </c:pt>
                <c:pt idx="13">
                  <c:v>37773</c:v>
                </c:pt>
                <c:pt idx="14">
                  <c:v>38139</c:v>
                </c:pt>
                <c:pt idx="15">
                  <c:v>38504</c:v>
                </c:pt>
                <c:pt idx="16">
                  <c:v>38869</c:v>
                </c:pt>
                <c:pt idx="17">
                  <c:v>39234</c:v>
                </c:pt>
                <c:pt idx="18">
                  <c:v>39600</c:v>
                </c:pt>
                <c:pt idx="19">
                  <c:v>39965</c:v>
                </c:pt>
                <c:pt idx="20">
                  <c:v>40330</c:v>
                </c:pt>
                <c:pt idx="21">
                  <c:v>40695</c:v>
                </c:pt>
                <c:pt idx="22">
                  <c:v>41061</c:v>
                </c:pt>
                <c:pt idx="23">
                  <c:v>41426</c:v>
                </c:pt>
                <c:pt idx="24">
                  <c:v>41791</c:v>
                </c:pt>
                <c:pt idx="25">
                  <c:v>42156</c:v>
                </c:pt>
                <c:pt idx="26">
                  <c:v>42522</c:v>
                </c:pt>
              </c:numCache>
            </c:numRef>
          </c:cat>
          <c:val>
            <c:numRef>
              <c:f>'All industries'!$Y$10:$Y$36</c:f>
              <c:numCache>
                <c:formatCode>0.0;\-0.0;0.0;@</c:formatCode>
                <c:ptCount val="27"/>
                <c:pt idx="0">
                  <c:v>5.0117030730004588</c:v>
                </c:pt>
                <c:pt idx="1">
                  <c:v>5.2668511281627062</c:v>
                </c:pt>
                <c:pt idx="2">
                  <c:v>5.465511167476925</c:v>
                </c:pt>
                <c:pt idx="3">
                  <c:v>5.5764249906551466</c:v>
                </c:pt>
                <c:pt idx="4">
                  <c:v>5.5804038271097856</c:v>
                </c:pt>
                <c:pt idx="5">
                  <c:v>5.3986261697900959</c:v>
                </c:pt>
                <c:pt idx="6">
                  <c:v>5.2028887293482464</c:v>
                </c:pt>
                <c:pt idx="7">
                  <c:v>5.3410455929386309</c:v>
                </c:pt>
                <c:pt idx="8">
                  <c:v>5.3493953567103212</c:v>
                </c:pt>
                <c:pt idx="9">
                  <c:v>5.4410437257121878</c:v>
                </c:pt>
                <c:pt idx="10">
                  <c:v>5.3219720417489782</c:v>
                </c:pt>
                <c:pt idx="11">
                  <c:v>5.4166610281878826</c:v>
                </c:pt>
                <c:pt idx="12">
                  <c:v>5.3276959610945474</c:v>
                </c:pt>
                <c:pt idx="13">
                  <c:v>5.3986121221523442</c:v>
                </c:pt>
                <c:pt idx="14">
                  <c:v>5.2591922636369057</c:v>
                </c:pt>
                <c:pt idx="15">
                  <c:v>5.2741739938725312</c:v>
                </c:pt>
                <c:pt idx="16">
                  <c:v>5.2359010198884164</c:v>
                </c:pt>
                <c:pt idx="17">
                  <c:v>5.0982634081023566</c:v>
                </c:pt>
                <c:pt idx="18">
                  <c:v>4.957280385078219</c:v>
                </c:pt>
                <c:pt idx="19">
                  <c:v>5.0449858607890228</c:v>
                </c:pt>
                <c:pt idx="20">
                  <c:v>5.3130634463965372</c:v>
                </c:pt>
                <c:pt idx="21">
                  <c:v>5.1198248933629502</c:v>
                </c:pt>
                <c:pt idx="22">
                  <c:v>5.2476996964257188</c:v>
                </c:pt>
                <c:pt idx="23">
                  <c:v>5.4053991736146978</c:v>
                </c:pt>
                <c:pt idx="24">
                  <c:v>5.4756155299516598</c:v>
                </c:pt>
                <c:pt idx="25">
                  <c:v>5.6323767009610348</c:v>
                </c:pt>
                <c:pt idx="26">
                  <c:v>5.7820443904914534</c:v>
                </c:pt>
              </c:numCache>
            </c:numRef>
          </c:val>
          <c:smooth val="0"/>
        </c:ser>
        <c:ser>
          <c:idx val="2"/>
          <c:order val="2"/>
          <c:tx>
            <c:strRef>
              <c:f>'All industries'!$Z$6</c:f>
              <c:strCache>
                <c:ptCount val="1"/>
                <c:pt idx="0">
                  <c:v>Healthcare and social assistance</c:v>
                </c:pt>
              </c:strCache>
            </c:strRef>
          </c:tx>
          <c:spPr>
            <a:ln w="28575" cap="rnd" cmpd="sng" algn="ctr">
              <a:solidFill>
                <a:schemeClr val="accent5">
                  <a:shade val="95000"/>
                  <a:satMod val="105000"/>
                </a:schemeClr>
              </a:solidFill>
              <a:prstDash val="solid"/>
              <a:round/>
            </a:ln>
            <a:effectLst/>
          </c:spPr>
          <c:marker>
            <c:symbol val="none"/>
          </c:marker>
          <c:cat>
            <c:numRef>
              <c:f>'All industries'!$A$10:$A$36</c:f>
              <c:numCache>
                <c:formatCode>mmm\-yyyy</c:formatCode>
                <c:ptCount val="27"/>
                <c:pt idx="0">
                  <c:v>33025</c:v>
                </c:pt>
                <c:pt idx="1">
                  <c:v>33390</c:v>
                </c:pt>
                <c:pt idx="2">
                  <c:v>33756</c:v>
                </c:pt>
                <c:pt idx="3">
                  <c:v>34121</c:v>
                </c:pt>
                <c:pt idx="4">
                  <c:v>34486</c:v>
                </c:pt>
                <c:pt idx="5">
                  <c:v>34851</c:v>
                </c:pt>
                <c:pt idx="6">
                  <c:v>35217</c:v>
                </c:pt>
                <c:pt idx="7">
                  <c:v>35582</c:v>
                </c:pt>
                <c:pt idx="8">
                  <c:v>35947</c:v>
                </c:pt>
                <c:pt idx="9">
                  <c:v>36312</c:v>
                </c:pt>
                <c:pt idx="10">
                  <c:v>36678</c:v>
                </c:pt>
                <c:pt idx="11">
                  <c:v>37043</c:v>
                </c:pt>
                <c:pt idx="12">
                  <c:v>37408</c:v>
                </c:pt>
                <c:pt idx="13">
                  <c:v>37773</c:v>
                </c:pt>
                <c:pt idx="14">
                  <c:v>38139</c:v>
                </c:pt>
                <c:pt idx="15">
                  <c:v>38504</c:v>
                </c:pt>
                <c:pt idx="16">
                  <c:v>38869</c:v>
                </c:pt>
                <c:pt idx="17">
                  <c:v>39234</c:v>
                </c:pt>
                <c:pt idx="18">
                  <c:v>39600</c:v>
                </c:pt>
                <c:pt idx="19">
                  <c:v>39965</c:v>
                </c:pt>
                <c:pt idx="20">
                  <c:v>40330</c:v>
                </c:pt>
                <c:pt idx="21">
                  <c:v>40695</c:v>
                </c:pt>
                <c:pt idx="22">
                  <c:v>41061</c:v>
                </c:pt>
                <c:pt idx="23">
                  <c:v>41426</c:v>
                </c:pt>
                <c:pt idx="24">
                  <c:v>41791</c:v>
                </c:pt>
                <c:pt idx="25">
                  <c:v>42156</c:v>
                </c:pt>
                <c:pt idx="26">
                  <c:v>42522</c:v>
                </c:pt>
              </c:numCache>
            </c:numRef>
          </c:cat>
          <c:val>
            <c:numRef>
              <c:f>'All industries'!$Z$10:$Z$36</c:f>
              <c:numCache>
                <c:formatCode>0.0;\-0.0;0.0;@</c:formatCode>
                <c:ptCount val="27"/>
                <c:pt idx="0">
                  <c:v>5.5082850787271234</c:v>
                </c:pt>
                <c:pt idx="1">
                  <c:v>6.0230481786804351</c:v>
                </c:pt>
                <c:pt idx="2">
                  <c:v>6.2154583245261747</c:v>
                </c:pt>
                <c:pt idx="3">
                  <c:v>6.1275724855718128</c:v>
                </c:pt>
                <c:pt idx="4">
                  <c:v>6.064210173540328</c:v>
                </c:pt>
                <c:pt idx="5">
                  <c:v>6.0273808669012237</c:v>
                </c:pt>
                <c:pt idx="6">
                  <c:v>6.0693286097374965</c:v>
                </c:pt>
                <c:pt idx="7">
                  <c:v>6.0843924888679322</c:v>
                </c:pt>
                <c:pt idx="8">
                  <c:v>5.8781685585489365</c:v>
                </c:pt>
                <c:pt idx="9">
                  <c:v>6.0092255438940052</c:v>
                </c:pt>
                <c:pt idx="10">
                  <c:v>6.1552291187821959</c:v>
                </c:pt>
                <c:pt idx="11">
                  <c:v>6.2072885232147446</c:v>
                </c:pt>
                <c:pt idx="12">
                  <c:v>6.2056914075892813</c:v>
                </c:pt>
                <c:pt idx="13">
                  <c:v>6.2936322302707737</c:v>
                </c:pt>
                <c:pt idx="14">
                  <c:v>6.3965994130136998</c:v>
                </c:pt>
                <c:pt idx="15">
                  <c:v>6.338702689220618</c:v>
                </c:pt>
                <c:pt idx="16">
                  <c:v>6.4305089965766813</c:v>
                </c:pt>
                <c:pt idx="17">
                  <c:v>6.5378152721834448</c:v>
                </c:pt>
                <c:pt idx="18">
                  <c:v>6.7076815082230246</c:v>
                </c:pt>
                <c:pt idx="19">
                  <c:v>6.6376593394629619</c:v>
                </c:pt>
                <c:pt idx="20">
                  <c:v>7.1249204747034476</c:v>
                </c:pt>
                <c:pt idx="21">
                  <c:v>7.2302122104304454</c:v>
                </c:pt>
                <c:pt idx="22">
                  <c:v>7.1455088863617133</c:v>
                </c:pt>
                <c:pt idx="23">
                  <c:v>7.3733675201062496</c:v>
                </c:pt>
                <c:pt idx="24">
                  <c:v>7.4809764177336744</c:v>
                </c:pt>
                <c:pt idx="25">
                  <c:v>7.9337092946982404</c:v>
                </c:pt>
                <c:pt idx="26">
                  <c:v>8.0633397299121548</c:v>
                </c:pt>
              </c:numCache>
            </c:numRef>
          </c:val>
          <c:smooth val="0"/>
        </c:ser>
        <c:dLbls>
          <c:showLegendKey val="0"/>
          <c:showVal val="0"/>
          <c:showCatName val="0"/>
          <c:showSerName val="0"/>
          <c:showPercent val="0"/>
          <c:showBubbleSize val="0"/>
        </c:dLbls>
        <c:smooth val="0"/>
        <c:axId val="383802008"/>
        <c:axId val="310270768"/>
      </c:lineChart>
      <c:catAx>
        <c:axId val="383802008"/>
        <c:scaling>
          <c:orientation val="minMax"/>
        </c:scaling>
        <c:delete val="0"/>
        <c:axPos val="b"/>
        <c:numFmt formatCode="mmm\-yyyy" sourceLinked="1"/>
        <c:majorTickMark val="out"/>
        <c:minorTickMark val="none"/>
        <c:tickLblPos val="nextTo"/>
        <c:spPr>
          <a:noFill/>
          <a:ln w="9525" cap="flat" cmpd="sng" algn="ctr">
            <a:solidFill>
              <a:srgbClr val="BFBFBF"/>
            </a:solidFill>
            <a:prstDash val="solid"/>
            <a:round/>
          </a:ln>
          <a:effectLst/>
        </c:spPr>
        <c:txPr>
          <a:bodyPr rot="-60000000" spcFirstLastPara="1" vertOverflow="ellipsis" vert="horz" wrap="square" anchor="ctr" anchorCtr="1"/>
          <a:lstStyle/>
          <a:p>
            <a:pPr>
              <a:defRPr sz="800" b="0" i="0" u="none" strike="noStrike" kern="1200" spc="20" baseline="0">
                <a:solidFill>
                  <a:schemeClr val="tx1"/>
                </a:solidFill>
                <a:latin typeface="Arial" pitchFamily="34" charset="0"/>
                <a:ea typeface="+mn-ea"/>
                <a:cs typeface="+mn-cs"/>
              </a:defRPr>
            </a:pPr>
            <a:endParaRPr lang="en-US"/>
          </a:p>
        </c:txPr>
        <c:crossAx val="310270768"/>
        <c:crosses val="autoZero"/>
        <c:auto val="0"/>
        <c:lblAlgn val="ctr"/>
        <c:lblOffset val="100"/>
        <c:tickLblSkip val="13"/>
        <c:tickMarkSkip val="13"/>
        <c:noMultiLvlLbl val="1"/>
      </c:catAx>
      <c:valAx>
        <c:axId val="310270768"/>
        <c:scaling>
          <c:orientation val="minMax"/>
          <c:max val="9"/>
          <c:min val="4"/>
        </c:scaling>
        <c:delete val="0"/>
        <c:axPos val="l"/>
        <c:numFmt formatCode="#,##0" sourceLinked="0"/>
        <c:majorTickMark val="out"/>
        <c:minorTickMark val="none"/>
        <c:tickLblPos val="nextTo"/>
        <c:spPr>
          <a:noFill/>
          <a:ln w="9525" cap="flat" cmpd="sng" algn="ctr">
            <a:solidFill>
              <a:srgbClr val="BFBFBF"/>
            </a:solidFill>
            <a:prstDash val="solid"/>
            <a:round/>
          </a:ln>
          <a:effectLst/>
        </c:spPr>
        <c:txPr>
          <a:bodyPr rot="-60000000" spcFirstLastPara="1" vertOverflow="ellipsis" vert="horz" wrap="square" anchor="ctr" anchorCtr="1"/>
          <a:lstStyle/>
          <a:p>
            <a:pPr>
              <a:defRPr sz="800" b="0" i="0" u="none" strike="noStrike" kern="1200" spc="20" baseline="0">
                <a:solidFill>
                  <a:schemeClr val="tx1"/>
                </a:solidFill>
                <a:latin typeface="Arial" pitchFamily="34" charset="0"/>
                <a:ea typeface="+mn-ea"/>
                <a:cs typeface="+mn-cs"/>
              </a:defRPr>
            </a:pPr>
            <a:endParaRPr lang="en-US"/>
          </a:p>
        </c:txPr>
        <c:crossAx val="383802008"/>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900" spc="20" baseline="0">
          <a:latin typeface="Arial"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147497289913522E-2"/>
          <c:y val="3.2062376354370009E-2"/>
          <c:w val="0.3977345772741388"/>
          <c:h val="0.82008529091933391"/>
        </c:manualLayout>
      </c:layout>
      <c:lineChart>
        <c:grouping val="standard"/>
        <c:varyColors val="0"/>
        <c:ser>
          <c:idx val="0"/>
          <c:order val="0"/>
          <c:tx>
            <c:strRef>
              <c:f>'GVA + GDP'!$AB$5</c:f>
              <c:strCache>
                <c:ptCount val="1"/>
                <c:pt idx="0">
                  <c:v>Public administration and safety</c:v>
                </c:pt>
              </c:strCache>
            </c:strRef>
          </c:tx>
          <c:spPr>
            <a:ln w="28575" cap="rnd" cmpd="sng" algn="ctr">
              <a:solidFill>
                <a:schemeClr val="accent1">
                  <a:shade val="95000"/>
                  <a:satMod val="105000"/>
                </a:schemeClr>
              </a:solidFill>
              <a:prstDash val="solid"/>
              <a:round/>
            </a:ln>
            <a:effectLst/>
          </c:spPr>
          <c:marker>
            <c:symbol val="none"/>
          </c:marker>
          <c:cat>
            <c:numRef>
              <c:f>'GVA + GDP'!$A$25:$A$51</c:f>
              <c:numCache>
                <c:formatCode>mmm\-yyyy</c:formatCode>
                <c:ptCount val="27"/>
                <c:pt idx="0">
                  <c:v>33025</c:v>
                </c:pt>
                <c:pt idx="1">
                  <c:v>33390</c:v>
                </c:pt>
                <c:pt idx="2">
                  <c:v>33756</c:v>
                </c:pt>
                <c:pt idx="3">
                  <c:v>34121</c:v>
                </c:pt>
                <c:pt idx="4">
                  <c:v>34486</c:v>
                </c:pt>
                <c:pt idx="5">
                  <c:v>34851</c:v>
                </c:pt>
                <c:pt idx="6">
                  <c:v>35217</c:v>
                </c:pt>
                <c:pt idx="7">
                  <c:v>35582</c:v>
                </c:pt>
                <c:pt idx="8">
                  <c:v>35947</c:v>
                </c:pt>
                <c:pt idx="9">
                  <c:v>36312</c:v>
                </c:pt>
                <c:pt idx="10">
                  <c:v>36678</c:v>
                </c:pt>
                <c:pt idx="11">
                  <c:v>37043</c:v>
                </c:pt>
                <c:pt idx="12">
                  <c:v>37408</c:v>
                </c:pt>
                <c:pt idx="13">
                  <c:v>37773</c:v>
                </c:pt>
                <c:pt idx="14">
                  <c:v>38139</c:v>
                </c:pt>
                <c:pt idx="15">
                  <c:v>38504</c:v>
                </c:pt>
                <c:pt idx="16">
                  <c:v>38869</c:v>
                </c:pt>
                <c:pt idx="17">
                  <c:v>39234</c:v>
                </c:pt>
                <c:pt idx="18">
                  <c:v>39600</c:v>
                </c:pt>
                <c:pt idx="19">
                  <c:v>39965</c:v>
                </c:pt>
                <c:pt idx="20">
                  <c:v>40330</c:v>
                </c:pt>
                <c:pt idx="21">
                  <c:v>40695</c:v>
                </c:pt>
                <c:pt idx="22">
                  <c:v>41061</c:v>
                </c:pt>
                <c:pt idx="23">
                  <c:v>41426</c:v>
                </c:pt>
                <c:pt idx="24">
                  <c:v>41791</c:v>
                </c:pt>
                <c:pt idx="25">
                  <c:v>42156</c:v>
                </c:pt>
                <c:pt idx="26">
                  <c:v>42522</c:v>
                </c:pt>
              </c:numCache>
            </c:numRef>
          </c:cat>
          <c:val>
            <c:numRef>
              <c:f>'GVA + GDP'!$AB$25:$AB$51</c:f>
              <c:numCache>
                <c:formatCode>0.0;\-0.0;0.0;@</c:formatCode>
                <c:ptCount val="27"/>
                <c:pt idx="0">
                  <c:v>2587.6203479616297</c:v>
                </c:pt>
                <c:pt idx="1">
                  <c:v>2596.7947234436474</c:v>
                </c:pt>
                <c:pt idx="2">
                  <c:v>2679.0475209684987</c:v>
                </c:pt>
                <c:pt idx="3">
                  <c:v>2720.2463311180168</c:v>
                </c:pt>
                <c:pt idx="4">
                  <c:v>2806.3800511078039</c:v>
                </c:pt>
                <c:pt idx="5">
                  <c:v>2891.0463262778462</c:v>
                </c:pt>
                <c:pt idx="6">
                  <c:v>2865.9299416180152</c:v>
                </c:pt>
                <c:pt idx="7">
                  <c:v>2955.1104597513977</c:v>
                </c:pt>
                <c:pt idx="8">
                  <c:v>2911.8747178572198</c:v>
                </c:pt>
                <c:pt idx="9">
                  <c:v>3042.0522743098932</c:v>
                </c:pt>
                <c:pt idx="10">
                  <c:v>3079.490036155722</c:v>
                </c:pt>
                <c:pt idx="11">
                  <c:v>3112.2663387757007</c:v>
                </c:pt>
                <c:pt idx="12">
                  <c:v>3215.6633427715537</c:v>
                </c:pt>
                <c:pt idx="13">
                  <c:v>3161.0439791690965</c:v>
                </c:pt>
                <c:pt idx="14">
                  <c:v>3188.5294014358315</c:v>
                </c:pt>
                <c:pt idx="15">
                  <c:v>3260.8738749454819</c:v>
                </c:pt>
                <c:pt idx="16">
                  <c:v>3285.0716346388931</c:v>
                </c:pt>
                <c:pt idx="17">
                  <c:v>3385.9878238491237</c:v>
                </c:pt>
                <c:pt idx="18">
                  <c:v>3336.5020800783086</c:v>
                </c:pt>
                <c:pt idx="19">
                  <c:v>3464.7814601898422</c:v>
                </c:pt>
                <c:pt idx="20">
                  <c:v>3425.9570257536834</c:v>
                </c:pt>
                <c:pt idx="21">
                  <c:v>3476.8128916741271</c:v>
                </c:pt>
                <c:pt idx="22">
                  <c:v>3511.1292969557776</c:v>
                </c:pt>
                <c:pt idx="23">
                  <c:v>3500.1773555849704</c:v>
                </c:pt>
                <c:pt idx="24">
                  <c:v>3606.9682490292275</c:v>
                </c:pt>
                <c:pt idx="25">
                  <c:v>3581.400041194991</c:v>
                </c:pt>
                <c:pt idx="26">
                  <c:v>3761.6466063198382</c:v>
                </c:pt>
              </c:numCache>
            </c:numRef>
          </c:val>
          <c:smooth val="0"/>
        </c:ser>
        <c:ser>
          <c:idx val="1"/>
          <c:order val="1"/>
          <c:tx>
            <c:strRef>
              <c:f>'GVA + GDP'!$AC$5</c:f>
              <c:strCache>
                <c:ptCount val="1"/>
                <c:pt idx="0">
                  <c:v>Education and training</c:v>
                </c:pt>
              </c:strCache>
            </c:strRef>
          </c:tx>
          <c:spPr>
            <a:ln w="28575" cap="rnd" cmpd="sng" algn="ctr">
              <a:solidFill>
                <a:schemeClr val="accent3">
                  <a:shade val="95000"/>
                  <a:satMod val="105000"/>
                </a:schemeClr>
              </a:solidFill>
              <a:prstDash val="solid"/>
              <a:round/>
            </a:ln>
            <a:effectLst/>
          </c:spPr>
          <c:marker>
            <c:symbol val="none"/>
          </c:marker>
          <c:cat>
            <c:numRef>
              <c:f>'GVA + GDP'!$A$25:$A$51</c:f>
              <c:numCache>
                <c:formatCode>mmm\-yyyy</c:formatCode>
                <c:ptCount val="27"/>
                <c:pt idx="0">
                  <c:v>33025</c:v>
                </c:pt>
                <c:pt idx="1">
                  <c:v>33390</c:v>
                </c:pt>
                <c:pt idx="2">
                  <c:v>33756</c:v>
                </c:pt>
                <c:pt idx="3">
                  <c:v>34121</c:v>
                </c:pt>
                <c:pt idx="4">
                  <c:v>34486</c:v>
                </c:pt>
                <c:pt idx="5">
                  <c:v>34851</c:v>
                </c:pt>
                <c:pt idx="6">
                  <c:v>35217</c:v>
                </c:pt>
                <c:pt idx="7">
                  <c:v>35582</c:v>
                </c:pt>
                <c:pt idx="8">
                  <c:v>35947</c:v>
                </c:pt>
                <c:pt idx="9">
                  <c:v>36312</c:v>
                </c:pt>
                <c:pt idx="10">
                  <c:v>36678</c:v>
                </c:pt>
                <c:pt idx="11">
                  <c:v>37043</c:v>
                </c:pt>
                <c:pt idx="12">
                  <c:v>37408</c:v>
                </c:pt>
                <c:pt idx="13">
                  <c:v>37773</c:v>
                </c:pt>
                <c:pt idx="14">
                  <c:v>38139</c:v>
                </c:pt>
                <c:pt idx="15">
                  <c:v>38504</c:v>
                </c:pt>
                <c:pt idx="16">
                  <c:v>38869</c:v>
                </c:pt>
                <c:pt idx="17">
                  <c:v>39234</c:v>
                </c:pt>
                <c:pt idx="18">
                  <c:v>39600</c:v>
                </c:pt>
                <c:pt idx="19">
                  <c:v>39965</c:v>
                </c:pt>
                <c:pt idx="20">
                  <c:v>40330</c:v>
                </c:pt>
                <c:pt idx="21">
                  <c:v>40695</c:v>
                </c:pt>
                <c:pt idx="22">
                  <c:v>41061</c:v>
                </c:pt>
                <c:pt idx="23">
                  <c:v>41426</c:v>
                </c:pt>
                <c:pt idx="24">
                  <c:v>41791</c:v>
                </c:pt>
                <c:pt idx="25">
                  <c:v>42156</c:v>
                </c:pt>
                <c:pt idx="26">
                  <c:v>42522</c:v>
                </c:pt>
              </c:numCache>
            </c:numRef>
          </c:cat>
          <c:val>
            <c:numRef>
              <c:f>'GVA + GDP'!$AC$25:$AC$51</c:f>
              <c:numCache>
                <c:formatCode>0.0;\-0.0;0.0;@</c:formatCode>
                <c:ptCount val="27"/>
                <c:pt idx="0">
                  <c:v>2626.8817645369791</c:v>
                </c:pt>
                <c:pt idx="1">
                  <c:v>2614.2096736866465</c:v>
                </c:pt>
                <c:pt idx="2">
                  <c:v>2625.8395981371509</c:v>
                </c:pt>
                <c:pt idx="3">
                  <c:v>2792.8867920248599</c:v>
                </c:pt>
                <c:pt idx="4">
                  <c:v>2791.2161972424251</c:v>
                </c:pt>
                <c:pt idx="5">
                  <c:v>2777.7438364000909</c:v>
                </c:pt>
                <c:pt idx="6">
                  <c:v>2804.9141828716915</c:v>
                </c:pt>
                <c:pt idx="7">
                  <c:v>2880.0955327579654</c:v>
                </c:pt>
                <c:pt idx="8">
                  <c:v>2921.8706335045899</c:v>
                </c:pt>
                <c:pt idx="9">
                  <c:v>2997.9853606417078</c:v>
                </c:pt>
                <c:pt idx="10">
                  <c:v>3006.1275540233751</c:v>
                </c:pt>
                <c:pt idx="11">
                  <c:v>3026.5062491244998</c:v>
                </c:pt>
                <c:pt idx="12">
                  <c:v>3060.496942837211</c:v>
                </c:pt>
                <c:pt idx="13">
                  <c:v>3084.3225646148462</c:v>
                </c:pt>
                <c:pt idx="14">
                  <c:v>3104.8979817084487</c:v>
                </c:pt>
                <c:pt idx="15">
                  <c:v>3118.9286705523177</c:v>
                </c:pt>
                <c:pt idx="16">
                  <c:v>3118.7716982054667</c:v>
                </c:pt>
                <c:pt idx="17">
                  <c:v>3126.2843534540707</c:v>
                </c:pt>
                <c:pt idx="18">
                  <c:v>3131.6473090751651</c:v>
                </c:pt>
                <c:pt idx="19">
                  <c:v>3170.567544268084</c:v>
                </c:pt>
                <c:pt idx="20">
                  <c:v>3197.1967792009732</c:v>
                </c:pt>
                <c:pt idx="21">
                  <c:v>3186.5264100268578</c:v>
                </c:pt>
                <c:pt idx="22">
                  <c:v>3190.3837946524818</c:v>
                </c:pt>
                <c:pt idx="23">
                  <c:v>3187.9450111171668</c:v>
                </c:pt>
                <c:pt idx="24">
                  <c:v>3204.5932133312303</c:v>
                </c:pt>
                <c:pt idx="25">
                  <c:v>3226.828868440854</c:v>
                </c:pt>
                <c:pt idx="26">
                  <c:v>3252.055771079943</c:v>
                </c:pt>
              </c:numCache>
            </c:numRef>
          </c:val>
          <c:smooth val="0"/>
        </c:ser>
        <c:ser>
          <c:idx val="2"/>
          <c:order val="2"/>
          <c:tx>
            <c:strRef>
              <c:f>'GVA + GDP'!$AD$5</c:f>
              <c:strCache>
                <c:ptCount val="1"/>
                <c:pt idx="0">
                  <c:v>Health care and social assistance</c:v>
                </c:pt>
              </c:strCache>
            </c:strRef>
          </c:tx>
          <c:spPr>
            <a:ln w="28575" cap="rnd" cmpd="sng" algn="ctr">
              <a:solidFill>
                <a:schemeClr val="accent5">
                  <a:shade val="95000"/>
                  <a:satMod val="105000"/>
                </a:schemeClr>
              </a:solidFill>
              <a:prstDash val="solid"/>
              <a:round/>
            </a:ln>
            <a:effectLst/>
          </c:spPr>
          <c:marker>
            <c:symbol val="none"/>
          </c:marker>
          <c:cat>
            <c:numRef>
              <c:f>'GVA + GDP'!$A$25:$A$51</c:f>
              <c:numCache>
                <c:formatCode>mmm\-yyyy</c:formatCode>
                <c:ptCount val="27"/>
                <c:pt idx="0">
                  <c:v>33025</c:v>
                </c:pt>
                <c:pt idx="1">
                  <c:v>33390</c:v>
                </c:pt>
                <c:pt idx="2">
                  <c:v>33756</c:v>
                </c:pt>
                <c:pt idx="3">
                  <c:v>34121</c:v>
                </c:pt>
                <c:pt idx="4">
                  <c:v>34486</c:v>
                </c:pt>
                <c:pt idx="5">
                  <c:v>34851</c:v>
                </c:pt>
                <c:pt idx="6">
                  <c:v>35217</c:v>
                </c:pt>
                <c:pt idx="7">
                  <c:v>35582</c:v>
                </c:pt>
                <c:pt idx="8">
                  <c:v>35947</c:v>
                </c:pt>
                <c:pt idx="9">
                  <c:v>36312</c:v>
                </c:pt>
                <c:pt idx="10">
                  <c:v>36678</c:v>
                </c:pt>
                <c:pt idx="11">
                  <c:v>37043</c:v>
                </c:pt>
                <c:pt idx="12">
                  <c:v>37408</c:v>
                </c:pt>
                <c:pt idx="13">
                  <c:v>37773</c:v>
                </c:pt>
                <c:pt idx="14">
                  <c:v>38139</c:v>
                </c:pt>
                <c:pt idx="15">
                  <c:v>38504</c:v>
                </c:pt>
                <c:pt idx="16">
                  <c:v>38869</c:v>
                </c:pt>
                <c:pt idx="17">
                  <c:v>39234</c:v>
                </c:pt>
                <c:pt idx="18">
                  <c:v>39600</c:v>
                </c:pt>
                <c:pt idx="19">
                  <c:v>39965</c:v>
                </c:pt>
                <c:pt idx="20">
                  <c:v>40330</c:v>
                </c:pt>
                <c:pt idx="21">
                  <c:v>40695</c:v>
                </c:pt>
                <c:pt idx="22">
                  <c:v>41061</c:v>
                </c:pt>
                <c:pt idx="23">
                  <c:v>41426</c:v>
                </c:pt>
                <c:pt idx="24">
                  <c:v>41791</c:v>
                </c:pt>
                <c:pt idx="25">
                  <c:v>42156</c:v>
                </c:pt>
                <c:pt idx="26">
                  <c:v>42522</c:v>
                </c:pt>
              </c:numCache>
            </c:numRef>
          </c:cat>
          <c:val>
            <c:numRef>
              <c:f>'GVA + GDP'!$AD$25:$AD$51</c:f>
              <c:numCache>
                <c:formatCode>0.0;\-0.0;0.0;@</c:formatCode>
                <c:ptCount val="27"/>
                <c:pt idx="0">
                  <c:v>2225.2433328840734</c:v>
                </c:pt>
                <c:pt idx="1">
                  <c:v>2309.3612589678314</c:v>
                </c:pt>
                <c:pt idx="2">
                  <c:v>2330.220955911801</c:v>
                </c:pt>
                <c:pt idx="3">
                  <c:v>2356.9873205253252</c:v>
                </c:pt>
                <c:pt idx="4">
                  <c:v>2425.8796439302464</c:v>
                </c:pt>
                <c:pt idx="5">
                  <c:v>2504.5404306605424</c:v>
                </c:pt>
                <c:pt idx="6">
                  <c:v>2612.3194767569466</c:v>
                </c:pt>
                <c:pt idx="7">
                  <c:v>2652.4995929001793</c:v>
                </c:pt>
                <c:pt idx="8">
                  <c:v>2717.6530019991833</c:v>
                </c:pt>
                <c:pt idx="9">
                  <c:v>2766.275256082457</c:v>
                </c:pt>
                <c:pt idx="10">
                  <c:v>2875.7462372824352</c:v>
                </c:pt>
                <c:pt idx="11">
                  <c:v>2972.1344560486023</c:v>
                </c:pt>
                <c:pt idx="12">
                  <c:v>3106.1492059583898</c:v>
                </c:pt>
                <c:pt idx="13">
                  <c:v>3207.1883858078058</c:v>
                </c:pt>
                <c:pt idx="14">
                  <c:v>3319.3195101516603</c:v>
                </c:pt>
                <c:pt idx="15">
                  <c:v>3416.1016613139846</c:v>
                </c:pt>
                <c:pt idx="16">
                  <c:v>3534.6926800645447</c:v>
                </c:pt>
                <c:pt idx="17">
                  <c:v>3622.4528990378153</c:v>
                </c:pt>
                <c:pt idx="18">
                  <c:v>3730.1168985185323</c:v>
                </c:pt>
                <c:pt idx="19">
                  <c:v>3869.4062706011978</c:v>
                </c:pt>
                <c:pt idx="20">
                  <c:v>4006.1184288165291</c:v>
                </c:pt>
                <c:pt idx="21">
                  <c:v>4076.5890778871981</c:v>
                </c:pt>
                <c:pt idx="22">
                  <c:v>4131.1052740416135</c:v>
                </c:pt>
                <c:pt idx="23">
                  <c:v>4217.42929568204</c:v>
                </c:pt>
                <c:pt idx="24">
                  <c:v>4364.4051541514109</c:v>
                </c:pt>
                <c:pt idx="25">
                  <c:v>4545.2787597785564</c:v>
                </c:pt>
                <c:pt idx="26">
                  <c:v>4655.2024271361779</c:v>
                </c:pt>
              </c:numCache>
            </c:numRef>
          </c:val>
          <c:smooth val="0"/>
        </c:ser>
        <c:dLbls>
          <c:showLegendKey val="0"/>
          <c:showVal val="0"/>
          <c:showCatName val="0"/>
          <c:showSerName val="0"/>
          <c:showPercent val="0"/>
          <c:showBubbleSize val="0"/>
        </c:dLbls>
        <c:smooth val="0"/>
        <c:axId val="310268808"/>
        <c:axId val="310269592"/>
      </c:lineChart>
      <c:catAx>
        <c:axId val="310268808"/>
        <c:scaling>
          <c:orientation val="minMax"/>
        </c:scaling>
        <c:delete val="0"/>
        <c:axPos val="b"/>
        <c:numFmt formatCode="mmm\-yyyy" sourceLinked="1"/>
        <c:majorTickMark val="out"/>
        <c:minorTickMark val="none"/>
        <c:tickLblPos val="nextTo"/>
        <c:spPr>
          <a:noFill/>
          <a:ln w="9525" cap="flat" cmpd="sng" algn="ctr">
            <a:solidFill>
              <a:srgbClr val="BFBFBF"/>
            </a:solidFill>
            <a:prstDash val="solid"/>
            <a:round/>
          </a:ln>
          <a:effectLst/>
        </c:spPr>
        <c:txPr>
          <a:bodyPr rot="-60000000" spcFirstLastPara="1" vertOverflow="ellipsis" vert="horz" wrap="square" anchor="ctr" anchorCtr="1"/>
          <a:lstStyle/>
          <a:p>
            <a:pPr>
              <a:defRPr sz="800" b="0" i="0" u="none" strike="noStrike" kern="1200" spc="20" baseline="0">
                <a:solidFill>
                  <a:schemeClr val="tx1"/>
                </a:solidFill>
                <a:latin typeface="Arial" pitchFamily="34" charset="0"/>
                <a:ea typeface="+mn-ea"/>
                <a:cs typeface="+mn-cs"/>
              </a:defRPr>
            </a:pPr>
            <a:endParaRPr lang="en-US"/>
          </a:p>
        </c:txPr>
        <c:crossAx val="310269592"/>
        <c:crosses val="autoZero"/>
        <c:auto val="0"/>
        <c:lblAlgn val="ctr"/>
        <c:lblOffset val="100"/>
        <c:tickLblSkip val="13"/>
        <c:tickMarkSkip val="13"/>
        <c:noMultiLvlLbl val="0"/>
      </c:catAx>
      <c:valAx>
        <c:axId val="310269592"/>
        <c:scaling>
          <c:orientation val="minMax"/>
          <c:min val="2000"/>
        </c:scaling>
        <c:delete val="0"/>
        <c:axPos val="l"/>
        <c:numFmt formatCode="#,##0" sourceLinked="0"/>
        <c:majorTickMark val="out"/>
        <c:minorTickMark val="none"/>
        <c:tickLblPos val="nextTo"/>
        <c:spPr>
          <a:noFill/>
          <a:ln w="9525" cap="flat" cmpd="sng" algn="ctr">
            <a:solidFill>
              <a:srgbClr val="BFBFBF"/>
            </a:solidFill>
            <a:prstDash val="solid"/>
            <a:round/>
          </a:ln>
          <a:effectLst/>
        </c:spPr>
        <c:txPr>
          <a:bodyPr rot="-60000000" spcFirstLastPara="1" vertOverflow="ellipsis" vert="horz" wrap="square" anchor="ctr" anchorCtr="1"/>
          <a:lstStyle/>
          <a:p>
            <a:pPr>
              <a:defRPr sz="800" b="0" i="0" u="none" strike="noStrike" kern="1200" spc="20" baseline="0">
                <a:solidFill>
                  <a:schemeClr val="tx1"/>
                </a:solidFill>
                <a:latin typeface="Arial" pitchFamily="34" charset="0"/>
                <a:ea typeface="+mn-ea"/>
                <a:cs typeface="+mn-cs"/>
              </a:defRPr>
            </a:pPr>
            <a:endParaRPr lang="en-US"/>
          </a:p>
        </c:txPr>
        <c:crossAx val="310268808"/>
        <c:crosses val="autoZero"/>
        <c:crossBetween val="between"/>
      </c:valAx>
      <c:spPr>
        <a:noFill/>
        <a:ln>
          <a:noFill/>
        </a:ln>
        <a:effectLst/>
      </c:spPr>
    </c:plotArea>
    <c:legend>
      <c:legendPos val="b"/>
      <c:layout>
        <c:manualLayout>
          <c:xMode val="edge"/>
          <c:yMode val="edge"/>
          <c:x val="0"/>
          <c:y val="0.92755676235146134"/>
          <c:w val="1"/>
          <c:h val="7.1215327158994993E-2"/>
        </c:manualLayout>
      </c:layout>
      <c:overlay val="0"/>
      <c:spPr>
        <a:noFill/>
        <a:ln>
          <a:noFill/>
        </a:ln>
        <a:effectLst/>
      </c:spPr>
      <c:txPr>
        <a:bodyPr rot="0" spcFirstLastPara="1" vertOverflow="ellipsis" vert="horz" wrap="square" anchor="ctr" anchorCtr="1"/>
        <a:lstStyle/>
        <a:p>
          <a:pPr>
            <a:defRPr sz="800" b="0" i="0" u="none" strike="noStrike" kern="1200" spc="20" baseline="0">
              <a:solidFill>
                <a:schemeClr val="tx1"/>
              </a:solidFill>
              <a:latin typeface="Arial" pitchFamily="34" charset="0"/>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900" spc="20" baseline="0">
          <a:latin typeface="Arial"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98003785383401"/>
          <c:y val="4.0204678362573097E-2"/>
          <c:w val="0.79771449745252432"/>
          <c:h val="0.88478927798498874"/>
        </c:manualLayout>
      </c:layout>
      <c:lineChart>
        <c:grouping val="standard"/>
        <c:varyColors val="0"/>
        <c:ser>
          <c:idx val="0"/>
          <c:order val="0"/>
          <c:tx>
            <c:strRef>
              <c:f>'Annual workforce'!$W$5</c:f>
              <c:strCache>
                <c:ptCount val="1"/>
                <c:pt idx="0">
                  <c:v>Public Administration and Safety</c:v>
                </c:pt>
              </c:strCache>
            </c:strRef>
          </c:tx>
          <c:spPr>
            <a:ln w="28575" cap="rnd" cmpd="sng" algn="ctr">
              <a:solidFill>
                <a:schemeClr val="accent1">
                  <a:shade val="95000"/>
                  <a:satMod val="105000"/>
                </a:schemeClr>
              </a:solidFill>
              <a:prstDash val="solid"/>
              <a:round/>
            </a:ln>
            <a:effectLst/>
          </c:spPr>
          <c:marker>
            <c:symbol val="none"/>
          </c:marker>
          <c:cat>
            <c:numRef>
              <c:f>'Annual workforce'!$A$10:$A$36</c:f>
              <c:numCache>
                <c:formatCode>mmm\-yyyy</c:formatCode>
                <c:ptCount val="27"/>
                <c:pt idx="0">
                  <c:v>33359</c:v>
                </c:pt>
                <c:pt idx="1">
                  <c:v>33725</c:v>
                </c:pt>
                <c:pt idx="2">
                  <c:v>34090</c:v>
                </c:pt>
                <c:pt idx="3">
                  <c:v>34455</c:v>
                </c:pt>
                <c:pt idx="4">
                  <c:v>34820</c:v>
                </c:pt>
                <c:pt idx="5">
                  <c:v>35186</c:v>
                </c:pt>
                <c:pt idx="6">
                  <c:v>35551</c:v>
                </c:pt>
                <c:pt idx="7">
                  <c:v>35916</c:v>
                </c:pt>
                <c:pt idx="8">
                  <c:v>36281</c:v>
                </c:pt>
                <c:pt idx="9">
                  <c:v>36647</c:v>
                </c:pt>
                <c:pt idx="10">
                  <c:v>37012</c:v>
                </c:pt>
                <c:pt idx="11">
                  <c:v>37377</c:v>
                </c:pt>
                <c:pt idx="12">
                  <c:v>37742</c:v>
                </c:pt>
                <c:pt idx="13">
                  <c:v>38108</c:v>
                </c:pt>
                <c:pt idx="14">
                  <c:v>38473</c:v>
                </c:pt>
                <c:pt idx="15">
                  <c:v>38838</c:v>
                </c:pt>
                <c:pt idx="16">
                  <c:v>39203</c:v>
                </c:pt>
                <c:pt idx="17">
                  <c:v>39569</c:v>
                </c:pt>
                <c:pt idx="18">
                  <c:v>39934</c:v>
                </c:pt>
                <c:pt idx="19">
                  <c:v>40299</c:v>
                </c:pt>
                <c:pt idx="20">
                  <c:v>40664</c:v>
                </c:pt>
                <c:pt idx="21">
                  <c:v>41030</c:v>
                </c:pt>
                <c:pt idx="22">
                  <c:v>41395</c:v>
                </c:pt>
                <c:pt idx="23">
                  <c:v>41760</c:v>
                </c:pt>
                <c:pt idx="24">
                  <c:v>42125</c:v>
                </c:pt>
                <c:pt idx="25">
                  <c:v>42491</c:v>
                </c:pt>
                <c:pt idx="26">
                  <c:v>42856</c:v>
                </c:pt>
              </c:numCache>
            </c:numRef>
          </c:cat>
          <c:val>
            <c:numRef>
              <c:f>'Annual workforce'!$W$10:$W$36</c:f>
              <c:numCache>
                <c:formatCode>0.00</c:formatCode>
                <c:ptCount val="27"/>
                <c:pt idx="0">
                  <c:v>100</c:v>
                </c:pt>
                <c:pt idx="1">
                  <c:v>98.638276631268155</c:v>
                </c:pt>
                <c:pt idx="2">
                  <c:v>96.625641376191879</c:v>
                </c:pt>
                <c:pt idx="3">
                  <c:v>99.880383063982407</c:v>
                </c:pt>
                <c:pt idx="4">
                  <c:v>98.928039574444853</c:v>
                </c:pt>
                <c:pt idx="5">
                  <c:v>100.79207519174591</c:v>
                </c:pt>
                <c:pt idx="6">
                  <c:v>99.506625987719701</c:v>
                </c:pt>
                <c:pt idx="7">
                  <c:v>98.457845116788107</c:v>
                </c:pt>
                <c:pt idx="8">
                  <c:v>99.831922314444313</c:v>
                </c:pt>
                <c:pt idx="9">
                  <c:v>99.412907069498758</c:v>
                </c:pt>
                <c:pt idx="10">
                  <c:v>97.478019975082873</c:v>
                </c:pt>
                <c:pt idx="11">
                  <c:v>98.411994615882364</c:v>
                </c:pt>
                <c:pt idx="12">
                  <c:v>97.024941070917521</c:v>
                </c:pt>
                <c:pt idx="13">
                  <c:v>96.698173880764344</c:v>
                </c:pt>
                <c:pt idx="14">
                  <c:v>97.246417221594641</c:v>
                </c:pt>
                <c:pt idx="15">
                  <c:v>96.946822702617837</c:v>
                </c:pt>
                <c:pt idx="16">
                  <c:v>97.639894689254106</c:v>
                </c:pt>
                <c:pt idx="17">
                  <c:v>97.170414732341243</c:v>
                </c:pt>
                <c:pt idx="18">
                  <c:v>97.374857629532912</c:v>
                </c:pt>
                <c:pt idx="19">
                  <c:v>95.826175131314372</c:v>
                </c:pt>
                <c:pt idx="20">
                  <c:v>93.661878051735499</c:v>
                </c:pt>
                <c:pt idx="21">
                  <c:v>96.585762324508494</c:v>
                </c:pt>
                <c:pt idx="22">
                  <c:v>97.623774424762274</c:v>
                </c:pt>
                <c:pt idx="23">
                  <c:v>96.52269944657489</c:v>
                </c:pt>
                <c:pt idx="24">
                  <c:v>97.161569332737301</c:v>
                </c:pt>
                <c:pt idx="25">
                  <c:v>95.630562255870856</c:v>
                </c:pt>
                <c:pt idx="26">
                  <c:v>94.306261468747891</c:v>
                </c:pt>
              </c:numCache>
            </c:numRef>
          </c:val>
          <c:smooth val="0"/>
        </c:ser>
        <c:ser>
          <c:idx val="1"/>
          <c:order val="1"/>
          <c:tx>
            <c:strRef>
              <c:f>'Annual workforce'!$X$5</c:f>
              <c:strCache>
                <c:ptCount val="1"/>
                <c:pt idx="0">
                  <c:v>Education and Training</c:v>
                </c:pt>
              </c:strCache>
            </c:strRef>
          </c:tx>
          <c:spPr>
            <a:ln w="28575" cap="rnd" cmpd="sng" algn="ctr">
              <a:solidFill>
                <a:schemeClr val="accent3">
                  <a:shade val="95000"/>
                  <a:satMod val="105000"/>
                </a:schemeClr>
              </a:solidFill>
              <a:prstDash val="solid"/>
              <a:round/>
            </a:ln>
            <a:effectLst/>
          </c:spPr>
          <c:marker>
            <c:symbol val="none"/>
          </c:marker>
          <c:cat>
            <c:numRef>
              <c:f>'Annual workforce'!$A$10:$A$36</c:f>
              <c:numCache>
                <c:formatCode>mmm\-yyyy</c:formatCode>
                <c:ptCount val="27"/>
                <c:pt idx="0">
                  <c:v>33359</c:v>
                </c:pt>
                <c:pt idx="1">
                  <c:v>33725</c:v>
                </c:pt>
                <c:pt idx="2">
                  <c:v>34090</c:v>
                </c:pt>
                <c:pt idx="3">
                  <c:v>34455</c:v>
                </c:pt>
                <c:pt idx="4">
                  <c:v>34820</c:v>
                </c:pt>
                <c:pt idx="5">
                  <c:v>35186</c:v>
                </c:pt>
                <c:pt idx="6">
                  <c:v>35551</c:v>
                </c:pt>
                <c:pt idx="7">
                  <c:v>35916</c:v>
                </c:pt>
                <c:pt idx="8">
                  <c:v>36281</c:v>
                </c:pt>
                <c:pt idx="9">
                  <c:v>36647</c:v>
                </c:pt>
                <c:pt idx="10">
                  <c:v>37012</c:v>
                </c:pt>
                <c:pt idx="11">
                  <c:v>37377</c:v>
                </c:pt>
                <c:pt idx="12">
                  <c:v>37742</c:v>
                </c:pt>
                <c:pt idx="13">
                  <c:v>38108</c:v>
                </c:pt>
                <c:pt idx="14">
                  <c:v>38473</c:v>
                </c:pt>
                <c:pt idx="15">
                  <c:v>38838</c:v>
                </c:pt>
                <c:pt idx="16">
                  <c:v>39203</c:v>
                </c:pt>
                <c:pt idx="17">
                  <c:v>39569</c:v>
                </c:pt>
                <c:pt idx="18">
                  <c:v>39934</c:v>
                </c:pt>
                <c:pt idx="19">
                  <c:v>40299</c:v>
                </c:pt>
                <c:pt idx="20">
                  <c:v>40664</c:v>
                </c:pt>
                <c:pt idx="21">
                  <c:v>41030</c:v>
                </c:pt>
                <c:pt idx="22">
                  <c:v>41395</c:v>
                </c:pt>
                <c:pt idx="23">
                  <c:v>41760</c:v>
                </c:pt>
                <c:pt idx="24">
                  <c:v>42125</c:v>
                </c:pt>
                <c:pt idx="25">
                  <c:v>42491</c:v>
                </c:pt>
                <c:pt idx="26">
                  <c:v>42856</c:v>
                </c:pt>
              </c:numCache>
            </c:numRef>
          </c:cat>
          <c:val>
            <c:numRef>
              <c:f>'Annual workforce'!$X$10:$X$36</c:f>
              <c:numCache>
                <c:formatCode>0.00</c:formatCode>
                <c:ptCount val="27"/>
                <c:pt idx="0">
                  <c:v>100</c:v>
                </c:pt>
                <c:pt idx="1">
                  <c:v>99.412727793662185</c:v>
                </c:pt>
                <c:pt idx="2">
                  <c:v>101.40681239200116</c:v>
                </c:pt>
                <c:pt idx="3">
                  <c:v>99.561058543575825</c:v>
                </c:pt>
                <c:pt idx="4">
                  <c:v>100.82022863278995</c:v>
                </c:pt>
                <c:pt idx="5">
                  <c:v>100.1495170471233</c:v>
                </c:pt>
                <c:pt idx="6">
                  <c:v>99.198657560507485</c:v>
                </c:pt>
                <c:pt idx="7">
                  <c:v>98.963687639784666</c:v>
                </c:pt>
                <c:pt idx="8">
                  <c:v>99.752384981754233</c:v>
                </c:pt>
                <c:pt idx="9">
                  <c:v>97.079694191609605</c:v>
                </c:pt>
                <c:pt idx="10">
                  <c:v>99.800549473307015</c:v>
                </c:pt>
                <c:pt idx="11">
                  <c:v>92.802236978878369</c:v>
                </c:pt>
                <c:pt idx="12">
                  <c:v>97.13324636373541</c:v>
                </c:pt>
                <c:pt idx="13">
                  <c:v>96.275105416072748</c:v>
                </c:pt>
                <c:pt idx="14">
                  <c:v>96.33002947449242</c:v>
                </c:pt>
                <c:pt idx="15">
                  <c:v>94.70910118853017</c:v>
                </c:pt>
                <c:pt idx="16">
                  <c:v>96.306770154282262</c:v>
                </c:pt>
                <c:pt idx="17">
                  <c:v>95.009933140206783</c:v>
                </c:pt>
                <c:pt idx="18">
                  <c:v>94.908389693006768</c:v>
                </c:pt>
                <c:pt idx="19">
                  <c:v>94.061942919749924</c:v>
                </c:pt>
                <c:pt idx="20">
                  <c:v>92.453231698073537</c:v>
                </c:pt>
                <c:pt idx="21">
                  <c:v>91.803606567402625</c:v>
                </c:pt>
                <c:pt idx="22">
                  <c:v>89.874181206000287</c:v>
                </c:pt>
                <c:pt idx="23">
                  <c:v>93.841453366382709</c:v>
                </c:pt>
                <c:pt idx="24">
                  <c:v>93.782307892762034</c:v>
                </c:pt>
                <c:pt idx="25">
                  <c:v>92.304585446716743</c:v>
                </c:pt>
                <c:pt idx="26">
                  <c:v>92.326953939322749</c:v>
                </c:pt>
              </c:numCache>
            </c:numRef>
          </c:val>
          <c:smooth val="0"/>
        </c:ser>
        <c:ser>
          <c:idx val="2"/>
          <c:order val="2"/>
          <c:tx>
            <c:strRef>
              <c:f>'Annual workforce'!$Y$5</c:f>
              <c:strCache>
                <c:ptCount val="1"/>
                <c:pt idx="0">
                  <c:v>Health Care and Social Assistance</c:v>
                </c:pt>
              </c:strCache>
            </c:strRef>
          </c:tx>
          <c:spPr>
            <a:ln w="28575" cap="rnd" cmpd="sng" algn="ctr">
              <a:solidFill>
                <a:schemeClr val="accent5">
                  <a:shade val="95000"/>
                  <a:satMod val="105000"/>
                </a:schemeClr>
              </a:solidFill>
              <a:prstDash val="solid"/>
              <a:round/>
            </a:ln>
            <a:effectLst/>
          </c:spPr>
          <c:marker>
            <c:symbol val="none"/>
          </c:marker>
          <c:cat>
            <c:numRef>
              <c:f>'Annual workforce'!$A$10:$A$36</c:f>
              <c:numCache>
                <c:formatCode>mmm\-yyyy</c:formatCode>
                <c:ptCount val="27"/>
                <c:pt idx="0">
                  <c:v>33359</c:v>
                </c:pt>
                <c:pt idx="1">
                  <c:v>33725</c:v>
                </c:pt>
                <c:pt idx="2">
                  <c:v>34090</c:v>
                </c:pt>
                <c:pt idx="3">
                  <c:v>34455</c:v>
                </c:pt>
                <c:pt idx="4">
                  <c:v>34820</c:v>
                </c:pt>
                <c:pt idx="5">
                  <c:v>35186</c:v>
                </c:pt>
                <c:pt idx="6">
                  <c:v>35551</c:v>
                </c:pt>
                <c:pt idx="7">
                  <c:v>35916</c:v>
                </c:pt>
                <c:pt idx="8">
                  <c:v>36281</c:v>
                </c:pt>
                <c:pt idx="9">
                  <c:v>36647</c:v>
                </c:pt>
                <c:pt idx="10">
                  <c:v>37012</c:v>
                </c:pt>
                <c:pt idx="11">
                  <c:v>37377</c:v>
                </c:pt>
                <c:pt idx="12">
                  <c:v>37742</c:v>
                </c:pt>
                <c:pt idx="13">
                  <c:v>38108</c:v>
                </c:pt>
                <c:pt idx="14">
                  <c:v>38473</c:v>
                </c:pt>
                <c:pt idx="15">
                  <c:v>38838</c:v>
                </c:pt>
                <c:pt idx="16">
                  <c:v>39203</c:v>
                </c:pt>
                <c:pt idx="17">
                  <c:v>39569</c:v>
                </c:pt>
                <c:pt idx="18">
                  <c:v>39934</c:v>
                </c:pt>
                <c:pt idx="19">
                  <c:v>40299</c:v>
                </c:pt>
                <c:pt idx="20">
                  <c:v>40664</c:v>
                </c:pt>
                <c:pt idx="21">
                  <c:v>41030</c:v>
                </c:pt>
                <c:pt idx="22">
                  <c:v>41395</c:v>
                </c:pt>
                <c:pt idx="23">
                  <c:v>41760</c:v>
                </c:pt>
                <c:pt idx="24">
                  <c:v>42125</c:v>
                </c:pt>
                <c:pt idx="25">
                  <c:v>42491</c:v>
                </c:pt>
                <c:pt idx="26">
                  <c:v>42856</c:v>
                </c:pt>
              </c:numCache>
            </c:numRef>
          </c:cat>
          <c:val>
            <c:numRef>
              <c:f>'Annual workforce'!$Y$10:$Y$36</c:f>
              <c:numCache>
                <c:formatCode>0.00</c:formatCode>
                <c:ptCount val="27"/>
                <c:pt idx="0">
                  <c:v>100</c:v>
                </c:pt>
                <c:pt idx="1">
                  <c:v>98.440921963947687</c:v>
                </c:pt>
                <c:pt idx="2">
                  <c:v>97.590084667892583</c:v>
                </c:pt>
                <c:pt idx="3">
                  <c:v>98.632469024660338</c:v>
                </c:pt>
                <c:pt idx="4">
                  <c:v>97.975802595021293</c:v>
                </c:pt>
                <c:pt idx="5">
                  <c:v>98.141541302270412</c:v>
                </c:pt>
                <c:pt idx="6">
                  <c:v>98.255749052043811</c:v>
                </c:pt>
                <c:pt idx="7">
                  <c:v>97.199925620479604</c:v>
                </c:pt>
                <c:pt idx="8">
                  <c:v>96.440377700385298</c:v>
                </c:pt>
                <c:pt idx="9">
                  <c:v>96.508440769559442</c:v>
                </c:pt>
                <c:pt idx="10">
                  <c:v>96.369927034963027</c:v>
                </c:pt>
                <c:pt idx="11">
                  <c:v>96.131029382221641</c:v>
                </c:pt>
                <c:pt idx="12">
                  <c:v>95.251525948942714</c:v>
                </c:pt>
                <c:pt idx="13">
                  <c:v>95.259066481552836</c:v>
                </c:pt>
                <c:pt idx="14">
                  <c:v>93.708068657743212</c:v>
                </c:pt>
                <c:pt idx="15">
                  <c:v>96.130161368258555</c:v>
                </c:pt>
                <c:pt idx="16">
                  <c:v>96.011049642426229</c:v>
                </c:pt>
                <c:pt idx="17">
                  <c:v>95.782146422951598</c:v>
                </c:pt>
                <c:pt idx="18">
                  <c:v>94.292299114959519</c:v>
                </c:pt>
                <c:pt idx="19">
                  <c:v>94.642353239598819</c:v>
                </c:pt>
                <c:pt idx="20">
                  <c:v>93.964243071693772</c:v>
                </c:pt>
                <c:pt idx="21">
                  <c:v>96.070426834087769</c:v>
                </c:pt>
                <c:pt idx="22">
                  <c:v>93.642082064131216</c:v>
                </c:pt>
                <c:pt idx="23">
                  <c:v>94.65256890007467</c:v>
                </c:pt>
                <c:pt idx="24">
                  <c:v>95.389088151523012</c:v>
                </c:pt>
                <c:pt idx="25">
                  <c:v>93.217153367429901</c:v>
                </c:pt>
                <c:pt idx="26">
                  <c:v>94.021421060883227</c:v>
                </c:pt>
              </c:numCache>
            </c:numRef>
          </c:val>
          <c:smooth val="0"/>
        </c:ser>
        <c:ser>
          <c:idx val="3"/>
          <c:order val="3"/>
          <c:tx>
            <c:strRef>
              <c:f>'Annual workforce'!$Z$5</c:f>
              <c:strCache>
                <c:ptCount val="1"/>
                <c:pt idx="0">
                  <c:v>All employment</c:v>
                </c:pt>
              </c:strCache>
            </c:strRef>
          </c:tx>
          <c:spPr>
            <a:ln w="28575" cap="rnd" cmpd="sng" algn="ctr">
              <a:solidFill>
                <a:schemeClr val="accent1">
                  <a:lumMod val="60000"/>
                  <a:shade val="95000"/>
                  <a:satMod val="105000"/>
                </a:schemeClr>
              </a:solidFill>
              <a:prstDash val="dash"/>
              <a:round/>
            </a:ln>
            <a:effectLst/>
          </c:spPr>
          <c:marker>
            <c:symbol val="none"/>
          </c:marker>
          <c:cat>
            <c:numRef>
              <c:f>'Annual workforce'!$A$10:$A$36</c:f>
              <c:numCache>
                <c:formatCode>mmm\-yyyy</c:formatCode>
                <c:ptCount val="27"/>
                <c:pt idx="0">
                  <c:v>33359</c:v>
                </c:pt>
                <c:pt idx="1">
                  <c:v>33725</c:v>
                </c:pt>
                <c:pt idx="2">
                  <c:v>34090</c:v>
                </c:pt>
                <c:pt idx="3">
                  <c:v>34455</c:v>
                </c:pt>
                <c:pt idx="4">
                  <c:v>34820</c:v>
                </c:pt>
                <c:pt idx="5">
                  <c:v>35186</c:v>
                </c:pt>
                <c:pt idx="6">
                  <c:v>35551</c:v>
                </c:pt>
                <c:pt idx="7">
                  <c:v>35916</c:v>
                </c:pt>
                <c:pt idx="8">
                  <c:v>36281</c:v>
                </c:pt>
                <c:pt idx="9">
                  <c:v>36647</c:v>
                </c:pt>
                <c:pt idx="10">
                  <c:v>37012</c:v>
                </c:pt>
                <c:pt idx="11">
                  <c:v>37377</c:v>
                </c:pt>
                <c:pt idx="12">
                  <c:v>37742</c:v>
                </c:pt>
                <c:pt idx="13">
                  <c:v>38108</c:v>
                </c:pt>
                <c:pt idx="14">
                  <c:v>38473</c:v>
                </c:pt>
                <c:pt idx="15">
                  <c:v>38838</c:v>
                </c:pt>
                <c:pt idx="16">
                  <c:v>39203</c:v>
                </c:pt>
                <c:pt idx="17">
                  <c:v>39569</c:v>
                </c:pt>
                <c:pt idx="18">
                  <c:v>39934</c:v>
                </c:pt>
                <c:pt idx="19">
                  <c:v>40299</c:v>
                </c:pt>
                <c:pt idx="20">
                  <c:v>40664</c:v>
                </c:pt>
                <c:pt idx="21">
                  <c:v>41030</c:v>
                </c:pt>
                <c:pt idx="22">
                  <c:v>41395</c:v>
                </c:pt>
                <c:pt idx="23">
                  <c:v>41760</c:v>
                </c:pt>
                <c:pt idx="24">
                  <c:v>42125</c:v>
                </c:pt>
                <c:pt idx="25">
                  <c:v>42491</c:v>
                </c:pt>
                <c:pt idx="26">
                  <c:v>42856</c:v>
                </c:pt>
              </c:numCache>
            </c:numRef>
          </c:cat>
          <c:val>
            <c:numRef>
              <c:f>'Annual workforce'!$Z$10:$Z$36</c:f>
              <c:numCache>
                <c:formatCode>0.00</c:formatCode>
                <c:ptCount val="27"/>
                <c:pt idx="0">
                  <c:v>100</c:v>
                </c:pt>
                <c:pt idx="1">
                  <c:v>99.102238635631991</c:v>
                </c:pt>
                <c:pt idx="2">
                  <c:v>100.17804339911953</c:v>
                </c:pt>
                <c:pt idx="3">
                  <c:v>100.80023650152432</c:v>
                </c:pt>
                <c:pt idx="4">
                  <c:v>100.55137811657391</c:v>
                </c:pt>
                <c:pt idx="5">
                  <c:v>99.775703814799527</c:v>
                </c:pt>
                <c:pt idx="6">
                  <c:v>99.809268076471156</c:v>
                </c:pt>
                <c:pt idx="7">
                  <c:v>99.17943436107069</c:v>
                </c:pt>
                <c:pt idx="8">
                  <c:v>99.447595184823399</c:v>
                </c:pt>
                <c:pt idx="9">
                  <c:v>99.466851605978562</c:v>
                </c:pt>
                <c:pt idx="10">
                  <c:v>98.803354859322383</c:v>
                </c:pt>
                <c:pt idx="11">
                  <c:v>97.879428814821836</c:v>
                </c:pt>
                <c:pt idx="12">
                  <c:v>96.817416438083825</c:v>
                </c:pt>
                <c:pt idx="13">
                  <c:v>97.03319150189418</c:v>
                </c:pt>
                <c:pt idx="14">
                  <c:v>97.195522119282813</c:v>
                </c:pt>
                <c:pt idx="15">
                  <c:v>97.219949913831684</c:v>
                </c:pt>
                <c:pt idx="16">
                  <c:v>97.195398937898119</c:v>
                </c:pt>
                <c:pt idx="17">
                  <c:v>96.955616692057461</c:v>
                </c:pt>
                <c:pt idx="18">
                  <c:v>94.623066618361605</c:v>
                </c:pt>
                <c:pt idx="19">
                  <c:v>96.003612026137418</c:v>
                </c:pt>
                <c:pt idx="20">
                  <c:v>94.70901579818937</c:v>
                </c:pt>
                <c:pt idx="21">
                  <c:v>95.603209953118736</c:v>
                </c:pt>
                <c:pt idx="22">
                  <c:v>94.954649019505084</c:v>
                </c:pt>
                <c:pt idx="23">
                  <c:v>95.262505675813784</c:v>
                </c:pt>
                <c:pt idx="24">
                  <c:v>95.051189834248305</c:v>
                </c:pt>
                <c:pt idx="25">
                  <c:v>93.504818151474595</c:v>
                </c:pt>
                <c:pt idx="26">
                  <c:v>93.907192529625377</c:v>
                </c:pt>
              </c:numCache>
            </c:numRef>
          </c:val>
          <c:smooth val="0"/>
        </c:ser>
        <c:dLbls>
          <c:showLegendKey val="0"/>
          <c:showVal val="0"/>
          <c:showCatName val="0"/>
          <c:showSerName val="0"/>
          <c:showPercent val="0"/>
          <c:showBubbleSize val="0"/>
        </c:dLbls>
        <c:smooth val="0"/>
        <c:axId val="386956072"/>
        <c:axId val="386961560"/>
      </c:lineChart>
      <c:catAx>
        <c:axId val="386956072"/>
        <c:scaling>
          <c:orientation val="minMax"/>
        </c:scaling>
        <c:delete val="0"/>
        <c:axPos val="b"/>
        <c:numFmt formatCode="mmm\-yyyy" sourceLinked="1"/>
        <c:majorTickMark val="out"/>
        <c:minorTickMark val="none"/>
        <c:tickLblPos val="nextTo"/>
        <c:spPr>
          <a:noFill/>
          <a:ln w="9525" cap="flat" cmpd="sng" algn="ctr">
            <a:solidFill>
              <a:srgbClr val="BFBFBF"/>
            </a:solidFill>
            <a:prstDash val="solid"/>
            <a:round/>
          </a:ln>
          <a:effectLst/>
        </c:spPr>
        <c:txPr>
          <a:bodyPr rot="-60000000" spcFirstLastPara="1" vertOverflow="ellipsis" vert="horz" wrap="square" anchor="ctr" anchorCtr="1"/>
          <a:lstStyle/>
          <a:p>
            <a:pPr>
              <a:defRPr sz="800" b="0" i="0" u="none" strike="noStrike" kern="1200" spc="20" baseline="0">
                <a:solidFill>
                  <a:schemeClr val="tx1"/>
                </a:solidFill>
                <a:latin typeface="Arial" pitchFamily="34" charset="0"/>
                <a:ea typeface="+mn-ea"/>
                <a:cs typeface="+mn-cs"/>
              </a:defRPr>
            </a:pPr>
            <a:endParaRPr lang="en-US"/>
          </a:p>
        </c:txPr>
        <c:crossAx val="386961560"/>
        <c:crosses val="autoZero"/>
        <c:auto val="0"/>
        <c:lblAlgn val="ctr"/>
        <c:lblOffset val="100"/>
        <c:tickLblSkip val="12"/>
        <c:tickMarkSkip val="12"/>
        <c:noMultiLvlLbl val="1"/>
      </c:catAx>
      <c:valAx>
        <c:axId val="386961560"/>
        <c:scaling>
          <c:orientation val="minMax"/>
          <c:max val="102"/>
          <c:min val="88"/>
        </c:scaling>
        <c:delete val="0"/>
        <c:axPos val="l"/>
        <c:numFmt formatCode="0" sourceLinked="0"/>
        <c:majorTickMark val="out"/>
        <c:minorTickMark val="none"/>
        <c:tickLblPos val="nextTo"/>
        <c:spPr>
          <a:noFill/>
          <a:ln w="9525" cap="flat" cmpd="sng" algn="ctr">
            <a:solidFill>
              <a:srgbClr val="BFBFBF"/>
            </a:solidFill>
            <a:prstDash val="solid"/>
            <a:round/>
          </a:ln>
          <a:effectLst/>
        </c:spPr>
        <c:txPr>
          <a:bodyPr rot="-60000000" spcFirstLastPara="1" vertOverflow="ellipsis" vert="horz" wrap="square" anchor="ctr" anchorCtr="1"/>
          <a:lstStyle/>
          <a:p>
            <a:pPr>
              <a:defRPr sz="800" b="0" i="0" u="none" strike="noStrike" kern="1200" spc="20" baseline="0">
                <a:solidFill>
                  <a:schemeClr val="tx1"/>
                </a:solidFill>
                <a:latin typeface="Arial" pitchFamily="34" charset="0"/>
                <a:ea typeface="+mn-ea"/>
                <a:cs typeface="+mn-cs"/>
              </a:defRPr>
            </a:pPr>
            <a:endParaRPr lang="en-US"/>
          </a:p>
        </c:txPr>
        <c:crossAx val="386956072"/>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900" spc="20" baseline="0">
          <a:latin typeface="Arial"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934756247072164E-2"/>
          <c:y val="3.4324942791762014E-2"/>
          <c:w val="0.41537918447216998"/>
          <c:h val="0.78023057472507007"/>
        </c:manualLayout>
      </c:layout>
      <c:lineChart>
        <c:grouping val="standard"/>
        <c:varyColors val="0"/>
        <c:ser>
          <c:idx val="0"/>
          <c:order val="0"/>
          <c:tx>
            <c:strRef>
              <c:f>'Annual workforce'!$AB$5</c:f>
              <c:strCache>
                <c:ptCount val="1"/>
                <c:pt idx="0">
                  <c:v>Public administration and safety</c:v>
                </c:pt>
              </c:strCache>
            </c:strRef>
          </c:tx>
          <c:spPr>
            <a:ln w="28575" cap="rnd" cmpd="sng" algn="ctr">
              <a:solidFill>
                <a:schemeClr val="accent1">
                  <a:shade val="95000"/>
                  <a:satMod val="105000"/>
                </a:schemeClr>
              </a:solidFill>
              <a:prstDash val="solid"/>
              <a:round/>
            </a:ln>
            <a:effectLst/>
          </c:spPr>
          <c:marker>
            <c:symbol val="none"/>
          </c:marker>
          <c:cat>
            <c:numRef>
              <c:f>'Annual workforce'!$A$10:$A$36</c:f>
              <c:numCache>
                <c:formatCode>mmm\-yyyy</c:formatCode>
                <c:ptCount val="27"/>
                <c:pt idx="0">
                  <c:v>33359</c:v>
                </c:pt>
                <c:pt idx="1">
                  <c:v>33725</c:v>
                </c:pt>
                <c:pt idx="2">
                  <c:v>34090</c:v>
                </c:pt>
                <c:pt idx="3">
                  <c:v>34455</c:v>
                </c:pt>
                <c:pt idx="4">
                  <c:v>34820</c:v>
                </c:pt>
                <c:pt idx="5">
                  <c:v>35186</c:v>
                </c:pt>
                <c:pt idx="6">
                  <c:v>35551</c:v>
                </c:pt>
                <c:pt idx="7">
                  <c:v>35916</c:v>
                </c:pt>
                <c:pt idx="8">
                  <c:v>36281</c:v>
                </c:pt>
                <c:pt idx="9">
                  <c:v>36647</c:v>
                </c:pt>
                <c:pt idx="10">
                  <c:v>37012</c:v>
                </c:pt>
                <c:pt idx="11">
                  <c:v>37377</c:v>
                </c:pt>
                <c:pt idx="12">
                  <c:v>37742</c:v>
                </c:pt>
                <c:pt idx="13">
                  <c:v>38108</c:v>
                </c:pt>
                <c:pt idx="14">
                  <c:v>38473</c:v>
                </c:pt>
                <c:pt idx="15">
                  <c:v>38838</c:v>
                </c:pt>
                <c:pt idx="16">
                  <c:v>39203</c:v>
                </c:pt>
                <c:pt idx="17">
                  <c:v>39569</c:v>
                </c:pt>
                <c:pt idx="18">
                  <c:v>39934</c:v>
                </c:pt>
                <c:pt idx="19">
                  <c:v>40299</c:v>
                </c:pt>
                <c:pt idx="20">
                  <c:v>40664</c:v>
                </c:pt>
                <c:pt idx="21">
                  <c:v>41030</c:v>
                </c:pt>
                <c:pt idx="22">
                  <c:v>41395</c:v>
                </c:pt>
                <c:pt idx="23">
                  <c:v>41760</c:v>
                </c:pt>
                <c:pt idx="24">
                  <c:v>42125</c:v>
                </c:pt>
                <c:pt idx="25">
                  <c:v>42491</c:v>
                </c:pt>
                <c:pt idx="26">
                  <c:v>42856</c:v>
                </c:pt>
              </c:numCache>
            </c:numRef>
          </c:cat>
          <c:val>
            <c:numRef>
              <c:f>'Annual workforce'!$AB$10:$AB$36</c:f>
              <c:numCache>
                <c:formatCode>0.00</c:formatCode>
                <c:ptCount val="27"/>
                <c:pt idx="0">
                  <c:v>100</c:v>
                </c:pt>
                <c:pt idx="1">
                  <c:v>100.12544658523564</c:v>
                </c:pt>
                <c:pt idx="2">
                  <c:v>105.11751190486633</c:v>
                </c:pt>
                <c:pt idx="3">
                  <c:v>105.12425302713895</c:v>
                </c:pt>
                <c:pt idx="4">
                  <c:v>105.81505048328236</c:v>
                </c:pt>
                <c:pt idx="5">
                  <c:v>105.95729195458496</c:v>
                </c:pt>
                <c:pt idx="6">
                  <c:v>107.12031909178972</c:v>
                </c:pt>
                <c:pt idx="7">
                  <c:v>101.40272443934406</c:v>
                </c:pt>
                <c:pt idx="8">
                  <c:v>109.62296928998174</c:v>
                </c:pt>
                <c:pt idx="9">
                  <c:v>108.50720099956361</c:v>
                </c:pt>
                <c:pt idx="10">
                  <c:v>113.96962304553672</c:v>
                </c:pt>
                <c:pt idx="11">
                  <c:v>123.57704455752821</c:v>
                </c:pt>
                <c:pt idx="12">
                  <c:v>131.64688496675535</c:v>
                </c:pt>
                <c:pt idx="13">
                  <c:v>136.99261454722301</c:v>
                </c:pt>
                <c:pt idx="14">
                  <c:v>140.05678411634005</c:v>
                </c:pt>
                <c:pt idx="15">
                  <c:v>142.82566507341971</c:v>
                </c:pt>
                <c:pt idx="16">
                  <c:v>147.03832801702711</c:v>
                </c:pt>
                <c:pt idx="17">
                  <c:v>142.95292758342691</c:v>
                </c:pt>
                <c:pt idx="18">
                  <c:v>157.86137926470056</c:v>
                </c:pt>
                <c:pt idx="19">
                  <c:v>157.93067950177854</c:v>
                </c:pt>
                <c:pt idx="20">
                  <c:v>161.99284803353044</c:v>
                </c:pt>
                <c:pt idx="21">
                  <c:v>160.07130961655574</c:v>
                </c:pt>
                <c:pt idx="22">
                  <c:v>166.48095871080835</c:v>
                </c:pt>
                <c:pt idx="23">
                  <c:v>165.66458799451021</c:v>
                </c:pt>
                <c:pt idx="24">
                  <c:v>168.2107676915478</c:v>
                </c:pt>
                <c:pt idx="25">
                  <c:v>173.64147150576321</c:v>
                </c:pt>
                <c:pt idx="26">
                  <c:v>180.37435541465726</c:v>
                </c:pt>
              </c:numCache>
            </c:numRef>
          </c:val>
          <c:smooth val="0"/>
        </c:ser>
        <c:ser>
          <c:idx val="1"/>
          <c:order val="1"/>
          <c:tx>
            <c:strRef>
              <c:f>'Annual workforce'!$AC$5</c:f>
              <c:strCache>
                <c:ptCount val="1"/>
                <c:pt idx="0">
                  <c:v>Education and training</c:v>
                </c:pt>
              </c:strCache>
            </c:strRef>
          </c:tx>
          <c:spPr>
            <a:ln w="28575" cap="rnd" cmpd="sng" algn="ctr">
              <a:solidFill>
                <a:schemeClr val="accent3">
                  <a:shade val="95000"/>
                  <a:satMod val="105000"/>
                </a:schemeClr>
              </a:solidFill>
              <a:prstDash val="solid"/>
              <a:round/>
            </a:ln>
            <a:effectLst/>
          </c:spPr>
          <c:marker>
            <c:symbol val="none"/>
          </c:marker>
          <c:cat>
            <c:numRef>
              <c:f>'Annual workforce'!$A$10:$A$36</c:f>
              <c:numCache>
                <c:formatCode>mmm\-yyyy</c:formatCode>
                <c:ptCount val="27"/>
                <c:pt idx="0">
                  <c:v>33359</c:v>
                </c:pt>
                <c:pt idx="1">
                  <c:v>33725</c:v>
                </c:pt>
                <c:pt idx="2">
                  <c:v>34090</c:v>
                </c:pt>
                <c:pt idx="3">
                  <c:v>34455</c:v>
                </c:pt>
                <c:pt idx="4">
                  <c:v>34820</c:v>
                </c:pt>
                <c:pt idx="5">
                  <c:v>35186</c:v>
                </c:pt>
                <c:pt idx="6">
                  <c:v>35551</c:v>
                </c:pt>
                <c:pt idx="7">
                  <c:v>35916</c:v>
                </c:pt>
                <c:pt idx="8">
                  <c:v>36281</c:v>
                </c:pt>
                <c:pt idx="9">
                  <c:v>36647</c:v>
                </c:pt>
                <c:pt idx="10">
                  <c:v>37012</c:v>
                </c:pt>
                <c:pt idx="11">
                  <c:v>37377</c:v>
                </c:pt>
                <c:pt idx="12">
                  <c:v>37742</c:v>
                </c:pt>
                <c:pt idx="13">
                  <c:v>38108</c:v>
                </c:pt>
                <c:pt idx="14">
                  <c:v>38473</c:v>
                </c:pt>
                <c:pt idx="15">
                  <c:v>38838</c:v>
                </c:pt>
                <c:pt idx="16">
                  <c:v>39203</c:v>
                </c:pt>
                <c:pt idx="17">
                  <c:v>39569</c:v>
                </c:pt>
                <c:pt idx="18">
                  <c:v>39934</c:v>
                </c:pt>
                <c:pt idx="19">
                  <c:v>40299</c:v>
                </c:pt>
                <c:pt idx="20">
                  <c:v>40664</c:v>
                </c:pt>
                <c:pt idx="21">
                  <c:v>41030</c:v>
                </c:pt>
                <c:pt idx="22">
                  <c:v>41395</c:v>
                </c:pt>
                <c:pt idx="23">
                  <c:v>41760</c:v>
                </c:pt>
                <c:pt idx="24">
                  <c:v>42125</c:v>
                </c:pt>
                <c:pt idx="25">
                  <c:v>42491</c:v>
                </c:pt>
                <c:pt idx="26">
                  <c:v>42856</c:v>
                </c:pt>
              </c:numCache>
            </c:numRef>
          </c:cat>
          <c:val>
            <c:numRef>
              <c:f>'Annual workforce'!$AC$10:$AC$36</c:f>
              <c:numCache>
                <c:formatCode>0.00</c:formatCode>
                <c:ptCount val="27"/>
                <c:pt idx="0">
                  <c:v>100</c:v>
                </c:pt>
                <c:pt idx="1">
                  <c:v>103.40961189729865</c:v>
                </c:pt>
                <c:pt idx="2">
                  <c:v>105.42916672925338</c:v>
                </c:pt>
                <c:pt idx="3">
                  <c:v>104.97823109685341</c:v>
                </c:pt>
                <c:pt idx="4">
                  <c:v>108.53138935907887</c:v>
                </c:pt>
                <c:pt idx="5">
                  <c:v>111.9404120539278</c:v>
                </c:pt>
                <c:pt idx="6">
                  <c:v>110.73880276516684</c:v>
                </c:pt>
                <c:pt idx="7">
                  <c:v>114.1385798089775</c:v>
                </c:pt>
                <c:pt idx="8">
                  <c:v>117.50026511632284</c:v>
                </c:pt>
                <c:pt idx="9">
                  <c:v>116.48375807225391</c:v>
                </c:pt>
                <c:pt idx="10">
                  <c:v>118.12887617913495</c:v>
                </c:pt>
                <c:pt idx="11">
                  <c:v>122.7392346883742</c:v>
                </c:pt>
                <c:pt idx="12">
                  <c:v>125.63933696110752</c:v>
                </c:pt>
                <c:pt idx="13">
                  <c:v>135.28206212117374</c:v>
                </c:pt>
                <c:pt idx="14">
                  <c:v>130.06863840333295</c:v>
                </c:pt>
                <c:pt idx="15">
                  <c:v>135.70548906593135</c:v>
                </c:pt>
                <c:pt idx="16">
                  <c:v>141.98837840862214</c:v>
                </c:pt>
                <c:pt idx="17">
                  <c:v>150.81346308919285</c:v>
                </c:pt>
                <c:pt idx="18">
                  <c:v>148.98131147516034</c:v>
                </c:pt>
                <c:pt idx="19">
                  <c:v>152.73369929472076</c:v>
                </c:pt>
                <c:pt idx="20">
                  <c:v>159.7567980949764</c:v>
                </c:pt>
                <c:pt idx="21">
                  <c:v>164.58428917893826</c:v>
                </c:pt>
                <c:pt idx="22">
                  <c:v>168.02684940571029</c:v>
                </c:pt>
                <c:pt idx="23">
                  <c:v>169.14023073037976</c:v>
                </c:pt>
                <c:pt idx="24">
                  <c:v>171.28513273010023</c:v>
                </c:pt>
                <c:pt idx="25">
                  <c:v>173.35938662117513</c:v>
                </c:pt>
                <c:pt idx="26">
                  <c:v>181.0233764177658</c:v>
                </c:pt>
              </c:numCache>
            </c:numRef>
          </c:val>
          <c:smooth val="0"/>
        </c:ser>
        <c:ser>
          <c:idx val="2"/>
          <c:order val="2"/>
          <c:tx>
            <c:strRef>
              <c:f>'Annual workforce'!$AD$5</c:f>
              <c:strCache>
                <c:ptCount val="1"/>
                <c:pt idx="0">
                  <c:v>Health care and social assistance</c:v>
                </c:pt>
              </c:strCache>
            </c:strRef>
          </c:tx>
          <c:spPr>
            <a:ln w="28575" cap="rnd" cmpd="sng" algn="ctr">
              <a:solidFill>
                <a:schemeClr val="accent5">
                  <a:shade val="95000"/>
                  <a:satMod val="105000"/>
                </a:schemeClr>
              </a:solidFill>
              <a:prstDash val="solid"/>
              <a:round/>
            </a:ln>
            <a:effectLst/>
          </c:spPr>
          <c:marker>
            <c:symbol val="none"/>
          </c:marker>
          <c:cat>
            <c:numRef>
              <c:f>'Annual workforce'!$A$10:$A$36</c:f>
              <c:numCache>
                <c:formatCode>mmm\-yyyy</c:formatCode>
                <c:ptCount val="27"/>
                <c:pt idx="0">
                  <c:v>33359</c:v>
                </c:pt>
                <c:pt idx="1">
                  <c:v>33725</c:v>
                </c:pt>
                <c:pt idx="2">
                  <c:v>34090</c:v>
                </c:pt>
                <c:pt idx="3">
                  <c:v>34455</c:v>
                </c:pt>
                <c:pt idx="4">
                  <c:v>34820</c:v>
                </c:pt>
                <c:pt idx="5">
                  <c:v>35186</c:v>
                </c:pt>
                <c:pt idx="6">
                  <c:v>35551</c:v>
                </c:pt>
                <c:pt idx="7">
                  <c:v>35916</c:v>
                </c:pt>
                <c:pt idx="8">
                  <c:v>36281</c:v>
                </c:pt>
                <c:pt idx="9">
                  <c:v>36647</c:v>
                </c:pt>
                <c:pt idx="10">
                  <c:v>37012</c:v>
                </c:pt>
                <c:pt idx="11">
                  <c:v>37377</c:v>
                </c:pt>
                <c:pt idx="12">
                  <c:v>37742</c:v>
                </c:pt>
                <c:pt idx="13">
                  <c:v>38108</c:v>
                </c:pt>
                <c:pt idx="14">
                  <c:v>38473</c:v>
                </c:pt>
                <c:pt idx="15">
                  <c:v>38838</c:v>
                </c:pt>
                <c:pt idx="16">
                  <c:v>39203</c:v>
                </c:pt>
                <c:pt idx="17">
                  <c:v>39569</c:v>
                </c:pt>
                <c:pt idx="18">
                  <c:v>39934</c:v>
                </c:pt>
                <c:pt idx="19">
                  <c:v>40299</c:v>
                </c:pt>
                <c:pt idx="20">
                  <c:v>40664</c:v>
                </c:pt>
                <c:pt idx="21">
                  <c:v>41030</c:v>
                </c:pt>
                <c:pt idx="22">
                  <c:v>41395</c:v>
                </c:pt>
                <c:pt idx="23">
                  <c:v>41760</c:v>
                </c:pt>
                <c:pt idx="24">
                  <c:v>42125</c:v>
                </c:pt>
                <c:pt idx="25">
                  <c:v>42491</c:v>
                </c:pt>
                <c:pt idx="26">
                  <c:v>42856</c:v>
                </c:pt>
              </c:numCache>
            </c:numRef>
          </c:cat>
          <c:val>
            <c:numRef>
              <c:f>'Annual workforce'!$AD$10:$AD$36</c:f>
              <c:numCache>
                <c:formatCode>0.00</c:formatCode>
                <c:ptCount val="27"/>
                <c:pt idx="0">
                  <c:v>100</c:v>
                </c:pt>
                <c:pt idx="1">
                  <c:v>98.369116635996278</c:v>
                </c:pt>
                <c:pt idx="2">
                  <c:v>99.122856349920681</c:v>
                </c:pt>
                <c:pt idx="3">
                  <c:v>104.13255098407244</c:v>
                </c:pt>
                <c:pt idx="4">
                  <c:v>107.18576360070332</c:v>
                </c:pt>
                <c:pt idx="5">
                  <c:v>110.77188447668134</c:v>
                </c:pt>
                <c:pt idx="6">
                  <c:v>110.81113116017313</c:v>
                </c:pt>
                <c:pt idx="7">
                  <c:v>117.46743045405825</c:v>
                </c:pt>
                <c:pt idx="8">
                  <c:v>116.41948840910175</c:v>
                </c:pt>
                <c:pt idx="9">
                  <c:v>122.74683422052814</c:v>
                </c:pt>
                <c:pt idx="10">
                  <c:v>130.229284873518</c:v>
                </c:pt>
                <c:pt idx="11">
                  <c:v>131.58120420140321</c:v>
                </c:pt>
                <c:pt idx="12">
                  <c:v>132.78651185771162</c:v>
                </c:pt>
                <c:pt idx="13">
                  <c:v>138.83669438764795</c:v>
                </c:pt>
                <c:pt idx="14">
                  <c:v>142.5750920757331</c:v>
                </c:pt>
                <c:pt idx="15">
                  <c:v>154.92347040881026</c:v>
                </c:pt>
                <c:pt idx="16">
                  <c:v>156.98337279102142</c:v>
                </c:pt>
                <c:pt idx="17">
                  <c:v>160.67028627203894</c:v>
                </c:pt>
                <c:pt idx="18">
                  <c:v>173.92401378399876</c:v>
                </c:pt>
                <c:pt idx="19">
                  <c:v>176.68595255569451</c:v>
                </c:pt>
                <c:pt idx="20">
                  <c:v>184.86153808077316</c:v>
                </c:pt>
                <c:pt idx="21">
                  <c:v>194.25144126578243</c:v>
                </c:pt>
                <c:pt idx="22">
                  <c:v>200.0746947586081</c:v>
                </c:pt>
                <c:pt idx="23">
                  <c:v>201.5421709592726</c:v>
                </c:pt>
                <c:pt idx="24">
                  <c:v>215.3218571919212</c:v>
                </c:pt>
                <c:pt idx="25">
                  <c:v>227.71939895852378</c:v>
                </c:pt>
                <c:pt idx="26">
                  <c:v>233.07312060522349</c:v>
                </c:pt>
              </c:numCache>
            </c:numRef>
          </c:val>
          <c:smooth val="0"/>
        </c:ser>
        <c:ser>
          <c:idx val="3"/>
          <c:order val="3"/>
          <c:tx>
            <c:strRef>
              <c:f>'Annual workforce'!$AF$5</c:f>
              <c:strCache>
                <c:ptCount val="1"/>
                <c:pt idx="0">
                  <c:v>Total employment</c:v>
                </c:pt>
              </c:strCache>
            </c:strRef>
          </c:tx>
          <c:spPr>
            <a:ln w="28575" cap="rnd" cmpd="sng" algn="ctr">
              <a:solidFill>
                <a:schemeClr val="accent1">
                  <a:lumMod val="60000"/>
                  <a:shade val="95000"/>
                  <a:satMod val="105000"/>
                </a:schemeClr>
              </a:solidFill>
              <a:prstDash val="dash"/>
              <a:round/>
            </a:ln>
            <a:effectLst/>
          </c:spPr>
          <c:marker>
            <c:symbol val="none"/>
          </c:marker>
          <c:cat>
            <c:numRef>
              <c:f>'Annual workforce'!$A$10:$A$36</c:f>
              <c:numCache>
                <c:formatCode>mmm\-yyyy</c:formatCode>
                <c:ptCount val="27"/>
                <c:pt idx="0">
                  <c:v>33359</c:v>
                </c:pt>
                <c:pt idx="1">
                  <c:v>33725</c:v>
                </c:pt>
                <c:pt idx="2">
                  <c:v>34090</c:v>
                </c:pt>
                <c:pt idx="3">
                  <c:v>34455</c:v>
                </c:pt>
                <c:pt idx="4">
                  <c:v>34820</c:v>
                </c:pt>
                <c:pt idx="5">
                  <c:v>35186</c:v>
                </c:pt>
                <c:pt idx="6">
                  <c:v>35551</c:v>
                </c:pt>
                <c:pt idx="7">
                  <c:v>35916</c:v>
                </c:pt>
                <c:pt idx="8">
                  <c:v>36281</c:v>
                </c:pt>
                <c:pt idx="9">
                  <c:v>36647</c:v>
                </c:pt>
                <c:pt idx="10">
                  <c:v>37012</c:v>
                </c:pt>
                <c:pt idx="11">
                  <c:v>37377</c:v>
                </c:pt>
                <c:pt idx="12">
                  <c:v>37742</c:v>
                </c:pt>
                <c:pt idx="13">
                  <c:v>38108</c:v>
                </c:pt>
                <c:pt idx="14">
                  <c:v>38473</c:v>
                </c:pt>
                <c:pt idx="15">
                  <c:v>38838</c:v>
                </c:pt>
                <c:pt idx="16">
                  <c:v>39203</c:v>
                </c:pt>
                <c:pt idx="17">
                  <c:v>39569</c:v>
                </c:pt>
                <c:pt idx="18">
                  <c:v>39934</c:v>
                </c:pt>
                <c:pt idx="19">
                  <c:v>40299</c:v>
                </c:pt>
                <c:pt idx="20">
                  <c:v>40664</c:v>
                </c:pt>
                <c:pt idx="21">
                  <c:v>41030</c:v>
                </c:pt>
                <c:pt idx="22">
                  <c:v>41395</c:v>
                </c:pt>
                <c:pt idx="23">
                  <c:v>41760</c:v>
                </c:pt>
                <c:pt idx="24">
                  <c:v>42125</c:v>
                </c:pt>
                <c:pt idx="25">
                  <c:v>42491</c:v>
                </c:pt>
                <c:pt idx="26">
                  <c:v>42856</c:v>
                </c:pt>
              </c:numCache>
            </c:numRef>
          </c:cat>
          <c:val>
            <c:numRef>
              <c:f>'Annual workforce'!$AF$10:$AF$36</c:f>
              <c:numCache>
                <c:formatCode>0.00</c:formatCode>
                <c:ptCount val="27"/>
                <c:pt idx="0">
                  <c:v>100</c:v>
                </c:pt>
                <c:pt idx="1">
                  <c:v>99.061279130890881</c:v>
                </c:pt>
                <c:pt idx="2">
                  <c:v>98.919876399200518</c:v>
                </c:pt>
                <c:pt idx="3">
                  <c:v>102.00153184153113</c:v>
                </c:pt>
                <c:pt idx="4">
                  <c:v>105.99042234977205</c:v>
                </c:pt>
                <c:pt idx="5">
                  <c:v>107.7028923138499</c:v>
                </c:pt>
                <c:pt idx="6">
                  <c:v>108.13204893741705</c:v>
                </c:pt>
                <c:pt idx="7">
                  <c:v>110.10971230569547</c:v>
                </c:pt>
                <c:pt idx="8">
                  <c:v>111.71906676762573</c:v>
                </c:pt>
                <c:pt idx="9">
                  <c:v>115.07432601197361</c:v>
                </c:pt>
                <c:pt idx="10">
                  <c:v>116.88681916552646</c:v>
                </c:pt>
                <c:pt idx="11">
                  <c:v>118.57488709829198</c:v>
                </c:pt>
                <c:pt idx="12">
                  <c:v>121.76042445467532</c:v>
                </c:pt>
                <c:pt idx="13">
                  <c:v>123.7516124536557</c:v>
                </c:pt>
                <c:pt idx="14">
                  <c:v>127.87016684512294</c:v>
                </c:pt>
                <c:pt idx="15">
                  <c:v>130.87262416612202</c:v>
                </c:pt>
                <c:pt idx="16">
                  <c:v>135.15564095680313</c:v>
                </c:pt>
                <c:pt idx="17">
                  <c:v>138.76817023870024</c:v>
                </c:pt>
                <c:pt idx="18">
                  <c:v>140.02071319564584</c:v>
                </c:pt>
                <c:pt idx="19">
                  <c:v>142.23559085941304</c:v>
                </c:pt>
                <c:pt idx="20">
                  <c:v>145.33480225553589</c:v>
                </c:pt>
                <c:pt idx="21">
                  <c:v>147.85063738645144</c:v>
                </c:pt>
                <c:pt idx="22">
                  <c:v>149.08859929271202</c:v>
                </c:pt>
                <c:pt idx="23">
                  <c:v>149.87762652788561</c:v>
                </c:pt>
                <c:pt idx="24">
                  <c:v>152.74725902377236</c:v>
                </c:pt>
                <c:pt idx="25">
                  <c:v>155.39528548685789</c:v>
                </c:pt>
                <c:pt idx="26">
                  <c:v>158.4423217642985</c:v>
                </c:pt>
              </c:numCache>
            </c:numRef>
          </c:val>
          <c:smooth val="0"/>
        </c:ser>
        <c:dLbls>
          <c:showLegendKey val="0"/>
          <c:showVal val="0"/>
          <c:showCatName val="0"/>
          <c:showSerName val="0"/>
          <c:showPercent val="0"/>
          <c:showBubbleSize val="0"/>
        </c:dLbls>
        <c:smooth val="0"/>
        <c:axId val="386960384"/>
        <c:axId val="386960776"/>
      </c:lineChart>
      <c:catAx>
        <c:axId val="386960384"/>
        <c:scaling>
          <c:orientation val="minMax"/>
        </c:scaling>
        <c:delete val="0"/>
        <c:axPos val="b"/>
        <c:numFmt formatCode="mmm\-yyyy" sourceLinked="1"/>
        <c:majorTickMark val="out"/>
        <c:minorTickMark val="none"/>
        <c:tickLblPos val="nextTo"/>
        <c:spPr>
          <a:noFill/>
          <a:ln w="9525" cap="flat" cmpd="sng" algn="ctr">
            <a:solidFill>
              <a:srgbClr val="BFBFBF"/>
            </a:solidFill>
            <a:prstDash val="solid"/>
            <a:round/>
          </a:ln>
          <a:effectLst/>
        </c:spPr>
        <c:txPr>
          <a:bodyPr rot="-60000000" spcFirstLastPara="1" vertOverflow="ellipsis" vert="horz" wrap="square" anchor="ctr" anchorCtr="1"/>
          <a:lstStyle/>
          <a:p>
            <a:pPr>
              <a:defRPr sz="800" b="0" i="0" u="none" strike="noStrike" kern="1200" spc="20" baseline="0">
                <a:solidFill>
                  <a:schemeClr val="tx1"/>
                </a:solidFill>
                <a:latin typeface="Arial" pitchFamily="34" charset="0"/>
                <a:ea typeface="+mn-ea"/>
                <a:cs typeface="+mn-cs"/>
              </a:defRPr>
            </a:pPr>
            <a:endParaRPr lang="en-US"/>
          </a:p>
        </c:txPr>
        <c:crossAx val="386960776"/>
        <c:crosses val="autoZero"/>
        <c:auto val="0"/>
        <c:lblAlgn val="ctr"/>
        <c:lblOffset val="100"/>
        <c:tickLblSkip val="12"/>
        <c:tickMarkSkip val="12"/>
        <c:noMultiLvlLbl val="1"/>
      </c:catAx>
      <c:valAx>
        <c:axId val="386960776"/>
        <c:scaling>
          <c:orientation val="minMax"/>
          <c:max val="250"/>
          <c:min val="90"/>
        </c:scaling>
        <c:delete val="0"/>
        <c:axPos val="l"/>
        <c:numFmt formatCode="#,##0" sourceLinked="0"/>
        <c:majorTickMark val="out"/>
        <c:minorTickMark val="none"/>
        <c:tickLblPos val="nextTo"/>
        <c:spPr>
          <a:noFill/>
          <a:ln w="9525" cap="flat" cmpd="sng" algn="ctr">
            <a:solidFill>
              <a:srgbClr val="BFBFBF"/>
            </a:solidFill>
            <a:prstDash val="solid"/>
            <a:round/>
          </a:ln>
          <a:effectLst/>
        </c:spPr>
        <c:txPr>
          <a:bodyPr rot="-60000000" spcFirstLastPara="1" vertOverflow="ellipsis" vert="horz" wrap="square" anchor="ctr" anchorCtr="1"/>
          <a:lstStyle/>
          <a:p>
            <a:pPr>
              <a:defRPr sz="800" b="0" i="0" u="none" strike="noStrike" kern="1200" spc="20" baseline="0">
                <a:solidFill>
                  <a:schemeClr val="tx1"/>
                </a:solidFill>
                <a:latin typeface="Arial" pitchFamily="34" charset="0"/>
                <a:ea typeface="+mn-ea"/>
                <a:cs typeface="+mn-cs"/>
              </a:defRPr>
            </a:pPr>
            <a:endParaRPr lang="en-US"/>
          </a:p>
        </c:txPr>
        <c:crossAx val="386960384"/>
        <c:crosses val="autoZero"/>
        <c:crossBetween val="between"/>
      </c:valAx>
      <c:spPr>
        <a:noFill/>
        <a:ln>
          <a:noFill/>
        </a:ln>
        <a:effectLst/>
      </c:spPr>
    </c:plotArea>
    <c:legend>
      <c:legendPos val="b"/>
      <c:layout>
        <c:manualLayout>
          <c:xMode val="edge"/>
          <c:yMode val="edge"/>
          <c:x val="2.3894150635750691E-2"/>
          <c:y val="0.87783480108825995"/>
          <c:w val="0.9497881467106688"/>
          <c:h val="0.11385437406237373"/>
        </c:manualLayout>
      </c:layout>
      <c:overlay val="0"/>
      <c:spPr>
        <a:noFill/>
        <a:ln>
          <a:noFill/>
        </a:ln>
        <a:effectLst/>
      </c:spPr>
      <c:txPr>
        <a:bodyPr rot="0" spcFirstLastPara="1" vertOverflow="ellipsis" vert="horz" wrap="square" anchor="ctr" anchorCtr="1"/>
        <a:lstStyle/>
        <a:p>
          <a:pPr>
            <a:defRPr sz="900" b="0" i="0" u="none" strike="noStrike" kern="1200" spc="20" baseline="0">
              <a:solidFill>
                <a:schemeClr val="tx1"/>
              </a:solidFill>
              <a:latin typeface="Arial" pitchFamily="34" charset="0"/>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900" spc="20" baseline="0">
          <a:latin typeface="Arial"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195961665827"/>
          <c:y val="5.4522924411400248E-2"/>
          <c:w val="0.76930473554213352"/>
          <c:h val="0.85367210139624738"/>
        </c:manualLayout>
      </c:layout>
      <c:lineChart>
        <c:grouping val="standard"/>
        <c:varyColors val="0"/>
        <c:ser>
          <c:idx val="0"/>
          <c:order val="0"/>
          <c:tx>
            <c:strRef>
              <c:f>'Capital stock'!$X$5</c:f>
              <c:strCache>
                <c:ptCount val="1"/>
                <c:pt idx="0">
                  <c:v>Public administration and safety</c:v>
                </c:pt>
              </c:strCache>
            </c:strRef>
          </c:tx>
          <c:spPr>
            <a:ln w="28575" cap="rnd" cmpd="sng" algn="ctr">
              <a:solidFill>
                <a:schemeClr val="accent1">
                  <a:shade val="95000"/>
                  <a:satMod val="105000"/>
                </a:schemeClr>
              </a:solidFill>
              <a:prstDash val="solid"/>
              <a:round/>
            </a:ln>
            <a:effectLst/>
          </c:spPr>
          <c:marker>
            <c:symbol val="none"/>
          </c:marker>
          <c:cat>
            <c:numRef>
              <c:f>'Capital stock'!$A$39:$A$65</c:f>
              <c:numCache>
                <c:formatCode>mmm\-yyyy</c:formatCode>
                <c:ptCount val="27"/>
                <c:pt idx="0">
                  <c:v>33025</c:v>
                </c:pt>
                <c:pt idx="1">
                  <c:v>33390</c:v>
                </c:pt>
                <c:pt idx="2">
                  <c:v>33756</c:v>
                </c:pt>
                <c:pt idx="3">
                  <c:v>34121</c:v>
                </c:pt>
                <c:pt idx="4">
                  <c:v>34486</c:v>
                </c:pt>
                <c:pt idx="5">
                  <c:v>34851</c:v>
                </c:pt>
                <c:pt idx="6">
                  <c:v>35217</c:v>
                </c:pt>
                <c:pt idx="7">
                  <c:v>35582</c:v>
                </c:pt>
                <c:pt idx="8">
                  <c:v>35947</c:v>
                </c:pt>
                <c:pt idx="9">
                  <c:v>36312</c:v>
                </c:pt>
                <c:pt idx="10">
                  <c:v>36678</c:v>
                </c:pt>
                <c:pt idx="11">
                  <c:v>37043</c:v>
                </c:pt>
                <c:pt idx="12">
                  <c:v>37408</c:v>
                </c:pt>
                <c:pt idx="13">
                  <c:v>37773</c:v>
                </c:pt>
                <c:pt idx="14">
                  <c:v>38139</c:v>
                </c:pt>
                <c:pt idx="15">
                  <c:v>38504</c:v>
                </c:pt>
                <c:pt idx="16">
                  <c:v>38869</c:v>
                </c:pt>
                <c:pt idx="17">
                  <c:v>39234</c:v>
                </c:pt>
                <c:pt idx="18">
                  <c:v>39600</c:v>
                </c:pt>
                <c:pt idx="19">
                  <c:v>39965</c:v>
                </c:pt>
                <c:pt idx="20">
                  <c:v>40330</c:v>
                </c:pt>
                <c:pt idx="21">
                  <c:v>40695</c:v>
                </c:pt>
                <c:pt idx="22">
                  <c:v>41061</c:v>
                </c:pt>
                <c:pt idx="23">
                  <c:v>41426</c:v>
                </c:pt>
                <c:pt idx="24">
                  <c:v>41791</c:v>
                </c:pt>
                <c:pt idx="25">
                  <c:v>42156</c:v>
                </c:pt>
                <c:pt idx="26">
                  <c:v>42522</c:v>
                </c:pt>
              </c:numCache>
            </c:numRef>
          </c:cat>
          <c:val>
            <c:numRef>
              <c:f>'Capital stock'!$X$39:$X$65</c:f>
              <c:numCache>
                <c:formatCode>0;\-0;0;@</c:formatCode>
                <c:ptCount val="27"/>
                <c:pt idx="0">
                  <c:v>100</c:v>
                </c:pt>
                <c:pt idx="1">
                  <c:v>102.85347157605564</c:v>
                </c:pt>
                <c:pt idx="2">
                  <c:v>105.77251982808278</c:v>
                </c:pt>
                <c:pt idx="3">
                  <c:v>107.97554167220524</c:v>
                </c:pt>
                <c:pt idx="4">
                  <c:v>110.02968673844656</c:v>
                </c:pt>
                <c:pt idx="5">
                  <c:v>112.70326554122911</c:v>
                </c:pt>
                <c:pt idx="6">
                  <c:v>114.91957995480526</c:v>
                </c:pt>
                <c:pt idx="7">
                  <c:v>117.15007310913199</c:v>
                </c:pt>
                <c:pt idx="8">
                  <c:v>118.77088041118348</c:v>
                </c:pt>
                <c:pt idx="9">
                  <c:v>121.41078470468341</c:v>
                </c:pt>
                <c:pt idx="10">
                  <c:v>124.38477557711907</c:v>
                </c:pt>
                <c:pt idx="11">
                  <c:v>125.87265718463378</c:v>
                </c:pt>
                <c:pt idx="12">
                  <c:v>127.71500731091321</c:v>
                </c:pt>
                <c:pt idx="13">
                  <c:v>131.22513181798041</c:v>
                </c:pt>
                <c:pt idx="14">
                  <c:v>134.34888563959413</c:v>
                </c:pt>
                <c:pt idx="15">
                  <c:v>138.38185121183926</c:v>
                </c:pt>
                <c:pt idx="16">
                  <c:v>143.07855908547123</c:v>
                </c:pt>
                <c:pt idx="17">
                  <c:v>147.24888120873766</c:v>
                </c:pt>
                <c:pt idx="18">
                  <c:v>153.96517346803137</c:v>
                </c:pt>
                <c:pt idx="19">
                  <c:v>160.06291816208073</c:v>
                </c:pt>
                <c:pt idx="20">
                  <c:v>169.19845806194337</c:v>
                </c:pt>
                <c:pt idx="21">
                  <c:v>178.1505605033453</c:v>
                </c:pt>
                <c:pt idx="22">
                  <c:v>187.84793300544996</c:v>
                </c:pt>
                <c:pt idx="23">
                  <c:v>194.35863352386016</c:v>
                </c:pt>
                <c:pt idx="24">
                  <c:v>200.02481279631351</c:v>
                </c:pt>
                <c:pt idx="25">
                  <c:v>206.45841641189241</c:v>
                </c:pt>
                <c:pt idx="26">
                  <c:v>212.87075191634543</c:v>
                </c:pt>
              </c:numCache>
            </c:numRef>
          </c:val>
          <c:smooth val="0"/>
        </c:ser>
        <c:ser>
          <c:idx val="1"/>
          <c:order val="1"/>
          <c:tx>
            <c:strRef>
              <c:f>'Capital stock'!$Y$5</c:f>
              <c:strCache>
                <c:ptCount val="1"/>
                <c:pt idx="0">
                  <c:v>Education and training</c:v>
                </c:pt>
              </c:strCache>
            </c:strRef>
          </c:tx>
          <c:spPr>
            <a:ln w="28575" cap="rnd" cmpd="sng" algn="ctr">
              <a:solidFill>
                <a:schemeClr val="accent3">
                  <a:shade val="95000"/>
                  <a:satMod val="105000"/>
                </a:schemeClr>
              </a:solidFill>
              <a:prstDash val="solid"/>
              <a:round/>
            </a:ln>
            <a:effectLst/>
          </c:spPr>
          <c:marker>
            <c:symbol val="none"/>
          </c:marker>
          <c:cat>
            <c:numRef>
              <c:f>'Capital stock'!$A$39:$A$65</c:f>
              <c:numCache>
                <c:formatCode>mmm\-yyyy</c:formatCode>
                <c:ptCount val="27"/>
                <c:pt idx="0">
                  <c:v>33025</c:v>
                </c:pt>
                <c:pt idx="1">
                  <c:v>33390</c:v>
                </c:pt>
                <c:pt idx="2">
                  <c:v>33756</c:v>
                </c:pt>
                <c:pt idx="3">
                  <c:v>34121</c:v>
                </c:pt>
                <c:pt idx="4">
                  <c:v>34486</c:v>
                </c:pt>
                <c:pt idx="5">
                  <c:v>34851</c:v>
                </c:pt>
                <c:pt idx="6">
                  <c:v>35217</c:v>
                </c:pt>
                <c:pt idx="7">
                  <c:v>35582</c:v>
                </c:pt>
                <c:pt idx="8">
                  <c:v>35947</c:v>
                </c:pt>
                <c:pt idx="9">
                  <c:v>36312</c:v>
                </c:pt>
                <c:pt idx="10">
                  <c:v>36678</c:v>
                </c:pt>
                <c:pt idx="11">
                  <c:v>37043</c:v>
                </c:pt>
                <c:pt idx="12">
                  <c:v>37408</c:v>
                </c:pt>
                <c:pt idx="13">
                  <c:v>37773</c:v>
                </c:pt>
                <c:pt idx="14">
                  <c:v>38139</c:v>
                </c:pt>
                <c:pt idx="15">
                  <c:v>38504</c:v>
                </c:pt>
                <c:pt idx="16">
                  <c:v>38869</c:v>
                </c:pt>
                <c:pt idx="17">
                  <c:v>39234</c:v>
                </c:pt>
                <c:pt idx="18">
                  <c:v>39600</c:v>
                </c:pt>
                <c:pt idx="19">
                  <c:v>39965</c:v>
                </c:pt>
                <c:pt idx="20">
                  <c:v>40330</c:v>
                </c:pt>
                <c:pt idx="21">
                  <c:v>40695</c:v>
                </c:pt>
                <c:pt idx="22">
                  <c:v>41061</c:v>
                </c:pt>
                <c:pt idx="23">
                  <c:v>41426</c:v>
                </c:pt>
                <c:pt idx="24">
                  <c:v>41791</c:v>
                </c:pt>
                <c:pt idx="25">
                  <c:v>42156</c:v>
                </c:pt>
                <c:pt idx="26">
                  <c:v>42522</c:v>
                </c:pt>
              </c:numCache>
            </c:numRef>
          </c:cat>
          <c:val>
            <c:numRef>
              <c:f>'Capital stock'!$Y$39:$Y$65</c:f>
              <c:numCache>
                <c:formatCode>0;\-0;0;@</c:formatCode>
                <c:ptCount val="27"/>
                <c:pt idx="0">
                  <c:v>100</c:v>
                </c:pt>
                <c:pt idx="1">
                  <c:v>101.34259438904193</c:v>
                </c:pt>
                <c:pt idx="2">
                  <c:v>102.1962671219588</c:v>
                </c:pt>
                <c:pt idx="3">
                  <c:v>104.07822746498002</c:v>
                </c:pt>
                <c:pt idx="4">
                  <c:v>105.72478108468175</c:v>
                </c:pt>
                <c:pt idx="5">
                  <c:v>107.49033150957794</c:v>
                </c:pt>
                <c:pt idx="6">
                  <c:v>109.41109515864085</c:v>
                </c:pt>
                <c:pt idx="7">
                  <c:v>111.52587533791211</c:v>
                </c:pt>
                <c:pt idx="8">
                  <c:v>113.35609793954444</c:v>
                </c:pt>
                <c:pt idx="9">
                  <c:v>114.88494819758644</c:v>
                </c:pt>
                <c:pt idx="10">
                  <c:v>116.79407085483685</c:v>
                </c:pt>
                <c:pt idx="11">
                  <c:v>119.08217246776091</c:v>
                </c:pt>
                <c:pt idx="12">
                  <c:v>122.48134207701162</c:v>
                </c:pt>
                <c:pt idx="13">
                  <c:v>125.98916094317903</c:v>
                </c:pt>
                <c:pt idx="14">
                  <c:v>129.4439486244228</c:v>
                </c:pt>
                <c:pt idx="15">
                  <c:v>133.07205773931938</c:v>
                </c:pt>
                <c:pt idx="16">
                  <c:v>136.92134569865354</c:v>
                </c:pt>
                <c:pt idx="17">
                  <c:v>141.13409129124469</c:v>
                </c:pt>
                <c:pt idx="18">
                  <c:v>145.69865352528035</c:v>
                </c:pt>
                <c:pt idx="19">
                  <c:v>150.92416540555922</c:v>
                </c:pt>
                <c:pt idx="20">
                  <c:v>167.64192309184742</c:v>
                </c:pt>
                <c:pt idx="21">
                  <c:v>182.07287260874628</c:v>
                </c:pt>
                <c:pt idx="22">
                  <c:v>188.97598075356021</c:v>
                </c:pt>
                <c:pt idx="23">
                  <c:v>193.96996624112376</c:v>
                </c:pt>
                <c:pt idx="24">
                  <c:v>198.14908230181211</c:v>
                </c:pt>
                <c:pt idx="25">
                  <c:v>201.01664661829187</c:v>
                </c:pt>
                <c:pt idx="26">
                  <c:v>202.96069225097978</c:v>
                </c:pt>
              </c:numCache>
            </c:numRef>
          </c:val>
          <c:smooth val="0"/>
        </c:ser>
        <c:ser>
          <c:idx val="2"/>
          <c:order val="2"/>
          <c:tx>
            <c:strRef>
              <c:f>'Capital stock'!$Z$5</c:f>
              <c:strCache>
                <c:ptCount val="1"/>
                <c:pt idx="0">
                  <c:v>Health care and social assistance</c:v>
                </c:pt>
              </c:strCache>
            </c:strRef>
          </c:tx>
          <c:spPr>
            <a:ln w="28575" cap="rnd" cmpd="sng" algn="ctr">
              <a:solidFill>
                <a:schemeClr val="accent5">
                  <a:shade val="95000"/>
                  <a:satMod val="105000"/>
                </a:schemeClr>
              </a:solidFill>
              <a:prstDash val="solid"/>
              <a:round/>
            </a:ln>
            <a:effectLst/>
          </c:spPr>
          <c:marker>
            <c:symbol val="none"/>
          </c:marker>
          <c:cat>
            <c:numRef>
              <c:f>'Capital stock'!$A$39:$A$65</c:f>
              <c:numCache>
                <c:formatCode>mmm\-yyyy</c:formatCode>
                <c:ptCount val="27"/>
                <c:pt idx="0">
                  <c:v>33025</c:v>
                </c:pt>
                <c:pt idx="1">
                  <c:v>33390</c:v>
                </c:pt>
                <c:pt idx="2">
                  <c:v>33756</c:v>
                </c:pt>
                <c:pt idx="3">
                  <c:v>34121</c:v>
                </c:pt>
                <c:pt idx="4">
                  <c:v>34486</c:v>
                </c:pt>
                <c:pt idx="5">
                  <c:v>34851</c:v>
                </c:pt>
                <c:pt idx="6">
                  <c:v>35217</c:v>
                </c:pt>
                <c:pt idx="7">
                  <c:v>35582</c:v>
                </c:pt>
                <c:pt idx="8">
                  <c:v>35947</c:v>
                </c:pt>
                <c:pt idx="9">
                  <c:v>36312</c:v>
                </c:pt>
                <c:pt idx="10">
                  <c:v>36678</c:v>
                </c:pt>
                <c:pt idx="11">
                  <c:v>37043</c:v>
                </c:pt>
                <c:pt idx="12">
                  <c:v>37408</c:v>
                </c:pt>
                <c:pt idx="13">
                  <c:v>37773</c:v>
                </c:pt>
                <c:pt idx="14">
                  <c:v>38139</c:v>
                </c:pt>
                <c:pt idx="15">
                  <c:v>38504</c:v>
                </c:pt>
                <c:pt idx="16">
                  <c:v>38869</c:v>
                </c:pt>
                <c:pt idx="17">
                  <c:v>39234</c:v>
                </c:pt>
                <c:pt idx="18">
                  <c:v>39600</c:v>
                </c:pt>
                <c:pt idx="19">
                  <c:v>39965</c:v>
                </c:pt>
                <c:pt idx="20">
                  <c:v>40330</c:v>
                </c:pt>
                <c:pt idx="21">
                  <c:v>40695</c:v>
                </c:pt>
                <c:pt idx="22">
                  <c:v>41061</c:v>
                </c:pt>
                <c:pt idx="23">
                  <c:v>41426</c:v>
                </c:pt>
                <c:pt idx="24">
                  <c:v>41791</c:v>
                </c:pt>
                <c:pt idx="25">
                  <c:v>42156</c:v>
                </c:pt>
                <c:pt idx="26">
                  <c:v>42522</c:v>
                </c:pt>
              </c:numCache>
            </c:numRef>
          </c:cat>
          <c:val>
            <c:numRef>
              <c:f>'Capital stock'!$Z$39:$Z$65</c:f>
              <c:numCache>
                <c:formatCode>0;\-0;0;@</c:formatCode>
                <c:ptCount val="27"/>
                <c:pt idx="0">
                  <c:v>100</c:v>
                </c:pt>
                <c:pt idx="1">
                  <c:v>102.15893925696329</c:v>
                </c:pt>
                <c:pt idx="2">
                  <c:v>104.02083602393559</c:v>
                </c:pt>
                <c:pt idx="3">
                  <c:v>106.53062981617805</c:v>
                </c:pt>
                <c:pt idx="4">
                  <c:v>109.74859012441345</c:v>
                </c:pt>
                <c:pt idx="5">
                  <c:v>113.06125963235611</c:v>
                </c:pt>
                <c:pt idx="6">
                  <c:v>115.82719876017048</c:v>
                </c:pt>
                <c:pt idx="7">
                  <c:v>119.67153127556071</c:v>
                </c:pt>
                <c:pt idx="8">
                  <c:v>125.3713031124887</c:v>
                </c:pt>
                <c:pt idx="9">
                  <c:v>129.96685178010244</c:v>
                </c:pt>
                <c:pt idx="10">
                  <c:v>135.88187179818328</c:v>
                </c:pt>
                <c:pt idx="11">
                  <c:v>141.71079254380302</c:v>
                </c:pt>
                <c:pt idx="12">
                  <c:v>148.18761031469282</c:v>
                </c:pt>
                <c:pt idx="13">
                  <c:v>155.69546687330492</c:v>
                </c:pt>
                <c:pt idx="14">
                  <c:v>163.87489775711396</c:v>
                </c:pt>
                <c:pt idx="15">
                  <c:v>172.0478711954884</c:v>
                </c:pt>
                <c:pt idx="16">
                  <c:v>180.73313530500667</c:v>
                </c:pt>
                <c:pt idx="17">
                  <c:v>190.80029273752638</c:v>
                </c:pt>
                <c:pt idx="18">
                  <c:v>202.63033277368808</c:v>
                </c:pt>
                <c:pt idx="19">
                  <c:v>215.9412802961815</c:v>
                </c:pt>
                <c:pt idx="20">
                  <c:v>229.57294760859273</c:v>
                </c:pt>
                <c:pt idx="21">
                  <c:v>241.7624521072797</c:v>
                </c:pt>
                <c:pt idx="22">
                  <c:v>253.07159154505143</c:v>
                </c:pt>
                <c:pt idx="23">
                  <c:v>264.27525937405829</c:v>
                </c:pt>
                <c:pt idx="24">
                  <c:v>277.43983813336774</c:v>
                </c:pt>
                <c:pt idx="25">
                  <c:v>292.09393430625511</c:v>
                </c:pt>
                <c:pt idx="26">
                  <c:v>307.8630160575143</c:v>
                </c:pt>
              </c:numCache>
            </c:numRef>
          </c:val>
          <c:smooth val="0"/>
        </c:ser>
        <c:dLbls>
          <c:showLegendKey val="0"/>
          <c:showVal val="0"/>
          <c:showCatName val="0"/>
          <c:showSerName val="0"/>
          <c:showPercent val="0"/>
          <c:showBubbleSize val="0"/>
        </c:dLbls>
        <c:smooth val="0"/>
        <c:axId val="386959208"/>
        <c:axId val="386957248"/>
      </c:lineChart>
      <c:catAx>
        <c:axId val="386959208"/>
        <c:scaling>
          <c:orientation val="minMax"/>
        </c:scaling>
        <c:delete val="0"/>
        <c:axPos val="b"/>
        <c:numFmt formatCode="mmm\-yyyy" sourceLinked="1"/>
        <c:majorTickMark val="out"/>
        <c:minorTickMark val="none"/>
        <c:tickLblPos val="nextTo"/>
        <c:spPr>
          <a:noFill/>
          <a:ln w="9525" cap="flat" cmpd="sng" algn="ctr">
            <a:solidFill>
              <a:srgbClr val="BFBFBF"/>
            </a:solidFill>
            <a:prstDash val="solid"/>
            <a:round/>
          </a:ln>
          <a:effectLst/>
        </c:spPr>
        <c:txPr>
          <a:bodyPr rot="-60000000" spcFirstLastPara="1" vertOverflow="ellipsis" vert="horz" wrap="square" anchor="ctr" anchorCtr="1"/>
          <a:lstStyle/>
          <a:p>
            <a:pPr>
              <a:defRPr sz="800" b="0" i="0" u="none" strike="noStrike" kern="1200" spc="20" baseline="0">
                <a:solidFill>
                  <a:schemeClr val="tx1"/>
                </a:solidFill>
                <a:latin typeface="Arial" pitchFamily="34" charset="0"/>
                <a:ea typeface="+mn-ea"/>
                <a:cs typeface="+mn-cs"/>
              </a:defRPr>
            </a:pPr>
            <a:endParaRPr lang="en-US"/>
          </a:p>
        </c:txPr>
        <c:crossAx val="386957248"/>
        <c:crosses val="autoZero"/>
        <c:auto val="0"/>
        <c:lblAlgn val="ctr"/>
        <c:lblOffset val="100"/>
        <c:tickLblSkip val="13"/>
        <c:tickMarkSkip val="13"/>
        <c:noMultiLvlLbl val="0"/>
      </c:catAx>
      <c:valAx>
        <c:axId val="386957248"/>
        <c:scaling>
          <c:orientation val="minMax"/>
          <c:min val="90"/>
        </c:scaling>
        <c:delete val="0"/>
        <c:axPos val="l"/>
        <c:numFmt formatCode="0;\-0;0;@" sourceLinked="1"/>
        <c:majorTickMark val="out"/>
        <c:minorTickMark val="none"/>
        <c:tickLblPos val="nextTo"/>
        <c:spPr>
          <a:noFill/>
          <a:ln w="9525" cap="flat" cmpd="sng" algn="ctr">
            <a:solidFill>
              <a:srgbClr val="BFBFBF"/>
            </a:solidFill>
            <a:prstDash val="solid"/>
            <a:round/>
          </a:ln>
          <a:effectLst/>
        </c:spPr>
        <c:txPr>
          <a:bodyPr rot="-60000000" spcFirstLastPara="1" vertOverflow="ellipsis" vert="horz" wrap="square" anchor="ctr" anchorCtr="1"/>
          <a:lstStyle/>
          <a:p>
            <a:pPr>
              <a:defRPr sz="800" b="0" i="0" u="none" strike="noStrike" kern="1200" spc="20" baseline="0">
                <a:solidFill>
                  <a:schemeClr val="tx1"/>
                </a:solidFill>
                <a:latin typeface="Arial" pitchFamily="34" charset="0"/>
                <a:ea typeface="+mn-ea"/>
                <a:cs typeface="+mn-cs"/>
              </a:defRPr>
            </a:pPr>
            <a:endParaRPr lang="en-US"/>
          </a:p>
        </c:txPr>
        <c:crossAx val="386959208"/>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900" spc="20" baseline="0">
          <a:latin typeface="Arial"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300182703034796E-2"/>
          <c:y val="3.8727388806128964E-2"/>
          <c:w val="0.39862891881841256"/>
          <c:h val="0.77551003759665182"/>
        </c:manualLayout>
      </c:layout>
      <c:lineChart>
        <c:grouping val="standard"/>
        <c:varyColors val="0"/>
        <c:ser>
          <c:idx val="0"/>
          <c:order val="0"/>
          <c:tx>
            <c:strRef>
              <c:f>'Capital stock'!$T$5</c:f>
              <c:strCache>
                <c:ptCount val="1"/>
                <c:pt idx="0">
                  <c:v>Public administration and safety</c:v>
                </c:pt>
              </c:strCache>
            </c:strRef>
          </c:tx>
          <c:spPr>
            <a:ln w="28575" cap="rnd" cmpd="sng" algn="ctr">
              <a:solidFill>
                <a:schemeClr val="accent1">
                  <a:shade val="95000"/>
                  <a:satMod val="105000"/>
                </a:schemeClr>
              </a:solidFill>
              <a:prstDash val="solid"/>
              <a:round/>
            </a:ln>
            <a:effectLst/>
          </c:spPr>
          <c:marker>
            <c:symbol val="none"/>
          </c:marker>
          <c:cat>
            <c:numRef>
              <c:f>'Capital stock'!$A$39:$A$65</c:f>
              <c:numCache>
                <c:formatCode>mmm\-yyyy</c:formatCode>
                <c:ptCount val="27"/>
                <c:pt idx="0">
                  <c:v>33025</c:v>
                </c:pt>
                <c:pt idx="1">
                  <c:v>33390</c:v>
                </c:pt>
                <c:pt idx="2">
                  <c:v>33756</c:v>
                </c:pt>
                <c:pt idx="3">
                  <c:v>34121</c:v>
                </c:pt>
                <c:pt idx="4">
                  <c:v>34486</c:v>
                </c:pt>
                <c:pt idx="5">
                  <c:v>34851</c:v>
                </c:pt>
                <c:pt idx="6">
                  <c:v>35217</c:v>
                </c:pt>
                <c:pt idx="7">
                  <c:v>35582</c:v>
                </c:pt>
                <c:pt idx="8">
                  <c:v>35947</c:v>
                </c:pt>
                <c:pt idx="9">
                  <c:v>36312</c:v>
                </c:pt>
                <c:pt idx="10">
                  <c:v>36678</c:v>
                </c:pt>
                <c:pt idx="11">
                  <c:v>37043</c:v>
                </c:pt>
                <c:pt idx="12">
                  <c:v>37408</c:v>
                </c:pt>
                <c:pt idx="13">
                  <c:v>37773</c:v>
                </c:pt>
                <c:pt idx="14">
                  <c:v>38139</c:v>
                </c:pt>
                <c:pt idx="15">
                  <c:v>38504</c:v>
                </c:pt>
                <c:pt idx="16">
                  <c:v>38869</c:v>
                </c:pt>
                <c:pt idx="17">
                  <c:v>39234</c:v>
                </c:pt>
                <c:pt idx="18">
                  <c:v>39600</c:v>
                </c:pt>
                <c:pt idx="19">
                  <c:v>39965</c:v>
                </c:pt>
                <c:pt idx="20">
                  <c:v>40330</c:v>
                </c:pt>
                <c:pt idx="21">
                  <c:v>40695</c:v>
                </c:pt>
                <c:pt idx="22">
                  <c:v>41061</c:v>
                </c:pt>
                <c:pt idx="23">
                  <c:v>41426</c:v>
                </c:pt>
                <c:pt idx="24">
                  <c:v>41791</c:v>
                </c:pt>
                <c:pt idx="25">
                  <c:v>42156</c:v>
                </c:pt>
                <c:pt idx="26">
                  <c:v>42522</c:v>
                </c:pt>
              </c:numCache>
            </c:numRef>
          </c:cat>
          <c:val>
            <c:numRef>
              <c:f>'Capital stock'!$T$39:$T$65</c:f>
              <c:numCache>
                <c:formatCode>0;\-0;0;@</c:formatCode>
                <c:ptCount val="27"/>
                <c:pt idx="0">
                  <c:v>100</c:v>
                </c:pt>
                <c:pt idx="1">
                  <c:v>106.71848972792893</c:v>
                </c:pt>
                <c:pt idx="2">
                  <c:v>114.49194891726819</c:v>
                </c:pt>
                <c:pt idx="3">
                  <c:v>111.06792522672589</c:v>
                </c:pt>
                <c:pt idx="4">
                  <c:v>114.08476772163614</c:v>
                </c:pt>
                <c:pt idx="5">
                  <c:v>128.87284841754581</c:v>
                </c:pt>
                <c:pt idx="6">
                  <c:v>130.77919674255043</c:v>
                </c:pt>
                <c:pt idx="7">
                  <c:v>136.86840644086618</c:v>
                </c:pt>
                <c:pt idx="8">
                  <c:v>137.36812881732371</c:v>
                </c:pt>
                <c:pt idx="9">
                  <c:v>159.59652045160095</c:v>
                </c:pt>
                <c:pt idx="10">
                  <c:v>179.32630020359059</c:v>
                </c:pt>
                <c:pt idx="11">
                  <c:v>174.23653525818989</c:v>
                </c:pt>
                <c:pt idx="12">
                  <c:v>185.54506755506199</c:v>
                </c:pt>
                <c:pt idx="13">
                  <c:v>225.0231352952064</c:v>
                </c:pt>
                <c:pt idx="14">
                  <c:v>225.80048121414032</c:v>
                </c:pt>
                <c:pt idx="15">
                  <c:v>258.43050157320005</c:v>
                </c:pt>
                <c:pt idx="16">
                  <c:v>264.88987599481766</c:v>
                </c:pt>
                <c:pt idx="17">
                  <c:v>272.23764575235975</c:v>
                </c:pt>
                <c:pt idx="18">
                  <c:v>314.45493244493798</c:v>
                </c:pt>
                <c:pt idx="19">
                  <c:v>321.76568573014993</c:v>
                </c:pt>
                <c:pt idx="20">
                  <c:v>380.95502498611881</c:v>
                </c:pt>
                <c:pt idx="21">
                  <c:v>391.91190079585414</c:v>
                </c:pt>
                <c:pt idx="22">
                  <c:v>424.30131408476768</c:v>
                </c:pt>
                <c:pt idx="23">
                  <c:v>373.49620581158615</c:v>
                </c:pt>
                <c:pt idx="24">
                  <c:v>372.05256339070883</c:v>
                </c:pt>
                <c:pt idx="25">
                  <c:v>397.2052563390709</c:v>
                </c:pt>
                <c:pt idx="26">
                  <c:v>406.90357208957988</c:v>
                </c:pt>
              </c:numCache>
            </c:numRef>
          </c:val>
          <c:smooth val="0"/>
        </c:ser>
        <c:ser>
          <c:idx val="1"/>
          <c:order val="1"/>
          <c:tx>
            <c:strRef>
              <c:f>'Capital stock'!$U$5</c:f>
              <c:strCache>
                <c:ptCount val="1"/>
                <c:pt idx="0">
                  <c:v>Education and training</c:v>
                </c:pt>
              </c:strCache>
            </c:strRef>
          </c:tx>
          <c:spPr>
            <a:ln w="28575" cap="rnd" cmpd="sng" algn="ctr">
              <a:solidFill>
                <a:schemeClr val="accent3">
                  <a:shade val="95000"/>
                  <a:satMod val="105000"/>
                </a:schemeClr>
              </a:solidFill>
              <a:prstDash val="solid"/>
              <a:round/>
            </a:ln>
            <a:effectLst/>
          </c:spPr>
          <c:marker>
            <c:symbol val="none"/>
          </c:marker>
          <c:cat>
            <c:numRef>
              <c:f>'Capital stock'!$A$39:$A$65</c:f>
              <c:numCache>
                <c:formatCode>mmm\-yyyy</c:formatCode>
                <c:ptCount val="27"/>
                <c:pt idx="0">
                  <c:v>33025</c:v>
                </c:pt>
                <c:pt idx="1">
                  <c:v>33390</c:v>
                </c:pt>
                <c:pt idx="2">
                  <c:v>33756</c:v>
                </c:pt>
                <c:pt idx="3">
                  <c:v>34121</c:v>
                </c:pt>
                <c:pt idx="4">
                  <c:v>34486</c:v>
                </c:pt>
                <c:pt idx="5">
                  <c:v>34851</c:v>
                </c:pt>
                <c:pt idx="6">
                  <c:v>35217</c:v>
                </c:pt>
                <c:pt idx="7">
                  <c:v>35582</c:v>
                </c:pt>
                <c:pt idx="8">
                  <c:v>35947</c:v>
                </c:pt>
                <c:pt idx="9">
                  <c:v>36312</c:v>
                </c:pt>
                <c:pt idx="10">
                  <c:v>36678</c:v>
                </c:pt>
                <c:pt idx="11">
                  <c:v>37043</c:v>
                </c:pt>
                <c:pt idx="12">
                  <c:v>37408</c:v>
                </c:pt>
                <c:pt idx="13">
                  <c:v>37773</c:v>
                </c:pt>
                <c:pt idx="14">
                  <c:v>38139</c:v>
                </c:pt>
                <c:pt idx="15">
                  <c:v>38504</c:v>
                </c:pt>
                <c:pt idx="16">
                  <c:v>38869</c:v>
                </c:pt>
                <c:pt idx="17">
                  <c:v>39234</c:v>
                </c:pt>
                <c:pt idx="18">
                  <c:v>39600</c:v>
                </c:pt>
                <c:pt idx="19">
                  <c:v>39965</c:v>
                </c:pt>
                <c:pt idx="20">
                  <c:v>40330</c:v>
                </c:pt>
                <c:pt idx="21">
                  <c:v>40695</c:v>
                </c:pt>
                <c:pt idx="22">
                  <c:v>41061</c:v>
                </c:pt>
                <c:pt idx="23">
                  <c:v>41426</c:v>
                </c:pt>
                <c:pt idx="24">
                  <c:v>41791</c:v>
                </c:pt>
                <c:pt idx="25">
                  <c:v>42156</c:v>
                </c:pt>
                <c:pt idx="26">
                  <c:v>42522</c:v>
                </c:pt>
              </c:numCache>
            </c:numRef>
          </c:cat>
          <c:val>
            <c:numRef>
              <c:f>'Capital stock'!$U$39:$U$65</c:f>
              <c:numCache>
                <c:formatCode>0;\-0;0;@</c:formatCode>
                <c:ptCount val="27"/>
                <c:pt idx="0">
                  <c:v>100</c:v>
                </c:pt>
                <c:pt idx="1">
                  <c:v>104.42413162705668</c:v>
                </c:pt>
                <c:pt idx="2">
                  <c:v>100.69469835466178</c:v>
                </c:pt>
                <c:pt idx="3">
                  <c:v>127.67824497257769</c:v>
                </c:pt>
                <c:pt idx="4">
                  <c:v>129.46983546617915</c:v>
                </c:pt>
                <c:pt idx="5">
                  <c:v>137.36745886654481</c:v>
                </c:pt>
                <c:pt idx="6">
                  <c:v>147.05667276051187</c:v>
                </c:pt>
                <c:pt idx="7">
                  <c:v>159.15904936014624</c:v>
                </c:pt>
                <c:pt idx="8">
                  <c:v>161.24314442413163</c:v>
                </c:pt>
                <c:pt idx="9">
                  <c:v>160.87751371115172</c:v>
                </c:pt>
                <c:pt idx="10">
                  <c:v>178.53747714808043</c:v>
                </c:pt>
                <c:pt idx="11">
                  <c:v>193.74771480804387</c:v>
                </c:pt>
                <c:pt idx="12">
                  <c:v>224.46069469835467</c:v>
                </c:pt>
                <c:pt idx="13">
                  <c:v>236.01462522851921</c:v>
                </c:pt>
                <c:pt idx="14">
                  <c:v>245.81352833638027</c:v>
                </c:pt>
                <c:pt idx="15">
                  <c:v>265.19195612431446</c:v>
                </c:pt>
                <c:pt idx="16">
                  <c:v>274.88117001828152</c:v>
                </c:pt>
                <c:pt idx="17">
                  <c:v>298.61060329067641</c:v>
                </c:pt>
                <c:pt idx="18">
                  <c:v>308.26325411334551</c:v>
                </c:pt>
                <c:pt idx="19">
                  <c:v>338.28153564899452</c:v>
                </c:pt>
                <c:pt idx="20">
                  <c:v>663.43692870201096</c:v>
                </c:pt>
                <c:pt idx="21">
                  <c:v>619.89031078610606</c:v>
                </c:pt>
                <c:pt idx="22">
                  <c:v>431.62705667276055</c:v>
                </c:pt>
                <c:pt idx="23">
                  <c:v>393.23583180987202</c:v>
                </c:pt>
                <c:pt idx="24">
                  <c:v>383.72943327239489</c:v>
                </c:pt>
                <c:pt idx="25">
                  <c:v>352.90676416819014</c:v>
                </c:pt>
                <c:pt idx="26">
                  <c:v>331.55393053016456</c:v>
                </c:pt>
              </c:numCache>
            </c:numRef>
          </c:val>
          <c:smooth val="0"/>
        </c:ser>
        <c:ser>
          <c:idx val="2"/>
          <c:order val="2"/>
          <c:tx>
            <c:strRef>
              <c:f>'Capital stock'!$V$5</c:f>
              <c:strCache>
                <c:ptCount val="1"/>
                <c:pt idx="0">
                  <c:v>Health care and social assistance</c:v>
                </c:pt>
              </c:strCache>
            </c:strRef>
          </c:tx>
          <c:spPr>
            <a:ln w="28575" cap="rnd" cmpd="sng" algn="ctr">
              <a:solidFill>
                <a:schemeClr val="accent5">
                  <a:shade val="95000"/>
                  <a:satMod val="105000"/>
                </a:schemeClr>
              </a:solidFill>
              <a:prstDash val="solid"/>
              <a:round/>
            </a:ln>
            <a:effectLst/>
          </c:spPr>
          <c:marker>
            <c:symbol val="none"/>
          </c:marker>
          <c:cat>
            <c:numRef>
              <c:f>'Capital stock'!$A$39:$A$65</c:f>
              <c:numCache>
                <c:formatCode>mmm\-yyyy</c:formatCode>
                <c:ptCount val="27"/>
                <c:pt idx="0">
                  <c:v>33025</c:v>
                </c:pt>
                <c:pt idx="1">
                  <c:v>33390</c:v>
                </c:pt>
                <c:pt idx="2">
                  <c:v>33756</c:v>
                </c:pt>
                <c:pt idx="3">
                  <c:v>34121</c:v>
                </c:pt>
                <c:pt idx="4">
                  <c:v>34486</c:v>
                </c:pt>
                <c:pt idx="5">
                  <c:v>34851</c:v>
                </c:pt>
                <c:pt idx="6">
                  <c:v>35217</c:v>
                </c:pt>
                <c:pt idx="7">
                  <c:v>35582</c:v>
                </c:pt>
                <c:pt idx="8">
                  <c:v>35947</c:v>
                </c:pt>
                <c:pt idx="9">
                  <c:v>36312</c:v>
                </c:pt>
                <c:pt idx="10">
                  <c:v>36678</c:v>
                </c:pt>
                <c:pt idx="11">
                  <c:v>37043</c:v>
                </c:pt>
                <c:pt idx="12">
                  <c:v>37408</c:v>
                </c:pt>
                <c:pt idx="13">
                  <c:v>37773</c:v>
                </c:pt>
                <c:pt idx="14">
                  <c:v>38139</c:v>
                </c:pt>
                <c:pt idx="15">
                  <c:v>38504</c:v>
                </c:pt>
                <c:pt idx="16">
                  <c:v>38869</c:v>
                </c:pt>
                <c:pt idx="17">
                  <c:v>39234</c:v>
                </c:pt>
                <c:pt idx="18">
                  <c:v>39600</c:v>
                </c:pt>
                <c:pt idx="19">
                  <c:v>39965</c:v>
                </c:pt>
                <c:pt idx="20">
                  <c:v>40330</c:v>
                </c:pt>
                <c:pt idx="21">
                  <c:v>40695</c:v>
                </c:pt>
                <c:pt idx="22">
                  <c:v>41061</c:v>
                </c:pt>
                <c:pt idx="23">
                  <c:v>41426</c:v>
                </c:pt>
                <c:pt idx="24">
                  <c:v>41791</c:v>
                </c:pt>
                <c:pt idx="25">
                  <c:v>42156</c:v>
                </c:pt>
                <c:pt idx="26">
                  <c:v>42522</c:v>
                </c:pt>
              </c:numCache>
            </c:numRef>
          </c:cat>
          <c:val>
            <c:numRef>
              <c:f>'Capital stock'!$V$39:$V$65</c:f>
              <c:numCache>
                <c:formatCode>0;\-0;0;@</c:formatCode>
                <c:ptCount val="27"/>
                <c:pt idx="0">
                  <c:v>100</c:v>
                </c:pt>
                <c:pt idx="1">
                  <c:v>98.415841584158414</c:v>
                </c:pt>
                <c:pt idx="2">
                  <c:v>97.78217821782178</c:v>
                </c:pt>
                <c:pt idx="3">
                  <c:v>109.06930693069307</c:v>
                </c:pt>
                <c:pt idx="4">
                  <c:v>121.22772277227722</c:v>
                </c:pt>
                <c:pt idx="5">
                  <c:v>126.33663366336634</c:v>
                </c:pt>
                <c:pt idx="6">
                  <c:v>124</c:v>
                </c:pt>
                <c:pt idx="7">
                  <c:v>144.43564356435644</c:v>
                </c:pt>
                <c:pt idx="8">
                  <c:v>178.13861386138615</c:v>
                </c:pt>
                <c:pt idx="9">
                  <c:v>168.99009900990097</c:v>
                </c:pt>
                <c:pt idx="10">
                  <c:v>194.73267326732673</c:v>
                </c:pt>
                <c:pt idx="11">
                  <c:v>198.49504950495049</c:v>
                </c:pt>
                <c:pt idx="12">
                  <c:v>212.79207920792081</c:v>
                </c:pt>
                <c:pt idx="13">
                  <c:v>234.93069306930693</c:v>
                </c:pt>
                <c:pt idx="14">
                  <c:v>254.25742574257427</c:v>
                </c:pt>
                <c:pt idx="15">
                  <c:v>270.61386138613864</c:v>
                </c:pt>
                <c:pt idx="16">
                  <c:v>286.65346534653463</c:v>
                </c:pt>
                <c:pt idx="17">
                  <c:v>329.34653465346531</c:v>
                </c:pt>
                <c:pt idx="18">
                  <c:v>372.63366336633663</c:v>
                </c:pt>
                <c:pt idx="19">
                  <c:v>420.91089108910893</c:v>
                </c:pt>
                <c:pt idx="20">
                  <c:v>451.24752475247521</c:v>
                </c:pt>
                <c:pt idx="21">
                  <c:v>445.54455445544556</c:v>
                </c:pt>
                <c:pt idx="22">
                  <c:v>450.49504950495043</c:v>
                </c:pt>
                <c:pt idx="23">
                  <c:v>464.87128712871282</c:v>
                </c:pt>
                <c:pt idx="24">
                  <c:v>518.37623762376234</c:v>
                </c:pt>
                <c:pt idx="25">
                  <c:v>560.35643564356428</c:v>
                </c:pt>
                <c:pt idx="26">
                  <c:v>594.21782178217825</c:v>
                </c:pt>
              </c:numCache>
            </c:numRef>
          </c:val>
          <c:smooth val="0"/>
        </c:ser>
        <c:dLbls>
          <c:showLegendKey val="0"/>
          <c:showVal val="0"/>
          <c:showCatName val="0"/>
          <c:showSerName val="0"/>
          <c:showPercent val="0"/>
          <c:showBubbleSize val="0"/>
        </c:dLbls>
        <c:smooth val="0"/>
        <c:axId val="386961168"/>
        <c:axId val="386959992"/>
      </c:lineChart>
      <c:catAx>
        <c:axId val="386961168"/>
        <c:scaling>
          <c:orientation val="minMax"/>
        </c:scaling>
        <c:delete val="0"/>
        <c:axPos val="b"/>
        <c:numFmt formatCode="mmm\-yyyy" sourceLinked="1"/>
        <c:majorTickMark val="out"/>
        <c:minorTickMark val="none"/>
        <c:tickLblPos val="nextTo"/>
        <c:spPr>
          <a:noFill/>
          <a:ln w="9525" cap="flat" cmpd="sng" algn="ctr">
            <a:solidFill>
              <a:srgbClr val="BFBFBF"/>
            </a:solidFill>
            <a:prstDash val="solid"/>
            <a:round/>
          </a:ln>
          <a:effectLst/>
        </c:spPr>
        <c:txPr>
          <a:bodyPr rot="-60000000" spcFirstLastPara="1" vertOverflow="ellipsis" vert="horz" wrap="square" anchor="ctr" anchorCtr="1"/>
          <a:lstStyle/>
          <a:p>
            <a:pPr>
              <a:defRPr sz="800" b="0" i="0" u="none" strike="noStrike" kern="1200" spc="20" baseline="0">
                <a:solidFill>
                  <a:schemeClr val="tx1"/>
                </a:solidFill>
                <a:latin typeface="Arial" pitchFamily="34" charset="0"/>
                <a:ea typeface="+mn-ea"/>
                <a:cs typeface="+mn-cs"/>
              </a:defRPr>
            </a:pPr>
            <a:endParaRPr lang="en-US"/>
          </a:p>
        </c:txPr>
        <c:crossAx val="386959992"/>
        <c:crosses val="autoZero"/>
        <c:auto val="0"/>
        <c:lblAlgn val="ctr"/>
        <c:lblOffset val="100"/>
        <c:tickLblSkip val="13"/>
        <c:tickMarkSkip val="13"/>
        <c:noMultiLvlLbl val="0"/>
      </c:catAx>
      <c:valAx>
        <c:axId val="386959992"/>
        <c:scaling>
          <c:orientation val="minMax"/>
        </c:scaling>
        <c:delete val="0"/>
        <c:axPos val="l"/>
        <c:numFmt formatCode="0;\-0;0;@" sourceLinked="1"/>
        <c:majorTickMark val="out"/>
        <c:minorTickMark val="none"/>
        <c:tickLblPos val="nextTo"/>
        <c:spPr>
          <a:noFill/>
          <a:ln w="9525" cap="flat" cmpd="sng" algn="ctr">
            <a:solidFill>
              <a:srgbClr val="BFBFBF"/>
            </a:solidFill>
            <a:prstDash val="solid"/>
            <a:round/>
          </a:ln>
          <a:effectLst/>
        </c:spPr>
        <c:txPr>
          <a:bodyPr rot="-60000000" spcFirstLastPara="1" vertOverflow="ellipsis" vert="horz" wrap="square" anchor="ctr" anchorCtr="1"/>
          <a:lstStyle/>
          <a:p>
            <a:pPr>
              <a:defRPr sz="800" b="0" i="0" u="none" strike="noStrike" kern="1200" spc="20" baseline="0">
                <a:solidFill>
                  <a:schemeClr val="tx1"/>
                </a:solidFill>
                <a:latin typeface="Arial" pitchFamily="34" charset="0"/>
                <a:ea typeface="+mn-ea"/>
                <a:cs typeface="+mn-cs"/>
              </a:defRPr>
            </a:pPr>
            <a:endParaRPr lang="en-US"/>
          </a:p>
        </c:txPr>
        <c:crossAx val="386961168"/>
        <c:crosses val="autoZero"/>
        <c:crossBetween val="between"/>
      </c:valAx>
      <c:spPr>
        <a:noFill/>
        <a:ln>
          <a:noFill/>
        </a:ln>
        <a:effectLst/>
      </c:spPr>
    </c:plotArea>
    <c:legend>
      <c:legendPos val="b"/>
      <c:layout>
        <c:manualLayout>
          <c:xMode val="edge"/>
          <c:yMode val="edge"/>
          <c:x val="0"/>
          <c:y val="0.89910335532382779"/>
          <c:w val="1"/>
          <c:h val="8.7383131162658723E-2"/>
        </c:manualLayout>
      </c:layout>
      <c:overlay val="0"/>
      <c:spPr>
        <a:noFill/>
        <a:ln>
          <a:noFill/>
        </a:ln>
        <a:effectLst/>
      </c:spPr>
      <c:txPr>
        <a:bodyPr rot="0" spcFirstLastPara="1" vertOverflow="ellipsis" vert="horz" wrap="square" anchor="ctr" anchorCtr="1"/>
        <a:lstStyle/>
        <a:p>
          <a:pPr>
            <a:defRPr sz="800" b="0" i="0" u="none" strike="noStrike" kern="1200" spc="20" baseline="0">
              <a:solidFill>
                <a:schemeClr val="tx1"/>
              </a:solidFill>
              <a:latin typeface="Arial" pitchFamily="34" charset="0"/>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900" spc="20" baseline="0">
          <a:latin typeface="Arial"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38327500729076"/>
          <c:y val="4.2009694043718987E-2"/>
          <c:w val="0.77754042195107287"/>
          <c:h val="0.86736027901403634"/>
        </c:manualLayout>
      </c:layout>
      <c:lineChart>
        <c:grouping val="standard"/>
        <c:varyColors val="0"/>
        <c:ser>
          <c:idx val="0"/>
          <c:order val="0"/>
          <c:tx>
            <c:strRef>
              <c:f>Sheet1!$D$4</c:f>
              <c:strCache>
                <c:ptCount val="1"/>
                <c:pt idx="0">
                  <c:v>New output method</c:v>
                </c:pt>
              </c:strCache>
            </c:strRef>
          </c:tx>
          <c:spPr>
            <a:ln>
              <a:solidFill>
                <a:srgbClr val="78A22F"/>
              </a:solidFill>
            </a:ln>
          </c:spPr>
          <c:marker>
            <c:symbol val="none"/>
          </c:marker>
          <c:cat>
            <c:strRef>
              <c:f>Sheet1!$C$5:$C$11</c:f>
              <c:strCache>
                <c:ptCount val="7"/>
                <c:pt idx="0">
                  <c:v>1993-94</c:v>
                </c:pt>
                <c:pt idx="1">
                  <c:v>1994-95</c:v>
                </c:pt>
                <c:pt idx="2">
                  <c:v>1995-96</c:v>
                </c:pt>
                <c:pt idx="3">
                  <c:v>1996-97</c:v>
                </c:pt>
                <c:pt idx="4">
                  <c:v>1997-98</c:v>
                </c:pt>
                <c:pt idx="5">
                  <c:v>1998-99</c:v>
                </c:pt>
                <c:pt idx="6">
                  <c:v>1999-00</c:v>
                </c:pt>
              </c:strCache>
            </c:strRef>
          </c:cat>
          <c:val>
            <c:numRef>
              <c:f>Sheet1!$D$5:$D$11</c:f>
              <c:numCache>
                <c:formatCode>0.0</c:formatCode>
                <c:ptCount val="7"/>
                <c:pt idx="0">
                  <c:v>81.0052779309855</c:v>
                </c:pt>
                <c:pt idx="1">
                  <c:v>84.542966126222495</c:v>
                </c:pt>
                <c:pt idx="2">
                  <c:v>88.583600460897401</c:v>
                </c:pt>
                <c:pt idx="3">
                  <c:v>92.701564888182602</c:v>
                </c:pt>
                <c:pt idx="4">
                  <c:v>97.143072598021007</c:v>
                </c:pt>
                <c:pt idx="5">
                  <c:v>100</c:v>
                </c:pt>
                <c:pt idx="6">
                  <c:v>102.355786004275</c:v>
                </c:pt>
              </c:numCache>
            </c:numRef>
          </c:val>
          <c:smooth val="0"/>
        </c:ser>
        <c:ser>
          <c:idx val="1"/>
          <c:order val="1"/>
          <c:tx>
            <c:strRef>
              <c:f>Sheet1!$E$4</c:f>
              <c:strCache>
                <c:ptCount val="1"/>
                <c:pt idx="0">
                  <c:v>Existing input method</c:v>
                </c:pt>
              </c:strCache>
            </c:strRef>
          </c:tx>
          <c:spPr>
            <a:ln cmpd="sng">
              <a:solidFill>
                <a:srgbClr val="265A9A"/>
              </a:solidFill>
              <a:prstDash val="solid"/>
            </a:ln>
            <a:effectLst/>
          </c:spPr>
          <c:marker>
            <c:symbol val="none"/>
          </c:marker>
          <c:cat>
            <c:strRef>
              <c:f>Sheet1!$C$5:$C$11</c:f>
              <c:strCache>
                <c:ptCount val="7"/>
                <c:pt idx="0">
                  <c:v>1993-94</c:v>
                </c:pt>
                <c:pt idx="1">
                  <c:v>1994-95</c:v>
                </c:pt>
                <c:pt idx="2">
                  <c:v>1995-96</c:v>
                </c:pt>
                <c:pt idx="3">
                  <c:v>1996-97</c:v>
                </c:pt>
                <c:pt idx="4">
                  <c:v>1997-98</c:v>
                </c:pt>
                <c:pt idx="5">
                  <c:v>1998-99</c:v>
                </c:pt>
                <c:pt idx="6">
                  <c:v>1999-00</c:v>
                </c:pt>
              </c:strCache>
            </c:strRef>
          </c:cat>
          <c:val>
            <c:numRef>
              <c:f>Sheet1!$E$5:$E$11</c:f>
              <c:numCache>
                <c:formatCode>0.0</c:formatCode>
                <c:ptCount val="7"/>
                <c:pt idx="0">
                  <c:v>89.688084199336302</c:v>
                </c:pt>
                <c:pt idx="1">
                  <c:v>91.974396937907997</c:v>
                </c:pt>
                <c:pt idx="2">
                  <c:v>95.017599550145604</c:v>
                </c:pt>
                <c:pt idx="3">
                  <c:v>97.595111292533304</c:v>
                </c:pt>
                <c:pt idx="4">
                  <c:v>98.541188082075607</c:v>
                </c:pt>
                <c:pt idx="5">
                  <c:v>100</c:v>
                </c:pt>
                <c:pt idx="6">
                  <c:v>98.743932366516603</c:v>
                </c:pt>
              </c:numCache>
            </c:numRef>
          </c:val>
          <c:smooth val="0"/>
        </c:ser>
        <c:dLbls>
          <c:showLegendKey val="0"/>
          <c:showVal val="0"/>
          <c:showCatName val="0"/>
          <c:showSerName val="0"/>
          <c:showPercent val="0"/>
          <c:showBubbleSize val="0"/>
        </c:dLbls>
        <c:smooth val="0"/>
        <c:axId val="386961952"/>
        <c:axId val="386956464"/>
      </c:lineChart>
      <c:catAx>
        <c:axId val="386961952"/>
        <c:scaling>
          <c:orientation val="minMax"/>
        </c:scaling>
        <c:delete val="0"/>
        <c:axPos val="b"/>
        <c:numFmt formatCode="General" sourceLinked="1"/>
        <c:majorTickMark val="out"/>
        <c:minorTickMark val="none"/>
        <c:tickLblPos val="nextTo"/>
        <c:spPr>
          <a:ln>
            <a:solidFill>
              <a:srgbClr val="BFBFBF"/>
            </a:solidFill>
          </a:ln>
        </c:spPr>
        <c:txPr>
          <a:bodyPr/>
          <a:lstStyle/>
          <a:p>
            <a:pPr>
              <a:defRPr sz="800"/>
            </a:pPr>
            <a:endParaRPr lang="en-US"/>
          </a:p>
        </c:txPr>
        <c:crossAx val="386956464"/>
        <c:crosses val="autoZero"/>
        <c:auto val="0"/>
        <c:lblAlgn val="ctr"/>
        <c:lblOffset val="100"/>
        <c:tickLblSkip val="3"/>
        <c:tickMarkSkip val="3"/>
        <c:noMultiLvlLbl val="0"/>
      </c:catAx>
      <c:valAx>
        <c:axId val="386956464"/>
        <c:scaling>
          <c:orientation val="minMax"/>
          <c:max val="105"/>
          <c:min val="80"/>
        </c:scaling>
        <c:delete val="0"/>
        <c:axPos val="l"/>
        <c:numFmt formatCode="0" sourceLinked="0"/>
        <c:majorTickMark val="out"/>
        <c:minorTickMark val="none"/>
        <c:tickLblPos val="nextTo"/>
        <c:spPr>
          <a:ln>
            <a:solidFill>
              <a:srgbClr val="BFBFBF"/>
            </a:solidFill>
          </a:ln>
        </c:spPr>
        <c:txPr>
          <a:bodyPr/>
          <a:lstStyle/>
          <a:p>
            <a:pPr>
              <a:defRPr sz="800"/>
            </a:pPr>
            <a:endParaRPr lang="en-US"/>
          </a:p>
        </c:txPr>
        <c:crossAx val="386961952"/>
        <c:crosses val="autoZero"/>
        <c:crossBetween val="midCat"/>
      </c:valAx>
      <c:spPr>
        <a:noFill/>
        <a:ln>
          <a:noFill/>
        </a:ln>
      </c:spPr>
    </c:plotArea>
    <c:plotVisOnly val="1"/>
    <c:dispBlanksAs val="gap"/>
    <c:showDLblsOverMax val="0"/>
  </c:chart>
  <c:spPr>
    <a:ln>
      <a:noFill/>
    </a:ln>
  </c:spPr>
  <c:txPr>
    <a:bodyPr/>
    <a:lstStyle/>
    <a:p>
      <a:pPr>
        <a:defRPr sz="900" spc="20" baseline="0">
          <a:latin typeface="Arial"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16098202712375"/>
          <c:y val="3.5277777777777776E-2"/>
          <c:w val="0.80127751230113431"/>
          <c:h val="0.86649583333333335"/>
        </c:manualLayout>
      </c:layout>
      <c:lineChart>
        <c:grouping val="standard"/>
        <c:varyColors val="0"/>
        <c:ser>
          <c:idx val="0"/>
          <c:order val="0"/>
          <c:tx>
            <c:strRef>
              <c:f>'ABS new CVM'!$F$4</c:f>
              <c:strCache>
                <c:ptCount val="1"/>
                <c:pt idx="0">
                  <c:v>New output method</c:v>
                </c:pt>
              </c:strCache>
            </c:strRef>
          </c:tx>
          <c:spPr>
            <a:ln>
              <a:solidFill>
                <a:srgbClr val="78A22F"/>
              </a:solidFill>
            </a:ln>
          </c:spPr>
          <c:marker>
            <c:symbol val="none"/>
          </c:marker>
          <c:cat>
            <c:strRef>
              <c:f>'ABS new CVM'!$C$5:$C$11</c:f>
              <c:strCache>
                <c:ptCount val="7"/>
                <c:pt idx="0">
                  <c:v>1993-94</c:v>
                </c:pt>
                <c:pt idx="1">
                  <c:v>1994-95</c:v>
                </c:pt>
                <c:pt idx="2">
                  <c:v>1995-96</c:v>
                </c:pt>
                <c:pt idx="3">
                  <c:v>1996-97</c:v>
                </c:pt>
                <c:pt idx="4">
                  <c:v>1997-98</c:v>
                </c:pt>
                <c:pt idx="5">
                  <c:v>1998-99</c:v>
                </c:pt>
                <c:pt idx="6">
                  <c:v>1999-00</c:v>
                </c:pt>
              </c:strCache>
            </c:strRef>
          </c:cat>
          <c:val>
            <c:numRef>
              <c:f>'ABS new CVM'!$F$5:$F$11</c:f>
              <c:numCache>
                <c:formatCode>0.0</c:formatCode>
                <c:ptCount val="7"/>
                <c:pt idx="0">
                  <c:v>90.554607508532399</c:v>
                </c:pt>
                <c:pt idx="1">
                  <c:v>91.109215017064798</c:v>
                </c:pt>
                <c:pt idx="2">
                  <c:v>92.687713310580193</c:v>
                </c:pt>
                <c:pt idx="3">
                  <c:v>95.119453924914595</c:v>
                </c:pt>
                <c:pt idx="4">
                  <c:v>97.892491467576804</c:v>
                </c:pt>
                <c:pt idx="5">
                  <c:v>100</c:v>
                </c:pt>
                <c:pt idx="6">
                  <c:v>101.689419795221</c:v>
                </c:pt>
              </c:numCache>
            </c:numRef>
          </c:val>
          <c:smooth val="0"/>
        </c:ser>
        <c:ser>
          <c:idx val="1"/>
          <c:order val="1"/>
          <c:tx>
            <c:strRef>
              <c:f>'ABS new CVM'!$G$4</c:f>
              <c:strCache>
                <c:ptCount val="1"/>
                <c:pt idx="0">
                  <c:v>Existing input method</c:v>
                </c:pt>
              </c:strCache>
            </c:strRef>
          </c:tx>
          <c:spPr>
            <a:ln cmpd="sng">
              <a:solidFill>
                <a:srgbClr val="265A9A"/>
              </a:solidFill>
              <a:prstDash val="solid"/>
            </a:ln>
            <a:effectLst/>
          </c:spPr>
          <c:marker>
            <c:symbol val="none"/>
          </c:marker>
          <c:cat>
            <c:strRef>
              <c:f>'ABS new CVM'!$C$5:$C$11</c:f>
              <c:strCache>
                <c:ptCount val="7"/>
                <c:pt idx="0">
                  <c:v>1993-94</c:v>
                </c:pt>
                <c:pt idx="1">
                  <c:v>1994-95</c:v>
                </c:pt>
                <c:pt idx="2">
                  <c:v>1995-96</c:v>
                </c:pt>
                <c:pt idx="3">
                  <c:v>1996-97</c:v>
                </c:pt>
                <c:pt idx="4">
                  <c:v>1997-98</c:v>
                </c:pt>
                <c:pt idx="5">
                  <c:v>1998-99</c:v>
                </c:pt>
                <c:pt idx="6">
                  <c:v>1999-00</c:v>
                </c:pt>
              </c:strCache>
            </c:strRef>
          </c:cat>
          <c:val>
            <c:numRef>
              <c:f>'ABS new CVM'!$G$5:$G$11</c:f>
              <c:numCache>
                <c:formatCode>0.0</c:formatCode>
                <c:ptCount val="7"/>
                <c:pt idx="0">
                  <c:v>90.5972696245733</c:v>
                </c:pt>
                <c:pt idx="1">
                  <c:v>92.858361774743997</c:v>
                </c:pt>
                <c:pt idx="2">
                  <c:v>91.450511945392407</c:v>
                </c:pt>
                <c:pt idx="3">
                  <c:v>94.863481228668903</c:v>
                </c:pt>
                <c:pt idx="4">
                  <c:v>97.636518771330998</c:v>
                </c:pt>
                <c:pt idx="5">
                  <c:v>100</c:v>
                </c:pt>
                <c:pt idx="6">
                  <c:v>98.9163822525597</c:v>
                </c:pt>
              </c:numCache>
            </c:numRef>
          </c:val>
          <c:smooth val="0"/>
        </c:ser>
        <c:dLbls>
          <c:showLegendKey val="0"/>
          <c:showVal val="0"/>
          <c:showCatName val="0"/>
          <c:showSerName val="0"/>
          <c:showPercent val="0"/>
          <c:showBubbleSize val="0"/>
        </c:dLbls>
        <c:smooth val="0"/>
        <c:axId val="386957640"/>
        <c:axId val="386958424"/>
      </c:lineChart>
      <c:catAx>
        <c:axId val="386957640"/>
        <c:scaling>
          <c:orientation val="minMax"/>
        </c:scaling>
        <c:delete val="0"/>
        <c:axPos val="b"/>
        <c:numFmt formatCode="General" sourceLinked="1"/>
        <c:majorTickMark val="out"/>
        <c:minorTickMark val="none"/>
        <c:tickLblPos val="nextTo"/>
        <c:spPr>
          <a:ln>
            <a:solidFill>
              <a:srgbClr val="BFBFBF"/>
            </a:solidFill>
          </a:ln>
        </c:spPr>
        <c:txPr>
          <a:bodyPr/>
          <a:lstStyle/>
          <a:p>
            <a:pPr>
              <a:defRPr sz="800"/>
            </a:pPr>
            <a:endParaRPr lang="en-US"/>
          </a:p>
        </c:txPr>
        <c:crossAx val="386958424"/>
        <c:crosses val="autoZero"/>
        <c:auto val="1"/>
        <c:lblAlgn val="ctr"/>
        <c:lblOffset val="100"/>
        <c:tickLblSkip val="3"/>
        <c:tickMarkSkip val="3"/>
        <c:noMultiLvlLbl val="0"/>
      </c:catAx>
      <c:valAx>
        <c:axId val="386958424"/>
        <c:scaling>
          <c:orientation val="minMax"/>
          <c:max val="102.5"/>
          <c:min val="90"/>
        </c:scaling>
        <c:delete val="0"/>
        <c:axPos val="l"/>
        <c:numFmt formatCode="0" sourceLinked="0"/>
        <c:majorTickMark val="out"/>
        <c:minorTickMark val="none"/>
        <c:tickLblPos val="nextTo"/>
        <c:spPr>
          <a:ln>
            <a:solidFill>
              <a:srgbClr val="BFBFBF"/>
            </a:solidFill>
          </a:ln>
        </c:spPr>
        <c:txPr>
          <a:bodyPr/>
          <a:lstStyle/>
          <a:p>
            <a:pPr>
              <a:defRPr sz="800"/>
            </a:pPr>
            <a:endParaRPr lang="en-US"/>
          </a:p>
        </c:txPr>
        <c:crossAx val="386957640"/>
        <c:crosses val="autoZero"/>
        <c:crossBetween val="midCat"/>
      </c:valAx>
      <c:spPr>
        <a:noFill/>
        <a:ln>
          <a:noFill/>
        </a:ln>
      </c:spPr>
    </c:plotArea>
    <c:plotVisOnly val="1"/>
    <c:dispBlanksAs val="gap"/>
    <c:showDLblsOverMax val="0"/>
  </c:chart>
  <c:spPr>
    <a:ln>
      <a:noFill/>
    </a:ln>
  </c:spPr>
  <c:txPr>
    <a:bodyPr/>
    <a:lstStyle/>
    <a:p>
      <a:pPr>
        <a:defRPr sz="900" spc="20" baseline="0">
          <a:latin typeface="Arial"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2"/>
          <c:tx>
            <c:strRef>
              <c:f>'ONS est'!$E$6</c:f>
              <c:strCache>
                <c:ptCount val="1"/>
                <c:pt idx="0">
                  <c:v>QA productivity - Growth rate (RHS)</c:v>
                </c:pt>
              </c:strCache>
            </c:strRef>
          </c:tx>
          <c:spPr>
            <a:solidFill>
              <a:schemeClr val="accent3"/>
            </a:solidFill>
            <a:ln>
              <a:solidFill>
                <a:schemeClr val="accent3"/>
              </a:solidFill>
            </a:ln>
            <a:effectLst/>
          </c:spPr>
          <c:invertIfNegative val="0"/>
          <c:cat>
            <c:numRef>
              <c:f>'ONS est'!$B$8:$B$25</c:f>
              <c:numCache>
                <c:formatCode>General</c:formatCode>
                <c:ptCount val="1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formatCode="0">
                  <c:v>2012</c:v>
                </c:pt>
                <c:pt idx="16" formatCode="0">
                  <c:v>2013</c:v>
                </c:pt>
                <c:pt idx="17">
                  <c:v>2014</c:v>
                </c:pt>
              </c:numCache>
            </c:numRef>
          </c:cat>
          <c:val>
            <c:numRef>
              <c:f>'ONS est'!$E$8:$E$25</c:f>
              <c:numCache>
                <c:formatCode>0.0</c:formatCode>
                <c:ptCount val="18"/>
                <c:pt idx="1">
                  <c:v>1.2</c:v>
                </c:pt>
                <c:pt idx="2">
                  <c:v>-0.5</c:v>
                </c:pt>
                <c:pt idx="3">
                  <c:v>-0.8</c:v>
                </c:pt>
                <c:pt idx="4">
                  <c:v>0.7</c:v>
                </c:pt>
                <c:pt idx="5">
                  <c:v>-1.5</c:v>
                </c:pt>
                <c:pt idx="6">
                  <c:v>-0.5</c:v>
                </c:pt>
                <c:pt idx="7">
                  <c:v>0.1</c:v>
                </c:pt>
                <c:pt idx="8">
                  <c:v>0</c:v>
                </c:pt>
                <c:pt idx="9">
                  <c:v>0.9</c:v>
                </c:pt>
                <c:pt idx="10">
                  <c:v>-0.1</c:v>
                </c:pt>
                <c:pt idx="11">
                  <c:v>-0.6</c:v>
                </c:pt>
                <c:pt idx="12">
                  <c:v>-0.4</c:v>
                </c:pt>
                <c:pt idx="13">
                  <c:v>0</c:v>
                </c:pt>
                <c:pt idx="14">
                  <c:v>1.6</c:v>
                </c:pt>
                <c:pt idx="15">
                  <c:v>0.4</c:v>
                </c:pt>
                <c:pt idx="16">
                  <c:v>0.1</c:v>
                </c:pt>
                <c:pt idx="17" formatCode="General">
                  <c:v>0.2</c:v>
                </c:pt>
              </c:numCache>
            </c:numRef>
          </c:val>
        </c:ser>
        <c:ser>
          <c:idx val="4"/>
          <c:order val="3"/>
          <c:tx>
            <c:strRef>
              <c:f>'ONS est'!$F$6</c:f>
              <c:strCache>
                <c:ptCount val="1"/>
                <c:pt idx="0">
                  <c:v>Non-QA productivity -Growth rate (RHS)</c:v>
                </c:pt>
              </c:strCache>
            </c:strRef>
          </c:tx>
          <c:spPr>
            <a:solidFill>
              <a:schemeClr val="accent5"/>
            </a:solidFill>
            <a:ln>
              <a:noFill/>
            </a:ln>
            <a:effectLst/>
          </c:spPr>
          <c:invertIfNegative val="0"/>
          <c:cat>
            <c:numRef>
              <c:f>'ONS est'!$B$8:$B$25</c:f>
              <c:numCache>
                <c:formatCode>General</c:formatCode>
                <c:ptCount val="1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formatCode="0">
                  <c:v>2012</c:v>
                </c:pt>
                <c:pt idx="16" formatCode="0">
                  <c:v>2013</c:v>
                </c:pt>
                <c:pt idx="17">
                  <c:v>2014</c:v>
                </c:pt>
              </c:numCache>
            </c:numRef>
          </c:cat>
          <c:val>
            <c:numRef>
              <c:f>'ONS est'!$F$8:$F$25</c:f>
              <c:numCache>
                <c:formatCode>General</c:formatCode>
                <c:ptCount val="18"/>
                <c:pt idx="1">
                  <c:v>0.7</c:v>
                </c:pt>
                <c:pt idx="2">
                  <c:v>-0.9</c:v>
                </c:pt>
                <c:pt idx="3">
                  <c:v>-1</c:v>
                </c:pt>
                <c:pt idx="4">
                  <c:v>0.6</c:v>
                </c:pt>
                <c:pt idx="5">
                  <c:v>-2.1</c:v>
                </c:pt>
                <c:pt idx="6">
                  <c:v>-0.8</c:v>
                </c:pt>
                <c:pt idx="7">
                  <c:v>-0.4</c:v>
                </c:pt>
                <c:pt idx="8">
                  <c:v>-0.8</c:v>
                </c:pt>
                <c:pt idx="9">
                  <c:v>0.2</c:v>
                </c:pt>
                <c:pt idx="10">
                  <c:v>-0.7</c:v>
                </c:pt>
                <c:pt idx="11">
                  <c:v>-1.3</c:v>
                </c:pt>
                <c:pt idx="12">
                  <c:v>-1.2</c:v>
                </c:pt>
                <c:pt idx="13">
                  <c:v>-0.7</c:v>
                </c:pt>
                <c:pt idx="14">
                  <c:v>1.1000000000000001</c:v>
                </c:pt>
                <c:pt idx="15" formatCode="0">
                  <c:v>0.4</c:v>
                </c:pt>
                <c:pt idx="16" formatCode="0">
                  <c:v>0.5</c:v>
                </c:pt>
                <c:pt idx="17">
                  <c:v>0.5</c:v>
                </c:pt>
              </c:numCache>
            </c:numRef>
          </c:val>
        </c:ser>
        <c:dLbls>
          <c:showLegendKey val="0"/>
          <c:showVal val="0"/>
          <c:showCatName val="0"/>
          <c:showSerName val="0"/>
          <c:showPercent val="0"/>
          <c:showBubbleSize val="0"/>
        </c:dLbls>
        <c:gapWidth val="150"/>
        <c:axId val="389278760"/>
        <c:axId val="389279152"/>
      </c:barChart>
      <c:lineChart>
        <c:grouping val="standard"/>
        <c:varyColors val="0"/>
        <c:ser>
          <c:idx val="0"/>
          <c:order val="0"/>
          <c:tx>
            <c:strRef>
              <c:f>'ONS est'!$C$6</c:f>
              <c:strCache>
                <c:ptCount val="1"/>
                <c:pt idx="0">
                  <c:v>QA productivity - Index (LHS)</c:v>
                </c:pt>
              </c:strCache>
            </c:strRef>
          </c:tx>
          <c:spPr>
            <a:ln w="28575" cap="rnd" cmpd="sng" algn="ctr">
              <a:solidFill>
                <a:schemeClr val="accent1">
                  <a:shade val="95000"/>
                  <a:satMod val="105000"/>
                </a:schemeClr>
              </a:solidFill>
              <a:prstDash val="solid"/>
              <a:round/>
            </a:ln>
            <a:effectLst/>
          </c:spPr>
          <c:marker>
            <c:symbol val="none"/>
          </c:marker>
          <c:cat>
            <c:numRef>
              <c:f>'ONS est'!$B$8:$B$24</c:f>
              <c:numCache>
                <c:formatCode>General</c:formatCode>
                <c:ptCount val="1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formatCode="0">
                  <c:v>2012</c:v>
                </c:pt>
                <c:pt idx="16" formatCode="0">
                  <c:v>2013</c:v>
                </c:pt>
              </c:numCache>
            </c:numRef>
          </c:cat>
          <c:val>
            <c:numRef>
              <c:f>'ONS est'!$C$8:$C$25</c:f>
              <c:numCache>
                <c:formatCode>0.0</c:formatCode>
                <c:ptCount val="18"/>
                <c:pt idx="0">
                  <c:v>100</c:v>
                </c:pt>
                <c:pt idx="1">
                  <c:v>101.2</c:v>
                </c:pt>
                <c:pt idx="2">
                  <c:v>100.8</c:v>
                </c:pt>
                <c:pt idx="3">
                  <c:v>99.9</c:v>
                </c:pt>
                <c:pt idx="4">
                  <c:v>100.7</c:v>
                </c:pt>
                <c:pt idx="5">
                  <c:v>99.1</c:v>
                </c:pt>
                <c:pt idx="6">
                  <c:v>98.6</c:v>
                </c:pt>
                <c:pt idx="7">
                  <c:v>98.8</c:v>
                </c:pt>
                <c:pt idx="8">
                  <c:v>98.7</c:v>
                </c:pt>
                <c:pt idx="9">
                  <c:v>99.6</c:v>
                </c:pt>
                <c:pt idx="10">
                  <c:v>99.6</c:v>
                </c:pt>
                <c:pt idx="11">
                  <c:v>99</c:v>
                </c:pt>
                <c:pt idx="12">
                  <c:v>98.6</c:v>
                </c:pt>
                <c:pt idx="13">
                  <c:v>98.6</c:v>
                </c:pt>
                <c:pt idx="14">
                  <c:v>100.2</c:v>
                </c:pt>
                <c:pt idx="15">
                  <c:v>100.6</c:v>
                </c:pt>
                <c:pt idx="16">
                  <c:v>100.6</c:v>
                </c:pt>
                <c:pt idx="17" formatCode="General">
                  <c:v>100.9</c:v>
                </c:pt>
              </c:numCache>
            </c:numRef>
          </c:val>
          <c:smooth val="0"/>
        </c:ser>
        <c:ser>
          <c:idx val="1"/>
          <c:order val="1"/>
          <c:tx>
            <c:strRef>
              <c:f>'ONS est'!$D$6</c:f>
              <c:strCache>
                <c:ptCount val="1"/>
                <c:pt idx="0">
                  <c:v>Non-QA productivity - Index (LHS)</c:v>
                </c:pt>
              </c:strCache>
            </c:strRef>
          </c:tx>
          <c:spPr>
            <a:ln w="28575" cap="rnd" cmpd="sng" algn="ctr">
              <a:solidFill>
                <a:schemeClr val="accent2">
                  <a:shade val="95000"/>
                  <a:satMod val="105000"/>
                </a:schemeClr>
              </a:solidFill>
              <a:prstDash val="solid"/>
              <a:round/>
            </a:ln>
            <a:effectLst/>
          </c:spPr>
          <c:marker>
            <c:symbol val="none"/>
          </c:marker>
          <c:cat>
            <c:numRef>
              <c:f>'ONS est'!$B$8:$B$24</c:f>
              <c:numCache>
                <c:formatCode>General</c:formatCode>
                <c:ptCount val="1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formatCode="0">
                  <c:v>2012</c:v>
                </c:pt>
                <c:pt idx="16" formatCode="0">
                  <c:v>2013</c:v>
                </c:pt>
              </c:numCache>
            </c:numRef>
          </c:cat>
          <c:val>
            <c:numRef>
              <c:f>'ONS est'!$D$8:$D$25</c:f>
              <c:numCache>
                <c:formatCode>0.0</c:formatCode>
                <c:ptCount val="18"/>
                <c:pt idx="0">
                  <c:v>100</c:v>
                </c:pt>
                <c:pt idx="1">
                  <c:v>100.7</c:v>
                </c:pt>
                <c:pt idx="2">
                  <c:v>99.9</c:v>
                </c:pt>
                <c:pt idx="3">
                  <c:v>98.8</c:v>
                </c:pt>
                <c:pt idx="4">
                  <c:v>99.4</c:v>
                </c:pt>
                <c:pt idx="5">
                  <c:v>97.3</c:v>
                </c:pt>
                <c:pt idx="6">
                  <c:v>96.5</c:v>
                </c:pt>
                <c:pt idx="7">
                  <c:v>96.1</c:v>
                </c:pt>
                <c:pt idx="8">
                  <c:v>95.4</c:v>
                </c:pt>
                <c:pt idx="9">
                  <c:v>95.6</c:v>
                </c:pt>
                <c:pt idx="10">
                  <c:v>95</c:v>
                </c:pt>
                <c:pt idx="11">
                  <c:v>93.8</c:v>
                </c:pt>
                <c:pt idx="12">
                  <c:v>92.6</c:v>
                </c:pt>
                <c:pt idx="13">
                  <c:v>92</c:v>
                </c:pt>
                <c:pt idx="14">
                  <c:v>93</c:v>
                </c:pt>
                <c:pt idx="15">
                  <c:v>93.4</c:v>
                </c:pt>
                <c:pt idx="16">
                  <c:v>93.9</c:v>
                </c:pt>
                <c:pt idx="17" formatCode="General">
                  <c:v>94.3</c:v>
                </c:pt>
              </c:numCache>
            </c:numRef>
          </c:val>
          <c:smooth val="0"/>
        </c:ser>
        <c:dLbls>
          <c:showLegendKey val="0"/>
          <c:showVal val="0"/>
          <c:showCatName val="0"/>
          <c:showSerName val="0"/>
          <c:showPercent val="0"/>
          <c:showBubbleSize val="0"/>
        </c:dLbls>
        <c:marker val="1"/>
        <c:smooth val="0"/>
        <c:axId val="310269984"/>
        <c:axId val="389280720"/>
      </c:lineChart>
      <c:catAx>
        <c:axId val="310269984"/>
        <c:scaling>
          <c:orientation val="minMax"/>
        </c:scaling>
        <c:delete val="0"/>
        <c:axPos val="b"/>
        <c:numFmt formatCode="General" sourceLinked="1"/>
        <c:majorTickMark val="out"/>
        <c:minorTickMark val="none"/>
        <c:tickLblPos val="nextTo"/>
        <c:spPr>
          <a:noFill/>
          <a:ln w="9525" cap="flat" cmpd="sng" algn="ctr">
            <a:solidFill>
              <a:srgbClr val="BFBFBF"/>
            </a:solidFill>
            <a:prstDash val="solid"/>
            <a:round/>
          </a:ln>
          <a:effectLst/>
        </c:spPr>
        <c:txPr>
          <a:bodyPr rot="-60000000" spcFirstLastPara="1" vertOverflow="ellipsis" vert="horz" wrap="square" anchor="ctr" anchorCtr="1"/>
          <a:lstStyle/>
          <a:p>
            <a:pPr>
              <a:defRPr sz="800" b="0" i="0" u="none" strike="noStrike" kern="1200" spc="20" baseline="0">
                <a:solidFill>
                  <a:schemeClr val="tx1"/>
                </a:solidFill>
                <a:latin typeface="Arial" pitchFamily="34" charset="0"/>
                <a:ea typeface="+mn-ea"/>
                <a:cs typeface="+mn-cs"/>
              </a:defRPr>
            </a:pPr>
            <a:endParaRPr lang="en-US"/>
          </a:p>
        </c:txPr>
        <c:crossAx val="389280720"/>
        <c:crosses val="autoZero"/>
        <c:auto val="1"/>
        <c:lblAlgn val="ctr"/>
        <c:lblOffset val="100"/>
        <c:tickLblSkip val="2"/>
        <c:tickMarkSkip val="1"/>
        <c:noMultiLvlLbl val="0"/>
      </c:catAx>
      <c:valAx>
        <c:axId val="389280720"/>
        <c:scaling>
          <c:orientation val="minMax"/>
          <c:max val="120"/>
          <c:min val="70"/>
        </c:scaling>
        <c:delete val="0"/>
        <c:axPos val="l"/>
        <c:majorGridlines>
          <c:spPr>
            <a:ln w="9525" cap="flat" cmpd="sng" algn="ctr">
              <a:noFill/>
              <a:prstDash val="solid"/>
              <a:round/>
            </a:ln>
            <a:effectLst/>
          </c:spPr>
        </c:majorGridlines>
        <c:title>
          <c:tx>
            <c:rich>
              <a:bodyPr rot="-5400000" spcFirstLastPara="1" vertOverflow="ellipsis" vert="horz" wrap="square" anchor="ctr" anchorCtr="1"/>
              <a:lstStyle/>
              <a:p>
                <a:pPr>
                  <a:defRPr sz="900" b="1" i="0" u="none" strike="noStrike" kern="1200" spc="20" baseline="0">
                    <a:solidFill>
                      <a:schemeClr val="tx1"/>
                    </a:solidFill>
                    <a:latin typeface="Arial" pitchFamily="34" charset="0"/>
                    <a:ea typeface="+mn-ea"/>
                    <a:cs typeface="+mn-cs"/>
                  </a:defRPr>
                </a:pPr>
                <a:r>
                  <a:rPr lang="en-AU"/>
                  <a:t>Index (1997=100)</a:t>
                </a:r>
              </a:p>
            </c:rich>
          </c:tx>
          <c:layout/>
          <c:overlay val="0"/>
          <c:spPr>
            <a:noFill/>
            <a:ln>
              <a:noFill/>
            </a:ln>
            <a:effectLst/>
          </c:spPr>
          <c:txPr>
            <a:bodyPr rot="-5400000" spcFirstLastPara="1" vertOverflow="ellipsis" vert="horz" wrap="square" anchor="ctr" anchorCtr="1"/>
            <a:lstStyle/>
            <a:p>
              <a:pPr>
                <a:defRPr sz="900" b="1" i="0" u="none" strike="noStrike" kern="1200" spc="20" baseline="0">
                  <a:solidFill>
                    <a:schemeClr val="tx1"/>
                  </a:solidFill>
                  <a:latin typeface="Arial" pitchFamily="34" charset="0"/>
                  <a:ea typeface="+mn-ea"/>
                  <a:cs typeface="+mn-cs"/>
                </a:defRPr>
              </a:pPr>
              <a:endParaRPr lang="en-US"/>
            </a:p>
          </c:txPr>
        </c:title>
        <c:numFmt formatCode="0" sourceLinked="0"/>
        <c:majorTickMark val="out"/>
        <c:minorTickMark val="none"/>
        <c:tickLblPos val="nextTo"/>
        <c:spPr>
          <a:noFill/>
          <a:ln w="9525" cap="flat" cmpd="sng" algn="ctr">
            <a:solidFill>
              <a:srgbClr val="BFBFBF"/>
            </a:solidFill>
            <a:prstDash val="solid"/>
            <a:round/>
          </a:ln>
          <a:effectLst/>
        </c:spPr>
        <c:txPr>
          <a:bodyPr rot="-60000000" spcFirstLastPara="1" vertOverflow="ellipsis" vert="horz" wrap="square" anchor="ctr" anchorCtr="1"/>
          <a:lstStyle/>
          <a:p>
            <a:pPr>
              <a:defRPr sz="800" b="0" i="0" u="none" strike="noStrike" kern="1200" spc="20" baseline="0">
                <a:solidFill>
                  <a:schemeClr val="tx1"/>
                </a:solidFill>
                <a:latin typeface="Arial" pitchFamily="34" charset="0"/>
                <a:ea typeface="+mn-ea"/>
                <a:cs typeface="+mn-cs"/>
              </a:defRPr>
            </a:pPr>
            <a:endParaRPr lang="en-US"/>
          </a:p>
        </c:txPr>
        <c:crossAx val="310269984"/>
        <c:crosses val="autoZero"/>
        <c:crossBetween val="between"/>
        <c:majorUnit val="10"/>
      </c:valAx>
      <c:valAx>
        <c:axId val="389279152"/>
        <c:scaling>
          <c:orientation val="minMax"/>
          <c:max val="2"/>
          <c:min val="-3"/>
        </c:scaling>
        <c:delete val="0"/>
        <c:axPos val="r"/>
        <c:title>
          <c:tx>
            <c:rich>
              <a:bodyPr rot="-5400000" spcFirstLastPara="1" vertOverflow="ellipsis" vert="horz" wrap="square" anchor="ctr" anchorCtr="1"/>
              <a:lstStyle/>
              <a:p>
                <a:pPr>
                  <a:defRPr sz="900" b="1" i="0" u="none" strike="noStrike" kern="1200" spc="20" baseline="0">
                    <a:solidFill>
                      <a:schemeClr val="tx1"/>
                    </a:solidFill>
                    <a:latin typeface="Arial" pitchFamily="34" charset="0"/>
                    <a:ea typeface="+mn-ea"/>
                    <a:cs typeface="+mn-cs"/>
                  </a:defRPr>
                </a:pPr>
                <a:r>
                  <a:rPr lang="en-AU"/>
                  <a:t>Growth rate (%)</a:t>
                </a:r>
              </a:p>
            </c:rich>
          </c:tx>
          <c:layout/>
          <c:overlay val="0"/>
          <c:spPr>
            <a:noFill/>
            <a:ln>
              <a:noFill/>
            </a:ln>
            <a:effectLst/>
          </c:spPr>
          <c:txPr>
            <a:bodyPr rot="-5400000" spcFirstLastPara="1" vertOverflow="ellipsis" vert="horz" wrap="square" anchor="ctr" anchorCtr="1"/>
            <a:lstStyle/>
            <a:p>
              <a:pPr>
                <a:defRPr sz="900" b="1" i="0" u="none" strike="noStrike" kern="1200" spc="20" baseline="0">
                  <a:solidFill>
                    <a:schemeClr val="tx1"/>
                  </a:solidFill>
                  <a:latin typeface="Arial" pitchFamily="34" charset="0"/>
                  <a:ea typeface="+mn-ea"/>
                  <a:cs typeface="+mn-cs"/>
                </a:defRPr>
              </a:pPr>
              <a:endParaRPr lang="en-US"/>
            </a:p>
          </c:txPr>
        </c:title>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spc="20" baseline="0">
                <a:solidFill>
                  <a:schemeClr val="tx1"/>
                </a:solidFill>
                <a:latin typeface="Arial" pitchFamily="34" charset="0"/>
                <a:ea typeface="+mn-ea"/>
                <a:cs typeface="+mn-cs"/>
              </a:defRPr>
            </a:pPr>
            <a:endParaRPr lang="en-US"/>
          </a:p>
        </c:txPr>
        <c:crossAx val="389278760"/>
        <c:crosses val="max"/>
        <c:crossBetween val="between"/>
        <c:majorUnit val="1"/>
      </c:valAx>
      <c:catAx>
        <c:axId val="389278760"/>
        <c:scaling>
          <c:orientation val="minMax"/>
        </c:scaling>
        <c:delete val="1"/>
        <c:axPos val="b"/>
        <c:numFmt formatCode="General" sourceLinked="1"/>
        <c:majorTickMark val="out"/>
        <c:minorTickMark val="none"/>
        <c:tickLblPos val="nextTo"/>
        <c:crossAx val="389279152"/>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spc="20" baseline="0">
              <a:solidFill>
                <a:schemeClr val="tx1"/>
              </a:solidFill>
              <a:latin typeface="Arial" pitchFamily="34" charset="0"/>
              <a:ea typeface="+mn-ea"/>
              <a:cs typeface="+mn-cs"/>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900" spc="20" baseline="0">
          <a:latin typeface="Arial"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ProdCommTheme">
  <a:themeElements>
    <a:clrScheme name="PC colour scheme">
      <a:dk1>
        <a:sysClr val="windowText" lastClr="000000"/>
      </a:dk1>
      <a:lt1>
        <a:sysClr val="window" lastClr="FFFFFF"/>
      </a:lt1>
      <a:dk2>
        <a:srgbClr val="000000"/>
      </a:dk2>
      <a:lt2>
        <a:srgbClr val="BFBFBF"/>
      </a:lt2>
      <a:accent1>
        <a:srgbClr val="78A22F"/>
      </a:accent1>
      <a:accent2>
        <a:srgbClr val="265A9A"/>
      </a:accent2>
      <a:accent3>
        <a:srgbClr val="B2D673"/>
      </a:accent3>
      <a:accent4>
        <a:srgbClr val="F2F2F2"/>
      </a:accent4>
      <a:accent5>
        <a:srgbClr val="387DD2"/>
      </a:accent5>
      <a:accent6>
        <a:srgbClr val="C00000"/>
      </a:accent6>
      <a:hlink>
        <a:srgbClr val="78A22F"/>
      </a:hlink>
      <a:folHlink>
        <a:srgbClr val="387DD2"/>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Reports" ma:contentTypeID="0x0101007916246811615643A710C6FEAFF56A871104006E3BDAB9F67AF64BB2EC3946D13B8675" ma:contentTypeVersion="15" ma:contentTypeDescription="" ma:contentTypeScope="" ma:versionID="db48918a113756321c78c81870ea9f1f">
  <xsd:schema xmlns:xsd="http://www.w3.org/2001/XMLSchema" xmlns:xs="http://www.w3.org/2001/XMLSchema" xmlns:p="http://schemas.microsoft.com/office/2006/metadata/properties" xmlns:ns1="http://schemas.microsoft.com/sharepoint/v3" xmlns:ns2="3f4bcce7-ac1a-4c9d-aa3e-7e77695652db" targetNamespace="http://schemas.microsoft.com/office/2006/metadata/properties" ma:root="true" ma:fieldsID="b18e4d98b20a7a670c4a06565f8bc843" ns1:_="" ns2:_="">
    <xsd:import namespace="http://schemas.microsoft.com/sharepoint/v3"/>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2:Draft_x0020_Report_x0020_Status" minOccurs="0"/>
                <xsd:element ref="ns1:V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8"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609e2780-d171-4fcc-ba6e-ba515af27ffb"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Draft_x0020_Report_x0020_Status" ma:index="17" nillable="true" ma:displayName="Draft Report Status" ma:default="In initial draft state" ma:internalName="Draft_x0020_Report_x0020_Status" ma:requiredMultiChoice="true">
      <xsd:complexType>
        <xsd:complexContent>
          <xsd:extension base="dms:MultiChoice">
            <xsd:sequence>
              <xsd:element name="Value" maxOccurs="unbounded" minOccurs="0" nillable="true">
                <xsd:simpleType>
                  <xsd:restriction base="dms:Choice">
                    <xsd:enumeration value="In initial draft state"/>
                    <xsd:enumeration value="1st Circ to A/Comm"/>
                    <xsd:enumeration value="1st Circ to Comms"/>
                    <xsd:enumeration value="1st Circ comments back"/>
                    <xsd:enumeration value="2nd Circ to A/Comm"/>
                    <xsd:enumeration value="2nd Circ to Comms"/>
                    <xsd:enumeration value="2nd Circ comments back"/>
                    <xsd:enumeration value="3rd Circ to A/Comm"/>
                    <xsd:enumeration value="3rd Circ to Comms"/>
                    <xsd:enumeration value="3rd Circ comments back"/>
                    <xsd:enumeration value="Ready for final proof"/>
                    <xsd:enumeration value="Out to proof"/>
                    <xsd:enumeration value="1st proof complete"/>
                    <xsd:enumeration value="2nd proof complete"/>
                    <xsd:enumeration value="3rd proof complete"/>
                    <xsd:enumeration value="Style checker run"/>
                    <xsd:enumeration value="Global style OK"/>
                    <xsd:enumeration value="Cross refs OK"/>
                    <xsd:enumeration value="Recs etc OK"/>
                    <xsd:enumeration value="Chart format OK"/>
                    <xsd:enumeration value="Charts tagged"/>
                    <xsd:enumeration value="Direct quotes OK"/>
                    <xsd:enumeration value="Sub nums OK"/>
                    <xsd:enumeration value="Alt text done"/>
                    <xsd:enumeration value="Ready to compile"/>
                    <xsd:enumeration value="Compiled"/>
                    <xsd:enumeration value="Post compile edits in"/>
                    <xsd:enumeration value="As published"/>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False</openByDefault>
  <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0da5c63-8548-4ac8-9616-83b0f373280e" ContentTypeId="0x0101007916246811615643A710C6FEAFF56A87110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20b73397-e3e9-47d5-93f1-24938b6e3a0d</TermId>
        </TermInfo>
        <TermInfo xmlns="http://schemas.microsoft.com/office/infopath/2007/PartnerControls">
          <TermName xmlns="http://schemas.microsoft.com/office/infopath/2007/PartnerControls">non-market sector productivity</TermName>
          <TermId xmlns="http://schemas.microsoft.com/office/infopath/2007/PartnerControls">66211f66-cc3d-452c-a001-4e70523e2765</TermId>
        </TermInfo>
        <TermInfo xmlns="http://schemas.microsoft.com/office/infopath/2007/PartnerControls">
          <TermName xmlns="http://schemas.microsoft.com/office/infopath/2007/PartnerControls">Public Sector</TermName>
          <TermId xmlns="http://schemas.microsoft.com/office/infopath/2007/PartnerControls">816e1026-97e0-4247-9a31-298b7ab54f1f</TermId>
        </TermInfo>
        <TermInfo xmlns="http://schemas.microsoft.com/office/infopath/2007/PartnerControls">
          <TermName xmlns="http://schemas.microsoft.com/office/infopath/2007/PartnerControls">health</TermName>
          <TermId xmlns="http://schemas.microsoft.com/office/infopath/2007/PartnerControls">197095de-8c73-4ac9-9fe5-81195836f14b</TermId>
        </TermInfo>
      </Terms>
    </TaxKeywordTaxHTField>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Final Report</TermName>
          <TermId xmlns="http://schemas.microsoft.com/office/infopath/2007/PartnerControls">2ba7de50-4c1d-4453-9bfb-2c08018fad73</TermId>
        </TermInfo>
      </Terms>
    </p7a0baa8c88445a78b6f55906390ba17>
    <TaxCatchAll xmlns="3f4bcce7-ac1a-4c9d-aa3e-7e77695652db">
      <Value>270</Value>
      <Value>1289</Value>
      <Value>2901</Value>
      <Value>4087</Value>
      <Value>4338</Value>
    </TaxCatchAll>
    <V3Comments xmlns="http://schemas.microsoft.com/sharepoint/v3" xsi:nil="true"/>
    <Draft_x0020_Report_x0020_Status xmlns="3f4bcce7-ac1a-4c9d-aa3e-7e77695652db">
      <Value>In initial draft state</Value>
    </Draft_x0020_Report_x0020_Status>
    <_dlc_DocId xmlns="3f4bcce7-ac1a-4c9d-aa3e-7e77695652db">M5SJCJZUVSWY-1021018530-13</_dlc_DocId>
    <_dlc_DocIdUrl xmlns="3f4bcce7-ac1a-4c9d-aa3e-7e77695652db">
      <Url>http://inet.pc.gov.au/pmo/inq/pr/_layouts/15/DocIdRedir.aspx?ID=M5SJCJZUVSWY-1021018530-13</Url>
      <Description>M5SJCJZUVSWY-1021018530-13</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EC9D3-EBB5-4312-97D6-082E7A8646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0C626-31B0-49C8-987A-649076BB6B2A}">
  <ds:schemaRefs>
    <ds:schemaRef ds:uri="http://schemas.microsoft.com/office/2006/metadata/customXsn"/>
  </ds:schemaRefs>
</ds:datastoreItem>
</file>

<file path=customXml/itemProps3.xml><?xml version="1.0" encoding="utf-8"?>
<ds:datastoreItem xmlns:ds="http://schemas.openxmlformats.org/officeDocument/2006/customXml" ds:itemID="{2FE2423C-301A-4E1E-B838-5622710424BD}">
  <ds:schemaRefs>
    <ds:schemaRef ds:uri="http://schemas.microsoft.com/sharepoint/v3/contenttype/forms"/>
  </ds:schemaRefs>
</ds:datastoreItem>
</file>

<file path=customXml/itemProps4.xml><?xml version="1.0" encoding="utf-8"?>
<ds:datastoreItem xmlns:ds="http://schemas.openxmlformats.org/officeDocument/2006/customXml" ds:itemID="{86AE7754-7893-4B26-8FD2-B4A9DE3C7802}">
  <ds:schemaRefs>
    <ds:schemaRef ds:uri="Microsoft.SharePoint.Taxonomy.ContentTypeSync"/>
  </ds:schemaRefs>
</ds:datastoreItem>
</file>

<file path=customXml/itemProps5.xml><?xml version="1.0" encoding="utf-8"?>
<ds:datastoreItem xmlns:ds="http://schemas.openxmlformats.org/officeDocument/2006/customXml" ds:itemID="{6FA6F75C-BD59-4255-9C03-D316D172CE92}">
  <ds:schemaRefs>
    <ds:schemaRef ds:uri="http://schemas.microsoft.com/sharepoint/events"/>
  </ds:schemaRefs>
</ds:datastoreItem>
</file>

<file path=customXml/itemProps6.xml><?xml version="1.0" encoding="utf-8"?>
<ds:datastoreItem xmlns:ds="http://schemas.openxmlformats.org/officeDocument/2006/customXml" ds:itemID="{36133186-52CD-4389-A087-9D1EC4EA6AA0}">
  <ds:schemaRefs>
    <ds:schemaRef ds:uri="http://schemas.microsoft.com/office/infopath/2007/PartnerControls"/>
    <ds:schemaRef ds:uri="http://purl.org/dc/elements/1.1/"/>
    <ds:schemaRef ds:uri="3f4bcce7-ac1a-4c9d-aa3e-7e77695652db"/>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schemas.microsoft.com/sharepoint/v3"/>
    <ds:schemaRef ds:uri="http://www.w3.org/XML/1998/namespace"/>
    <ds:schemaRef ds:uri="http://purl.org/dc/dcmitype/"/>
  </ds:schemaRefs>
</ds:datastoreItem>
</file>

<file path=customXml/itemProps7.xml><?xml version="1.0" encoding="utf-8"?>
<ds:datastoreItem xmlns:ds="http://schemas.openxmlformats.org/officeDocument/2006/customXml" ds:itemID="{0025B904-3651-48F3-B1C2-F7BFDD9DC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chapter.dotm</Template>
  <TotalTime>126</TotalTime>
  <Pages>30</Pages>
  <Words>9472</Words>
  <Characters>53996</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SP 2</vt:lpstr>
    </vt:vector>
  </TitlesOfParts>
  <Company>Productivity Commission</Company>
  <LinksUpToDate>false</LinksUpToDate>
  <CharactersWithSpaces>63342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 2</dc:title>
  <dc:subject>Productivity Review</dc:subject>
  <dc:creator>Mollross, Aaron</dc:creator>
  <cp:keywords>non-market sector productivity; education; health; Public Sector</cp:keywords>
  <dc:description>1.</dc:description>
  <cp:lastModifiedBy>Productivity Commission</cp:lastModifiedBy>
  <cp:revision>32</cp:revision>
  <cp:lastPrinted>2017-09-06T01:25:00Z</cp:lastPrinted>
  <dcterms:created xsi:type="dcterms:W3CDTF">2017-08-01T06:38:00Z</dcterms:created>
  <dcterms:modified xsi:type="dcterms:W3CDTF">2017-10-04T22:23:00Z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0x0101007916246811615643A710C6FEAFF56A871104006E3BDAB9F67AF64BB2EC3946D13B8675</vt:lpwstr>
  </property>
  <property fmtid="{D5CDD505-2E9C-101B-9397-08002B2CF9AE}" pid="3" name="Record Tag">
    <vt:lpwstr>270;#Final Report|2ba7de50-4c1d-4453-9bfb-2c08018fad73</vt:lpwstr>
  </property>
  <property fmtid="{D5CDD505-2E9C-101B-9397-08002B2CF9AE}" pid="4" name="TaxKeyword">
    <vt:lpwstr>4087;#education|20b73397-e3e9-47d5-93f1-24938b6e3a0d;#4338;#non-market sector productivity|66211f66-cc3d-452c-a001-4e70523e2765;#2901;#Public Sector|816e1026-97e0-4247-9a31-298b7ab54f1f;#1289;#health|197095de-8c73-4ac9-9fe5-81195836f14b</vt:lpwstr>
  </property>
  <property fmtid="{D5CDD505-2E9C-101B-9397-08002B2CF9AE}" pid="5" name="ZOTERO_PREF_2">
    <vt:lpwstr> value="true"/&gt;&lt;pref name="automaticJournalAbbreviations" value="true"/&gt;&lt;pref name="noteType" value=""/&gt;&lt;/prefs&gt;&lt;/data&gt;</vt:lpwstr>
  </property>
  <property fmtid="{D5CDD505-2E9C-101B-9397-08002B2CF9AE}" pid="6" name="Lvl2">
    <vt:lpwstr>4032;#Aaron|1de42372-9341-4e3c-87bc-4f7c291226ea</vt:lpwstr>
  </property>
  <property fmtid="{D5CDD505-2E9C-101B-9397-08002B2CF9AE}" pid="7" name="Lvl1">
    <vt:lpwstr>3678;#Team|776720c5-4d96-47af-8a74-daaa5bd399f8</vt:lpwstr>
  </property>
  <property fmtid="{D5CDD505-2E9C-101B-9397-08002B2CF9AE}" pid="8" name="ZOTERO_PREF_1">
    <vt:lpwstr>&lt;data data-version="3" zotero-version="4.0.29.10"&gt;&lt;session id="lJKXLJZJ"/&gt;&lt;style id="http://www.zotero.org/styles/unisa-harvard" hasBibliography="1" bibliographyStyleHasBeenSet="1"/&gt;&lt;prefs&gt;&lt;pref name="fieldType" value="Field"/&gt;&lt;pref name="storeReferences"</vt:lpwstr>
  </property>
  <property fmtid="{D5CDD505-2E9C-101B-9397-08002B2CF9AE}" pid="9" name="_dlc_DocIdItemGuid">
    <vt:lpwstr>fc1bc2cd-f85b-4821-a1cd-16ae60785f81</vt:lpwstr>
  </property>
</Properties>
</file>