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AF003" w14:textId="4D3F4DE0" w:rsidR="005A28E9" w:rsidRPr="00870511" w:rsidRDefault="005A28E9" w:rsidP="005A28E9">
      <w:pPr>
        <w:pStyle w:val="Heading1"/>
        <w:rPr>
          <w:color w:val="FFFFFF" w:themeColor="background1"/>
        </w:rPr>
      </w:pPr>
      <w:bookmarkStart w:id="0" w:name="_Toc489014191"/>
      <w:bookmarkStart w:id="1" w:name="ChapterTitle"/>
      <w:bookmarkStart w:id="2" w:name="_GoBack"/>
      <w:r>
        <w:rPr>
          <w:noProof/>
          <w:color w:val="FFFFFF" w:themeColor="background1"/>
        </w:rPr>
        <w:drawing>
          <wp:anchor distT="0" distB="0" distL="114300" distR="114300" simplePos="0" relativeHeight="251659264" behindDoc="0" locked="0" layoutInCell="1" allowOverlap="1" wp14:anchorId="20D7DD50" wp14:editId="13491B43">
            <wp:simplePos x="0" y="0"/>
            <wp:positionH relativeFrom="page">
              <wp:align>right</wp:align>
            </wp:positionH>
            <wp:positionV relativeFrom="page">
              <wp:align>top</wp:align>
            </wp:positionV>
            <wp:extent cx="7558767" cy="10691998"/>
            <wp:effectExtent l="0" t="0" r="4445" b="0"/>
            <wp:wrapNone/>
            <wp:docPr id="3" name="Picture 3" descr="Cover of Supporting paper3: Comparative performance indic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prod-review-supporting-papers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r w:rsidR="00DE10E9" w:rsidRPr="00870511">
        <w:rPr>
          <w:color w:val="FFFFFF" w:themeColor="background1"/>
        </w:rPr>
        <w:t>comparative</w:t>
      </w:r>
      <w:r w:rsidRPr="00870511">
        <w:rPr>
          <w:color w:val="FFFFFF" w:themeColor="background1"/>
        </w:rPr>
        <w:t xml:space="preserve"> performance indicators</w:t>
      </w:r>
      <w:bookmarkEnd w:id="0"/>
    </w:p>
    <w:bookmarkEnd w:id="2"/>
    <w:p w14:paraId="4E16871E" w14:textId="77777777" w:rsidR="005A28E9" w:rsidRDefault="005A28E9" w:rsidP="005A28E9">
      <w:pPr>
        <w:pStyle w:val="BodyText"/>
        <w:rPr>
          <w:rFonts w:ascii="Arial" w:hAnsi="Arial"/>
          <w:sz w:val="22"/>
          <w:szCs w:val="26"/>
        </w:rPr>
      </w:pPr>
      <w:r w:rsidRPr="00870511">
        <w:rPr>
          <w:color w:val="FFFFFF" w:themeColor="background1"/>
        </w:rPr>
        <w:t>Shifting the Dial: 5 year Productivity Review — Supporting Paper No.3, Canberra, August 2017</w:t>
      </w:r>
      <w:r>
        <w:br w:type="page"/>
      </w:r>
    </w:p>
    <w:p w14:paraId="514A769E" w14:textId="77777777" w:rsidR="005A28E9" w:rsidRPr="00770645" w:rsidRDefault="005A28E9" w:rsidP="005A28E9">
      <w:pPr>
        <w:pStyle w:val="Copyrightsubtitle"/>
        <w:spacing w:before="0"/>
        <w:rPr>
          <w:sz w:val="20"/>
          <w:szCs w:val="20"/>
        </w:rPr>
      </w:pPr>
      <w:r w:rsidRPr="00770645">
        <w:rPr>
          <w:sz w:val="20"/>
          <w:szCs w:val="20"/>
        </w:rPr>
        <w:lastRenderedPageBreak/>
        <w:fldChar w:fldCharType="begin"/>
      </w:r>
      <w:r w:rsidRPr="00770645">
        <w:rPr>
          <w:sz w:val="20"/>
          <w:szCs w:val="20"/>
        </w:rPr>
        <w:instrText>SYMBOL 227 \f "Symbol"</w:instrText>
      </w:r>
      <w:r w:rsidRPr="00770645">
        <w:rPr>
          <w:sz w:val="20"/>
          <w:szCs w:val="20"/>
        </w:rPr>
        <w:fldChar w:fldCharType="end"/>
      </w:r>
      <w:r w:rsidRPr="00770645">
        <w:rPr>
          <w:sz w:val="20"/>
          <w:szCs w:val="20"/>
        </w:rPr>
        <w:t xml:space="preserve"> Commonwealth of Australia 2017</w:t>
      </w:r>
    </w:p>
    <w:p w14:paraId="30B57ABE" w14:textId="77777777" w:rsidR="005A28E9" w:rsidRPr="00770645" w:rsidRDefault="005A28E9" w:rsidP="00770645">
      <w:pPr>
        <w:pStyle w:val="BodyText"/>
        <w:tabs>
          <w:tab w:val="left" w:pos="851"/>
        </w:tabs>
        <w:spacing w:before="80" w:after="80"/>
        <w:jc w:val="left"/>
        <w:rPr>
          <w:b/>
          <w:szCs w:val="24"/>
        </w:rPr>
      </w:pPr>
      <w:r w:rsidRPr="00770645">
        <w:rPr>
          <w:b/>
          <w:szCs w:val="24"/>
        </w:rPr>
        <w:t>ISBN</w:t>
      </w:r>
      <w:r w:rsidRPr="00770645">
        <w:rPr>
          <w:b/>
          <w:szCs w:val="24"/>
        </w:rPr>
        <w:tab/>
        <w:t>978-1-74037-628-0 (PDF)</w:t>
      </w:r>
    </w:p>
    <w:p w14:paraId="3D32A1B7" w14:textId="77777777" w:rsidR="005A28E9" w:rsidRDefault="005A28E9" w:rsidP="005A28E9">
      <w:pPr>
        <w:pStyle w:val="BodyText"/>
        <w:spacing w:before="120" w:after="120"/>
      </w:pPr>
      <w:r w:rsidRPr="00862D8F">
        <w:rPr>
          <w:noProof/>
          <w:sz w:val="22"/>
          <w:szCs w:val="22"/>
        </w:rPr>
        <w:drawing>
          <wp:inline distT="0" distB="0" distL="0" distR="0" wp14:anchorId="2BBEA830" wp14:editId="4C471081">
            <wp:extent cx="843280" cy="295043"/>
            <wp:effectExtent l="0" t="0" r="0" b="0"/>
            <wp:docPr id="7" name="Picture 7"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5A72C963" w14:textId="6F0A9B9D" w:rsidR="005A28E9" w:rsidRPr="00770645" w:rsidRDefault="005A28E9" w:rsidP="00770645">
      <w:pPr>
        <w:pStyle w:val="Copyrightbodytext"/>
        <w:rPr>
          <w:szCs w:val="24"/>
        </w:rPr>
      </w:pPr>
      <w:r w:rsidRPr="00770645">
        <w:rPr>
          <w:szCs w:val="24"/>
        </w:rPr>
        <w:t>Except for the Commonwealth Coat of Arms and content supplied by third parties, this copyright work is licensed under a Creative Commons Attribution 1.0 Australia licence. To view a copy of this licence, visit http://creativecommons.org/licenses/by/1.0/au. In essence, you are free to copy, communicate and adapt the work, as long as you attribute the work to the Productivity Commission (but not in any way that suggests the Commission endorses you or your use) and abide by the other licence terms.</w:t>
      </w:r>
    </w:p>
    <w:p w14:paraId="00A4C7FD" w14:textId="77777777" w:rsidR="005A28E9" w:rsidRPr="00770645" w:rsidRDefault="005A28E9" w:rsidP="005A28E9">
      <w:pPr>
        <w:pStyle w:val="Copyrightsubtitle"/>
        <w:spacing w:before="160"/>
        <w:rPr>
          <w:sz w:val="20"/>
          <w:szCs w:val="20"/>
        </w:rPr>
      </w:pPr>
      <w:r w:rsidRPr="00770645">
        <w:rPr>
          <w:sz w:val="20"/>
          <w:szCs w:val="20"/>
        </w:rPr>
        <w:t>Use of the Commonwealth Coat of Arms</w:t>
      </w:r>
    </w:p>
    <w:p w14:paraId="4C98F366" w14:textId="3C1F8815" w:rsidR="005A28E9" w:rsidRPr="00770645" w:rsidRDefault="005A28E9" w:rsidP="00770645">
      <w:pPr>
        <w:pStyle w:val="Copyrightbodytext"/>
        <w:rPr>
          <w:szCs w:val="24"/>
        </w:rPr>
      </w:pPr>
      <w:r w:rsidRPr="00770645">
        <w:rPr>
          <w:szCs w:val="24"/>
        </w:rPr>
        <w:t>For terms of use of the Coat of Arms visit the ‘It’s an Honour’ website: http://www.itsanhonour.gov.au</w:t>
      </w:r>
    </w:p>
    <w:p w14:paraId="22BE7CA1" w14:textId="77777777" w:rsidR="005A28E9" w:rsidRPr="00770645" w:rsidRDefault="005A28E9" w:rsidP="005A28E9">
      <w:pPr>
        <w:pStyle w:val="Copyrightsubtitle"/>
        <w:spacing w:before="160"/>
        <w:rPr>
          <w:sz w:val="20"/>
          <w:szCs w:val="20"/>
        </w:rPr>
      </w:pPr>
      <w:r w:rsidRPr="00770645">
        <w:rPr>
          <w:sz w:val="20"/>
          <w:szCs w:val="20"/>
        </w:rPr>
        <w:t>Third party copyright</w:t>
      </w:r>
    </w:p>
    <w:p w14:paraId="00BFF300" w14:textId="77777777" w:rsidR="005A28E9" w:rsidRPr="00770645" w:rsidRDefault="005A28E9" w:rsidP="00770645">
      <w:pPr>
        <w:pStyle w:val="Copyrightbodytext"/>
        <w:rPr>
          <w:szCs w:val="24"/>
        </w:rPr>
      </w:pPr>
      <w:r w:rsidRPr="00770645">
        <w:rPr>
          <w:szCs w:val="24"/>
        </w:rPr>
        <w:t>Wherever a third party holds copyright in this material, the copyright remains with that party. Their permission may be required to use the material, please contact them directly.</w:t>
      </w:r>
    </w:p>
    <w:p w14:paraId="5ED9F78D" w14:textId="77777777" w:rsidR="005A28E9" w:rsidRPr="00770645" w:rsidRDefault="005A28E9" w:rsidP="00770645">
      <w:pPr>
        <w:pStyle w:val="Copyrightsubtitle"/>
        <w:spacing w:before="160"/>
        <w:rPr>
          <w:sz w:val="20"/>
          <w:szCs w:val="20"/>
        </w:rPr>
      </w:pPr>
      <w:r w:rsidRPr="00770645">
        <w:rPr>
          <w:sz w:val="20"/>
          <w:szCs w:val="20"/>
        </w:rPr>
        <w:t>Attribution</w:t>
      </w:r>
    </w:p>
    <w:p w14:paraId="6AFAD109" w14:textId="2D0FC11F" w:rsidR="005A28E9" w:rsidRPr="00770645" w:rsidRDefault="005A28E9" w:rsidP="00770645">
      <w:pPr>
        <w:pStyle w:val="Copyrightbodytext"/>
        <w:rPr>
          <w:szCs w:val="24"/>
        </w:rPr>
      </w:pPr>
      <w:r w:rsidRPr="00770645">
        <w:rPr>
          <w:szCs w:val="24"/>
        </w:rPr>
        <w:t xml:space="preserve">This work should be attributed as follows, </w:t>
      </w:r>
      <w:r w:rsidRPr="00762162">
        <w:rPr>
          <w:i/>
          <w:szCs w:val="24"/>
        </w:rPr>
        <w:t>So</w:t>
      </w:r>
      <w:r w:rsidR="00762162" w:rsidRPr="00762162">
        <w:rPr>
          <w:i/>
          <w:szCs w:val="24"/>
        </w:rPr>
        <w:t>urce</w:t>
      </w:r>
      <w:r w:rsidR="00762162">
        <w:rPr>
          <w:szCs w:val="24"/>
        </w:rPr>
        <w:t xml:space="preserve">: </w:t>
      </w:r>
      <w:r w:rsidR="00762162" w:rsidRPr="002C05D4">
        <w:rPr>
          <w:i/>
          <w:szCs w:val="24"/>
        </w:rPr>
        <w:t>Productivity Commission,</w:t>
      </w:r>
      <w:r w:rsidR="00762162" w:rsidRPr="00762162">
        <w:rPr>
          <w:i/>
          <w:szCs w:val="24"/>
        </w:rPr>
        <w:t xml:space="preserve"> </w:t>
      </w:r>
      <w:r w:rsidRPr="00762162">
        <w:rPr>
          <w:i/>
          <w:szCs w:val="24"/>
        </w:rPr>
        <w:t>Com</w:t>
      </w:r>
      <w:r w:rsidR="00762162">
        <w:rPr>
          <w:i/>
          <w:szCs w:val="24"/>
        </w:rPr>
        <w:t>parative Performance I</w:t>
      </w:r>
      <w:r w:rsidR="00762162" w:rsidRPr="00762162">
        <w:rPr>
          <w:i/>
          <w:szCs w:val="24"/>
        </w:rPr>
        <w:t>ndicators</w:t>
      </w:r>
      <w:r w:rsidRPr="00762162">
        <w:rPr>
          <w:i/>
          <w:szCs w:val="24"/>
        </w:rPr>
        <w:t>, Shifting the Dial: 5 year Productivity Review</w:t>
      </w:r>
      <w:r w:rsidR="00762162">
        <w:rPr>
          <w:szCs w:val="24"/>
        </w:rPr>
        <w:t xml:space="preserve">, </w:t>
      </w:r>
      <w:r w:rsidRPr="00770645">
        <w:rPr>
          <w:szCs w:val="24"/>
        </w:rPr>
        <w:t xml:space="preserve">Supporting Paper No. </w:t>
      </w:r>
      <w:r w:rsidR="00762162">
        <w:rPr>
          <w:szCs w:val="24"/>
        </w:rPr>
        <w:t>3</w:t>
      </w:r>
      <w:r w:rsidRPr="00770645">
        <w:rPr>
          <w:szCs w:val="24"/>
        </w:rPr>
        <w:t>.</w:t>
      </w:r>
    </w:p>
    <w:p w14:paraId="33323264" w14:textId="49D8311A" w:rsidR="005A28E9" w:rsidRPr="00770645" w:rsidRDefault="005A28E9" w:rsidP="00770645">
      <w:pPr>
        <w:pStyle w:val="Copyrightbodytext"/>
        <w:rPr>
          <w:szCs w:val="24"/>
        </w:rPr>
      </w:pPr>
      <w:r w:rsidRPr="00770645">
        <w:rPr>
          <w:szCs w:val="24"/>
        </w:rPr>
        <w:t xml:space="preserve">If you have adapted, modified or transformed this work in anyway, please use the following, </w:t>
      </w:r>
      <w:r w:rsidRPr="00762162">
        <w:rPr>
          <w:i/>
          <w:szCs w:val="24"/>
        </w:rPr>
        <w:t>Source</w:t>
      </w:r>
      <w:r w:rsidRPr="00770645">
        <w:rPr>
          <w:szCs w:val="24"/>
        </w:rPr>
        <w:t xml:space="preserve">: </w:t>
      </w:r>
      <w:r w:rsidRPr="002C05D4">
        <w:rPr>
          <w:i/>
          <w:szCs w:val="24"/>
        </w:rPr>
        <w:t>based on</w:t>
      </w:r>
      <w:r w:rsidR="00762162" w:rsidRPr="002C05D4">
        <w:rPr>
          <w:i/>
          <w:szCs w:val="24"/>
        </w:rPr>
        <w:t xml:space="preserve"> Productivity Commission data, </w:t>
      </w:r>
      <w:r w:rsidRPr="00762162">
        <w:rPr>
          <w:i/>
          <w:szCs w:val="24"/>
        </w:rPr>
        <w:t>Com</w:t>
      </w:r>
      <w:r w:rsidR="00762162">
        <w:rPr>
          <w:i/>
          <w:szCs w:val="24"/>
        </w:rPr>
        <w:t>parative Performance I</w:t>
      </w:r>
      <w:r w:rsidR="00762162" w:rsidRPr="00762162">
        <w:rPr>
          <w:i/>
          <w:szCs w:val="24"/>
        </w:rPr>
        <w:t>ndicators</w:t>
      </w:r>
      <w:r w:rsidRPr="00762162">
        <w:rPr>
          <w:i/>
          <w:szCs w:val="24"/>
        </w:rPr>
        <w:t>, Shifting the Dial: 5 year Productivity Review</w:t>
      </w:r>
      <w:r w:rsidR="00762162">
        <w:rPr>
          <w:szCs w:val="24"/>
        </w:rPr>
        <w:t xml:space="preserve">, </w:t>
      </w:r>
      <w:r w:rsidRPr="00770645">
        <w:rPr>
          <w:szCs w:val="24"/>
        </w:rPr>
        <w:t xml:space="preserve">Supporting Paper No. </w:t>
      </w:r>
      <w:r w:rsidR="00762162">
        <w:rPr>
          <w:szCs w:val="24"/>
        </w:rPr>
        <w:t>3</w:t>
      </w:r>
      <w:r w:rsidRPr="00770645">
        <w:rPr>
          <w:szCs w:val="24"/>
        </w:rPr>
        <w:t>.</w:t>
      </w:r>
    </w:p>
    <w:p w14:paraId="27C4045D" w14:textId="77777777" w:rsidR="005A28E9" w:rsidRPr="00770645" w:rsidRDefault="005A28E9" w:rsidP="005A28E9">
      <w:pPr>
        <w:pStyle w:val="Copyrightsubtitle"/>
        <w:spacing w:before="160"/>
        <w:rPr>
          <w:sz w:val="20"/>
          <w:szCs w:val="20"/>
        </w:rPr>
      </w:pPr>
      <w:r w:rsidRPr="00770645">
        <w:rPr>
          <w:sz w:val="20"/>
          <w:szCs w:val="20"/>
        </w:rPr>
        <w:t>An appropriate reference for this publication is:</w:t>
      </w:r>
    </w:p>
    <w:p w14:paraId="25E83C0D" w14:textId="2044C80A" w:rsidR="005A28E9" w:rsidRPr="00770645" w:rsidRDefault="00762162" w:rsidP="00770645">
      <w:pPr>
        <w:pStyle w:val="Copyrightbodytext"/>
        <w:rPr>
          <w:szCs w:val="24"/>
        </w:rPr>
      </w:pPr>
      <w:r>
        <w:rPr>
          <w:szCs w:val="24"/>
        </w:rPr>
        <w:t xml:space="preserve">Productivity Commission 2017, </w:t>
      </w:r>
      <w:r w:rsidR="005A28E9" w:rsidRPr="00762162">
        <w:rPr>
          <w:i/>
          <w:szCs w:val="24"/>
        </w:rPr>
        <w:t>Com</w:t>
      </w:r>
      <w:r>
        <w:rPr>
          <w:i/>
          <w:szCs w:val="24"/>
        </w:rPr>
        <w:t>parative Performance I</w:t>
      </w:r>
      <w:r w:rsidRPr="00762162">
        <w:rPr>
          <w:i/>
          <w:szCs w:val="24"/>
        </w:rPr>
        <w:t>ndicators</w:t>
      </w:r>
      <w:r w:rsidR="005A28E9" w:rsidRPr="00762162">
        <w:rPr>
          <w:i/>
          <w:szCs w:val="24"/>
        </w:rPr>
        <w:t xml:space="preserve">, </w:t>
      </w:r>
      <w:r w:rsidR="00BC1450">
        <w:rPr>
          <w:szCs w:val="24"/>
        </w:rPr>
        <w:t>Shifting the Dial: 5 </w:t>
      </w:r>
      <w:r w:rsidR="005A28E9" w:rsidRPr="002C05D4">
        <w:rPr>
          <w:szCs w:val="24"/>
        </w:rPr>
        <w:t>year Productivity Review</w:t>
      </w:r>
      <w:r>
        <w:rPr>
          <w:szCs w:val="24"/>
        </w:rPr>
        <w:t xml:space="preserve">, </w:t>
      </w:r>
      <w:r w:rsidR="005A28E9" w:rsidRPr="00762162">
        <w:rPr>
          <w:szCs w:val="24"/>
        </w:rPr>
        <w:t xml:space="preserve">Supporting Paper No. 3, </w:t>
      </w:r>
      <w:r w:rsidR="005A28E9" w:rsidRPr="00770645">
        <w:rPr>
          <w:szCs w:val="24"/>
        </w:rPr>
        <w:t>Canberra.</w:t>
      </w:r>
    </w:p>
    <w:p w14:paraId="59549783" w14:textId="77777777" w:rsidR="005A28E9" w:rsidRPr="00770645" w:rsidRDefault="005A28E9" w:rsidP="00770645">
      <w:pPr>
        <w:pStyle w:val="Copyrightbodytext"/>
        <w:rPr>
          <w:szCs w:val="24"/>
        </w:rPr>
      </w:pPr>
      <w:r w:rsidRPr="00770645">
        <w:rPr>
          <w:szCs w:val="24"/>
        </w:rPr>
        <w:t>Publications enquiries</w:t>
      </w:r>
    </w:p>
    <w:p w14:paraId="1D455FCC" w14:textId="39125A22" w:rsidR="005A28E9" w:rsidRDefault="005A28E9" w:rsidP="00770645">
      <w:pPr>
        <w:pStyle w:val="Copyrightbodytext"/>
        <w:rPr>
          <w:szCs w:val="24"/>
        </w:rPr>
      </w:pPr>
      <w:r w:rsidRPr="00770645">
        <w:rPr>
          <w:szCs w:val="24"/>
        </w:rPr>
        <w:t xml:space="preserve">Media and Publications, phone: (03) 9653 2244 or email: </w:t>
      </w:r>
      <w:hyperlink r:id="rId16" w:history="1">
        <w:r w:rsidR="00770645" w:rsidRPr="00770645">
          <w:t>maps@pc.gov.au</w:t>
        </w:r>
      </w:hyperlink>
    </w:p>
    <w:p w14:paraId="2128F3C8" w14:textId="77777777" w:rsidR="00770645" w:rsidRDefault="00770645" w:rsidP="00770645">
      <w:pPr>
        <w:pStyle w:val="Copyrightbodytext"/>
        <w:spacing w:before="80" w:line="80" w:lineRule="exact"/>
        <w:rPr>
          <w:szCs w:val="24"/>
        </w:rPr>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4A0" w:firstRow="1" w:lastRow="0" w:firstColumn="1" w:lastColumn="0" w:noHBand="0" w:noVBand="1"/>
        <w:tblDescription w:val="Table used for design layout."/>
      </w:tblPr>
      <w:tblGrid>
        <w:gridCol w:w="8771"/>
      </w:tblGrid>
      <w:tr w:rsidR="00770645" w:rsidRPr="00770645" w14:paraId="136BC49F" w14:textId="77777777" w:rsidTr="00770645">
        <w:tc>
          <w:tcPr>
            <w:tcW w:w="8771" w:type="dxa"/>
            <w:tcBorders>
              <w:top w:val="single" w:sz="6" w:space="0" w:color="78A22F"/>
              <w:left w:val="nil"/>
              <w:bottom w:val="nil"/>
              <w:right w:val="nil"/>
            </w:tcBorders>
            <w:shd w:val="clear" w:color="auto" w:fill="F2F2F2" w:themeFill="background1" w:themeFillShade="F2"/>
            <w:hideMark/>
          </w:tcPr>
          <w:p w14:paraId="56EE6A2A" w14:textId="77777777" w:rsidR="00770645" w:rsidRPr="00770645" w:rsidRDefault="00770645" w:rsidP="00770645">
            <w:pPr>
              <w:keepNext/>
              <w:keepLines/>
              <w:spacing w:before="120" w:line="280" w:lineRule="exact"/>
              <w:ind w:left="1474" w:hanging="1474"/>
              <w:rPr>
                <w:rFonts w:ascii="Arial" w:hAnsi="Arial"/>
                <w:b/>
              </w:rPr>
            </w:pPr>
            <w:r w:rsidRPr="00770645">
              <w:rPr>
                <w:rFonts w:ascii="Arial" w:hAnsi="Arial"/>
                <w:b/>
              </w:rPr>
              <w:t>The Productivity Commission</w:t>
            </w:r>
          </w:p>
        </w:tc>
      </w:tr>
      <w:tr w:rsidR="00770645" w:rsidRPr="00770645" w14:paraId="469E40A4" w14:textId="77777777" w:rsidTr="00770645">
        <w:tc>
          <w:tcPr>
            <w:tcW w:w="8771" w:type="dxa"/>
            <w:tcBorders>
              <w:top w:val="nil"/>
              <w:left w:val="nil"/>
              <w:bottom w:val="nil"/>
              <w:right w:val="nil"/>
            </w:tcBorders>
            <w:shd w:val="clear" w:color="auto" w:fill="F2F2F2" w:themeFill="background1" w:themeFillShade="F2"/>
            <w:hideMark/>
          </w:tcPr>
          <w:p w14:paraId="2862C8CD" w14:textId="77777777" w:rsidR="00770645" w:rsidRPr="00770645" w:rsidRDefault="00770645" w:rsidP="00762162">
            <w:pPr>
              <w:pStyle w:val="Box"/>
            </w:pPr>
            <w:r w:rsidRPr="00770645">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70BE2D6C" w14:textId="77777777" w:rsidR="00770645" w:rsidRPr="00770645" w:rsidRDefault="00770645" w:rsidP="00762162">
            <w:pPr>
              <w:pStyle w:val="Box"/>
            </w:pPr>
            <w:r w:rsidRPr="00770645">
              <w:t>The Commission’s independence is underpinned by an Act of Parliament. Its processes and outputs are open to public scrutiny and are driven by concern for the wellbeing of the community as a whole.</w:t>
            </w:r>
          </w:p>
          <w:p w14:paraId="4AE176FA" w14:textId="77777777" w:rsidR="00770645" w:rsidRPr="00770645" w:rsidRDefault="00770645" w:rsidP="00762162">
            <w:pPr>
              <w:pStyle w:val="Box"/>
            </w:pPr>
            <w:r w:rsidRPr="00770645">
              <w:rPr>
                <w:szCs w:val="24"/>
              </w:rPr>
              <w:t>Further information on the Productivity Commission can be obtained from the Commission’s website (</w:t>
            </w:r>
            <w:hyperlink r:id="rId17" w:history="1">
              <w:r w:rsidRPr="00770645">
                <w:t>www.pc.gov.au</w:t>
              </w:r>
            </w:hyperlink>
            <w:r w:rsidRPr="00770645">
              <w:rPr>
                <w:szCs w:val="24"/>
              </w:rPr>
              <w:t>).</w:t>
            </w:r>
          </w:p>
        </w:tc>
      </w:tr>
      <w:tr w:rsidR="00770645" w:rsidRPr="00770645" w14:paraId="0F943A54" w14:textId="77777777" w:rsidTr="00770645">
        <w:tc>
          <w:tcPr>
            <w:tcW w:w="8771" w:type="dxa"/>
            <w:tcBorders>
              <w:top w:val="nil"/>
              <w:left w:val="nil"/>
              <w:bottom w:val="single" w:sz="6" w:space="0" w:color="78A22F"/>
              <w:right w:val="nil"/>
            </w:tcBorders>
            <w:shd w:val="clear" w:color="auto" w:fill="F2F2F2" w:themeFill="background1" w:themeFillShade="F2"/>
          </w:tcPr>
          <w:p w14:paraId="4022BC07" w14:textId="77777777" w:rsidR="00770645" w:rsidRPr="00770645" w:rsidRDefault="00770645" w:rsidP="00770645">
            <w:pPr>
              <w:keepNext/>
              <w:spacing w:line="120" w:lineRule="exact"/>
              <w:jc w:val="both"/>
              <w:rPr>
                <w:rFonts w:ascii="Arial" w:hAnsi="Arial"/>
              </w:rPr>
            </w:pPr>
          </w:p>
        </w:tc>
      </w:tr>
    </w:tbl>
    <w:p w14:paraId="6A9E7281" w14:textId="77777777" w:rsidR="005A28E9" w:rsidRDefault="005A28E9" w:rsidP="005A28E9">
      <w:pPr>
        <w:pStyle w:val="BodyText"/>
      </w:pPr>
      <w:bookmarkStart w:id="3" w:name="cov"/>
      <w:bookmarkEnd w:id="3"/>
    </w:p>
    <w:p w14:paraId="11402123" w14:textId="77777777" w:rsidR="00ED5996" w:rsidRDefault="00ED5996" w:rsidP="005A28E9">
      <w:pPr>
        <w:pStyle w:val="BodyText"/>
        <w:sectPr w:rsidR="00ED5996" w:rsidSect="00762162">
          <w:pgSz w:w="11907" w:h="16840" w:code="9"/>
          <w:pgMar w:top="1984" w:right="1304" w:bottom="1247" w:left="1814" w:header="1701" w:footer="397" w:gutter="0"/>
          <w:pgNumType w:chapSep="period"/>
          <w:cols w:space="720"/>
          <w:docGrid w:linePitch="326"/>
        </w:sectPr>
      </w:pPr>
    </w:p>
    <w:p w14:paraId="6F3602BA" w14:textId="3F3DE55C" w:rsidR="005A28E9" w:rsidRDefault="005A28E9" w:rsidP="005A28E9">
      <w:pPr>
        <w:pStyle w:val="Chapter"/>
      </w:pPr>
      <w:r>
        <w:lastRenderedPageBreak/>
        <w:t>Contents</w:t>
      </w:r>
    </w:p>
    <w:p w14:paraId="19C84419" w14:textId="3D08A471" w:rsidR="00C135F9" w:rsidRPr="005A28E9" w:rsidRDefault="00C135F9" w:rsidP="00C135F9">
      <w:pPr>
        <w:pStyle w:val="TOC10"/>
        <w:rPr>
          <w:rFonts w:asciiTheme="minorHAnsi" w:eastAsiaTheme="minorEastAsia" w:hAnsiTheme="minorHAnsi"/>
          <w:color w:val="auto"/>
          <w:sz w:val="22"/>
          <w:szCs w:val="22"/>
          <w:lang w:eastAsia="en-AU"/>
        </w:rPr>
      </w:pPr>
      <w:r w:rsidRPr="005A28E9">
        <w:rPr>
          <w:color w:val="auto"/>
        </w:rPr>
        <w:t>Key points</w:t>
      </w:r>
      <w:r w:rsidRPr="005A28E9">
        <w:rPr>
          <w:color w:val="auto"/>
        </w:rPr>
        <w:tab/>
      </w:r>
      <w:r>
        <w:rPr>
          <w:color w:val="auto"/>
        </w:rPr>
        <w:t>2</w:t>
      </w:r>
    </w:p>
    <w:p w14:paraId="32E9225D" w14:textId="77777777" w:rsidR="00C135F9" w:rsidRPr="005A28E9" w:rsidRDefault="00C135F9" w:rsidP="00C135F9">
      <w:pPr>
        <w:pStyle w:val="TOC10"/>
        <w:spacing w:before="360"/>
        <w:rPr>
          <w:rFonts w:asciiTheme="minorHAnsi" w:eastAsiaTheme="minorEastAsia" w:hAnsiTheme="minorHAnsi"/>
          <w:color w:val="auto"/>
          <w:sz w:val="22"/>
          <w:szCs w:val="22"/>
          <w:lang w:eastAsia="en-AU"/>
        </w:rPr>
      </w:pPr>
      <w:r w:rsidRPr="005A28E9">
        <w:rPr>
          <w:color w:val="auto"/>
        </w:rPr>
        <w:t>Comparative performance indicators</w:t>
      </w:r>
      <w:r w:rsidRPr="005A28E9">
        <w:rPr>
          <w:color w:val="auto"/>
        </w:rPr>
        <w:tab/>
      </w:r>
      <w:r>
        <w:rPr>
          <w:color w:val="auto"/>
        </w:rPr>
        <w:t>3</w:t>
      </w:r>
    </w:p>
    <w:p w14:paraId="34D814DD" w14:textId="77777777" w:rsidR="00C135F9" w:rsidRPr="005A28E9" w:rsidRDefault="00C135F9" w:rsidP="00C135F9">
      <w:pPr>
        <w:pStyle w:val="TOC2"/>
        <w:rPr>
          <w:rFonts w:asciiTheme="minorHAnsi" w:eastAsiaTheme="minorEastAsia" w:hAnsiTheme="minorHAnsi"/>
          <w:noProof/>
          <w:sz w:val="22"/>
          <w:szCs w:val="22"/>
          <w:lang w:eastAsia="en-AU"/>
        </w:rPr>
      </w:pPr>
      <w:r w:rsidRPr="005A28E9">
        <w:rPr>
          <w:noProof/>
        </w:rPr>
        <w:t>1</w:t>
      </w:r>
      <w:r w:rsidRPr="005A28E9">
        <w:rPr>
          <w:rFonts w:asciiTheme="minorHAnsi" w:eastAsiaTheme="minorEastAsia" w:hAnsiTheme="minorHAnsi"/>
          <w:noProof/>
          <w:sz w:val="22"/>
          <w:szCs w:val="22"/>
          <w:lang w:eastAsia="en-AU"/>
        </w:rPr>
        <w:tab/>
      </w:r>
      <w:r w:rsidRPr="005A28E9">
        <w:rPr>
          <w:noProof/>
        </w:rPr>
        <w:t>Measuring provider</w:t>
      </w:r>
      <w:r w:rsidRPr="005A28E9">
        <w:rPr>
          <w:noProof/>
        </w:rPr>
        <w:noBreakHyphen/>
        <w:t>level performance for government</w:t>
      </w:r>
      <w:r w:rsidRPr="005A28E9">
        <w:rPr>
          <w:noProof/>
        </w:rPr>
        <w:noBreakHyphen/>
        <w:t>funded services</w:t>
      </w:r>
      <w:r w:rsidRPr="005A28E9">
        <w:rPr>
          <w:noProof/>
        </w:rPr>
        <w:tab/>
      </w:r>
      <w:r>
        <w:rPr>
          <w:noProof/>
        </w:rPr>
        <w:t>3</w:t>
      </w:r>
    </w:p>
    <w:p w14:paraId="60A53C46" w14:textId="77777777" w:rsidR="00C135F9" w:rsidRPr="005A28E9" w:rsidRDefault="00C135F9" w:rsidP="00C135F9">
      <w:pPr>
        <w:pStyle w:val="TOC2"/>
        <w:rPr>
          <w:rFonts w:asciiTheme="minorHAnsi" w:eastAsiaTheme="minorEastAsia" w:hAnsiTheme="minorHAnsi"/>
          <w:noProof/>
          <w:sz w:val="22"/>
          <w:szCs w:val="22"/>
          <w:lang w:eastAsia="en-AU"/>
        </w:rPr>
      </w:pPr>
      <w:r w:rsidRPr="005A28E9">
        <w:rPr>
          <w:noProof/>
        </w:rPr>
        <w:t>2</w:t>
      </w:r>
      <w:r w:rsidRPr="005A28E9">
        <w:rPr>
          <w:rFonts w:asciiTheme="minorHAnsi" w:eastAsiaTheme="minorEastAsia" w:hAnsiTheme="minorHAnsi"/>
          <w:noProof/>
          <w:sz w:val="22"/>
          <w:szCs w:val="22"/>
          <w:lang w:eastAsia="en-AU"/>
        </w:rPr>
        <w:tab/>
      </w:r>
      <w:r w:rsidRPr="005A28E9">
        <w:rPr>
          <w:noProof/>
        </w:rPr>
        <w:t>A basis for developing comparative performance indicators</w:t>
      </w:r>
      <w:r w:rsidRPr="005A28E9">
        <w:rPr>
          <w:noProof/>
        </w:rPr>
        <w:tab/>
      </w:r>
      <w:r>
        <w:rPr>
          <w:noProof/>
        </w:rPr>
        <w:t>12</w:t>
      </w:r>
    </w:p>
    <w:p w14:paraId="3E06290A" w14:textId="12C790F0" w:rsidR="00C135F9" w:rsidRPr="005A28E9" w:rsidRDefault="00C135F9" w:rsidP="00C135F9">
      <w:pPr>
        <w:pStyle w:val="TOC2"/>
        <w:rPr>
          <w:rFonts w:asciiTheme="minorHAnsi" w:eastAsiaTheme="minorEastAsia" w:hAnsiTheme="minorHAnsi"/>
          <w:noProof/>
          <w:sz w:val="22"/>
          <w:szCs w:val="22"/>
          <w:lang w:eastAsia="en-AU"/>
        </w:rPr>
      </w:pPr>
      <w:r w:rsidRPr="005A28E9">
        <w:rPr>
          <w:noProof/>
        </w:rPr>
        <w:t>3</w:t>
      </w:r>
      <w:r w:rsidRPr="005A28E9">
        <w:rPr>
          <w:rFonts w:asciiTheme="minorHAnsi" w:eastAsiaTheme="minorEastAsia" w:hAnsiTheme="minorHAnsi"/>
          <w:noProof/>
          <w:sz w:val="22"/>
          <w:szCs w:val="22"/>
          <w:lang w:eastAsia="en-AU"/>
        </w:rPr>
        <w:tab/>
      </w:r>
      <w:r w:rsidRPr="005A28E9">
        <w:rPr>
          <w:noProof/>
        </w:rPr>
        <w:t>Data availability and accessibility</w:t>
      </w:r>
      <w:r w:rsidRPr="005A28E9">
        <w:rPr>
          <w:noProof/>
        </w:rPr>
        <w:tab/>
      </w:r>
      <w:r>
        <w:rPr>
          <w:noProof/>
        </w:rPr>
        <w:t>2</w:t>
      </w:r>
      <w:r w:rsidR="00950443">
        <w:rPr>
          <w:noProof/>
        </w:rPr>
        <w:t>2</w:t>
      </w:r>
    </w:p>
    <w:p w14:paraId="0D6135C9" w14:textId="6A957097" w:rsidR="00C135F9" w:rsidRPr="005A28E9" w:rsidRDefault="00C135F9" w:rsidP="00C135F9">
      <w:pPr>
        <w:pStyle w:val="TOC2"/>
        <w:rPr>
          <w:rFonts w:asciiTheme="minorHAnsi" w:eastAsiaTheme="minorEastAsia" w:hAnsiTheme="minorHAnsi"/>
          <w:noProof/>
          <w:sz w:val="22"/>
          <w:szCs w:val="22"/>
          <w:lang w:eastAsia="en-AU"/>
        </w:rPr>
      </w:pPr>
      <w:r w:rsidRPr="005A28E9">
        <w:rPr>
          <w:noProof/>
        </w:rPr>
        <w:t>4</w:t>
      </w:r>
      <w:r w:rsidRPr="005A28E9">
        <w:rPr>
          <w:rFonts w:asciiTheme="minorHAnsi" w:eastAsiaTheme="minorEastAsia" w:hAnsiTheme="minorHAnsi"/>
          <w:noProof/>
          <w:sz w:val="22"/>
          <w:szCs w:val="22"/>
          <w:lang w:eastAsia="en-AU"/>
        </w:rPr>
        <w:tab/>
      </w:r>
      <w:r w:rsidRPr="005A28E9">
        <w:rPr>
          <w:noProof/>
        </w:rPr>
        <w:t>Links to financial incentives</w:t>
      </w:r>
      <w:r w:rsidRPr="005A28E9">
        <w:rPr>
          <w:noProof/>
        </w:rPr>
        <w:tab/>
      </w:r>
      <w:r w:rsidR="00950443">
        <w:rPr>
          <w:noProof/>
        </w:rPr>
        <w:t>26</w:t>
      </w:r>
    </w:p>
    <w:p w14:paraId="655908A1" w14:textId="23ACF390" w:rsidR="00C135F9" w:rsidRPr="00C135F9" w:rsidRDefault="00C135F9" w:rsidP="00C135F9">
      <w:pPr>
        <w:pStyle w:val="TOC10"/>
        <w:spacing w:before="360"/>
        <w:rPr>
          <w:rFonts w:asciiTheme="minorHAnsi" w:eastAsiaTheme="minorEastAsia" w:hAnsiTheme="minorHAnsi"/>
          <w:sz w:val="22"/>
          <w:szCs w:val="22"/>
          <w:lang w:eastAsia="en-AU"/>
        </w:rPr>
      </w:pPr>
      <w:r w:rsidRPr="005A28E9">
        <w:rPr>
          <w:color w:val="auto"/>
        </w:rPr>
        <w:t>References</w:t>
      </w:r>
      <w:r>
        <w:tab/>
      </w:r>
      <w:r>
        <w:rPr>
          <w:color w:val="auto"/>
        </w:rPr>
        <w:t>32</w:t>
      </w:r>
    </w:p>
    <w:p w14:paraId="10ACFCCD" w14:textId="77777777" w:rsidR="005A28E9" w:rsidRDefault="005A28E9" w:rsidP="005A28E9">
      <w:pPr>
        <w:pStyle w:val="BodyText"/>
      </w:pPr>
    </w:p>
    <w:p w14:paraId="4A38B67C" w14:textId="77777777" w:rsidR="005A28E9" w:rsidRDefault="005A28E9" w:rsidP="005A28E9">
      <w:pPr>
        <w:pStyle w:val="BodyText"/>
        <w:sectPr w:rsidR="005A28E9" w:rsidSect="00762162">
          <w:headerReference w:type="even" r:id="rId18"/>
          <w:headerReference w:type="default" r:id="rId19"/>
          <w:footerReference w:type="even" r:id="rId20"/>
          <w:footerReference w:type="default" r:id="rId21"/>
          <w:pgSz w:w="11907" w:h="16840" w:code="9"/>
          <w:pgMar w:top="1984" w:right="1304" w:bottom="1247" w:left="1814" w:header="1701" w:footer="397" w:gutter="0"/>
          <w:pgNumType w:start="1" w:chapSep="period"/>
          <w:cols w:space="720"/>
          <w:docGrid w:linePitch="326"/>
        </w:sectPr>
      </w:pPr>
    </w:p>
    <w:p w14:paraId="1FEE9E48" w14:textId="5C7E5CE1" w:rsidR="005A28E9" w:rsidRPr="00C135F9" w:rsidRDefault="005A28E9" w:rsidP="00C135F9">
      <w:pPr>
        <w:pStyle w:val="BoxSpaceAbove"/>
        <w:spacing w:before="0"/>
      </w:pPr>
      <w:bookmarkStart w:id="4" w:name="_Toc489014192"/>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5A28E9" w14:paraId="0E864C2A" w14:textId="77777777" w:rsidTr="00DE10E9">
        <w:tc>
          <w:tcPr>
            <w:tcW w:w="5000" w:type="pct"/>
            <w:tcBorders>
              <w:top w:val="single" w:sz="6" w:space="0" w:color="78A22F"/>
              <w:left w:val="nil"/>
              <w:bottom w:val="nil"/>
              <w:right w:val="nil"/>
            </w:tcBorders>
            <w:shd w:val="clear" w:color="auto" w:fill="F2F2F2"/>
          </w:tcPr>
          <w:p w14:paraId="203AE595" w14:textId="0B079A4D" w:rsidR="005A28E9" w:rsidRPr="005A28E9" w:rsidRDefault="005A28E9">
            <w:pPr>
              <w:pStyle w:val="BoxTitle"/>
            </w:pPr>
            <w:r w:rsidRPr="005A28E9">
              <w:t>Key points</w:t>
            </w:r>
          </w:p>
        </w:tc>
      </w:tr>
      <w:tr w:rsidR="005A28E9" w14:paraId="0570630A" w14:textId="77777777" w:rsidTr="00DE10E9">
        <w:tc>
          <w:tcPr>
            <w:tcW w:w="5000" w:type="pct"/>
            <w:tcBorders>
              <w:top w:val="nil"/>
              <w:left w:val="nil"/>
              <w:bottom w:val="nil"/>
              <w:right w:val="nil"/>
            </w:tcBorders>
            <w:shd w:val="clear" w:color="auto" w:fill="F2F2F2"/>
          </w:tcPr>
          <w:p w14:paraId="2C4294AC" w14:textId="77777777" w:rsidR="005A28E9" w:rsidRDefault="005A28E9" w:rsidP="005A28E9">
            <w:pPr>
              <w:pStyle w:val="BoxListBullet"/>
            </w:pPr>
            <w:r>
              <w:t>Although many government</w:t>
            </w:r>
            <w:r>
              <w:noBreakHyphen/>
              <w:t>funded service providers report their performance against internally</w:t>
            </w:r>
            <w:r>
              <w:noBreakHyphen/>
              <w:t>established benchmarks, the use of provider</w:t>
            </w:r>
            <w:r>
              <w:noBreakHyphen/>
              <w:t xml:space="preserve">level comparative performance reporting as a tool to inform and better incentivise performance is in its relative infancy. </w:t>
            </w:r>
          </w:p>
          <w:p w14:paraId="114E4D66" w14:textId="77777777" w:rsidR="005A28E9" w:rsidRDefault="005A28E9" w:rsidP="005A28E9">
            <w:pPr>
              <w:pStyle w:val="BoxListBullet"/>
            </w:pPr>
            <w:r>
              <w:t>Comparisons between like providers can enhance competition, help consumers make more informed choices and, by identifying better performers, help providers to recognise best</w:t>
            </w:r>
            <w:r>
              <w:noBreakHyphen/>
              <w:t xml:space="preserve">practice methods and aid governments in dealing with poor performance. </w:t>
            </w:r>
          </w:p>
          <w:p w14:paraId="03FBFD67" w14:textId="77777777" w:rsidR="005A28E9" w:rsidRDefault="005A28E9" w:rsidP="005A28E9">
            <w:pPr>
              <w:pStyle w:val="BoxListBullet"/>
            </w:pPr>
            <w:r>
              <w:t xml:space="preserve">There has been some effort to develop comparative performance platforms in major service delivery areas, for example, the </w:t>
            </w:r>
            <w:r w:rsidRPr="009B35B9">
              <w:rPr>
                <w:i/>
              </w:rPr>
              <w:t>My</w:t>
            </w:r>
            <w:r>
              <w:rPr>
                <w:i/>
              </w:rPr>
              <w:t xml:space="preserve"> </w:t>
            </w:r>
            <w:r w:rsidRPr="009B35B9">
              <w:rPr>
                <w:i/>
              </w:rPr>
              <w:t>Hospitals</w:t>
            </w:r>
            <w:r>
              <w:t xml:space="preserve"> and </w:t>
            </w:r>
            <w:r w:rsidRPr="009B35B9">
              <w:rPr>
                <w:i/>
              </w:rPr>
              <w:t>My School</w:t>
            </w:r>
            <w:r>
              <w:t xml:space="preserve"> websites. Experience here and overseas suggests the following lessons:</w:t>
            </w:r>
          </w:p>
          <w:p w14:paraId="7535067F" w14:textId="77777777" w:rsidR="005A28E9" w:rsidRDefault="005A28E9" w:rsidP="005A28E9">
            <w:pPr>
              <w:pStyle w:val="BoxListBullet2"/>
            </w:pPr>
            <w:r>
              <w:t xml:space="preserve">while the jurisdiction that collects the performance data depends on the role of different levels of government in different sectors, having a single national authority publish the data enhances accessibility and discoverability. </w:t>
            </w:r>
          </w:p>
          <w:p w14:paraId="0E472B2E" w14:textId="77777777" w:rsidR="005A28E9" w:rsidRDefault="005A28E9" w:rsidP="005A28E9">
            <w:pPr>
              <w:pStyle w:val="BoxListBullet2"/>
            </w:pPr>
            <w:r>
              <w:t>more granular data (down to specific facilities or individual professionals) is better, but only where performance can be reasonably attributed to that level.</w:t>
            </w:r>
          </w:p>
          <w:p w14:paraId="5B502CB2" w14:textId="77777777" w:rsidR="005A28E9" w:rsidRDefault="005A28E9" w:rsidP="005A28E9">
            <w:pPr>
              <w:pStyle w:val="BoxListBullet2"/>
            </w:pPr>
            <w:r>
              <w:t>the potential benefits of performance data are difficult to know ex ante, so should be made public by default, with other arrangements (including ‘trusted</w:t>
            </w:r>
            <w:r>
              <w:noBreakHyphen/>
              <w:t>user’ provisions or private feedback) where there are strong privacy or confidentiality concerns.</w:t>
            </w:r>
          </w:p>
          <w:p w14:paraId="2DCF9037" w14:textId="77777777" w:rsidR="005A28E9" w:rsidRDefault="005A28E9" w:rsidP="005A28E9">
            <w:pPr>
              <w:pStyle w:val="BoxListBullet2"/>
            </w:pPr>
            <w:r>
              <w:t>as the client base for services varies greatly between providers, risk</w:t>
            </w:r>
            <w:r>
              <w:noBreakHyphen/>
              <w:t>adjustment (or value</w:t>
            </w:r>
            <w:r>
              <w:noBreakHyphen/>
              <w:t>added) treatment of performance data is needed for valid comparisons.</w:t>
            </w:r>
          </w:p>
          <w:p w14:paraId="0EDC68DF" w14:textId="77777777" w:rsidR="005A28E9" w:rsidRDefault="005A28E9" w:rsidP="005A28E9">
            <w:pPr>
              <w:pStyle w:val="BoxListBullet2"/>
            </w:pPr>
            <w:r>
              <w:t>to measure performance comprehensively, it is necessary to include qualitative factors among the reported indicators (not just quantitative factors), such as self</w:t>
            </w:r>
            <w:r>
              <w:noBreakHyphen/>
              <w:t>appraised consumer outcomes.</w:t>
            </w:r>
          </w:p>
          <w:p w14:paraId="38AFF327" w14:textId="77777777" w:rsidR="005A28E9" w:rsidRDefault="005A28E9" w:rsidP="005A28E9">
            <w:pPr>
              <w:pStyle w:val="BoxListBullet2"/>
            </w:pPr>
            <w:r>
              <w:t>the fewest possible easily</w:t>
            </w:r>
            <w:r>
              <w:noBreakHyphen/>
              <w:t xml:space="preserve">understood performance indicators would have the most value, but care is needed to ensure </w:t>
            </w:r>
            <w:r w:rsidRPr="00B9356A">
              <w:t xml:space="preserve">indicators </w:t>
            </w:r>
            <w:r>
              <w:t xml:space="preserve">actually </w:t>
            </w:r>
            <w:r w:rsidRPr="00B9356A">
              <w:t>relate to</w:t>
            </w:r>
            <w:r>
              <w:t xml:space="preserve"> government</w:t>
            </w:r>
            <w:r w:rsidRPr="00B9356A">
              <w:t xml:space="preserve"> objectives </w:t>
            </w:r>
            <w:r>
              <w:t>and that they do not distort provider behaviour.</w:t>
            </w:r>
          </w:p>
          <w:p w14:paraId="510FE53A" w14:textId="77777777" w:rsidR="005A28E9" w:rsidRDefault="005A28E9" w:rsidP="005A28E9">
            <w:pPr>
              <w:pStyle w:val="BoxListBullet2"/>
            </w:pPr>
            <w:r>
              <w:t>publishing provider prices (costs) alongside other performance indicators would also add value where prices are opaque and can differ substantially within the sector.</w:t>
            </w:r>
          </w:p>
          <w:p w14:paraId="69D9B58A" w14:textId="77777777" w:rsidR="005A28E9" w:rsidRDefault="005A28E9" w:rsidP="005A28E9">
            <w:pPr>
              <w:pStyle w:val="BoxListBullet2"/>
            </w:pPr>
            <w:r>
              <w:t>utilising data from existing sources (such as administrative data) helps to reduce costs, although new data sources (such as improved consumer surveys) may be needed where there are clear and important gaps in information.</w:t>
            </w:r>
          </w:p>
          <w:p w14:paraId="5124A23A" w14:textId="6016564F" w:rsidR="005A28E9" w:rsidRDefault="005A28E9" w:rsidP="006F472F">
            <w:pPr>
              <w:pStyle w:val="BoxListBullet2"/>
            </w:pPr>
            <w:r>
              <w:t>while performance</w:t>
            </w:r>
            <w:r>
              <w:noBreakHyphen/>
              <w:t>based financial incentives (such as performance pay for teachers, activity</w:t>
            </w:r>
            <w:r>
              <w:noBreakHyphen/>
              <w:t>based funding for hospitals or social impact bonds) can be used, they have had mixed results in the past, generally depending on their context and design.</w:t>
            </w:r>
          </w:p>
        </w:tc>
      </w:tr>
      <w:tr w:rsidR="005A28E9" w14:paraId="0D9B67B3" w14:textId="77777777" w:rsidTr="00DE10E9">
        <w:tc>
          <w:tcPr>
            <w:tcW w:w="5000" w:type="pct"/>
            <w:tcBorders>
              <w:top w:val="nil"/>
              <w:left w:val="nil"/>
              <w:bottom w:val="single" w:sz="6" w:space="0" w:color="78A22F"/>
              <w:right w:val="nil"/>
            </w:tcBorders>
            <w:shd w:val="clear" w:color="auto" w:fill="F2F2F2"/>
          </w:tcPr>
          <w:p w14:paraId="05CC6716" w14:textId="77777777" w:rsidR="005A28E9" w:rsidRDefault="005A28E9" w:rsidP="005A28E9">
            <w:pPr>
              <w:pStyle w:val="Box"/>
              <w:spacing w:before="0" w:line="120" w:lineRule="exact"/>
            </w:pPr>
          </w:p>
        </w:tc>
      </w:tr>
      <w:tr w:rsidR="005A28E9" w:rsidRPr="000863A5" w14:paraId="19D06F24" w14:textId="77777777" w:rsidTr="00DE10E9">
        <w:tc>
          <w:tcPr>
            <w:tcW w:w="5000" w:type="pct"/>
            <w:tcBorders>
              <w:top w:val="single" w:sz="6" w:space="0" w:color="78A22F"/>
              <w:left w:val="nil"/>
              <w:bottom w:val="nil"/>
              <w:right w:val="nil"/>
            </w:tcBorders>
          </w:tcPr>
          <w:p w14:paraId="1DE5F40E" w14:textId="7BF6D1A7" w:rsidR="005A28E9" w:rsidRPr="00626D32" w:rsidRDefault="005A28E9" w:rsidP="005A28E9">
            <w:pPr>
              <w:pStyle w:val="BoxSpaceBelow"/>
            </w:pPr>
          </w:p>
        </w:tc>
      </w:tr>
    </w:tbl>
    <w:p w14:paraId="7A260606" w14:textId="77777777" w:rsidR="005A28E9" w:rsidRDefault="005A28E9">
      <w:pPr>
        <w:rPr>
          <w:sz w:val="52"/>
        </w:rPr>
      </w:pPr>
      <w:r>
        <w:br w:type="page"/>
      </w:r>
    </w:p>
    <w:p w14:paraId="33617B85" w14:textId="36FD7E47" w:rsidR="00CE52AE" w:rsidRDefault="00CE52AE" w:rsidP="003F082A">
      <w:pPr>
        <w:pStyle w:val="Heading1nochapterno"/>
        <w:rPr>
          <w:noProof/>
        </w:rPr>
      </w:pPr>
      <w:bookmarkStart w:id="5" w:name="begin"/>
      <w:bookmarkStart w:id="6" w:name="_Toc488926844"/>
      <w:bookmarkStart w:id="7" w:name="_Toc489014193"/>
      <w:bookmarkEnd w:id="1"/>
      <w:bookmarkEnd w:id="4"/>
      <w:bookmarkEnd w:id="5"/>
      <w:r w:rsidRPr="005A28E9">
        <w:lastRenderedPageBreak/>
        <w:t>Comparative performance indicators</w:t>
      </w:r>
    </w:p>
    <w:p w14:paraId="05AE9FFA" w14:textId="7EEA1D6B" w:rsidR="00E82B8A" w:rsidRDefault="005A28E9" w:rsidP="00E82B8A">
      <w:pPr>
        <w:pStyle w:val="Heading2"/>
      </w:pPr>
      <w:r>
        <w:rPr>
          <w:noProof/>
        </w:rPr>
        <w:t>1</w:t>
      </w:r>
      <w:r w:rsidR="00E82B8A">
        <w:tab/>
        <w:t>Measuring provider</w:t>
      </w:r>
      <w:r w:rsidR="00B277C0">
        <w:noBreakHyphen/>
      </w:r>
      <w:r w:rsidR="00E82B8A">
        <w:t>level performance for government</w:t>
      </w:r>
      <w:r w:rsidR="00B277C0">
        <w:noBreakHyphen/>
      </w:r>
      <w:r w:rsidR="00E82B8A">
        <w:t>funded services</w:t>
      </w:r>
      <w:bookmarkEnd w:id="6"/>
      <w:bookmarkEnd w:id="7"/>
    </w:p>
    <w:p w14:paraId="329E5738" w14:textId="77777777" w:rsidR="00A33B9F" w:rsidRDefault="00A33B9F" w:rsidP="00A33B9F">
      <w:pPr>
        <w:pStyle w:val="BodyText"/>
      </w:pPr>
      <w:r w:rsidRPr="00F27410">
        <w:t xml:space="preserve">Historically, </w:t>
      </w:r>
      <w:r>
        <w:t xml:space="preserve">much of the analysis of Australia’s productivity performance has been focused on macroeconomic measures of productivity, reported as part of the national accounts. These accounts help to provide a </w:t>
      </w:r>
      <w:r w:rsidRPr="00F27410">
        <w:t>summar</w:t>
      </w:r>
      <w:r>
        <w:t>y of</w:t>
      </w:r>
      <w:r w:rsidRPr="00F27410">
        <w:t xml:space="preserve"> economic events and </w:t>
      </w:r>
      <w:r>
        <w:t>a stocktake of</w:t>
      </w:r>
      <w:r w:rsidRPr="00F27410">
        <w:t xml:space="preserve"> an economy’s </w:t>
      </w:r>
      <w:r>
        <w:t xml:space="preserve">production and </w:t>
      </w:r>
      <w:r w:rsidRPr="00F27410">
        <w:t xml:space="preserve">wealth </w:t>
      </w:r>
      <w:r>
        <w:t xml:space="preserve">(and the </w:t>
      </w:r>
      <w:r w:rsidRPr="00F27410">
        <w:t>component factors</w:t>
      </w:r>
      <w:r>
        <w:t xml:space="preserve">). They are </w:t>
      </w:r>
      <w:r w:rsidRPr="00F27410">
        <w:t>important for understanding the economy</w:t>
      </w:r>
      <w:r>
        <w:t xml:space="preserve"> before </w:t>
      </w:r>
      <w:r w:rsidRPr="00F27410">
        <w:t>formulati</w:t>
      </w:r>
      <w:r>
        <w:t>ng</w:t>
      </w:r>
      <w:r w:rsidRPr="00F27410">
        <w:t xml:space="preserve"> macroeconomic policy</w:t>
      </w:r>
      <w:r>
        <w:t xml:space="preserve"> — including, for example, the Reserve Bank’s interest rate decisions or broad fiscal policy settings</w:t>
      </w:r>
      <w:r w:rsidRPr="00F27410">
        <w:t>.</w:t>
      </w:r>
      <w:r>
        <w:t xml:space="preserve"> </w:t>
      </w:r>
    </w:p>
    <w:p w14:paraId="7F84C33A" w14:textId="41A7E9CB" w:rsidR="00A33B9F" w:rsidRDefault="00A33B9F" w:rsidP="00A33B9F">
      <w:pPr>
        <w:pStyle w:val="BodyText"/>
      </w:pPr>
      <w:r>
        <w:t>However, in some areas of the economy, productivity is difficult to measure. In particular, multi</w:t>
      </w:r>
      <w:r>
        <w:noBreakHyphen/>
        <w:t>factor productivity (MFP) estimates are not available for industries in the ‘non</w:t>
      </w:r>
      <w:r>
        <w:noBreakHyphen/>
        <w:t xml:space="preserve">market’ sector — </w:t>
      </w:r>
      <w:r w:rsidR="00570AB3">
        <w:t>health care</w:t>
      </w:r>
      <w:r>
        <w:t xml:space="preserve"> and social assistance, education and training and public administration and safety. Government provision, consumer subsidies and sometime mandated consumption (as in school education) mean that there are no market determined prices and quantities for most of the services in these industries. This means there is a computational barrier to estimating MFP in these industries and hence across the whole economy (see </w:t>
      </w:r>
      <w:r w:rsidR="001C6A96">
        <w:t>SP </w:t>
      </w:r>
      <w:r w:rsidRPr="00AD3834">
        <w:t>2</w:t>
      </w:r>
      <w:r>
        <w:t xml:space="preserve">). </w:t>
      </w:r>
    </w:p>
    <w:p w14:paraId="35EDE694" w14:textId="2AE74B03" w:rsidR="00820251" w:rsidRDefault="00A33B9F" w:rsidP="00251ACE">
      <w:pPr>
        <w:pStyle w:val="BodyText"/>
      </w:pPr>
      <w:r>
        <w:t>To ensure the national accounts provide a more complete picture of how the entire economy is performing (not just part of the economy), the Australian Bureau of Statistics (ABS) is currently developing measures of non</w:t>
      </w:r>
      <w:r>
        <w:noBreakHyphen/>
        <w:t>market MFP for the national accounts. This work is beyond</w:t>
      </w:r>
      <w:r w:rsidRPr="003C5DF5">
        <w:t xml:space="preserve"> </w:t>
      </w:r>
      <w:r>
        <w:t xml:space="preserve">the </w:t>
      </w:r>
      <w:r w:rsidRPr="003C5DF5">
        <w:t>timeline for this inquiry</w:t>
      </w:r>
      <w:r>
        <w:t>, but will help to provide a more accurate picture of Australia’s productivity performance, and guidance on how government</w:t>
      </w:r>
      <w:r>
        <w:noBreakHyphen/>
        <w:t xml:space="preserve">dominated industries are performing over time and whether taxpayers are getting improved value for their money. </w:t>
      </w:r>
      <w:r w:rsidR="00820251">
        <w:t>More importantly for government, these m</w:t>
      </w:r>
      <w:r w:rsidR="002A56B6" w:rsidRPr="006A354E">
        <w:t>acro</w:t>
      </w:r>
      <w:r w:rsidR="00B277C0">
        <w:noBreakHyphen/>
      </w:r>
      <w:r w:rsidR="00B84A2F">
        <w:t>level</w:t>
      </w:r>
      <w:r w:rsidR="002A56B6">
        <w:t xml:space="preserve"> measures of an industry’s </w:t>
      </w:r>
      <w:r w:rsidR="003703ED">
        <w:t>productivity</w:t>
      </w:r>
      <w:r w:rsidR="00820251">
        <w:t xml:space="preserve"> </w:t>
      </w:r>
      <w:r w:rsidR="00127FBA">
        <w:t xml:space="preserve">can act as a ‘canary in a cage’, detecting manifest failures in the performance of government services. </w:t>
      </w:r>
    </w:p>
    <w:p w14:paraId="03C49652" w14:textId="06356E69" w:rsidR="00C63AEE" w:rsidRDefault="00127FBA" w:rsidP="00251ACE">
      <w:pPr>
        <w:pStyle w:val="BodyText"/>
      </w:pPr>
      <w:r>
        <w:t xml:space="preserve">However, such aggregate data are not </w:t>
      </w:r>
      <w:r w:rsidR="00666AF0">
        <w:t>very</w:t>
      </w:r>
      <w:r>
        <w:t xml:space="preserve"> useful for consumers, providers, funders or policymakers </w:t>
      </w:r>
      <w:r w:rsidR="00C63AEE">
        <w:t>concerned about individual</w:t>
      </w:r>
      <w:r>
        <w:t xml:space="preserve"> services. </w:t>
      </w:r>
      <w:r w:rsidR="00C63AEE">
        <w:t>The information they seek on performance</w:t>
      </w:r>
      <w:r>
        <w:t xml:space="preserve"> requires more granular data on the </w:t>
      </w:r>
      <w:r w:rsidR="00C63AEE">
        <w:t>costs, outputs and outcomes</w:t>
      </w:r>
      <w:r>
        <w:t xml:space="preserve"> of individual providers and </w:t>
      </w:r>
      <w:r w:rsidR="007C4B8F">
        <w:t xml:space="preserve">the </w:t>
      </w:r>
      <w:r w:rsidR="00FA2FE3">
        <w:t>systems</w:t>
      </w:r>
      <w:r>
        <w:t xml:space="preserve"> they </w:t>
      </w:r>
      <w:r w:rsidR="007C4B8F">
        <w:t>operate</w:t>
      </w:r>
      <w:r>
        <w:t xml:space="preserve"> in.</w:t>
      </w:r>
      <w:r w:rsidR="00944C06">
        <w:t xml:space="preserve"> </w:t>
      </w:r>
      <w:r w:rsidR="006A354E" w:rsidRPr="006A354E">
        <w:t xml:space="preserve">More specifically, </w:t>
      </w:r>
      <w:r w:rsidR="009B35B9" w:rsidRPr="006A354E">
        <w:t>additional</w:t>
      </w:r>
      <w:r w:rsidR="006A354E" w:rsidRPr="006A354E">
        <w:t xml:space="preserve"> granular data on the nature of resources used by firms</w:t>
      </w:r>
      <w:r w:rsidR="006A354E">
        <w:t xml:space="preserve"> </w:t>
      </w:r>
      <w:r w:rsidR="006A354E" w:rsidRPr="006A354E">
        <w:t xml:space="preserve">(inputs), their rates of </w:t>
      </w:r>
      <w:r w:rsidR="009966FC">
        <w:t>change</w:t>
      </w:r>
      <w:r w:rsidR="005F7BC6">
        <w:t>,</w:t>
      </w:r>
      <w:r w:rsidR="006A354E" w:rsidRPr="006A354E">
        <w:t xml:space="preserve"> the resulting goods and services produced (outputs) </w:t>
      </w:r>
      <w:r w:rsidR="005F7BC6">
        <w:t xml:space="preserve">and their value to consumers (outcomes) </w:t>
      </w:r>
      <w:r w:rsidR="006A354E">
        <w:t xml:space="preserve">can </w:t>
      </w:r>
      <w:r w:rsidR="006A354E" w:rsidRPr="006A354E">
        <w:t>provide a basis for</w:t>
      </w:r>
      <w:r w:rsidR="00C63AEE">
        <w:t>:</w:t>
      </w:r>
    </w:p>
    <w:p w14:paraId="594549DD" w14:textId="208EB810" w:rsidR="00C63AEE" w:rsidRDefault="00C63AEE" w:rsidP="00C63AEE">
      <w:pPr>
        <w:pStyle w:val="ListBullet"/>
      </w:pPr>
      <w:r>
        <w:t xml:space="preserve">improving information </w:t>
      </w:r>
      <w:r w:rsidR="00F056F8">
        <w:t>to support</w:t>
      </w:r>
      <w:r>
        <w:t xml:space="preserve"> </w:t>
      </w:r>
      <w:r w:rsidR="00A33B9F">
        <w:t xml:space="preserve">consumer </w:t>
      </w:r>
      <w:r>
        <w:t>choice</w:t>
      </w:r>
      <w:r w:rsidR="00A33B9F">
        <w:t xml:space="preserve"> and provide feedback to providers</w:t>
      </w:r>
    </w:p>
    <w:p w14:paraId="0268C3EE" w14:textId="08313CCF" w:rsidR="00C63AEE" w:rsidRDefault="00C63AEE" w:rsidP="00C63AEE">
      <w:pPr>
        <w:pStyle w:val="ListBullet"/>
      </w:pPr>
      <w:r>
        <w:lastRenderedPageBreak/>
        <w:t>reviewing and assessing government programs</w:t>
      </w:r>
    </w:p>
    <w:p w14:paraId="67A29244" w14:textId="32D69138" w:rsidR="00171795" w:rsidRDefault="006A354E" w:rsidP="00C63AEE">
      <w:pPr>
        <w:pStyle w:val="ListBullet"/>
      </w:pPr>
      <w:r w:rsidRPr="006A354E">
        <w:t xml:space="preserve">designing </w:t>
      </w:r>
      <w:r w:rsidR="005F7BC6">
        <w:t xml:space="preserve">government </w:t>
      </w:r>
      <w:r w:rsidRPr="006A354E">
        <w:t>policy</w:t>
      </w:r>
    </w:p>
    <w:p w14:paraId="49563A68" w14:textId="58BEB3F5" w:rsidR="00C63AEE" w:rsidRDefault="00C63AEE" w:rsidP="00C63AEE">
      <w:pPr>
        <w:pStyle w:val="ListBullet"/>
      </w:pPr>
      <w:r>
        <w:t>managing government contracts and external service providers</w:t>
      </w:r>
    </w:p>
    <w:p w14:paraId="3F07B935" w14:textId="3C050A4B" w:rsidR="005F7BC6" w:rsidRDefault="005F7BC6" w:rsidP="005F7BC6">
      <w:pPr>
        <w:pStyle w:val="ListBullet"/>
      </w:pPr>
      <w:r w:rsidRPr="006A354E">
        <w:t>identif</w:t>
      </w:r>
      <w:r>
        <w:t>ying influences on productivity</w:t>
      </w:r>
      <w:r w:rsidR="007155AF">
        <w:t>, which along with performance data feed into improving policy and program design</w:t>
      </w:r>
      <w:r>
        <w:t>.</w:t>
      </w:r>
    </w:p>
    <w:p w14:paraId="767082A3" w14:textId="292ABB23" w:rsidR="00E82B8A" w:rsidRDefault="00416030" w:rsidP="005F7BC6">
      <w:pPr>
        <w:pStyle w:val="BodyText"/>
      </w:pPr>
      <w:r>
        <w:t>The value of disaggregated, provider</w:t>
      </w:r>
      <w:r w:rsidR="00B277C0">
        <w:noBreakHyphen/>
      </w:r>
      <w:r>
        <w:t xml:space="preserve">level productivity analysis has </w:t>
      </w:r>
      <w:r w:rsidR="00A21BA0">
        <w:t xml:space="preserve">already </w:t>
      </w:r>
      <w:r>
        <w:t xml:space="preserve">been </w:t>
      </w:r>
      <w:r w:rsidR="00A9037D">
        <w:t>widely</w:t>
      </w:r>
      <w:r>
        <w:t xml:space="preserve"> recognised for industries</w:t>
      </w:r>
      <w:r w:rsidRPr="00416030">
        <w:t xml:space="preserve"> </w:t>
      </w:r>
      <w:r w:rsidR="00E9036B">
        <w:t>outside the non</w:t>
      </w:r>
      <w:r w:rsidR="00B277C0">
        <w:noBreakHyphen/>
      </w:r>
      <w:r w:rsidR="00E9036B">
        <w:t>market sector</w:t>
      </w:r>
      <w:r>
        <w:t xml:space="preserve">, with a range of </w:t>
      </w:r>
      <w:r w:rsidR="00E9036B">
        <w:t>recent</w:t>
      </w:r>
      <w:r>
        <w:t xml:space="preserve"> </w:t>
      </w:r>
      <w:r w:rsidR="00A9037D">
        <w:t xml:space="preserve">international </w:t>
      </w:r>
      <w:r>
        <w:t xml:space="preserve">studies </w:t>
      </w:r>
      <w:r w:rsidR="005F7BC6">
        <w:t xml:space="preserve">using firm level data to provide </w:t>
      </w:r>
      <w:r>
        <w:t>distributional analys</w:t>
      </w:r>
      <w:r w:rsidR="0074494C">
        <w:t>e</w:t>
      </w:r>
      <w:r>
        <w:t xml:space="preserve">s of </w:t>
      </w:r>
      <w:r w:rsidR="00935AD4">
        <w:t>firm</w:t>
      </w:r>
      <w:r>
        <w:t xml:space="preserve"> productivity </w:t>
      </w:r>
      <w:r w:rsidR="005F7BC6">
        <w:t>in</w:t>
      </w:r>
      <w:r>
        <w:t xml:space="preserve"> the market economy</w:t>
      </w:r>
      <w:r w:rsidR="006A354E">
        <w:t xml:space="preserve"> </w:t>
      </w:r>
      <w:r w:rsidR="005A6E8A" w:rsidRPr="005A6E8A">
        <w:rPr>
          <w:szCs w:val="24"/>
        </w:rPr>
        <w:t>(see Andrews, Criscuolo and Gal 2015; Conway 2016; McGowan, Andrews and Millot 2017)</w:t>
      </w:r>
      <w:r w:rsidR="00C065A5">
        <w:t>.</w:t>
      </w:r>
      <w:r>
        <w:t xml:space="preserve"> </w:t>
      </w:r>
      <w:r w:rsidR="00C065A5">
        <w:t>A</w:t>
      </w:r>
      <w:r>
        <w:t xml:space="preserve">lthough none of this work has </w:t>
      </w:r>
      <w:r w:rsidR="00E9036B">
        <w:t xml:space="preserve">yet </w:t>
      </w:r>
      <w:r w:rsidR="00C065A5">
        <w:t xml:space="preserve">been </w:t>
      </w:r>
      <w:r w:rsidR="005F7BC6">
        <w:t xml:space="preserve">widely </w:t>
      </w:r>
      <w:r w:rsidR="00C065A5">
        <w:t>replicated in Australia,</w:t>
      </w:r>
      <w:r w:rsidR="002F12F8" w:rsidRPr="00441F05">
        <w:rPr>
          <w:rStyle w:val="FootnoteReference"/>
        </w:rPr>
        <w:footnoteReference w:id="2"/>
      </w:r>
      <w:r w:rsidR="00C065A5">
        <w:t xml:space="preserve"> </w:t>
      </w:r>
      <w:r w:rsidR="00C065A5" w:rsidRPr="00C065A5">
        <w:t>the analysis has nonetheless provided useful insights on mar</w:t>
      </w:r>
      <w:r w:rsidR="00C065A5">
        <w:t>ket dynamics in other economies, including the characteristics of the most and least productive firms and the level of competition within industries.</w:t>
      </w:r>
    </w:p>
    <w:p w14:paraId="21430E42" w14:textId="46940A1D" w:rsidR="006A354E" w:rsidRDefault="006A354E" w:rsidP="00A21BA0">
      <w:pPr>
        <w:pStyle w:val="BodyText"/>
      </w:pPr>
      <w:r>
        <w:t>Information on</w:t>
      </w:r>
      <w:r w:rsidR="00A9037D">
        <w:t xml:space="preserve"> provider</w:t>
      </w:r>
      <w:r w:rsidR="00B277C0">
        <w:noBreakHyphen/>
      </w:r>
      <w:r w:rsidR="00A9037D">
        <w:t>level productivity in the non</w:t>
      </w:r>
      <w:r w:rsidR="00A9037D">
        <w:noBreakHyphen/>
        <w:t xml:space="preserve">market sector would </w:t>
      </w:r>
      <w:r w:rsidR="0074494C">
        <w:t xml:space="preserve">allow </w:t>
      </w:r>
      <w:r w:rsidR="00C065A5">
        <w:t>similar insights</w:t>
      </w:r>
      <w:r w:rsidR="00730A97">
        <w:t xml:space="preserve"> </w:t>
      </w:r>
      <w:r w:rsidR="00CF3E2A">
        <w:t xml:space="preserve">about </w:t>
      </w:r>
      <w:r w:rsidR="00F82EA9">
        <w:t>the drivers of firm</w:t>
      </w:r>
      <w:r w:rsidR="00F82EA9">
        <w:noBreakHyphen/>
        <w:t xml:space="preserve">level productivity </w:t>
      </w:r>
      <w:r w:rsidR="00730A97">
        <w:t>in the sector</w:t>
      </w:r>
      <w:r w:rsidR="007155AF">
        <w:t xml:space="preserve">. </w:t>
      </w:r>
      <w:r w:rsidR="00F82EA9">
        <w:t>I</w:t>
      </w:r>
      <w:r w:rsidR="007155AF">
        <w:t xml:space="preserve">mportantly, it would also </w:t>
      </w:r>
      <w:r w:rsidR="00730A97">
        <w:t>e</w:t>
      </w:r>
      <w:r w:rsidR="00730A97" w:rsidRPr="004E58E5">
        <w:t xml:space="preserve">nhance </w:t>
      </w:r>
      <w:r>
        <w:t>government</w:t>
      </w:r>
      <w:r w:rsidR="00730A97" w:rsidRPr="004E58E5">
        <w:t xml:space="preserve"> accountability and transparency</w:t>
      </w:r>
      <w:r>
        <w:t>,</w:t>
      </w:r>
      <w:r w:rsidR="00730A97">
        <w:t xml:space="preserve"> </w:t>
      </w:r>
      <w:r>
        <w:t>a</w:t>
      </w:r>
      <w:r w:rsidR="00730A97">
        <w:t xml:space="preserve">s </w:t>
      </w:r>
      <w:r w:rsidR="00331FCF">
        <w:t xml:space="preserve">most of </w:t>
      </w:r>
      <w:r w:rsidR="00730A97">
        <w:t>the non</w:t>
      </w:r>
      <w:r w:rsidR="00B277C0">
        <w:noBreakHyphen/>
      </w:r>
      <w:r w:rsidR="00730A97">
        <w:t>market sector is funded (at least in part) by taxpayers</w:t>
      </w:r>
      <w:r w:rsidR="00F82EA9">
        <w:t>,</w:t>
      </w:r>
      <w:r>
        <w:t xml:space="preserve"> </w:t>
      </w:r>
      <w:r w:rsidR="00CF3E2A">
        <w:t xml:space="preserve">and </w:t>
      </w:r>
      <w:r w:rsidR="00C065A5">
        <w:t xml:space="preserve">its outputs (the services to be delivered, and the price, quality and/or quantity of those services) are substantially regulated by governments. </w:t>
      </w:r>
      <w:r>
        <w:t>That is</w:t>
      </w:r>
      <w:r w:rsidR="00730A97">
        <w:t xml:space="preserve">, the public has a right to </w:t>
      </w:r>
      <w:r w:rsidR="00730A97" w:rsidRPr="006D25EB">
        <w:t xml:space="preserve">know </w:t>
      </w:r>
      <w:r w:rsidR="00730A97">
        <w:t xml:space="preserve">details of where their money is going, whether it is </w:t>
      </w:r>
      <w:r w:rsidR="00730A97" w:rsidRPr="00C73DCD">
        <w:t>achieving meaningful results</w:t>
      </w:r>
      <w:r w:rsidR="007155AF">
        <w:t>,</w:t>
      </w:r>
      <w:r w:rsidR="00730A97">
        <w:t xml:space="preserve"> and if they are getting the best possible value </w:t>
      </w:r>
      <w:r w:rsidR="006F472F" w:rsidRPr="006F472F">
        <w:rPr>
          <w:szCs w:val="24"/>
        </w:rPr>
        <w:t>(DoF 2016)</w:t>
      </w:r>
      <w:r w:rsidR="00730A97">
        <w:t xml:space="preserve">. </w:t>
      </w:r>
    </w:p>
    <w:p w14:paraId="5D5B54CC" w14:textId="684B4BD0" w:rsidR="00C065A5" w:rsidRDefault="00A21BA0" w:rsidP="00C065A5">
      <w:pPr>
        <w:pStyle w:val="BodyText"/>
      </w:pPr>
      <w:r>
        <w:t xml:space="preserve">This </w:t>
      </w:r>
      <w:r w:rsidR="006A354E">
        <w:t xml:space="preserve">principle applies </w:t>
      </w:r>
      <w:r w:rsidR="00B279C9">
        <w:t xml:space="preserve">not only to services that are </w:t>
      </w:r>
      <w:r w:rsidR="009A396F">
        <w:t xml:space="preserve">directly </w:t>
      </w:r>
      <w:r w:rsidR="00B279C9">
        <w:t>provided or (effectively) guaranteed by government (such as public hospitals, emergency services, public transport</w:t>
      </w:r>
      <w:r w:rsidR="007155AF">
        <w:t>,</w:t>
      </w:r>
      <w:r w:rsidR="00B279C9">
        <w:t xml:space="preserve"> </w:t>
      </w:r>
      <w:r w:rsidR="007155AF">
        <w:t xml:space="preserve">and </w:t>
      </w:r>
      <w:r w:rsidR="00B279C9">
        <w:t xml:space="preserve">water and sewerage services). It also applies to </w:t>
      </w:r>
      <w:r>
        <w:t>services that are delivered and f</w:t>
      </w:r>
      <w:r w:rsidR="00B279C9">
        <w:t xml:space="preserve">unded </w:t>
      </w:r>
      <w:r w:rsidR="00B279C9" w:rsidRPr="009A396F">
        <w:rPr>
          <w:i/>
        </w:rPr>
        <w:t>indirectly</w:t>
      </w:r>
      <w:r w:rsidR="00B279C9">
        <w:t xml:space="preserve"> by governments, such as</w:t>
      </w:r>
      <w:r>
        <w:t xml:space="preserve"> through the use of grants</w:t>
      </w:r>
      <w:r w:rsidR="00B279C9">
        <w:t>,</w:t>
      </w:r>
      <w:r w:rsidR="008B4CE5">
        <w:t xml:space="preserve"> </w:t>
      </w:r>
      <w:r>
        <w:t xml:space="preserve">subsidies </w:t>
      </w:r>
      <w:r w:rsidR="00B279C9">
        <w:t xml:space="preserve">or contracts </w:t>
      </w:r>
      <w:r>
        <w:t>to private sector organisations</w:t>
      </w:r>
      <w:r w:rsidR="009A396F">
        <w:t xml:space="preserve"> — examples </w:t>
      </w:r>
      <w:r w:rsidR="00B279C9">
        <w:t>includ</w:t>
      </w:r>
      <w:r w:rsidR="009A396F">
        <w:t>e</w:t>
      </w:r>
      <w:r w:rsidR="00B279C9">
        <w:t xml:space="preserve"> </w:t>
      </w:r>
      <w:r w:rsidR="009A396F">
        <w:t xml:space="preserve">subsidised </w:t>
      </w:r>
      <w:r w:rsidR="00B279C9">
        <w:t xml:space="preserve">private </w:t>
      </w:r>
      <w:r w:rsidR="00331FCF">
        <w:t>education</w:t>
      </w:r>
      <w:r w:rsidR="00B279C9">
        <w:t xml:space="preserve"> and </w:t>
      </w:r>
      <w:r w:rsidR="00570AB3">
        <w:t>health care</w:t>
      </w:r>
      <w:r w:rsidR="00B279C9">
        <w:t xml:space="preserve">, </w:t>
      </w:r>
      <w:r w:rsidR="009A396F">
        <w:t xml:space="preserve">contracted </w:t>
      </w:r>
      <w:r w:rsidR="00331FCF">
        <w:t xml:space="preserve">employment services, </w:t>
      </w:r>
      <w:r w:rsidR="009A396F">
        <w:t>and grants for creative and performing arts activities</w:t>
      </w:r>
      <w:r w:rsidR="00C065A5">
        <w:t xml:space="preserve">. </w:t>
      </w:r>
      <w:r w:rsidR="009A396F">
        <w:t xml:space="preserve">Although none of these services are conducted directly by government, they are still funded by taxpayers. </w:t>
      </w:r>
      <w:r w:rsidR="00EB26E8">
        <w:t xml:space="preserve">Some </w:t>
      </w:r>
      <w:r w:rsidR="00331FCF">
        <w:t xml:space="preserve">of these </w:t>
      </w:r>
      <w:r w:rsidR="009A396F">
        <w:t>taxpayer</w:t>
      </w:r>
      <w:r w:rsidR="00B277C0">
        <w:noBreakHyphen/>
      </w:r>
      <w:r w:rsidR="009A396F">
        <w:t>funded</w:t>
      </w:r>
      <w:r w:rsidR="00331FCF">
        <w:t xml:space="preserve"> services are </w:t>
      </w:r>
      <w:r w:rsidR="009A396F">
        <w:t xml:space="preserve">also </w:t>
      </w:r>
      <w:r w:rsidR="00331FCF">
        <w:t>in the market</w:t>
      </w:r>
      <w:r w:rsidR="009A396F">
        <w:t xml:space="preserve"> sector</w:t>
      </w:r>
      <w:r w:rsidR="00331FCF">
        <w:t>, rather than non</w:t>
      </w:r>
      <w:r w:rsidR="00B277C0">
        <w:noBreakHyphen/>
      </w:r>
      <w:r w:rsidR="00331FCF">
        <w:t xml:space="preserve">market sector. </w:t>
      </w:r>
      <w:r w:rsidR="00C065A5">
        <w:t>As such, indicators of government</w:t>
      </w:r>
      <w:r w:rsidR="00B277C0">
        <w:noBreakHyphen/>
      </w:r>
      <w:r w:rsidR="005F7BC6">
        <w:t>funded performance</w:t>
      </w:r>
      <w:r w:rsidR="00C065A5">
        <w:t xml:space="preserve"> </w:t>
      </w:r>
      <w:r w:rsidR="00516EF3">
        <w:t>are important for</w:t>
      </w:r>
      <w:r w:rsidR="00C065A5">
        <w:t xml:space="preserve"> both the market and non</w:t>
      </w:r>
      <w:r w:rsidR="00C065A5">
        <w:noBreakHyphen/>
        <w:t xml:space="preserve">market sectors. </w:t>
      </w:r>
    </w:p>
    <w:p w14:paraId="59AC37A9" w14:textId="20E0EC43" w:rsidR="00730A97" w:rsidRDefault="002659EF" w:rsidP="00730A97">
      <w:pPr>
        <w:pStyle w:val="BodyText"/>
      </w:pPr>
      <w:r>
        <w:t>In addition, detailed information on the productivity of different service providers can help guide the development of productivity</w:t>
      </w:r>
      <w:r w:rsidR="00B277C0">
        <w:noBreakHyphen/>
      </w:r>
      <w:r>
        <w:t>enhancing reforms</w:t>
      </w:r>
      <w:r w:rsidR="007825E0">
        <w:t>.</w:t>
      </w:r>
      <w:r w:rsidR="00C065A5">
        <w:t xml:space="preserve"> </w:t>
      </w:r>
      <w:r w:rsidR="007825E0">
        <w:t>M</w:t>
      </w:r>
      <w:r w:rsidR="00730A97">
        <w:t xml:space="preserve">any of the most effective policy levers available to governments are </w:t>
      </w:r>
      <w:r w:rsidR="00730A97" w:rsidRPr="00C065A5">
        <w:t>microeconomic</w:t>
      </w:r>
      <w:r w:rsidR="00ED5765">
        <w:t xml:space="preserve">, </w:t>
      </w:r>
      <w:r w:rsidR="001B1C27">
        <w:t>rely</w:t>
      </w:r>
      <w:r w:rsidR="00ED5765">
        <w:t>ing</w:t>
      </w:r>
      <w:r w:rsidR="001B1C27">
        <w:t xml:space="preserve"> on </w:t>
      </w:r>
      <w:r w:rsidR="007825E0">
        <w:t xml:space="preserve">an </w:t>
      </w:r>
      <w:r w:rsidR="001B1C27">
        <w:t xml:space="preserve">understanding of the structure and dynamics of markets </w:t>
      </w:r>
      <w:r w:rsidR="00C065A5">
        <w:t xml:space="preserve">(such as regulations, individual tax and transfer policies and specific government programs) </w:t>
      </w:r>
      <w:r w:rsidR="00730A97" w:rsidRPr="00AF1AC2">
        <w:rPr>
          <w:szCs w:val="24"/>
        </w:rPr>
        <w:t>(Atkinson 2005; Schreyer 2010)</w:t>
      </w:r>
      <w:r w:rsidR="00730A97">
        <w:t>.</w:t>
      </w:r>
      <w:r w:rsidR="005F7BC6">
        <w:t xml:space="preserve"> As such, more detailed indicators of performance can help to identify patterns in underperformance and high performance, providing insights for </w:t>
      </w:r>
      <w:r w:rsidR="00331FCF">
        <w:t>policies</w:t>
      </w:r>
      <w:r w:rsidR="005F7BC6">
        <w:t xml:space="preserve"> </w:t>
      </w:r>
      <w:r w:rsidR="00331FCF">
        <w:t>that</w:t>
      </w:r>
      <w:r w:rsidR="005F7BC6">
        <w:t xml:space="preserve"> encourage the latter </w:t>
      </w:r>
      <w:r w:rsidR="00331FCF">
        <w:t>and discourage</w:t>
      </w:r>
      <w:r w:rsidR="005F7BC6">
        <w:t xml:space="preserve"> the former.</w:t>
      </w:r>
    </w:p>
    <w:p w14:paraId="1B52B0BA" w14:textId="62ED5178" w:rsidR="009D3D83" w:rsidRDefault="00E82B8A" w:rsidP="00E82B8A">
      <w:pPr>
        <w:pStyle w:val="BodyText"/>
      </w:pPr>
      <w:r>
        <w:t xml:space="preserve">Taxpayers and policy makers are </w:t>
      </w:r>
      <w:r w:rsidR="00A21BA0">
        <w:t xml:space="preserve">also </w:t>
      </w:r>
      <w:r>
        <w:t>interested in performance metrics</w:t>
      </w:r>
      <w:r w:rsidRPr="00336C3B">
        <w:t xml:space="preserve"> </w:t>
      </w:r>
      <w:r>
        <w:t xml:space="preserve">beyond strict estimates of </w:t>
      </w:r>
      <w:r w:rsidR="00C065A5">
        <w:t>productivity</w:t>
      </w:r>
      <w:r w:rsidR="000E7092">
        <w:t>,</w:t>
      </w:r>
      <w:r>
        <w:t xml:space="preserve"> </w:t>
      </w:r>
      <w:r w:rsidR="00D811A0">
        <w:t xml:space="preserve">so they can </w:t>
      </w:r>
      <w:r>
        <w:t xml:space="preserve">better assess whether </w:t>
      </w:r>
      <w:r w:rsidR="00D811A0">
        <w:t xml:space="preserve">governments are achieving their </w:t>
      </w:r>
      <w:r>
        <w:t xml:space="preserve">broader </w:t>
      </w:r>
      <w:r w:rsidR="00D811A0">
        <w:t xml:space="preserve">policy </w:t>
      </w:r>
      <w:r>
        <w:t xml:space="preserve">goals. </w:t>
      </w:r>
      <w:r w:rsidR="00C73469">
        <w:t>In part, this reflects the difficulty in capturing improvements in service quality in the measured productivity of government</w:t>
      </w:r>
      <w:r w:rsidR="00B277C0">
        <w:noBreakHyphen/>
      </w:r>
      <w:r w:rsidR="00C73469">
        <w:t xml:space="preserve">sponsored activity (given the absence of or small role played by price signals). </w:t>
      </w:r>
      <w:r w:rsidR="005F7BC6">
        <w:t>T</w:t>
      </w:r>
      <w:r w:rsidR="009D3D83">
        <w:t>o form a more complete pi</w:t>
      </w:r>
      <w:r w:rsidR="005F7BC6">
        <w:t>cture of government performance,</w:t>
      </w:r>
      <w:r w:rsidR="009D3D83">
        <w:t xml:space="preserve"> </w:t>
      </w:r>
      <w:r w:rsidR="005F7BC6">
        <w:t>productivity indicators should be considered alongside other measures, such as whether quality, equity and access standards have been met, consumer perceptions of quality, and financial indicators.</w:t>
      </w:r>
    </w:p>
    <w:p w14:paraId="4A2D29A0" w14:textId="7CC92E57" w:rsidR="00EB38DE" w:rsidRDefault="00EB38DE" w:rsidP="00AE6BA6">
      <w:pPr>
        <w:pStyle w:val="Heading3"/>
      </w:pPr>
      <w:r>
        <w:t>Absolute and comparative performance indicators</w:t>
      </w:r>
    </w:p>
    <w:p w14:paraId="6271845E" w14:textId="2E8FF7A3" w:rsidR="00FC007E" w:rsidRDefault="00444510" w:rsidP="002111B4">
      <w:pPr>
        <w:pStyle w:val="BodyText"/>
      </w:pPr>
      <w:r>
        <w:t>Many i</w:t>
      </w:r>
      <w:r w:rsidR="009C2E4B">
        <w:t>ndicators of</w:t>
      </w:r>
      <w:r w:rsidR="00CA74CB">
        <w:t xml:space="preserve"> </w:t>
      </w:r>
      <w:r w:rsidR="00D811A0">
        <w:t xml:space="preserve">the performance of </w:t>
      </w:r>
      <w:r w:rsidR="0021117C">
        <w:t>government</w:t>
      </w:r>
      <w:r w:rsidR="00B277C0">
        <w:noBreakHyphen/>
      </w:r>
      <w:r w:rsidR="0021117C">
        <w:t>funded</w:t>
      </w:r>
      <w:r w:rsidR="00CA74CB">
        <w:t xml:space="preserve"> service</w:t>
      </w:r>
      <w:r w:rsidR="00981EA9">
        <w:t xml:space="preserve"> provider</w:t>
      </w:r>
      <w:r w:rsidR="00CA74CB">
        <w:t>s</w:t>
      </w:r>
      <w:r w:rsidR="009C2E4B">
        <w:t xml:space="preserve"> </w:t>
      </w:r>
      <w:r w:rsidR="0021117C">
        <w:t xml:space="preserve">are </w:t>
      </w:r>
      <w:r>
        <w:t xml:space="preserve">already </w:t>
      </w:r>
      <w:r w:rsidR="0021117C">
        <w:t xml:space="preserve">collected and reported </w:t>
      </w:r>
      <w:r>
        <w:t>on a regular basis</w:t>
      </w:r>
      <w:r w:rsidR="00EA79D7">
        <w:t xml:space="preserve"> — primarily to improve their accountability and transparency</w:t>
      </w:r>
      <w:r w:rsidR="0021117C">
        <w:t xml:space="preserve">. </w:t>
      </w:r>
      <w:r w:rsidR="004B21EF">
        <w:t>M</w:t>
      </w:r>
      <w:r w:rsidR="00A06449">
        <w:t xml:space="preserve">uch of </w:t>
      </w:r>
      <w:r w:rsidR="00D811A0">
        <w:t xml:space="preserve">that </w:t>
      </w:r>
      <w:r w:rsidR="00A06449">
        <w:t>performance reporting focuse</w:t>
      </w:r>
      <w:r w:rsidR="004B21EF">
        <w:t>s</w:t>
      </w:r>
      <w:r w:rsidR="00A06449">
        <w:t xml:space="preserve"> on </w:t>
      </w:r>
      <w:r w:rsidR="004B21EF">
        <w:t xml:space="preserve">changes over time in </w:t>
      </w:r>
      <w:r w:rsidR="00091235">
        <w:t xml:space="preserve">a particular entity’s performance and </w:t>
      </w:r>
      <w:r w:rsidR="004B21EF">
        <w:t xml:space="preserve">the degree to which </w:t>
      </w:r>
      <w:r w:rsidR="00091235">
        <w:t>they meet internally</w:t>
      </w:r>
      <w:r w:rsidR="00091235">
        <w:noBreakHyphen/>
        <w:t>established goals. For instance, a</w:t>
      </w:r>
      <w:r w:rsidR="0021117C">
        <w:t xml:space="preserve">t the Commonwealth level, the </w:t>
      </w:r>
      <w:r w:rsidR="0021117C" w:rsidRPr="00DE4F45">
        <w:rPr>
          <w:i/>
          <w:iCs/>
        </w:rPr>
        <w:t>Public Governance, Performance and Accountability Act 2013</w:t>
      </w:r>
      <w:r w:rsidR="0021117C">
        <w:rPr>
          <w:iCs/>
        </w:rPr>
        <w:t xml:space="preserve"> aims </w:t>
      </w:r>
      <w:r w:rsidR="0021117C" w:rsidRPr="00DE4F45">
        <w:rPr>
          <w:iCs/>
        </w:rPr>
        <w:t>to improve the line of sight between what was intended and what was delivered</w:t>
      </w:r>
      <w:r w:rsidR="0021117C">
        <w:rPr>
          <w:iCs/>
        </w:rPr>
        <w:t xml:space="preserve"> by Commonwealth</w:t>
      </w:r>
      <w:r w:rsidR="00091235">
        <w:rPr>
          <w:iCs/>
        </w:rPr>
        <w:t xml:space="preserve"> government</w:t>
      </w:r>
      <w:r w:rsidR="00091235">
        <w:rPr>
          <w:iCs/>
        </w:rPr>
        <w:noBreakHyphen/>
        <w:t>owned</w:t>
      </w:r>
      <w:r w:rsidR="0021117C">
        <w:rPr>
          <w:iCs/>
        </w:rPr>
        <w:t xml:space="preserve"> entities, requiring Annual Performance Statements from each entity </w:t>
      </w:r>
      <w:r w:rsidR="00AE1ED7">
        <w:rPr>
          <w:iCs/>
        </w:rPr>
        <w:t>in</w:t>
      </w:r>
      <w:r w:rsidR="0021117C">
        <w:rPr>
          <w:iCs/>
        </w:rPr>
        <w:t xml:space="preserve"> their annual </w:t>
      </w:r>
      <w:r w:rsidR="00C70CAD">
        <w:rPr>
          <w:iCs/>
        </w:rPr>
        <w:t xml:space="preserve">reports </w:t>
      </w:r>
      <w:r w:rsidR="006F472F" w:rsidRPr="006F472F">
        <w:rPr>
          <w:szCs w:val="24"/>
        </w:rPr>
        <w:t>(DoF 2016)</w:t>
      </w:r>
      <w:r w:rsidR="0021117C">
        <w:t>. The States and Territories generally operate similar systems</w:t>
      </w:r>
      <w:r w:rsidR="004A7C89">
        <w:t>. F</w:t>
      </w:r>
      <w:r w:rsidR="0021117C">
        <w:t xml:space="preserve">or example, Western Australia requires each agency to report </w:t>
      </w:r>
      <w:r w:rsidR="00B96B92">
        <w:t xml:space="preserve">annually </w:t>
      </w:r>
      <w:r w:rsidR="0021117C">
        <w:t xml:space="preserve">against a range of Key Performance Indicators (KPIs) under their Outcome Based Management system </w:t>
      </w:r>
      <w:r w:rsidR="005A6E8A" w:rsidRPr="005A6E8A">
        <w:rPr>
          <w:szCs w:val="24"/>
        </w:rPr>
        <w:t>(WA DTF 2004)</w:t>
      </w:r>
      <w:r w:rsidR="0021117C">
        <w:t xml:space="preserve">. </w:t>
      </w:r>
    </w:p>
    <w:p w14:paraId="49BB149E" w14:textId="586F9893" w:rsidR="00091235" w:rsidRPr="00FC007E" w:rsidRDefault="00D763EE" w:rsidP="00FC007E">
      <w:pPr>
        <w:pStyle w:val="BodyText"/>
      </w:pPr>
      <w:r>
        <w:t xml:space="preserve">Similar </w:t>
      </w:r>
      <w:r w:rsidR="00FC007E">
        <w:t xml:space="preserve">levels of </w:t>
      </w:r>
      <w:r w:rsidRPr="00FC007E">
        <w:t xml:space="preserve">reporting </w:t>
      </w:r>
      <w:r w:rsidR="00FC007E" w:rsidRPr="00FC007E">
        <w:t>are</w:t>
      </w:r>
      <w:r w:rsidRPr="00FC007E">
        <w:t xml:space="preserve"> often </w:t>
      </w:r>
      <w:r w:rsidR="00FC007E" w:rsidRPr="00FC007E">
        <w:t xml:space="preserve">also </w:t>
      </w:r>
      <w:r w:rsidRPr="00FC007E">
        <w:t>required from contracted private providers of government</w:t>
      </w:r>
      <w:r w:rsidR="00B277C0">
        <w:noBreakHyphen/>
      </w:r>
      <w:r w:rsidRPr="00FC007E">
        <w:t>funded services</w:t>
      </w:r>
      <w:r w:rsidR="00FC007E" w:rsidRPr="00FC007E">
        <w:t xml:space="preserve">. For example, Transport for NSW </w:t>
      </w:r>
      <w:r w:rsidR="008D78B7">
        <w:t xml:space="preserve">(TfNSW) </w:t>
      </w:r>
      <w:r w:rsidR="00FC007E" w:rsidRPr="00FC007E">
        <w:t xml:space="preserve">publishes </w:t>
      </w:r>
      <w:r w:rsidR="00FC007E">
        <w:t xml:space="preserve">a </w:t>
      </w:r>
      <w:r w:rsidR="00FC007E" w:rsidRPr="00FC007E">
        <w:t>Guideline for Construction Contractor Performance Report</w:t>
      </w:r>
      <w:r w:rsidR="00FC007E">
        <w:t>ing to ‘e</w:t>
      </w:r>
      <w:r w:rsidR="00FC007E" w:rsidRPr="00FC007E">
        <w:t>nhance contractor performance via a continuous improvement process and recognition of good performance</w:t>
      </w:r>
      <w:r w:rsidR="00FC007E">
        <w:t>’</w:t>
      </w:r>
      <w:r w:rsidR="00FC007E" w:rsidRPr="00FC007E">
        <w:t xml:space="preserve"> (TfNSW 2014)</w:t>
      </w:r>
      <w:r w:rsidRPr="00FC007E">
        <w:t>.</w:t>
      </w:r>
    </w:p>
    <w:p w14:paraId="0DB243C1" w14:textId="6B1D1682" w:rsidR="006851EB" w:rsidRDefault="00EA79D7" w:rsidP="00FC007E">
      <w:pPr>
        <w:pStyle w:val="BodyText"/>
      </w:pPr>
      <w:r w:rsidRPr="00FC007E">
        <w:t xml:space="preserve">While </w:t>
      </w:r>
      <w:r w:rsidR="00ED5765" w:rsidRPr="00FC007E">
        <w:t xml:space="preserve">such </w:t>
      </w:r>
      <w:r w:rsidRPr="00FC007E">
        <w:t>reporting framework</w:t>
      </w:r>
      <w:r w:rsidR="00ED5765" w:rsidRPr="00FC007E">
        <w:t>s</w:t>
      </w:r>
      <w:r w:rsidRPr="00FC007E">
        <w:t xml:space="preserve"> </w:t>
      </w:r>
      <w:r w:rsidR="00ED5765" w:rsidRPr="00FC007E">
        <w:t xml:space="preserve">are </w:t>
      </w:r>
      <w:r w:rsidRPr="00FC007E">
        <w:t>valuable in assessing</w:t>
      </w:r>
      <w:r>
        <w:t xml:space="preserve"> some aspects of an entity’s </w:t>
      </w:r>
      <w:r w:rsidRPr="00F27410">
        <w:rPr>
          <w:i/>
        </w:rPr>
        <w:t>absolute</w:t>
      </w:r>
      <w:r w:rsidRPr="00F27410">
        <w:t xml:space="preserve"> performance</w:t>
      </w:r>
      <w:r>
        <w:t xml:space="preserve">, </w:t>
      </w:r>
      <w:r w:rsidR="00ED5765">
        <w:t xml:space="preserve">they </w:t>
      </w:r>
      <w:r w:rsidR="002111B4">
        <w:t xml:space="preserve">do not provide consumers or taxpayers with any measure of </w:t>
      </w:r>
      <w:r>
        <w:t xml:space="preserve">its </w:t>
      </w:r>
      <w:r w:rsidR="002111B4">
        <w:t>perform</w:t>
      </w:r>
      <w:r>
        <w:t>ance relative</w:t>
      </w:r>
      <w:r w:rsidR="002111B4" w:rsidRPr="00F27410">
        <w:t xml:space="preserve"> to </w:t>
      </w:r>
      <w:r>
        <w:t>its</w:t>
      </w:r>
      <w:r w:rsidRPr="00F27410">
        <w:t xml:space="preserve"> </w:t>
      </w:r>
      <w:r w:rsidR="002111B4" w:rsidRPr="00F27410">
        <w:t>peers</w:t>
      </w:r>
      <w:r>
        <w:t>.</w:t>
      </w:r>
      <w:r w:rsidR="002111B4">
        <w:t xml:space="preserve"> </w:t>
      </w:r>
      <w:r>
        <w:t>For example, c</w:t>
      </w:r>
      <w:r w:rsidRPr="00F27410">
        <w:t xml:space="preserve">onsider the </w:t>
      </w:r>
      <w:r w:rsidR="00FC007E">
        <w:t>different</w:t>
      </w:r>
      <w:r w:rsidR="003B6E96">
        <w:t xml:space="preserve"> </w:t>
      </w:r>
      <w:r w:rsidR="00BE6DDF">
        <w:t>management</w:t>
      </w:r>
      <w:r w:rsidR="003B6E96">
        <w:t xml:space="preserve"> </w:t>
      </w:r>
      <w:r w:rsidR="00BE6DDF">
        <w:t>imperatives</w:t>
      </w:r>
      <w:r w:rsidR="003B6E96">
        <w:t xml:space="preserve"> </w:t>
      </w:r>
      <w:r w:rsidR="00BE6DDF">
        <w:t xml:space="preserve">that would be triggered by </w:t>
      </w:r>
      <w:r w:rsidR="003B6E96">
        <w:t xml:space="preserve">information indicating that a hospital’s </w:t>
      </w:r>
      <w:r w:rsidR="00BE6DDF">
        <w:t xml:space="preserve">unplanned </w:t>
      </w:r>
      <w:r w:rsidR="003B6E96" w:rsidRPr="00F27410">
        <w:t xml:space="preserve">readmission </w:t>
      </w:r>
      <w:r w:rsidR="00BE6DDF">
        <w:t xml:space="preserve">rates </w:t>
      </w:r>
      <w:r w:rsidR="003B6E96">
        <w:t>ha</w:t>
      </w:r>
      <w:r w:rsidR="00BE6DDF">
        <w:t>d</w:t>
      </w:r>
      <w:r w:rsidR="003B6E96">
        <w:t xml:space="preserve"> been improving </w:t>
      </w:r>
      <w:r w:rsidR="000E1A3C">
        <w:t>(suggesting a good outcome)</w:t>
      </w:r>
      <w:r w:rsidR="003B6E96">
        <w:t>, and information that demonstrate</w:t>
      </w:r>
      <w:r w:rsidR="00BE6DDF">
        <w:t>d</w:t>
      </w:r>
      <w:r w:rsidR="003B6E96">
        <w:t xml:space="preserve"> that its readmission rate </w:t>
      </w:r>
      <w:r w:rsidR="00BE6DDF">
        <w:t>was</w:t>
      </w:r>
      <w:r w:rsidR="003B6E96">
        <w:t xml:space="preserve"> still </w:t>
      </w:r>
      <w:r w:rsidR="003B6E96" w:rsidRPr="00F27410">
        <w:t xml:space="preserve">more than twice as high as </w:t>
      </w:r>
      <w:r w:rsidR="003B6E96">
        <w:t xml:space="preserve">other </w:t>
      </w:r>
      <w:r w:rsidR="003B6E96" w:rsidRPr="00F27410">
        <w:t>comparable hospitals</w:t>
      </w:r>
      <w:r w:rsidR="000E1A3C">
        <w:t xml:space="preserve"> (an indicator that performance needs further improvement)</w:t>
      </w:r>
      <w:r w:rsidR="003B6E96">
        <w:t>.</w:t>
      </w:r>
      <w:r w:rsidR="00B277C0">
        <w:t xml:space="preserve"> </w:t>
      </w:r>
    </w:p>
    <w:p w14:paraId="61D1D07C" w14:textId="1911FC48" w:rsidR="003E6532" w:rsidRDefault="003E6532" w:rsidP="003E6532">
      <w:pPr>
        <w:pStyle w:val="Heading3"/>
      </w:pPr>
      <w:r>
        <w:t xml:space="preserve">The value of </w:t>
      </w:r>
      <w:r w:rsidR="00233FDC">
        <w:t xml:space="preserve">performance </w:t>
      </w:r>
      <w:r w:rsidR="00805C24">
        <w:t>compar</w:t>
      </w:r>
      <w:r w:rsidR="00233FDC">
        <w:t>isons</w:t>
      </w:r>
    </w:p>
    <w:p w14:paraId="0EF05C27" w14:textId="50C7B3EC" w:rsidR="00981EA9" w:rsidRDefault="009D3D83" w:rsidP="00981EA9">
      <w:pPr>
        <w:pStyle w:val="BodyText"/>
      </w:pPr>
      <w:r w:rsidRPr="009D3D83">
        <w:t xml:space="preserve">The analysis of comparative measures of performance </w:t>
      </w:r>
      <w:r>
        <w:t>between providers of government</w:t>
      </w:r>
      <w:r>
        <w:noBreakHyphen/>
      </w:r>
      <w:r w:rsidRPr="009D3D83">
        <w:t>funded services plays an important role in informing and incentivising performance</w:t>
      </w:r>
      <w:r>
        <w:t xml:space="preserve">. </w:t>
      </w:r>
      <w:r w:rsidR="00981EA9">
        <w:t xml:space="preserve">Beyond the benefits of </w:t>
      </w:r>
      <w:r w:rsidR="00116662">
        <w:t xml:space="preserve">better policy development and </w:t>
      </w:r>
      <w:r w:rsidR="00981EA9">
        <w:t xml:space="preserve">enhanced taxpayer </w:t>
      </w:r>
      <w:r w:rsidR="00116662">
        <w:t xml:space="preserve">accountability and transparency, comparative performance measures can </w:t>
      </w:r>
      <w:r w:rsidR="007E3C5F">
        <w:t xml:space="preserve">help to overcome a lack of adequate market information, which in turn </w:t>
      </w:r>
      <w:r w:rsidR="00116662">
        <w:t>drive</w:t>
      </w:r>
      <w:r w:rsidR="007E3C5F">
        <w:t>s</w:t>
      </w:r>
      <w:r w:rsidR="00116662">
        <w:t xml:space="preserve"> improve</w:t>
      </w:r>
      <w:r w:rsidR="00F17E09">
        <w:t>d</w:t>
      </w:r>
      <w:r w:rsidR="00116662">
        <w:t xml:space="preserve"> outcomes for consumers.</w:t>
      </w:r>
    </w:p>
    <w:p w14:paraId="3FA829B5" w14:textId="360BF58C" w:rsidR="00E36D82" w:rsidRDefault="00E36D82" w:rsidP="005A28E9">
      <w:pPr>
        <w:pStyle w:val="Heading4"/>
        <w:spacing w:before="360"/>
      </w:pPr>
      <w:r>
        <w:t>Improving outcomes for consumers</w:t>
      </w:r>
    </w:p>
    <w:p w14:paraId="03501A74" w14:textId="1D80BF15" w:rsidR="00E02669" w:rsidRDefault="00E36D82" w:rsidP="006F472F">
      <w:pPr>
        <w:pStyle w:val="Heading5"/>
        <w:spacing w:before="180"/>
      </w:pPr>
      <w:r>
        <w:t xml:space="preserve">By </w:t>
      </w:r>
      <w:r w:rsidR="00F92A26">
        <w:t>encouraging</w:t>
      </w:r>
      <w:r>
        <w:t xml:space="preserve"> </w:t>
      </w:r>
      <w:r w:rsidR="00F92A26">
        <w:t xml:space="preserve">individual </w:t>
      </w:r>
      <w:r w:rsidR="005E0517">
        <w:t>choice</w:t>
      </w:r>
      <w:r w:rsidR="00B277C0">
        <w:t xml:space="preserve"> </w:t>
      </w:r>
      <w:r w:rsidR="00EE0F57">
        <w:t>…</w:t>
      </w:r>
    </w:p>
    <w:p w14:paraId="5424D7B0" w14:textId="3305871D" w:rsidR="006A4D14" w:rsidRDefault="00936DE3" w:rsidP="00D173F7">
      <w:pPr>
        <w:pStyle w:val="BodyText"/>
      </w:pPr>
      <w:r>
        <w:t xml:space="preserve">The publication of </w:t>
      </w:r>
      <w:r w:rsidR="006036AE">
        <w:t xml:space="preserve">comparative </w:t>
      </w:r>
      <w:r>
        <w:t xml:space="preserve">performance indicators for </w:t>
      </w:r>
      <w:r w:rsidR="001A73F9">
        <w:t>government</w:t>
      </w:r>
      <w:r w:rsidR="00642430">
        <w:noBreakHyphen/>
      </w:r>
      <w:r w:rsidR="001A73F9">
        <w:t>funded</w:t>
      </w:r>
      <w:r>
        <w:t xml:space="preserve"> service</w:t>
      </w:r>
      <w:r w:rsidR="00426EB1">
        <w:t>s</w:t>
      </w:r>
      <w:r w:rsidR="00766BD6">
        <w:t xml:space="preserve"> </w:t>
      </w:r>
      <w:r>
        <w:t>allow</w:t>
      </w:r>
      <w:r w:rsidR="001A73F9">
        <w:t>s</w:t>
      </w:r>
      <w:r>
        <w:t xml:space="preserve"> </w:t>
      </w:r>
      <w:r w:rsidR="007D2892">
        <w:t xml:space="preserve">individual </w:t>
      </w:r>
      <w:r w:rsidR="001A73F9">
        <w:t>consumers</w:t>
      </w:r>
      <w:r>
        <w:t xml:space="preserve"> to</w:t>
      </w:r>
      <w:r w:rsidRPr="00936DE3">
        <w:t xml:space="preserve"> </w:t>
      </w:r>
      <w:r w:rsidRPr="00360EF2">
        <w:t xml:space="preserve">make </w:t>
      </w:r>
      <w:r w:rsidR="009B3751">
        <w:t>better</w:t>
      </w:r>
      <w:r w:rsidR="009B3751">
        <w:noBreakHyphen/>
      </w:r>
      <w:r w:rsidRPr="00360EF2">
        <w:t xml:space="preserve">informed </w:t>
      </w:r>
      <w:r w:rsidR="0091442C">
        <w:t xml:space="preserve">choices between </w:t>
      </w:r>
      <w:r w:rsidR="00426EB1">
        <w:t xml:space="preserve">services and </w:t>
      </w:r>
      <w:r w:rsidR="00EE0F57">
        <w:t>service providers</w:t>
      </w:r>
      <w:r w:rsidR="00642430">
        <w:t xml:space="preserve"> if they choose</w:t>
      </w:r>
      <w:r w:rsidR="000E1A3C">
        <w:t xml:space="preserve"> (and are able)</w:t>
      </w:r>
      <w:r w:rsidR="00642430">
        <w:t xml:space="preserve"> to exercise choice</w:t>
      </w:r>
      <w:r w:rsidR="00F92A26">
        <w:t xml:space="preserve">. </w:t>
      </w:r>
      <w:r w:rsidR="00B056EF">
        <w:t xml:space="preserve">In turn, this </w:t>
      </w:r>
      <w:r w:rsidR="005263E6">
        <w:t>create</w:t>
      </w:r>
      <w:r w:rsidR="006A4D14">
        <w:t>s</w:t>
      </w:r>
      <w:r w:rsidR="00B056EF">
        <w:t xml:space="preserve"> competitive pressures on suppliers to improve their services, to the </w:t>
      </w:r>
      <w:r w:rsidR="00F87B58">
        <w:t xml:space="preserve">potential </w:t>
      </w:r>
      <w:r w:rsidR="00B056EF">
        <w:t>advantage of all consumers</w:t>
      </w:r>
      <w:r w:rsidR="00D173F7">
        <w:t xml:space="preserve"> </w:t>
      </w:r>
      <w:r w:rsidR="005734C6">
        <w:rPr>
          <w:szCs w:val="24"/>
        </w:rPr>
        <w:t>(B</w:t>
      </w:r>
      <w:r w:rsidR="005734C6" w:rsidRPr="00AA57B5">
        <w:rPr>
          <w:szCs w:val="24"/>
        </w:rPr>
        <w:t>erwick, James and Coye 2003)</w:t>
      </w:r>
      <w:r w:rsidR="00EE0F57">
        <w:t>.</w:t>
      </w:r>
      <w:r w:rsidR="00EE0F57" w:rsidRPr="00847C0A">
        <w:t xml:space="preserve"> </w:t>
      </w:r>
    </w:p>
    <w:p w14:paraId="3E553E55" w14:textId="6F87B17F" w:rsidR="006A4D14" w:rsidRDefault="006A4D14" w:rsidP="00D173F7">
      <w:pPr>
        <w:pStyle w:val="BodyText"/>
      </w:pPr>
      <w:r>
        <w:t xml:space="preserve">In the </w:t>
      </w:r>
      <w:r w:rsidR="00570AB3">
        <w:t>health care</w:t>
      </w:r>
      <w:r>
        <w:t xml:space="preserve"> area</w:t>
      </w:r>
      <w:r w:rsidR="00896CEB" w:rsidRPr="00441F05">
        <w:rPr>
          <w:rStyle w:val="FootnoteReference"/>
        </w:rPr>
        <w:footnoteReference w:id="3"/>
      </w:r>
      <w:r>
        <w:t xml:space="preserve">, there are, however, some subtleties in linking the availability of (high quality) performance indicators, choice and </w:t>
      </w:r>
      <w:r w:rsidR="003F0096">
        <w:t>outcomes:</w:t>
      </w:r>
      <w:r>
        <w:t xml:space="preserve"> </w:t>
      </w:r>
    </w:p>
    <w:p w14:paraId="64CFFD68" w14:textId="6308ABE4" w:rsidR="008F3612" w:rsidRDefault="008F3612" w:rsidP="008F3612">
      <w:pPr>
        <w:pStyle w:val="ListBullet"/>
      </w:pPr>
      <w:r>
        <w:t xml:space="preserve">The evidence that </w:t>
      </w:r>
      <w:r w:rsidR="00F87B58">
        <w:t xml:space="preserve">public </w:t>
      </w:r>
      <w:r>
        <w:t xml:space="preserve">divulgence of performance metrics </w:t>
      </w:r>
      <w:r w:rsidRPr="00896CEB">
        <w:rPr>
          <w:i/>
        </w:rPr>
        <w:t>per se</w:t>
      </w:r>
      <w:r>
        <w:t xml:space="preserve"> makes a significant difference is relatively weak. In the United States, provision of high quality information</w:t>
      </w:r>
      <w:r w:rsidR="00F87B58">
        <w:t xml:space="preserve"> to consumers</w:t>
      </w:r>
      <w:r>
        <w:t xml:space="preserve"> has been identified as a strong determinant </w:t>
      </w:r>
      <w:r w:rsidR="001010F8">
        <w:t>in the choice of</w:t>
      </w:r>
      <w:r>
        <w:t xml:space="preserve"> high quality</w:t>
      </w:r>
      <w:r>
        <w:noBreakHyphen/>
        <w:t>rated health plans</w:t>
      </w:r>
      <w:r w:rsidR="00F87B58">
        <w:t xml:space="preserve"> </w:t>
      </w:r>
      <w:r w:rsidR="00F87B58" w:rsidRPr="00F87B58">
        <w:rPr>
          <w:szCs w:val="24"/>
        </w:rPr>
        <w:t>(Faber et al. 2009)</w:t>
      </w:r>
      <w:r>
        <w:t>. However, a review of the few rigorous trials of the outcomes from public divulgence of performance data did not find substantial effects</w:t>
      </w:r>
      <w:r w:rsidR="001010F8">
        <w:t> </w:t>
      </w:r>
      <w:r w:rsidR="007B7B32" w:rsidRPr="007B7B32">
        <w:rPr>
          <w:szCs w:val="24"/>
        </w:rPr>
        <w:t>(Ketelaar et al. 2011)</w:t>
      </w:r>
      <w:r>
        <w:t>.</w:t>
      </w:r>
    </w:p>
    <w:p w14:paraId="5E6C130B" w14:textId="0C0B7EE5" w:rsidR="006A4D14" w:rsidRDefault="006A4D14" w:rsidP="00896CEB">
      <w:pPr>
        <w:pStyle w:val="ListBullet"/>
      </w:pPr>
      <w:r>
        <w:t xml:space="preserve">The existence of better performance indicators and a capacity to choose does not necessarily result in many people deciding to exercise that choice. </w:t>
      </w:r>
      <w:r w:rsidR="00346EE0">
        <w:t xml:space="preserve">In the case of </w:t>
      </w:r>
      <w:r w:rsidR="00570AB3">
        <w:t>health care</w:t>
      </w:r>
      <w:r w:rsidR="007E3C5F">
        <w:t>,</w:t>
      </w:r>
      <w:r w:rsidR="00346EE0">
        <w:t xml:space="preserve"> t</w:t>
      </w:r>
      <w:r>
        <w:t xml:space="preserve">here is some evidence that proximity is a major basis for choice, and that published information has secondary impacts over advice from their GP or friends and family </w:t>
      </w:r>
      <w:r w:rsidRPr="006A4D14">
        <w:rPr>
          <w:szCs w:val="24"/>
        </w:rPr>
        <w:t>(Barratt 2011)</w:t>
      </w:r>
      <w:r>
        <w:t xml:space="preserve">. Nevertheless, the international evidence suggests that patients strongly support the option of choice, and appear more likely to exercise it when </w:t>
      </w:r>
      <w:r w:rsidR="006027C8">
        <w:t>it</w:t>
      </w:r>
      <w:r>
        <w:t xml:space="preserve"> </w:t>
      </w:r>
      <w:r w:rsidR="006027C8">
        <w:t xml:space="preserve">is likely to affect the outcomes of care </w:t>
      </w:r>
      <w:r w:rsidR="006027C8" w:rsidRPr="006A4D14">
        <w:rPr>
          <w:szCs w:val="24"/>
        </w:rPr>
        <w:t>(Dixon et al. 2010)</w:t>
      </w:r>
      <w:r w:rsidR="006027C8">
        <w:t>.</w:t>
      </w:r>
      <w:r>
        <w:t xml:space="preserve"> </w:t>
      </w:r>
      <w:r w:rsidR="006027C8">
        <w:t>F</w:t>
      </w:r>
      <w:r>
        <w:t xml:space="preserve">or example, </w:t>
      </w:r>
      <w:r w:rsidR="006027C8">
        <w:t>people tend to</w:t>
      </w:r>
      <w:r>
        <w:t xml:space="preserve"> shift away from what they perceiv</w:t>
      </w:r>
      <w:r w:rsidR="006027C8">
        <w:t>e</w:t>
      </w:r>
      <w:r>
        <w:t xml:space="preserve"> as a poor local hospital</w:t>
      </w:r>
      <w:r w:rsidR="00597A7B">
        <w:t xml:space="preserve"> for elective surgery</w:t>
      </w:r>
      <w:r w:rsidR="006027C8">
        <w:t>.</w:t>
      </w:r>
      <w:r>
        <w:t xml:space="preserve"> </w:t>
      </w:r>
      <w:r w:rsidR="006027C8">
        <w:t xml:space="preserve">There is some evidence that people exercising choice have </w:t>
      </w:r>
      <w:r w:rsidR="00B03A87">
        <w:t xml:space="preserve">had better </w:t>
      </w:r>
      <w:r w:rsidR="006027C8">
        <w:t>outcomes,</w:t>
      </w:r>
      <w:r w:rsidR="00B03A87">
        <w:t xml:space="preserve"> at least </w:t>
      </w:r>
      <w:r w:rsidR="006027C8">
        <w:t xml:space="preserve">in </w:t>
      </w:r>
      <w:r w:rsidR="00B03A87">
        <w:t xml:space="preserve">waiting times </w:t>
      </w:r>
      <w:r w:rsidR="00AE2359" w:rsidRPr="00AE2359">
        <w:rPr>
          <w:szCs w:val="24"/>
        </w:rPr>
        <w:t>(Jones and Mays 2009; Ringard and Hagen </w:t>
      </w:r>
      <w:r w:rsidR="00AE2359" w:rsidRPr="00F70F09">
        <w:rPr>
          <w:szCs w:val="24"/>
        </w:rPr>
        <w:t>2011; Ringard, Saunes and Sagan 2016; Vrangbaek et al. 2007)</w:t>
      </w:r>
      <w:r w:rsidR="008F3612">
        <w:t>.</w:t>
      </w:r>
      <w:r w:rsidR="00F70F09">
        <w:t xml:space="preserve"> </w:t>
      </w:r>
    </w:p>
    <w:p w14:paraId="3CBE205D" w14:textId="33CDC0B7" w:rsidR="00B03A87" w:rsidRDefault="00B03A87" w:rsidP="00896CEB">
      <w:pPr>
        <w:pStyle w:val="ListBullet"/>
      </w:pPr>
      <w:r>
        <w:t xml:space="preserve">There should be no presumption that choice only relates to </w:t>
      </w:r>
      <w:r w:rsidR="001010F8">
        <w:t xml:space="preserve">the selection </w:t>
      </w:r>
      <w:r w:rsidR="00346EE0">
        <w:t>of</w:t>
      </w:r>
      <w:r w:rsidR="001010F8">
        <w:t xml:space="preserve"> a</w:t>
      </w:r>
      <w:r w:rsidR="00346EE0">
        <w:t xml:space="preserve"> </w:t>
      </w:r>
      <w:r>
        <w:t xml:space="preserve">provider. Performance indicators that </w:t>
      </w:r>
      <w:r w:rsidR="001010F8">
        <w:t xml:space="preserve">measure </w:t>
      </w:r>
      <w:r w:rsidR="006027C8">
        <w:t xml:space="preserve">the efficacy and impacts of different treatment choices are also important, and some believe far more so than </w:t>
      </w:r>
      <w:r w:rsidR="00AE2359">
        <w:t xml:space="preserve">the </w:t>
      </w:r>
      <w:r w:rsidR="006027C8">
        <w:t xml:space="preserve">choice of practitioner </w:t>
      </w:r>
      <w:r w:rsidR="006027C8" w:rsidRPr="006027C8">
        <w:rPr>
          <w:szCs w:val="24"/>
        </w:rPr>
        <w:t>(Coulter 2010)</w:t>
      </w:r>
      <w:r w:rsidR="006027C8">
        <w:t>.</w:t>
      </w:r>
    </w:p>
    <w:p w14:paraId="10455C87" w14:textId="6D838978" w:rsidR="006A4D14" w:rsidRDefault="006A4D14" w:rsidP="00896CEB">
      <w:pPr>
        <w:pStyle w:val="ListBullet"/>
      </w:pPr>
      <w:r>
        <w:t xml:space="preserve">Patients need sufficient health literacy (as noted in </w:t>
      </w:r>
      <w:r w:rsidR="000558C4">
        <w:t>c</w:t>
      </w:r>
      <w:r w:rsidR="00597A7B" w:rsidRPr="0014517C">
        <w:t>hapter</w:t>
      </w:r>
      <w:r w:rsidR="00B277C0">
        <w:t> </w:t>
      </w:r>
      <w:r w:rsidR="001C6A96">
        <w:t>2</w:t>
      </w:r>
      <w:r w:rsidR="001C6A96" w:rsidRPr="0014517C">
        <w:t xml:space="preserve"> </w:t>
      </w:r>
      <w:r w:rsidR="00597A7B" w:rsidRPr="0014517C">
        <w:t>of the main report</w:t>
      </w:r>
      <w:r>
        <w:t>)</w:t>
      </w:r>
      <w:r w:rsidR="003F0096">
        <w:t>, and it can take time for people’s behaviour to change</w:t>
      </w:r>
      <w:r w:rsidR="00346EE0">
        <w:t>.</w:t>
      </w:r>
    </w:p>
    <w:p w14:paraId="570DA794" w14:textId="0AC7ABD4" w:rsidR="003F0096" w:rsidRDefault="003F0096" w:rsidP="00896CEB">
      <w:pPr>
        <w:pStyle w:val="ListBullet"/>
      </w:pPr>
      <w:r>
        <w:t>If supply constraints are high, then suppliers face lower risks from a failure to improve as patients may be unable to find alternative suppliers with spare capacity</w:t>
      </w:r>
      <w:r w:rsidR="00B03A87">
        <w:t>.</w:t>
      </w:r>
      <w:r w:rsidR="00330C1D">
        <w:t xml:space="preserve"> </w:t>
      </w:r>
    </w:p>
    <w:p w14:paraId="52AAE7BD" w14:textId="1CE9FFE6" w:rsidR="003F0096" w:rsidRDefault="00B03A87" w:rsidP="00896CEB">
      <w:pPr>
        <w:pStyle w:val="ListBullet"/>
      </w:pPr>
      <w:r>
        <w:t xml:space="preserve">Health practitioners’ behaviours </w:t>
      </w:r>
      <w:r w:rsidR="00FE32D2">
        <w:t xml:space="preserve">and assumptions about patient capabilities </w:t>
      </w:r>
      <w:r>
        <w:t>can encourage or thwart choice</w:t>
      </w:r>
      <w:r w:rsidR="00FE32D2">
        <w:t xml:space="preserve"> </w:t>
      </w:r>
      <w:r w:rsidR="00FE32D2" w:rsidRPr="00FE32D2">
        <w:rPr>
          <w:szCs w:val="24"/>
        </w:rPr>
        <w:t>(Harding et al. 2014)</w:t>
      </w:r>
      <w:r>
        <w:t>.</w:t>
      </w:r>
      <w:r w:rsidR="003F0096">
        <w:t xml:space="preserve"> </w:t>
      </w:r>
    </w:p>
    <w:p w14:paraId="6EF3A303" w14:textId="3DAD129E" w:rsidR="003F0096" w:rsidRDefault="003F0096" w:rsidP="00896CEB">
      <w:pPr>
        <w:pStyle w:val="ListBullet"/>
      </w:pPr>
      <w:r>
        <w:t>Weak governance arrangements that bail out underperforming providers or that fail to discipline senior decision</w:t>
      </w:r>
      <w:r>
        <w:noBreakHyphen/>
        <w:t xml:space="preserve">makers reduce the potential </w:t>
      </w:r>
      <w:r w:rsidR="00B03A87">
        <w:t>impacts</w:t>
      </w:r>
      <w:r>
        <w:t xml:space="preserve"> of </w:t>
      </w:r>
      <w:r w:rsidR="00AE2359">
        <w:t xml:space="preserve">information provision and </w:t>
      </w:r>
      <w:r>
        <w:t>choice</w:t>
      </w:r>
      <w:r w:rsidR="00DC103E">
        <w:t xml:space="preserve"> o</w:t>
      </w:r>
      <w:r w:rsidR="00346EE0">
        <w:t>n</w:t>
      </w:r>
      <w:r w:rsidR="00DC103E">
        <w:t xml:space="preserve"> improving consumer outcomes</w:t>
      </w:r>
      <w:r w:rsidR="00B03A87">
        <w:t>.</w:t>
      </w:r>
    </w:p>
    <w:p w14:paraId="45CB845F" w14:textId="1171501B" w:rsidR="00F92A26" w:rsidRDefault="00F92A26" w:rsidP="009C2E4B">
      <w:pPr>
        <w:pStyle w:val="Heading5"/>
      </w:pPr>
      <w:r>
        <w:t xml:space="preserve">… </w:t>
      </w:r>
      <w:r w:rsidR="00FA7AE3">
        <w:t>revealing comparative performance issues</w:t>
      </w:r>
      <w:r w:rsidR="00B277C0">
        <w:t xml:space="preserve"> </w:t>
      </w:r>
      <w:r w:rsidR="00FA7AE3">
        <w:t>…</w:t>
      </w:r>
    </w:p>
    <w:p w14:paraId="34D70D04" w14:textId="0677B776" w:rsidR="008D6D3E" w:rsidRDefault="00F92A26" w:rsidP="00F92A26">
      <w:pPr>
        <w:pStyle w:val="BodyText"/>
      </w:pPr>
      <w:r>
        <w:t xml:space="preserve">Although </w:t>
      </w:r>
      <w:r w:rsidR="00302806">
        <w:t xml:space="preserve">comparative </w:t>
      </w:r>
      <w:r>
        <w:t xml:space="preserve">performance indicators </w:t>
      </w:r>
      <w:r w:rsidR="003853A8">
        <w:t>can</w:t>
      </w:r>
      <w:r>
        <w:t xml:space="preserve"> improve competitive incentives, there are limits to how much competition can be introduced into many areas of government</w:t>
      </w:r>
      <w:r w:rsidR="00BD403F">
        <w:noBreakHyphen/>
      </w:r>
      <w:r w:rsidR="003853A8">
        <w:t>funded services</w:t>
      </w:r>
      <w:r>
        <w:t xml:space="preserve">. This is especially true in areas where there are </w:t>
      </w:r>
      <w:r w:rsidR="00597A7B">
        <w:t xml:space="preserve">artificial </w:t>
      </w:r>
      <w:r w:rsidR="00A11B9A">
        <w:t>or</w:t>
      </w:r>
      <w:r w:rsidR="00597A7B">
        <w:t xml:space="preserve"> natural </w:t>
      </w:r>
      <w:r w:rsidR="00E84CCE">
        <w:t>barriers to</w:t>
      </w:r>
      <w:r>
        <w:t xml:space="preserve"> consumer choices</w:t>
      </w:r>
      <w:r w:rsidR="00A11B9A">
        <w:t xml:space="preserve">. For example, choice between </w:t>
      </w:r>
      <w:r w:rsidR="00E84CCE">
        <w:t>government</w:t>
      </w:r>
      <w:r w:rsidR="00A11B9A">
        <w:t xml:space="preserve"> schools can be hindered by</w:t>
      </w:r>
      <w:r>
        <w:t xml:space="preserve"> </w:t>
      </w:r>
      <w:r w:rsidR="00A11B9A">
        <w:t>artificial</w:t>
      </w:r>
      <w:r w:rsidR="00346EE0">
        <w:t xml:space="preserve"> </w:t>
      </w:r>
      <w:r w:rsidR="00A11B9A">
        <w:t>regulations restricting students to the school district they reside in, as well as natural barriers</w:t>
      </w:r>
      <w:r w:rsidR="00346EE0">
        <w:t xml:space="preserve"> </w:t>
      </w:r>
      <w:r w:rsidR="00A11B9A">
        <w:t xml:space="preserve">(such as poor transport links) </w:t>
      </w:r>
      <w:r w:rsidR="00346EE0">
        <w:t>between</w:t>
      </w:r>
      <w:r>
        <w:t xml:space="preserve"> districts</w:t>
      </w:r>
      <w:r w:rsidR="00A11B9A">
        <w:t>.</w:t>
      </w:r>
      <w:r>
        <w:t xml:space="preserve"> </w:t>
      </w:r>
      <w:r w:rsidR="00A11B9A">
        <w:t xml:space="preserve">There are also limits on competition </w:t>
      </w:r>
      <w:r>
        <w:t xml:space="preserve">where there are </w:t>
      </w:r>
      <w:r w:rsidRPr="00F27410">
        <w:t>government</w:t>
      </w:r>
      <w:r w:rsidR="00B277C0">
        <w:noBreakHyphen/>
      </w:r>
      <w:r w:rsidRPr="00F27410">
        <w:t xml:space="preserve">run monopolies that </w:t>
      </w:r>
      <w:r w:rsidR="00D412C9">
        <w:t>do not</w:t>
      </w:r>
      <w:r w:rsidR="00D412C9" w:rsidRPr="00F27410">
        <w:t xml:space="preserve"> </w:t>
      </w:r>
      <w:r w:rsidRPr="00F27410">
        <w:t>have to compete</w:t>
      </w:r>
      <w:r>
        <w:t>.</w:t>
      </w:r>
    </w:p>
    <w:p w14:paraId="52D1A8BD" w14:textId="42BB2453" w:rsidR="003F178A" w:rsidRDefault="00F92A26" w:rsidP="00F92A26">
      <w:pPr>
        <w:pStyle w:val="BodyText"/>
      </w:pPr>
      <w:r>
        <w:t>In cases where competition between providers is impractical</w:t>
      </w:r>
      <w:r w:rsidR="00BD403F">
        <w:t>,</w:t>
      </w:r>
      <w:r>
        <w:t xml:space="preserve"> </w:t>
      </w:r>
      <w:r w:rsidR="00B57671">
        <w:t xml:space="preserve">it is still possible to use comparative information to </w:t>
      </w:r>
      <w:r w:rsidR="00346EE0">
        <w:t xml:space="preserve">create </w:t>
      </w:r>
      <w:r w:rsidR="00B57671">
        <w:t>pressures similar to those that might exist in a competitive environment</w:t>
      </w:r>
      <w:r w:rsidR="0070384E">
        <w:t>. More specifically,</w:t>
      </w:r>
      <w:r w:rsidR="0070384E" w:rsidRPr="0070384E">
        <w:t xml:space="preserve"> </w:t>
      </w:r>
      <w:r w:rsidR="0070384E">
        <w:t xml:space="preserve">relative performance indicators can make providers more </w:t>
      </w:r>
      <w:r w:rsidR="0070384E" w:rsidRPr="00360EF2">
        <w:t xml:space="preserve">accountable </w:t>
      </w:r>
      <w:r w:rsidR="0070384E">
        <w:t xml:space="preserve">to the communities they operate in and give them incentives to improve </w:t>
      </w:r>
      <w:r w:rsidR="0070384E" w:rsidRPr="005734C6">
        <w:rPr>
          <w:szCs w:val="24"/>
        </w:rPr>
        <w:t>(AIHW 2017; Berwick, James and Coye 2003)</w:t>
      </w:r>
      <w:r w:rsidR="0070384E">
        <w:t>. In addition</w:t>
      </w:r>
      <w:r w:rsidR="003F178A">
        <w:t>:</w:t>
      </w:r>
    </w:p>
    <w:p w14:paraId="439FC692" w14:textId="2C4767D6" w:rsidR="003F178A" w:rsidRDefault="002220FC" w:rsidP="00C72037">
      <w:pPr>
        <w:pStyle w:val="ListBullet"/>
      </w:pPr>
      <w:r>
        <w:t>F</w:t>
      </w:r>
      <w:r w:rsidR="00B57671">
        <w:t xml:space="preserve">unders and regulators </w:t>
      </w:r>
      <w:r w:rsidR="003F178A">
        <w:t xml:space="preserve">already </w:t>
      </w:r>
      <w:r w:rsidR="00B57671">
        <w:t xml:space="preserve">use benchmarking </w:t>
      </w:r>
      <w:r w:rsidR="009843A3">
        <w:t xml:space="preserve">to determine efficient prices for </w:t>
      </w:r>
      <w:r w:rsidR="00B57671">
        <w:t>services in utilities and in hospitals (under activity</w:t>
      </w:r>
      <w:r w:rsidR="00B57671">
        <w:noBreakHyphen/>
        <w:t xml:space="preserve">based funding). </w:t>
      </w:r>
    </w:p>
    <w:p w14:paraId="67FCBAE8" w14:textId="77777777" w:rsidR="003F178A" w:rsidRDefault="009843A3" w:rsidP="00C72037">
      <w:pPr>
        <w:pStyle w:val="ListBullet"/>
      </w:pPr>
      <w:r>
        <w:t xml:space="preserve">Poorly performing entities may be forced to remove their CEOs or boards. </w:t>
      </w:r>
    </w:p>
    <w:p w14:paraId="0F46D348" w14:textId="12E565AD" w:rsidR="003F178A" w:rsidRDefault="002220FC" w:rsidP="00C72037">
      <w:pPr>
        <w:pStyle w:val="ListBullet"/>
      </w:pPr>
      <w:r>
        <w:t xml:space="preserve">There may be circumstances where there is </w:t>
      </w:r>
      <w:r w:rsidR="00B83588">
        <w:t xml:space="preserve">sequential </w:t>
      </w:r>
      <w:r>
        <w:t xml:space="preserve">competition </w:t>
      </w:r>
      <w:r w:rsidRPr="00C72037">
        <w:rPr>
          <w:i/>
        </w:rPr>
        <w:t>for</w:t>
      </w:r>
      <w:r>
        <w:t xml:space="preserve"> </w:t>
      </w:r>
      <w:r w:rsidR="00B83588">
        <w:t>a regional</w:t>
      </w:r>
      <w:r>
        <w:t xml:space="preserve"> market (such as through an infrequent tender for monopoly provision of services in a given area), which still provides scope for be</w:t>
      </w:r>
      <w:r w:rsidR="00B83588">
        <w:t xml:space="preserve">nchmarking </w:t>
      </w:r>
      <w:r w:rsidR="00E53C8B">
        <w:t>against other re</w:t>
      </w:r>
      <w:r w:rsidR="00B83588">
        <w:t xml:space="preserve">gions to determine </w:t>
      </w:r>
      <w:r w:rsidR="00DC103E">
        <w:t xml:space="preserve">value for money in service tenders and, hence, </w:t>
      </w:r>
      <w:r w:rsidR="00B83588">
        <w:t>whether</w:t>
      </w:r>
      <w:r>
        <w:t xml:space="preserve"> </w:t>
      </w:r>
      <w:r w:rsidR="00B83588">
        <w:t>an</w:t>
      </w:r>
      <w:r>
        <w:t xml:space="preserve"> en</w:t>
      </w:r>
      <w:r w:rsidR="00B83588">
        <w:t>tity</w:t>
      </w:r>
      <w:r>
        <w:t xml:space="preserve"> </w:t>
      </w:r>
      <w:r w:rsidR="00DC103E">
        <w:t>should be allowed to</w:t>
      </w:r>
      <w:r w:rsidR="00E53C8B">
        <w:t xml:space="preserve"> extend its temporary</w:t>
      </w:r>
      <w:r w:rsidR="00B83588">
        <w:t xml:space="preserve"> monopoly</w:t>
      </w:r>
      <w:r w:rsidR="00346EE0">
        <w:t xml:space="preserve"> over government</w:t>
      </w:r>
      <w:r w:rsidR="008864E7">
        <w:noBreakHyphen/>
      </w:r>
      <w:r w:rsidR="00346EE0">
        <w:t>funded services</w:t>
      </w:r>
      <w:r w:rsidR="00B83588">
        <w:t>.</w:t>
      </w:r>
      <w:r w:rsidR="00E53C8B">
        <w:t xml:space="preserve"> </w:t>
      </w:r>
    </w:p>
    <w:p w14:paraId="6CDFECF0" w14:textId="5F563A3F" w:rsidR="00926E60" w:rsidRDefault="00FA7AE3" w:rsidP="00F92A26">
      <w:pPr>
        <w:pStyle w:val="BodyText"/>
      </w:pPr>
      <w:r>
        <w:t>Indicators can also reveal to providers areas of poor performance</w:t>
      </w:r>
      <w:r w:rsidR="00346EE0">
        <w:t>,</w:t>
      </w:r>
      <w:r w:rsidR="00DC103E">
        <w:t xml:space="preserve"> which</w:t>
      </w:r>
      <w:r>
        <w:t xml:space="preserve"> may have been previously unknown. </w:t>
      </w:r>
      <w:r w:rsidR="00B132F2">
        <w:t>M</w:t>
      </w:r>
      <w:r w:rsidR="00F92A26">
        <w:t>any of the professions that dominate government</w:t>
      </w:r>
      <w:r w:rsidR="00B277C0">
        <w:noBreakHyphen/>
      </w:r>
      <w:r w:rsidR="00F92A26">
        <w:t>funded services — including nurses, doctors, teachers, police officers, magistrates, firefigh</w:t>
      </w:r>
      <w:r w:rsidR="00601FB5">
        <w:t xml:space="preserve">ters </w:t>
      </w:r>
      <w:r w:rsidR="00F92A26">
        <w:t xml:space="preserve">and policy advisers — are characterised by high levels of altruism and </w:t>
      </w:r>
      <w:r w:rsidR="00601FB5">
        <w:t>considerable</w:t>
      </w:r>
      <w:r w:rsidR="00F92A26">
        <w:t xml:space="preserve"> </w:t>
      </w:r>
      <w:r w:rsidR="00601FB5">
        <w:t>r</w:t>
      </w:r>
      <w:r w:rsidR="00F92A26">
        <w:t xml:space="preserve">egard for community service, </w:t>
      </w:r>
      <w:r w:rsidR="00B132F2">
        <w:t xml:space="preserve">so publication of comparative information may </w:t>
      </w:r>
      <w:r w:rsidR="007E0701">
        <w:t>provide, in some cases,</w:t>
      </w:r>
      <w:r w:rsidR="004604F5">
        <w:t xml:space="preserve"> </w:t>
      </w:r>
      <w:r w:rsidR="00B132F2">
        <w:t>a sufficient prompt and pointers toward improvement</w:t>
      </w:r>
      <w:r w:rsidR="00CD5034">
        <w:t xml:space="preserve">. Of course, </w:t>
      </w:r>
      <w:r w:rsidR="000714CD">
        <w:t xml:space="preserve">the </w:t>
      </w:r>
      <w:r w:rsidR="004D25EE">
        <w:t xml:space="preserve">incentives for and extent of </w:t>
      </w:r>
      <w:r w:rsidR="000714CD">
        <w:t xml:space="preserve">actual improvement </w:t>
      </w:r>
      <w:r w:rsidR="004D25EE">
        <w:t>may be affected by</w:t>
      </w:r>
      <w:r w:rsidR="000714CD">
        <w:t xml:space="preserve"> </w:t>
      </w:r>
      <w:r w:rsidR="007825E0">
        <w:t xml:space="preserve">other </w:t>
      </w:r>
      <w:r w:rsidR="000714CD">
        <w:t xml:space="preserve">constraints </w:t>
      </w:r>
      <w:r w:rsidR="004604F5">
        <w:t xml:space="preserve">on change, </w:t>
      </w:r>
      <w:r w:rsidR="007E0701">
        <w:t>whether</w:t>
      </w:r>
      <w:r w:rsidR="004604F5">
        <w:t xml:space="preserve"> </w:t>
      </w:r>
      <w:r w:rsidR="007825E0">
        <w:t xml:space="preserve">these are </w:t>
      </w:r>
      <w:r w:rsidR="007E0701">
        <w:t>reso</w:t>
      </w:r>
      <w:r w:rsidR="007825E0">
        <w:t>urce</w:t>
      </w:r>
      <w:r w:rsidR="007E0701">
        <w:t xml:space="preserve">, </w:t>
      </w:r>
      <w:r w:rsidR="00B132F2">
        <w:t>time</w:t>
      </w:r>
      <w:r w:rsidR="007825E0">
        <w:t>,</w:t>
      </w:r>
      <w:r w:rsidR="007E0701">
        <w:t xml:space="preserve"> </w:t>
      </w:r>
      <w:r w:rsidR="007825E0">
        <w:t>political or regulatory constraints.</w:t>
      </w:r>
    </w:p>
    <w:p w14:paraId="5F9B29D8" w14:textId="39AB2010" w:rsidR="00647898" w:rsidRPr="00F27410" w:rsidRDefault="00E36D82" w:rsidP="009C2E4B">
      <w:pPr>
        <w:pStyle w:val="Heading5"/>
      </w:pPr>
      <w:r>
        <w:t>… a</w:t>
      </w:r>
      <w:r w:rsidR="00647898" w:rsidRPr="00F27410">
        <w:t>ssisting the diffusion of best</w:t>
      </w:r>
      <w:r w:rsidR="00B277C0">
        <w:noBreakHyphen/>
      </w:r>
      <w:r w:rsidR="00647898" w:rsidRPr="00F27410">
        <w:t>practice services</w:t>
      </w:r>
      <w:r w:rsidR="0084192C">
        <w:t xml:space="preserve"> </w:t>
      </w:r>
      <w:r w:rsidR="00602855">
        <w:t>…</w:t>
      </w:r>
    </w:p>
    <w:p w14:paraId="17D41F03" w14:textId="052B4901" w:rsidR="005360A9" w:rsidRDefault="00647898" w:rsidP="00360EF2">
      <w:pPr>
        <w:pStyle w:val="BodyText"/>
      </w:pPr>
      <w:r w:rsidRPr="00F27410">
        <w:t xml:space="preserve">In the market economy, the diffusion mechanism </w:t>
      </w:r>
      <w:r w:rsidR="0005757F">
        <w:t>generally</w:t>
      </w:r>
      <w:r w:rsidRPr="00F27410">
        <w:t xml:space="preserve"> occurs organically, as firms on or near the frontier of productivity attract more resources and expand, while lagging</w:t>
      </w:r>
      <w:r w:rsidR="002958F6">
        <w:t xml:space="preserve"> firms </w:t>
      </w:r>
      <w:r w:rsidR="00DC103E">
        <w:t xml:space="preserve">are forced to improve, lest they </w:t>
      </w:r>
      <w:r w:rsidR="002958F6">
        <w:t>shrink</w:t>
      </w:r>
      <w:r w:rsidR="00DC103E">
        <w:t xml:space="preserve"> or</w:t>
      </w:r>
      <w:r w:rsidR="002958F6">
        <w:t xml:space="preserve"> </w:t>
      </w:r>
      <w:r w:rsidR="00E53C8B">
        <w:t>exit.</w:t>
      </w:r>
      <w:r w:rsidR="002958F6" w:rsidRPr="00441F05">
        <w:rPr>
          <w:rStyle w:val="FootnoteReference"/>
        </w:rPr>
        <w:footnoteReference w:id="4"/>
      </w:r>
      <w:r w:rsidR="00A8791F">
        <w:t xml:space="preserve"> </w:t>
      </w:r>
      <w:r w:rsidR="00E53C8B">
        <w:t>However, t</w:t>
      </w:r>
      <w:r w:rsidRPr="00F27410">
        <w:t xml:space="preserve">he </w:t>
      </w:r>
      <w:r w:rsidR="00B667C6">
        <w:t>diffusi</w:t>
      </w:r>
      <w:r w:rsidRPr="00F27410">
        <w:t>on of best</w:t>
      </w:r>
      <w:r w:rsidR="00B277C0">
        <w:noBreakHyphen/>
      </w:r>
      <w:r w:rsidRPr="00F27410">
        <w:t xml:space="preserve">practice service delivery in </w:t>
      </w:r>
      <w:r w:rsidR="008C1460">
        <w:t>areas where governments</w:t>
      </w:r>
      <w:r w:rsidR="00F92A26">
        <w:t xml:space="preserve"> </w:t>
      </w:r>
      <w:r w:rsidR="00DC103E">
        <w:t xml:space="preserve">fund or </w:t>
      </w:r>
      <w:r w:rsidR="00F92A26">
        <w:t>provide</w:t>
      </w:r>
      <w:r w:rsidR="008C1460">
        <w:t xml:space="preserve"> </w:t>
      </w:r>
      <w:r w:rsidR="006C4ACB">
        <w:t xml:space="preserve">services </w:t>
      </w:r>
      <w:r w:rsidRPr="00F27410">
        <w:t xml:space="preserve">is </w:t>
      </w:r>
      <w:r w:rsidR="008C1460">
        <w:t xml:space="preserve">often </w:t>
      </w:r>
      <w:r w:rsidRPr="00F27410">
        <w:t>more problematic</w:t>
      </w:r>
      <w:r w:rsidR="00E53C8B">
        <w:t xml:space="preserve">. This reflects </w:t>
      </w:r>
      <w:r w:rsidR="00E53C8B" w:rsidRPr="00F27410">
        <w:t>the lack of pric</w:t>
      </w:r>
      <w:r w:rsidR="00E53C8B">
        <w:t>e</w:t>
      </w:r>
      <w:r w:rsidR="00E53C8B" w:rsidRPr="00F27410">
        <w:t xml:space="preserve"> signals</w:t>
      </w:r>
      <w:r w:rsidR="00E53C8B">
        <w:t xml:space="preserve"> and that governments often cannot close or reduce the size of a poorly performing entity</w:t>
      </w:r>
      <w:r w:rsidR="00B667C6">
        <w:t xml:space="preserve"> because they must guarantee supply</w:t>
      </w:r>
      <w:r w:rsidRPr="00F27410">
        <w:t>. The lack of any market</w:t>
      </w:r>
      <w:r w:rsidRPr="00F27410">
        <w:noBreakHyphen/>
        <w:t xml:space="preserve">based diffusion mechanism therefore has to be addressed through policies that encourage </w:t>
      </w:r>
      <w:r w:rsidR="006C4ACB">
        <w:t xml:space="preserve">— and allow — </w:t>
      </w:r>
      <w:r w:rsidRPr="00F27410">
        <w:t>service providers to continually improve consumer outcomes.</w:t>
      </w:r>
      <w:r w:rsidR="00B667C6">
        <w:t xml:space="preserve"> </w:t>
      </w:r>
    </w:p>
    <w:p w14:paraId="22E298CD" w14:textId="2890BB20" w:rsidR="00A954FA" w:rsidRDefault="005360A9" w:rsidP="00360EF2">
      <w:pPr>
        <w:pStyle w:val="BodyText"/>
      </w:pPr>
      <w:r>
        <w:t>Transparent provision of p</w:t>
      </w:r>
      <w:r w:rsidRPr="00F27410">
        <w:t xml:space="preserve">erformance indicators </w:t>
      </w:r>
      <w:r>
        <w:t>that identify leaders and laggards on a like</w:t>
      </w:r>
      <w:r w:rsidR="00B277C0">
        <w:noBreakHyphen/>
      </w:r>
      <w:r>
        <w:t>for</w:t>
      </w:r>
      <w:r w:rsidR="00B277C0">
        <w:noBreakHyphen/>
      </w:r>
      <w:r>
        <w:t>like basis can</w:t>
      </w:r>
      <w:r w:rsidRPr="00F27410">
        <w:t xml:space="preserve"> assist the diffusion of</w:t>
      </w:r>
      <w:r>
        <w:t xml:space="preserve"> best</w:t>
      </w:r>
      <w:r>
        <w:noBreakHyphen/>
      </w:r>
      <w:r w:rsidRPr="00F27410">
        <w:t xml:space="preserve">practice service delivery. </w:t>
      </w:r>
      <w:r w:rsidR="007855F4">
        <w:t xml:space="preserve">Absent </w:t>
      </w:r>
      <w:r w:rsidR="00A954FA">
        <w:t>transparent</w:t>
      </w:r>
      <w:r w:rsidR="007855F4">
        <w:t xml:space="preserve"> </w:t>
      </w:r>
      <w:r w:rsidR="00A954FA">
        <w:t>indicators</w:t>
      </w:r>
      <w:r w:rsidR="00A766A4">
        <w:t xml:space="preserve"> </w:t>
      </w:r>
      <w:r w:rsidR="00A766A4" w:rsidRPr="006C4ACB">
        <w:rPr>
          <w:i/>
        </w:rPr>
        <w:t>and</w:t>
      </w:r>
      <w:r w:rsidR="00A766A4">
        <w:t xml:space="preserve"> incentives to act</w:t>
      </w:r>
      <w:r w:rsidR="007855F4">
        <w:t>, large</w:t>
      </w:r>
      <w:r w:rsidR="00A954FA">
        <w:noBreakHyphen/>
      </w:r>
      <w:r w:rsidR="007855F4">
        <w:t>scale inefficiencies can persist</w:t>
      </w:r>
      <w:r w:rsidR="00A954FA">
        <w:t xml:space="preserve"> </w:t>
      </w:r>
      <w:r w:rsidR="00A954FA" w:rsidRPr="00E8084F">
        <w:rPr>
          <w:szCs w:val="24"/>
        </w:rPr>
        <w:t>(AIHW 2017)</w:t>
      </w:r>
      <w:r w:rsidR="00A954FA" w:rsidRPr="00F27410">
        <w:t>.</w:t>
      </w:r>
      <w:r w:rsidR="00A954FA">
        <w:t xml:space="preserve"> </w:t>
      </w:r>
      <w:r>
        <w:t>Decision</w:t>
      </w:r>
      <w:r>
        <w:noBreakHyphen/>
        <w:t>makers can also use i</w:t>
      </w:r>
      <w:r w:rsidRPr="00F27410">
        <w:t xml:space="preserve">ndicators </w:t>
      </w:r>
      <w:r>
        <w:t xml:space="preserve">to </w:t>
      </w:r>
      <w:r w:rsidRPr="00F27410">
        <w:t xml:space="preserve">estimate the net gains from </w:t>
      </w:r>
      <w:r>
        <w:t>lifting the performance of</w:t>
      </w:r>
      <w:r w:rsidRPr="00F27410">
        <w:t xml:space="preserve"> </w:t>
      </w:r>
      <w:r>
        <w:t>laggards</w:t>
      </w:r>
      <w:r w:rsidRPr="00F27410">
        <w:t xml:space="preserve">, which can prioritise </w:t>
      </w:r>
      <w:r>
        <w:t xml:space="preserve">the </w:t>
      </w:r>
      <w:r w:rsidRPr="00F27410">
        <w:t>areas of reform.</w:t>
      </w:r>
    </w:p>
    <w:p w14:paraId="06545676" w14:textId="54663B2F" w:rsidR="005360A9" w:rsidRDefault="00647FA0" w:rsidP="00360EF2">
      <w:pPr>
        <w:pStyle w:val="BodyText"/>
      </w:pPr>
      <w:r>
        <w:t>C</w:t>
      </w:r>
      <w:r w:rsidR="00B667C6">
        <w:t xml:space="preserve">omparative indicators </w:t>
      </w:r>
      <w:r>
        <w:t xml:space="preserve">are only one component of creating performance disciplines and diffusion. Equally important is the diagnosis of </w:t>
      </w:r>
      <w:r w:rsidRPr="006C4ACB">
        <w:rPr>
          <w:i/>
        </w:rPr>
        <w:t>why</w:t>
      </w:r>
      <w:r>
        <w:t xml:space="preserve"> some entities perform much worse or better than others — because that information is the basis for providing specific advice on what must be diffused to lift performance. </w:t>
      </w:r>
      <w:r w:rsidR="00263C9B">
        <w:t xml:space="preserve">Handwashing in hospitals </w:t>
      </w:r>
      <w:r w:rsidR="00DA7C19">
        <w:t xml:space="preserve">to manage avoidable infections </w:t>
      </w:r>
      <w:r w:rsidR="00263C9B">
        <w:t xml:space="preserve">is an exemplar </w:t>
      </w:r>
      <w:r w:rsidR="003A5976" w:rsidRPr="003A5976">
        <w:rPr>
          <w:szCs w:val="24"/>
        </w:rPr>
        <w:t>(OECD 2017)</w:t>
      </w:r>
      <w:r w:rsidR="003A5976">
        <w:t>.</w:t>
      </w:r>
      <w:r w:rsidR="00263C9B">
        <w:t xml:space="preserve"> </w:t>
      </w:r>
      <w:r w:rsidR="00A66A5B">
        <w:t>A</w:t>
      </w:r>
      <w:r w:rsidR="003A5976">
        <w:t>nother</w:t>
      </w:r>
      <w:r w:rsidR="00A66A5B">
        <w:t xml:space="preserve"> well</w:t>
      </w:r>
      <w:r w:rsidR="00A66A5B">
        <w:noBreakHyphen/>
        <w:t>known example is the use of surgical safety checklists to a</w:t>
      </w:r>
      <w:r w:rsidR="0056792D">
        <w:t>void adverse outcomes</w:t>
      </w:r>
      <w:r w:rsidR="00A954FA">
        <w:t xml:space="preserve"> (</w:t>
      </w:r>
      <w:r w:rsidR="0056792D">
        <w:t>such as ‘</w:t>
      </w:r>
      <w:r w:rsidR="00A954FA">
        <w:t>W</w:t>
      </w:r>
      <w:r w:rsidR="0056792D">
        <w:t>rong</w:t>
      </w:r>
      <w:r w:rsidR="00B277C0">
        <w:noBreakHyphen/>
      </w:r>
      <w:r w:rsidR="0056792D">
        <w:t>Site Surgery</w:t>
      </w:r>
      <w:r w:rsidR="006C4ACB">
        <w:t>’</w:t>
      </w:r>
      <w:r w:rsidR="00A954FA">
        <w:t>)</w:t>
      </w:r>
      <w:r w:rsidR="006B356B">
        <w:t xml:space="preserve"> </w:t>
      </w:r>
      <w:r w:rsidR="00581CE8" w:rsidRPr="00581CE8">
        <w:rPr>
          <w:szCs w:val="24"/>
        </w:rPr>
        <w:t>(Bergs et al. 2014; Haugen et al. 2015; Lyons and Popejoy</w:t>
      </w:r>
      <w:r w:rsidR="00581CE8" w:rsidRPr="000F7D47">
        <w:rPr>
          <w:szCs w:val="24"/>
        </w:rPr>
        <w:t> 2014; Panesar et al. 2009)</w:t>
      </w:r>
      <w:r w:rsidR="0056792D">
        <w:t>. Yet</w:t>
      </w:r>
      <w:r w:rsidR="00A954FA">
        <w:t xml:space="preserve"> adoption </w:t>
      </w:r>
      <w:r w:rsidR="00DA7C19">
        <w:t xml:space="preserve">across hospitals </w:t>
      </w:r>
      <w:r w:rsidR="00A954FA">
        <w:t xml:space="preserve">in Australia and other countries </w:t>
      </w:r>
      <w:r w:rsidR="000F7D47">
        <w:t xml:space="preserve">of checklists </w:t>
      </w:r>
      <w:r w:rsidR="00A954FA">
        <w:t xml:space="preserve">has been </w:t>
      </w:r>
      <w:r w:rsidR="00DA7C19">
        <w:t>variable</w:t>
      </w:r>
      <w:r w:rsidR="00581CE8">
        <w:t xml:space="preserve"> </w:t>
      </w:r>
      <w:r w:rsidR="000F7D47" w:rsidRPr="000F7D47">
        <w:rPr>
          <w:szCs w:val="24"/>
        </w:rPr>
        <w:t>(Ragusa et al. 2016; Rajendram</w:t>
      </w:r>
      <w:r w:rsidR="000F7D47" w:rsidRPr="005360A9">
        <w:rPr>
          <w:szCs w:val="24"/>
        </w:rPr>
        <w:t> 2016; Swan 2015)</w:t>
      </w:r>
      <w:r w:rsidR="00A954FA">
        <w:t>, suggesting that its effective diffusion should be a target for policy</w:t>
      </w:r>
      <w:r w:rsidR="000C1A75">
        <w:t>. Alth</w:t>
      </w:r>
      <w:r w:rsidR="00A954FA">
        <w:t xml:space="preserve">ough </w:t>
      </w:r>
      <w:r w:rsidR="000C1A75">
        <w:t xml:space="preserve">it may </w:t>
      </w:r>
      <w:r w:rsidR="00A954FA">
        <w:t xml:space="preserve">not </w:t>
      </w:r>
      <w:r w:rsidR="000C1A75">
        <w:t>be ideal to force this through mere administrative fiat, i</w:t>
      </w:r>
      <w:r w:rsidR="00A954FA">
        <w:t xml:space="preserve">n </w:t>
      </w:r>
      <w:r w:rsidR="00B277C0">
        <w:t>National Health Service (</w:t>
      </w:r>
      <w:r w:rsidR="00A954FA">
        <w:t>NHS</w:t>
      </w:r>
      <w:r w:rsidR="00B277C0">
        <w:t>)</w:t>
      </w:r>
      <w:r w:rsidR="00A954FA">
        <w:t xml:space="preserve"> hospitals in the United Kingdom, uptake was improved by </w:t>
      </w:r>
      <w:r w:rsidR="000C1A75">
        <w:t xml:space="preserve">administrators </w:t>
      </w:r>
      <w:r w:rsidR="00A954FA">
        <w:t xml:space="preserve">refusing </w:t>
      </w:r>
      <w:r w:rsidR="00346EE0">
        <w:t xml:space="preserve">to allow </w:t>
      </w:r>
      <w:r w:rsidR="00A954FA">
        <w:t xml:space="preserve">surgery teams </w:t>
      </w:r>
      <w:r w:rsidR="00346EE0">
        <w:t>to take</w:t>
      </w:r>
      <w:r w:rsidR="00A954FA">
        <w:t xml:space="preserve"> a patient to a recovery room after surgery unless the full </w:t>
      </w:r>
      <w:r w:rsidR="00B277C0">
        <w:t>World Health Organisation (</w:t>
      </w:r>
      <w:r w:rsidR="00A954FA">
        <w:t>WHO</w:t>
      </w:r>
      <w:r w:rsidR="00B277C0">
        <w:t>)</w:t>
      </w:r>
      <w:r w:rsidR="00A954FA">
        <w:t xml:space="preserve"> Safe Surgery Checklist ha</w:t>
      </w:r>
      <w:r w:rsidR="0070384E">
        <w:t>d</w:t>
      </w:r>
      <w:r w:rsidR="00A954FA">
        <w:t xml:space="preserve"> been complete</w:t>
      </w:r>
      <w:r w:rsidR="00346EE0">
        <w:t>d</w:t>
      </w:r>
      <w:r w:rsidR="00A954FA">
        <w:t>.</w:t>
      </w:r>
      <w:r w:rsidR="005360A9">
        <w:t xml:space="preserve"> </w:t>
      </w:r>
    </w:p>
    <w:p w14:paraId="6752FC85" w14:textId="10934117" w:rsidR="00647898" w:rsidRDefault="00A766A4" w:rsidP="00A766A4">
      <w:pPr>
        <w:pStyle w:val="BodyText"/>
      </w:pPr>
      <w:r>
        <w:t>The ‘checklist’ example highlights why information about comparative performance is a necessary, but not sufficient</w:t>
      </w:r>
      <w:r w:rsidR="00BB7761">
        <w:t>,</w:t>
      </w:r>
      <w:r>
        <w:t xml:space="preserve"> basis for achieving diffusion. This is </w:t>
      </w:r>
      <w:r w:rsidR="00DA7C19">
        <w:t xml:space="preserve">apparent in </w:t>
      </w:r>
      <w:r>
        <w:t xml:space="preserve">widespread (and persistent) deviations from best practice </w:t>
      </w:r>
      <w:r w:rsidR="00DA7C19">
        <w:t xml:space="preserve">in the </w:t>
      </w:r>
      <w:r w:rsidR="00570AB3">
        <w:t>health care</w:t>
      </w:r>
      <w:r w:rsidR="00DA7C19">
        <w:t xml:space="preserve"> industry </w:t>
      </w:r>
      <w:r w:rsidR="00647898" w:rsidRPr="00F27410">
        <w:t>(</w:t>
      </w:r>
      <w:r w:rsidR="00E95C75">
        <w:t>b</w:t>
      </w:r>
      <w:r w:rsidR="00647898" w:rsidRPr="00F27410">
        <w:t>ox</w:t>
      </w:r>
      <w:r w:rsidR="00B277C0">
        <w:t> </w:t>
      </w:r>
      <w:r w:rsidR="000C1A75">
        <w:t>1</w:t>
      </w:r>
      <w:r w:rsidR="00647898" w:rsidRPr="00F27410">
        <w:t>)</w:t>
      </w:r>
      <w:r w:rsidR="006C4ACB">
        <w:t>.</w:t>
      </w:r>
    </w:p>
    <w:p w14:paraId="4156E64A" w14:textId="77777777" w:rsidR="008052C4" w:rsidRDefault="008052C4" w:rsidP="008052C4">
      <w:pPr>
        <w:pStyle w:val="Heading5"/>
      </w:pPr>
      <w:r>
        <w:t>… and providing a basis for the selective use of financial incentives</w:t>
      </w:r>
    </w:p>
    <w:p w14:paraId="3DCD88FD" w14:textId="77777777" w:rsidR="008052C4" w:rsidRDefault="008052C4" w:rsidP="008052C4">
      <w:pPr>
        <w:pStyle w:val="BodyText"/>
        <w:spacing w:before="200"/>
      </w:pPr>
      <w:r>
        <w:t xml:space="preserve">Performance indicators are a prerequisite to using financial incentives to improve provider performance — and indeed the development of indicators is often motivated by this function. Financial incentives can either involve payments (or provider retention of financial savings) if a provider achieves a higher level of performance or involve the withdrawal of funding or the imposition of penalties if the provider deviates too far from some acceptable benchmark. Although there are </w:t>
      </w:r>
      <w:r w:rsidRPr="002C6CE4">
        <w:t>concerns about the adequacy of some performance metrics and the environment in which they are used</w:t>
      </w:r>
      <w:r>
        <w:t xml:space="preserve"> (see discussion in section 4 below), a necessary precursor to establishing any financial incentives is to create informative performance metrics. </w:t>
      </w:r>
    </w:p>
    <w:p w14:paraId="0D6F0074" w14:textId="01F0D5E8" w:rsidR="00360EF2" w:rsidRDefault="00360EF2">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360EF2" w14:paraId="6A79CA07" w14:textId="77777777" w:rsidTr="00DE10E9">
        <w:tc>
          <w:tcPr>
            <w:tcW w:w="8771" w:type="dxa"/>
            <w:tcBorders>
              <w:top w:val="single" w:sz="6" w:space="0" w:color="78A22F"/>
              <w:left w:val="nil"/>
              <w:bottom w:val="nil"/>
              <w:right w:val="nil"/>
            </w:tcBorders>
            <w:shd w:val="clear" w:color="auto" w:fill="F2F2F2"/>
          </w:tcPr>
          <w:p w14:paraId="76710FD8" w14:textId="67FD105D" w:rsidR="00360EF2" w:rsidRDefault="00360EF2" w:rsidP="004C6BAF">
            <w:pPr>
              <w:pStyle w:val="BoxTitle"/>
            </w:pPr>
            <w:r>
              <w:rPr>
                <w:b w:val="0"/>
              </w:rPr>
              <w:t xml:space="preserve">Box </w:t>
            </w:r>
            <w:r w:rsidR="005A28E9">
              <w:rPr>
                <w:b w:val="0"/>
                <w:noProof/>
              </w:rPr>
              <w:t>1</w:t>
            </w:r>
            <w:r>
              <w:tab/>
            </w:r>
            <w:r w:rsidRPr="00360EF2">
              <w:t xml:space="preserve">Evidence of diffusion problems </w:t>
            </w:r>
            <w:r w:rsidR="008E2620">
              <w:t>in</w:t>
            </w:r>
            <w:r w:rsidRPr="00360EF2">
              <w:t xml:space="preserve"> </w:t>
            </w:r>
            <w:r w:rsidR="00570AB3">
              <w:t>health care</w:t>
            </w:r>
          </w:p>
        </w:tc>
      </w:tr>
      <w:tr w:rsidR="00360EF2" w14:paraId="3A8ED7F2" w14:textId="77777777" w:rsidTr="00DE10E9">
        <w:tc>
          <w:tcPr>
            <w:tcW w:w="8771" w:type="dxa"/>
            <w:tcBorders>
              <w:top w:val="nil"/>
              <w:left w:val="nil"/>
              <w:bottom w:val="nil"/>
              <w:right w:val="nil"/>
            </w:tcBorders>
            <w:shd w:val="clear" w:color="auto" w:fill="F2F2F2"/>
          </w:tcPr>
          <w:p w14:paraId="3D700577" w14:textId="3120C900" w:rsidR="00360EF2" w:rsidRPr="00360EF2" w:rsidRDefault="00360EF2" w:rsidP="00360EF2">
            <w:pPr>
              <w:pStyle w:val="Box"/>
            </w:pPr>
            <w:r w:rsidRPr="00360EF2">
              <w:t xml:space="preserve">A broad array of research provides evidence that the </w:t>
            </w:r>
            <w:r w:rsidR="00BB7761">
              <w:t>adoption</w:t>
            </w:r>
            <w:r w:rsidR="00BB7761" w:rsidRPr="00360EF2">
              <w:t xml:space="preserve"> </w:t>
            </w:r>
            <w:r w:rsidRPr="00360EF2">
              <w:t>of best</w:t>
            </w:r>
            <w:r w:rsidR="00B277C0">
              <w:noBreakHyphen/>
            </w:r>
            <w:r w:rsidRPr="00360EF2">
              <w:t>practice methods in the health</w:t>
            </w:r>
            <w:r w:rsidR="00DE161D">
              <w:t xml:space="preserve"> </w:t>
            </w:r>
            <w:r w:rsidRPr="00360EF2">
              <w:t xml:space="preserve">care sector is less </w:t>
            </w:r>
            <w:r w:rsidR="00BB7761">
              <w:t>extensive</w:t>
            </w:r>
            <w:r w:rsidR="00BB7761" w:rsidRPr="00360EF2">
              <w:t xml:space="preserve"> </w:t>
            </w:r>
            <w:r w:rsidRPr="00360EF2">
              <w:t>than it could be:</w:t>
            </w:r>
          </w:p>
          <w:p w14:paraId="0D8E7163" w14:textId="3880A35F" w:rsidR="00360EF2" w:rsidRDefault="0048649D" w:rsidP="00771DC1">
            <w:pPr>
              <w:pStyle w:val="BoxListBullet"/>
              <w:spacing w:before="80"/>
            </w:pPr>
            <w:r w:rsidRPr="00360EF2">
              <w:t>Runciman et al.</w:t>
            </w:r>
            <w:r>
              <w:t xml:space="preserve"> </w:t>
            </w:r>
            <w:r w:rsidRPr="0048649D">
              <w:rPr>
                <w:rFonts w:cs="Arial"/>
              </w:rPr>
              <w:t>(2012)</w:t>
            </w:r>
            <w:r w:rsidR="00360EF2" w:rsidRPr="00360EF2">
              <w:t xml:space="preserve"> found that 43 per cent of a sample of Australian adults had received inappropriate care in their recent health care encounters, </w:t>
            </w:r>
            <w:r w:rsidR="00DE161D">
              <w:t>according to</w:t>
            </w:r>
            <w:r w:rsidR="00360EF2" w:rsidRPr="00360EF2">
              <w:t xml:space="preserve"> evidence</w:t>
            </w:r>
            <w:r w:rsidR="00B277C0">
              <w:noBreakHyphen/>
            </w:r>
            <w:r w:rsidR="00360EF2" w:rsidRPr="00360EF2">
              <w:t>based and consensus</w:t>
            </w:r>
            <w:r w:rsidR="00B277C0">
              <w:noBreakHyphen/>
            </w:r>
            <w:r w:rsidR="00360EF2" w:rsidRPr="00360EF2">
              <w:t>based guidelines.</w:t>
            </w:r>
          </w:p>
          <w:p w14:paraId="6893202B" w14:textId="5AFA3134" w:rsidR="00237EA2" w:rsidRPr="00360EF2" w:rsidRDefault="00237EA2" w:rsidP="00771DC1">
            <w:pPr>
              <w:pStyle w:val="BoxListBullet"/>
              <w:spacing w:before="80"/>
            </w:pPr>
            <w:r>
              <w:t>The Australian Commission on Safety and Quality in Health Care</w:t>
            </w:r>
            <w:r w:rsidR="00BB7761">
              <w:t>’s</w:t>
            </w:r>
            <w:r>
              <w:t xml:space="preserve"> </w:t>
            </w:r>
            <w:r w:rsidR="00BB7761">
              <w:t xml:space="preserve">2015 </w:t>
            </w:r>
            <w:r w:rsidRPr="007825E0">
              <w:rPr>
                <w:i/>
              </w:rPr>
              <w:t xml:space="preserve">Atlas of </w:t>
            </w:r>
            <w:r w:rsidR="007C3EBC" w:rsidRPr="007825E0">
              <w:rPr>
                <w:i/>
              </w:rPr>
              <w:t>Healthcare</w:t>
            </w:r>
            <w:r w:rsidRPr="007825E0">
              <w:rPr>
                <w:i/>
              </w:rPr>
              <w:t xml:space="preserve"> Variation</w:t>
            </w:r>
            <w:r>
              <w:t xml:space="preserve"> showed dramatic unexplained variations in procedures and prescribing, and the use of procedures for which there is no favourable clinical evidence </w:t>
            </w:r>
            <w:r w:rsidR="007C3EBC" w:rsidRPr="006C4ACB">
              <w:rPr>
                <w:rFonts w:cs="Arial"/>
                <w:szCs w:val="24"/>
              </w:rPr>
              <w:t>(ACSQHC 2015)</w:t>
            </w:r>
            <w:r w:rsidR="007C3EBC">
              <w:t>.</w:t>
            </w:r>
          </w:p>
          <w:p w14:paraId="2CA09D8F" w14:textId="6F4BC14B" w:rsidR="00360EF2" w:rsidRPr="00360EF2" w:rsidRDefault="00360EF2" w:rsidP="00771DC1">
            <w:pPr>
              <w:pStyle w:val="BoxListBullet"/>
              <w:spacing w:before="80"/>
            </w:pPr>
            <w:r w:rsidRPr="00360EF2">
              <w:t xml:space="preserve">A 2007 study by the Commonwealth Fund found that 15 per cent of Australians reported undergoing unnecessary repeat imaging </w:t>
            </w:r>
            <w:r w:rsidR="00F01710" w:rsidRPr="0036027F">
              <w:rPr>
                <w:rFonts w:cs="Arial"/>
                <w:szCs w:val="24"/>
              </w:rPr>
              <w:t>(Russell and Doggett 2015)</w:t>
            </w:r>
            <w:r w:rsidRPr="00360EF2">
              <w:t>.</w:t>
            </w:r>
            <w:r w:rsidR="00B406D2">
              <w:t xml:space="preserve"> </w:t>
            </w:r>
          </w:p>
          <w:p w14:paraId="28C95270" w14:textId="02B2013C" w:rsidR="00360EF2" w:rsidRPr="00360EF2" w:rsidRDefault="00360EF2" w:rsidP="00771DC1">
            <w:pPr>
              <w:pStyle w:val="BoxListBullet"/>
              <w:spacing w:before="80"/>
            </w:pPr>
            <w:r w:rsidRPr="00360EF2">
              <w:t>Western Australian researchers found that 23 of 47 medicines commonly dispensed to over 100</w:t>
            </w:r>
            <w:r w:rsidR="0070384E">
              <w:t> </w:t>
            </w:r>
            <w:r w:rsidRPr="00360EF2">
              <w:t xml:space="preserve">000 different pregnant women from 2002 to 2005 were associated with some form of birth defect </w:t>
            </w:r>
            <w:r w:rsidR="008E3A90" w:rsidRPr="0036027F">
              <w:rPr>
                <w:rFonts w:cs="Arial"/>
                <w:szCs w:val="24"/>
              </w:rPr>
              <w:t>(Colvin et al. 2010)</w:t>
            </w:r>
            <w:r w:rsidR="008E3A90">
              <w:t>.</w:t>
            </w:r>
            <w:r w:rsidR="00B406D2">
              <w:t xml:space="preserve"> </w:t>
            </w:r>
          </w:p>
          <w:p w14:paraId="4E6C6435" w14:textId="69AE12E9" w:rsidR="00360EF2" w:rsidRPr="00360EF2" w:rsidRDefault="00360EF2" w:rsidP="00771DC1">
            <w:pPr>
              <w:pStyle w:val="BoxListBullet"/>
              <w:spacing w:before="80"/>
            </w:pPr>
            <w:r w:rsidRPr="00360EF2">
              <w:t xml:space="preserve">The former National Institute of Clinical Studies </w:t>
            </w:r>
            <w:r w:rsidR="0048649D" w:rsidRPr="0048649D">
              <w:rPr>
                <w:rFonts w:cs="Arial"/>
              </w:rPr>
              <w:t>(2003, 2005)</w:t>
            </w:r>
            <w:r w:rsidRPr="00360EF2">
              <w:t xml:space="preserve"> identified gaps between evidence and practice in areas such as advising on smoking cessation, screening for lung cancer, and vaccinating against influenza.</w:t>
            </w:r>
          </w:p>
          <w:p w14:paraId="2F4D3712" w14:textId="1C737D4D" w:rsidR="00360EF2" w:rsidRPr="00360EF2" w:rsidRDefault="00360EF2" w:rsidP="00771DC1">
            <w:pPr>
              <w:pStyle w:val="BoxListBullet"/>
              <w:spacing w:before="80"/>
            </w:pPr>
            <w:r w:rsidRPr="00360EF2">
              <w:t>In 2013</w:t>
            </w:r>
            <w:r w:rsidR="00B277C0">
              <w:noBreakHyphen/>
            </w:r>
            <w:r w:rsidRPr="00360EF2">
              <w:t xml:space="preserve">14, about 30 per cent of people presenting to general practitioners in Australia for acute upper respiratory tract infection — the ‘common cold’ — were prescribed antibiotics, even though antibiotics are ineffective for treating viral infections </w:t>
            </w:r>
            <w:r w:rsidR="00B406D2" w:rsidRPr="00B406D2">
              <w:rPr>
                <w:rFonts w:cs="Arial"/>
                <w:szCs w:val="24"/>
              </w:rPr>
              <w:t>(SCRGSP 2015)</w:t>
            </w:r>
            <w:r w:rsidRPr="00360EF2">
              <w:t>.</w:t>
            </w:r>
            <w:r w:rsidR="00B406D2">
              <w:t xml:space="preserve"> </w:t>
            </w:r>
          </w:p>
          <w:p w14:paraId="40468402" w14:textId="3B48C4A8" w:rsidR="00360EF2" w:rsidRPr="00360EF2" w:rsidRDefault="00360EF2" w:rsidP="00771DC1">
            <w:pPr>
              <w:pStyle w:val="BoxListBullet"/>
              <w:spacing w:before="80"/>
            </w:pPr>
            <w:r w:rsidRPr="00360EF2">
              <w:t xml:space="preserve">Paracetamol is commonly recommended and prescribed for back pain in Australia. However, a recent randomised trial of paracetamol for the treatment of acute lower back pain found no benefit versus a placebo </w:t>
            </w:r>
            <w:r w:rsidR="008E3A90" w:rsidRPr="0036027F">
              <w:rPr>
                <w:rFonts w:cs="Arial"/>
                <w:szCs w:val="24"/>
              </w:rPr>
              <w:t>(Carpenter et al. 2014)</w:t>
            </w:r>
            <w:r w:rsidRPr="00360EF2">
              <w:t>.</w:t>
            </w:r>
            <w:r w:rsidR="00B406D2">
              <w:t xml:space="preserve"> </w:t>
            </w:r>
          </w:p>
          <w:p w14:paraId="5D48526C" w14:textId="39FFF2EE" w:rsidR="00360EF2" w:rsidRDefault="00360EF2" w:rsidP="00771DC1">
            <w:pPr>
              <w:pStyle w:val="BoxListBullet"/>
              <w:spacing w:before="80"/>
            </w:pPr>
            <w:r w:rsidRPr="00360EF2">
              <w:t>Approximately 6.5 per cent of separations in public hospitals in 2012</w:t>
            </w:r>
            <w:r w:rsidR="00B277C0">
              <w:noBreakHyphen/>
            </w:r>
            <w:r w:rsidRPr="00360EF2">
              <w:t xml:space="preserve">13 were associated with ‘adverse events’ — where patients are harmed during hospitalisation — </w:t>
            </w:r>
            <w:r w:rsidR="006C4ACB">
              <w:t xml:space="preserve">in part due to poor practice methods, </w:t>
            </w:r>
            <w:r w:rsidRPr="00360EF2">
              <w:t>including injuries from falls, adverse drug effects and</w:t>
            </w:r>
            <w:r w:rsidR="006C4ACB">
              <w:t xml:space="preserve"> surgical errors</w:t>
            </w:r>
            <w:r w:rsidR="00B406D2">
              <w:t xml:space="preserve"> </w:t>
            </w:r>
            <w:r w:rsidR="00B406D2" w:rsidRPr="00B406D2">
              <w:rPr>
                <w:rFonts w:cs="Arial"/>
                <w:szCs w:val="24"/>
              </w:rPr>
              <w:t>(SCRGSP 2015)</w:t>
            </w:r>
            <w:r w:rsidR="006C4ACB">
              <w:t>.</w:t>
            </w:r>
          </w:p>
        </w:tc>
      </w:tr>
      <w:tr w:rsidR="00360EF2" w14:paraId="1BDB30B0" w14:textId="77777777" w:rsidTr="00DE10E9">
        <w:tc>
          <w:tcPr>
            <w:tcW w:w="8771" w:type="dxa"/>
            <w:tcBorders>
              <w:top w:val="nil"/>
              <w:left w:val="nil"/>
              <w:bottom w:val="nil"/>
              <w:right w:val="nil"/>
            </w:tcBorders>
            <w:shd w:val="clear" w:color="auto" w:fill="F2F2F2"/>
          </w:tcPr>
          <w:p w14:paraId="14FF292C" w14:textId="5D20904F" w:rsidR="00360EF2" w:rsidRDefault="00A8791F" w:rsidP="00DE246B">
            <w:pPr>
              <w:pStyle w:val="BoxSource"/>
            </w:pPr>
            <w:r>
              <w:rPr>
                <w:i/>
              </w:rPr>
              <w:t>Sources</w:t>
            </w:r>
            <w:r w:rsidR="00360EF2" w:rsidRPr="00167F06">
              <w:t xml:space="preserve">: </w:t>
            </w:r>
            <w:r w:rsidR="0048649D" w:rsidRPr="006C4ACB">
              <w:rPr>
                <w:rFonts w:cs="Arial"/>
                <w:szCs w:val="24"/>
              </w:rPr>
              <w:t>PC </w:t>
            </w:r>
            <w:r w:rsidR="0048649D" w:rsidRPr="0048649D">
              <w:rPr>
                <w:rFonts w:cs="Arial"/>
              </w:rPr>
              <w:t>(2013, 2015)</w:t>
            </w:r>
            <w:r w:rsidR="00360EF2">
              <w:t>.</w:t>
            </w:r>
            <w:r w:rsidR="00150398">
              <w:t xml:space="preserve"> </w:t>
            </w:r>
          </w:p>
        </w:tc>
      </w:tr>
      <w:tr w:rsidR="00360EF2" w14:paraId="4891F532" w14:textId="77777777" w:rsidTr="00DE10E9">
        <w:tc>
          <w:tcPr>
            <w:tcW w:w="8771" w:type="dxa"/>
            <w:tcBorders>
              <w:top w:val="nil"/>
              <w:left w:val="nil"/>
              <w:bottom w:val="single" w:sz="6" w:space="0" w:color="78A22F"/>
              <w:right w:val="nil"/>
            </w:tcBorders>
            <w:shd w:val="clear" w:color="auto" w:fill="F2F2F2"/>
          </w:tcPr>
          <w:p w14:paraId="42E79027" w14:textId="77777777" w:rsidR="00360EF2" w:rsidRDefault="00360EF2">
            <w:pPr>
              <w:pStyle w:val="Box"/>
              <w:spacing w:before="0" w:line="120" w:lineRule="exact"/>
            </w:pPr>
          </w:p>
        </w:tc>
      </w:tr>
      <w:tr w:rsidR="00360EF2" w:rsidRPr="000863A5" w14:paraId="7C68DF23" w14:textId="77777777" w:rsidTr="00DE10E9">
        <w:tc>
          <w:tcPr>
            <w:tcW w:w="8771" w:type="dxa"/>
            <w:tcBorders>
              <w:top w:val="single" w:sz="6" w:space="0" w:color="78A22F"/>
              <w:left w:val="nil"/>
              <w:bottom w:val="nil"/>
              <w:right w:val="nil"/>
            </w:tcBorders>
          </w:tcPr>
          <w:p w14:paraId="22784E84" w14:textId="2805A0CC" w:rsidR="00360EF2" w:rsidRPr="00626D32" w:rsidRDefault="00360EF2" w:rsidP="00360EF2">
            <w:pPr>
              <w:pStyle w:val="BoxSpaceBelow"/>
            </w:pPr>
          </w:p>
        </w:tc>
      </w:tr>
    </w:tbl>
    <w:p w14:paraId="6996C632" w14:textId="743C33E4" w:rsidR="004B5DC6" w:rsidRDefault="00C63EBC" w:rsidP="005A28E9">
      <w:pPr>
        <w:pStyle w:val="BodyText"/>
        <w:spacing w:before="200"/>
      </w:pPr>
      <w:r>
        <w:t>Social impact bonds are an example where the development of performance measures — at the outcome level — is essential. These bonds aim to attract finance to fund human services on the bases that the bond holder receive</w:t>
      </w:r>
      <w:r w:rsidR="0014517C">
        <w:t>s</w:t>
      </w:r>
      <w:r>
        <w:t xml:space="preserve"> a bonus if the service achieves a specified set of outcomes. The aim is to create incentives for the service provider to deliver real improvements over an agreed baseline, with the bondholders providing oversight of performance. </w:t>
      </w:r>
      <w:r w:rsidR="004B5DC6">
        <w:t>Several social impact bonds have been undertaken in Australia in recent years, including a bond to tackle homelessness in South Australia, one focusing on drug and alcohol treatment programs in Victoria, and one to reduce recidivism in New South Wales.</w:t>
      </w:r>
    </w:p>
    <w:p w14:paraId="73EDFF77" w14:textId="7B955951" w:rsidR="00C63EBC" w:rsidRDefault="004B5DC6" w:rsidP="005A28E9">
      <w:pPr>
        <w:pStyle w:val="BodyText"/>
        <w:spacing w:before="200"/>
      </w:pPr>
      <w:r>
        <w:t xml:space="preserve">The structure of social impact bonds requires agreement on the outcome measures — the baseline and the expected improvement required to trigger the returns. </w:t>
      </w:r>
      <w:r w:rsidR="00C63EBC">
        <w:t>As measurement is central to the success of such bonds</w:t>
      </w:r>
      <w:r w:rsidR="0014517C">
        <w:t>,</w:t>
      </w:r>
      <w:r w:rsidR="00C63EBC">
        <w:t xml:space="preserve"> efforts have gone into developing reliable and accepted measurement frameworks </w:t>
      </w:r>
      <w:r w:rsidR="0048649D" w:rsidRPr="0048649D">
        <w:rPr>
          <w:szCs w:val="24"/>
        </w:rPr>
        <w:t>(see for example, Deloitte Access Economics 2016)</w:t>
      </w:r>
      <w:r w:rsidR="00C63EBC">
        <w:t xml:space="preserve">. </w:t>
      </w:r>
      <w:r>
        <w:t>However, such outcome measurement can also become excessive, with concerns recently that the reporting and measurement requirements of some social impact bonds are preventing take</w:t>
      </w:r>
      <w:r w:rsidR="00B277C0">
        <w:noBreakHyphen/>
      </w:r>
      <w:r>
        <w:t xml:space="preserve">up and hindering their benefits </w:t>
      </w:r>
      <w:r w:rsidR="00770415" w:rsidRPr="00770415">
        <w:rPr>
          <w:szCs w:val="24"/>
        </w:rPr>
        <w:t>(Edmiston and Nicholls 2017)</w:t>
      </w:r>
      <w:r>
        <w:t>.</w:t>
      </w:r>
    </w:p>
    <w:p w14:paraId="018AFFF4" w14:textId="1E38285F" w:rsidR="007E422C" w:rsidRDefault="007E422C" w:rsidP="00771DC1">
      <w:pPr>
        <w:pStyle w:val="Heading4"/>
        <w:spacing w:before="320"/>
      </w:pPr>
      <w:r>
        <w:t xml:space="preserve">Overcoming information </w:t>
      </w:r>
      <w:r w:rsidR="00DD7415">
        <w:t>gaps</w:t>
      </w:r>
    </w:p>
    <w:p w14:paraId="0DF3BA3B" w14:textId="2D262BF5" w:rsidR="0054429B" w:rsidRDefault="00EB0F70" w:rsidP="005A28E9">
      <w:pPr>
        <w:pStyle w:val="BodyText"/>
        <w:spacing w:before="200"/>
      </w:pPr>
      <w:r>
        <w:t>In conventional (reasonably competitive) markets, prices often convey quality. However, such price signals are typically not present for many</w:t>
      </w:r>
      <w:r w:rsidR="007E422C">
        <w:t xml:space="preserve"> government</w:t>
      </w:r>
      <w:r w:rsidR="007E422C">
        <w:noBreakHyphen/>
        <w:t>funded services</w:t>
      </w:r>
      <w:r>
        <w:t xml:space="preserve"> as they </w:t>
      </w:r>
      <w:r w:rsidR="007E422C">
        <w:t xml:space="preserve">are </w:t>
      </w:r>
      <w:r w:rsidR="00E3705D">
        <w:t>either provided free of charge or heavily subsidised</w:t>
      </w:r>
      <w:r w:rsidR="007E422C" w:rsidRPr="00D00E58">
        <w:t>.</w:t>
      </w:r>
      <w:r w:rsidR="007E422C">
        <w:t xml:space="preserve"> </w:t>
      </w:r>
      <w:r w:rsidR="0054429B">
        <w:t>Equally, there is no equivalent in most government services of ‘warranties’, which, in the commercial sphere provide signals about the qualities of services.</w:t>
      </w:r>
    </w:p>
    <w:p w14:paraId="05C75FCD" w14:textId="643CAFC2" w:rsidR="00B5064E" w:rsidRDefault="0054429B" w:rsidP="005A28E9">
      <w:pPr>
        <w:pStyle w:val="BodyText"/>
        <w:spacing w:before="200"/>
      </w:pPr>
      <w:r>
        <w:t xml:space="preserve">This creates a greater imperative for information provision to consumers that provides them with some understanding of the variation in the quality </w:t>
      </w:r>
      <w:r w:rsidR="00E157C2">
        <w:t>of providers/services</w:t>
      </w:r>
      <w:r>
        <w:t xml:space="preserve">. </w:t>
      </w:r>
      <w:r w:rsidR="006F628B">
        <w:t xml:space="preserve">Consumers can express their satisfaction or dissatisfaction with services </w:t>
      </w:r>
      <w:r w:rsidR="00E62A34">
        <w:t xml:space="preserve">formally </w:t>
      </w:r>
      <w:r w:rsidR="00B27A38">
        <w:t xml:space="preserve">(such as </w:t>
      </w:r>
      <w:r w:rsidR="00E62A34">
        <w:t>through complaint lines</w:t>
      </w:r>
      <w:r w:rsidR="00B27A38">
        <w:t>)</w:t>
      </w:r>
      <w:r w:rsidR="00E62A34">
        <w:t xml:space="preserve"> and informally </w:t>
      </w:r>
      <w:r w:rsidR="00B27A38">
        <w:t xml:space="preserve">(such as </w:t>
      </w:r>
      <w:r w:rsidR="00E62A34">
        <w:t xml:space="preserve">through </w:t>
      </w:r>
      <w:r w:rsidR="006F628B">
        <w:t>online forums</w:t>
      </w:r>
      <w:r w:rsidR="00B27A38">
        <w:t>)</w:t>
      </w:r>
      <w:r w:rsidR="006F628B">
        <w:t xml:space="preserve">, but these may not be representative of </w:t>
      </w:r>
      <w:r w:rsidR="00405175">
        <w:t xml:space="preserve">all users’ </w:t>
      </w:r>
      <w:r w:rsidR="006F628B">
        <w:t xml:space="preserve">views or provide clear </w:t>
      </w:r>
      <w:r w:rsidR="0097604D">
        <w:t xml:space="preserve">or very useful </w:t>
      </w:r>
      <w:r w:rsidR="006F628B">
        <w:t xml:space="preserve">information. </w:t>
      </w:r>
      <w:r>
        <w:t>Provision of meaningful information that genuinely gives consumers some agency is non</w:t>
      </w:r>
      <w:r w:rsidR="00131165">
        <w:noBreakHyphen/>
      </w:r>
      <w:r>
        <w:t>trivial. This reflects that many governments services have effects that take years to surface (for example, there is considerable uncertainty about future earnings and employment prospects from different types of education) or involve complex technical matters (for instance, in making choices between various clinical procedures).</w:t>
      </w:r>
      <w:r w:rsidR="000C1A75" w:rsidRPr="00441F05">
        <w:rPr>
          <w:rStyle w:val="FootnoteReference"/>
        </w:rPr>
        <w:footnoteReference w:id="5"/>
      </w:r>
      <w:r>
        <w:t xml:space="preserve"> </w:t>
      </w:r>
      <w:r w:rsidR="000C1A75">
        <w:t>As such, w</w:t>
      </w:r>
      <w:r w:rsidR="00405175">
        <w:t>ell</w:t>
      </w:r>
      <w:r w:rsidR="00405175">
        <w:noBreakHyphen/>
        <w:t xml:space="preserve">curated comparative information is needed, although, as </w:t>
      </w:r>
      <w:r w:rsidR="0097604D">
        <w:t>discussed below</w:t>
      </w:r>
      <w:r w:rsidR="00405175">
        <w:t xml:space="preserve">, governments need not </w:t>
      </w:r>
      <w:r w:rsidR="0097604D">
        <w:t>always themselves</w:t>
      </w:r>
      <w:r w:rsidR="00405175">
        <w:t xml:space="preserve"> provide </w:t>
      </w:r>
      <w:r w:rsidR="0097604D">
        <w:t>the curation service</w:t>
      </w:r>
      <w:r w:rsidR="00405175">
        <w:t>.</w:t>
      </w:r>
    </w:p>
    <w:p w14:paraId="20CB0E93" w14:textId="19591C8B" w:rsidR="008B398C" w:rsidRDefault="008D1295" w:rsidP="00771DC1">
      <w:pPr>
        <w:pStyle w:val="Heading3"/>
        <w:spacing w:before="320"/>
      </w:pPr>
      <w:r>
        <w:t>Examples of</w:t>
      </w:r>
      <w:r w:rsidR="00375B77">
        <w:t xml:space="preserve"> </w:t>
      </w:r>
      <w:r w:rsidR="00A1001F">
        <w:t xml:space="preserve">existing </w:t>
      </w:r>
      <w:r w:rsidR="00375B77">
        <w:t xml:space="preserve">performance reporting </w:t>
      </w:r>
    </w:p>
    <w:p w14:paraId="59F41815" w14:textId="2B74A0FE" w:rsidR="00375B77" w:rsidRPr="009739E1" w:rsidRDefault="00C20DA8" w:rsidP="009739E1">
      <w:pPr>
        <w:pStyle w:val="BodyText"/>
        <w:spacing w:before="200"/>
        <w:rPr>
          <w:spacing w:val="-4"/>
        </w:rPr>
      </w:pPr>
      <w:r w:rsidRPr="009739E1">
        <w:rPr>
          <w:spacing w:val="-4"/>
        </w:rPr>
        <w:t xml:space="preserve">The Productivity Commission undertakes </w:t>
      </w:r>
      <w:r w:rsidR="00830D85" w:rsidRPr="009739E1">
        <w:rPr>
          <w:spacing w:val="-4"/>
        </w:rPr>
        <w:t xml:space="preserve">annual </w:t>
      </w:r>
      <w:r w:rsidR="00B511FA" w:rsidRPr="009739E1">
        <w:rPr>
          <w:spacing w:val="-4"/>
        </w:rPr>
        <w:t xml:space="preserve">comparative </w:t>
      </w:r>
      <w:r w:rsidRPr="009739E1">
        <w:rPr>
          <w:spacing w:val="-4"/>
        </w:rPr>
        <w:t xml:space="preserve">performance </w:t>
      </w:r>
      <w:r w:rsidR="00375B77" w:rsidRPr="009739E1">
        <w:rPr>
          <w:spacing w:val="-4"/>
        </w:rPr>
        <w:t xml:space="preserve">reporting </w:t>
      </w:r>
      <w:r w:rsidRPr="009739E1">
        <w:rPr>
          <w:spacing w:val="-4"/>
        </w:rPr>
        <w:t xml:space="preserve">of many </w:t>
      </w:r>
      <w:r w:rsidR="002A1287" w:rsidRPr="009739E1">
        <w:rPr>
          <w:spacing w:val="-4"/>
        </w:rPr>
        <w:t>government services</w:t>
      </w:r>
      <w:r w:rsidR="00375B77" w:rsidRPr="009739E1">
        <w:rPr>
          <w:spacing w:val="-4"/>
        </w:rPr>
        <w:t xml:space="preserve"> — on behalf of the Steering Committee for the Review of Government Service Provision (SCRGSP) — through the Report on Government Services (ROGS). These reports include performance indicators </w:t>
      </w:r>
      <w:r w:rsidR="002A1287" w:rsidRPr="009739E1">
        <w:rPr>
          <w:spacing w:val="-4"/>
        </w:rPr>
        <w:t xml:space="preserve">for </w:t>
      </w:r>
      <w:r w:rsidR="00375B77" w:rsidRPr="009739E1">
        <w:rPr>
          <w:spacing w:val="-4"/>
        </w:rPr>
        <w:t xml:space="preserve">services funded by the Commonwealth, States and Territories (such as emergency management, health, justice, community services, education and housing and homelessness) and measure their equity, effectiveness and efficiency across different states and territories </w:t>
      </w:r>
      <w:r w:rsidR="00B511FA" w:rsidRPr="009739E1">
        <w:rPr>
          <w:spacing w:val="-4"/>
          <w:szCs w:val="24"/>
        </w:rPr>
        <w:t>(SCRGSP 2017)</w:t>
      </w:r>
      <w:r w:rsidR="00302CC9" w:rsidRPr="009739E1">
        <w:rPr>
          <w:spacing w:val="-4"/>
        </w:rPr>
        <w:t>.</w:t>
      </w:r>
    </w:p>
    <w:p w14:paraId="6A535609" w14:textId="7B2ED44A" w:rsidR="00375B77" w:rsidRPr="009739E1" w:rsidRDefault="00375B77" w:rsidP="009739E1">
      <w:pPr>
        <w:pStyle w:val="BodyText"/>
        <w:spacing w:before="200"/>
        <w:rPr>
          <w:spacing w:val="-4"/>
        </w:rPr>
      </w:pPr>
      <w:r w:rsidRPr="009739E1">
        <w:rPr>
          <w:spacing w:val="-4"/>
        </w:rPr>
        <w:t xml:space="preserve">Commonwealth, State and Territory governments have </w:t>
      </w:r>
      <w:r w:rsidR="008D1295" w:rsidRPr="009739E1">
        <w:rPr>
          <w:spacing w:val="-4"/>
        </w:rPr>
        <w:t xml:space="preserve">also </w:t>
      </w:r>
      <w:r w:rsidRPr="009739E1">
        <w:rPr>
          <w:spacing w:val="-4"/>
        </w:rPr>
        <w:t>progressed a range of different platforms for reporting and comparing the performance of different government</w:t>
      </w:r>
      <w:r w:rsidR="00B277C0" w:rsidRPr="009739E1">
        <w:rPr>
          <w:spacing w:val="-4"/>
        </w:rPr>
        <w:noBreakHyphen/>
      </w:r>
      <w:r w:rsidRPr="009739E1">
        <w:rPr>
          <w:spacing w:val="-4"/>
        </w:rPr>
        <w:t>funded service providers</w:t>
      </w:r>
      <w:r w:rsidR="002A553D" w:rsidRPr="009739E1">
        <w:rPr>
          <w:spacing w:val="-4"/>
        </w:rPr>
        <w:t xml:space="preserve"> (</w:t>
      </w:r>
      <w:r w:rsidR="00B511FA" w:rsidRPr="009739E1">
        <w:rPr>
          <w:spacing w:val="-4"/>
        </w:rPr>
        <w:t>b</w:t>
      </w:r>
      <w:r w:rsidR="008D1295" w:rsidRPr="009739E1">
        <w:rPr>
          <w:spacing w:val="-4"/>
        </w:rPr>
        <w:t>ox</w:t>
      </w:r>
      <w:r w:rsidR="00B277C0" w:rsidRPr="009739E1">
        <w:rPr>
          <w:spacing w:val="-4"/>
        </w:rPr>
        <w:t> </w:t>
      </w:r>
      <w:r w:rsidR="00F62D1C" w:rsidRPr="009739E1">
        <w:rPr>
          <w:spacing w:val="-4"/>
        </w:rPr>
        <w:t>2</w:t>
      </w:r>
      <w:r w:rsidR="002A553D" w:rsidRPr="009739E1">
        <w:rPr>
          <w:spacing w:val="-4"/>
        </w:rPr>
        <w:t>)</w:t>
      </w:r>
      <w:r w:rsidR="008D1295" w:rsidRPr="009739E1">
        <w:rPr>
          <w:spacing w:val="-4"/>
        </w:rPr>
        <w:t>.</w:t>
      </w:r>
    </w:p>
    <w:p w14:paraId="3153A7FF" w14:textId="77777777" w:rsidR="001D1833" w:rsidRDefault="001D1833" w:rsidP="009739E1">
      <w:pPr>
        <w:pStyle w:val="BoxSpaceAbove"/>
        <w:spacing w:before="24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1D1833" w14:paraId="22BAFA66" w14:textId="77777777" w:rsidTr="00DE10E9">
        <w:tc>
          <w:tcPr>
            <w:tcW w:w="5000" w:type="pct"/>
            <w:tcBorders>
              <w:top w:val="single" w:sz="6" w:space="0" w:color="78A22F"/>
              <w:left w:val="nil"/>
              <w:bottom w:val="nil"/>
              <w:right w:val="nil"/>
            </w:tcBorders>
            <w:shd w:val="clear" w:color="auto" w:fill="F2F2F2"/>
          </w:tcPr>
          <w:p w14:paraId="71609EDA" w14:textId="6DFB71C9" w:rsidR="001D1833" w:rsidRDefault="001D1833" w:rsidP="004C6BAF">
            <w:pPr>
              <w:pStyle w:val="BoxTitle"/>
            </w:pPr>
            <w:r>
              <w:rPr>
                <w:b w:val="0"/>
              </w:rPr>
              <w:t xml:space="preserve">Box </w:t>
            </w:r>
            <w:r w:rsidR="005A28E9">
              <w:rPr>
                <w:b w:val="0"/>
                <w:noProof/>
              </w:rPr>
              <w:t>2</w:t>
            </w:r>
            <w:r>
              <w:tab/>
              <w:t>Existing performance reporting platforms</w:t>
            </w:r>
          </w:p>
        </w:tc>
      </w:tr>
      <w:tr w:rsidR="001D1833" w14:paraId="71368786" w14:textId="77777777" w:rsidTr="00DE10E9">
        <w:trPr>
          <w:trHeight w:val="4303"/>
        </w:trPr>
        <w:tc>
          <w:tcPr>
            <w:tcW w:w="5000" w:type="pct"/>
            <w:tcBorders>
              <w:top w:val="nil"/>
              <w:left w:val="nil"/>
              <w:bottom w:val="nil"/>
              <w:right w:val="nil"/>
            </w:tcBorders>
            <w:shd w:val="clear" w:color="auto" w:fill="F2F2F2"/>
          </w:tcPr>
          <w:p w14:paraId="6088EA24" w14:textId="4D668B3E" w:rsidR="001D1833" w:rsidRPr="008D1295" w:rsidRDefault="001D1833" w:rsidP="009739E1">
            <w:pPr>
              <w:pStyle w:val="Box"/>
              <w:numPr>
                <w:ilvl w:val="0"/>
                <w:numId w:val="3"/>
              </w:numPr>
              <w:spacing w:before="100"/>
            </w:pPr>
            <w:r w:rsidRPr="008D1295">
              <w:rPr>
                <w:b/>
                <w:i/>
              </w:rPr>
              <w:t>My Hospitals</w:t>
            </w:r>
            <w:r w:rsidRPr="008D1295">
              <w:t xml:space="preserve"> — The </w:t>
            </w:r>
            <w:r w:rsidRPr="008D1295">
              <w:rPr>
                <w:i/>
              </w:rPr>
              <w:t>My Hospitals</w:t>
            </w:r>
            <w:r w:rsidRPr="008D1295">
              <w:t xml:space="preserve"> website, currently managed by the Australian Institute of Health and Welfare (AIHW), was established in 2010 to ensure easy access to nationally consistent and comparable performance information for individual public and private hospitals. Examples of the types of performance indicators that are currently published for hospitals on the </w:t>
            </w:r>
            <w:r w:rsidRPr="008D1295">
              <w:rPr>
                <w:i/>
              </w:rPr>
              <w:t>My Hospitals</w:t>
            </w:r>
            <w:r w:rsidRPr="008D1295">
              <w:t xml:space="preserve"> website include emergency department waiting times, the number of admissions by type, surgery length of stay and waiting time by different surgery types, the number of </w:t>
            </w:r>
            <w:r>
              <w:t>healthcare</w:t>
            </w:r>
            <w:r>
              <w:noBreakHyphen/>
            </w:r>
            <w:r w:rsidRPr="008D1295">
              <w:t xml:space="preserve">associated </w:t>
            </w:r>
            <w:r w:rsidRPr="008D1295">
              <w:rPr>
                <w:i/>
              </w:rPr>
              <w:t>Staphylococcus aureus</w:t>
            </w:r>
            <w:r w:rsidRPr="008D1295">
              <w:t xml:space="preserve"> infections, and expenditure per National Weighted Activity Unit (a common unit of hospital activity that accounts for differences in the complexity of conditions or procedures) (AIHW 2016c).</w:t>
            </w:r>
          </w:p>
          <w:p w14:paraId="4B905904" w14:textId="77777777" w:rsidR="001D1833" w:rsidRDefault="001D1833" w:rsidP="009739E1">
            <w:pPr>
              <w:pStyle w:val="Box"/>
              <w:numPr>
                <w:ilvl w:val="0"/>
                <w:numId w:val="3"/>
              </w:numPr>
              <w:spacing w:before="100"/>
            </w:pPr>
            <w:r w:rsidRPr="008D1295">
              <w:rPr>
                <w:b/>
                <w:i/>
              </w:rPr>
              <w:t>My School</w:t>
            </w:r>
            <w:r w:rsidRPr="008D1295">
              <w:t xml:space="preserve"> — Launched in January 2010, the </w:t>
            </w:r>
            <w:r w:rsidRPr="008D1295">
              <w:rPr>
                <w:i/>
              </w:rPr>
              <w:t>My School</w:t>
            </w:r>
            <w:r w:rsidRPr="008D1295">
              <w:t xml:space="preserve"> website contains performance data an</w:t>
            </w:r>
            <w:r>
              <w:t xml:space="preserve">d other information on </w:t>
            </w:r>
            <w:r w:rsidR="006F3254">
              <w:t>approximately</w:t>
            </w:r>
            <w:r>
              <w:t xml:space="preserve"> 9</w:t>
            </w:r>
            <w:r w:rsidRPr="008D1295">
              <w:t xml:space="preserve">500 </w:t>
            </w:r>
            <w:r>
              <w:t>public and private</w:t>
            </w:r>
            <w:r w:rsidRPr="008D1295">
              <w:t xml:space="preserve"> schools and is managed by the Australian Curriculum Assessment and Reporting Authority (ACARA). School</w:t>
            </w:r>
            <w:r>
              <w:noBreakHyphen/>
            </w:r>
            <w:r w:rsidRPr="008D1295">
              <w:t>level information available on the site includes the type of school, student and staff numbers, student attendance rates, results from national literacy and numeracy tests, student demographic profiles, and school</w:t>
            </w:r>
            <w:r w:rsidRPr="008D1295">
              <w:noBreakHyphen/>
              <w:t>level financial information (ACARA 2016; DET 2016a).</w:t>
            </w:r>
          </w:p>
          <w:p w14:paraId="7CAE48CD" w14:textId="77777777" w:rsidR="008052C4" w:rsidRPr="008D1295" w:rsidRDefault="008052C4" w:rsidP="008052C4">
            <w:pPr>
              <w:pStyle w:val="Box"/>
              <w:numPr>
                <w:ilvl w:val="0"/>
                <w:numId w:val="3"/>
              </w:numPr>
            </w:pPr>
            <w:r w:rsidRPr="008D1295">
              <w:rPr>
                <w:b/>
                <w:i/>
              </w:rPr>
              <w:t>Quality Indicators for Learning and Teaching (QILT)</w:t>
            </w:r>
            <w:r w:rsidRPr="008D1295">
              <w:t xml:space="preserve"> — The QILT website, maintained by the Social Research Centre and funded by the Commonwealth Government, provides prospective tertiary education students with information about Australian higher education institutions through the use of survey data from recent students and graduates. This includes surveys on student experiences (engagement, support, teaching quality, skills development), graduate employment (employment rates and median salaries) and graduate satisfaction, with surveys of employer satisfaction currently being trialled </w:t>
            </w:r>
            <w:r w:rsidRPr="005A6E8A">
              <w:rPr>
                <w:rFonts w:cs="Arial"/>
                <w:szCs w:val="24"/>
              </w:rPr>
              <w:t>(DET 2015; SRC 2016)</w:t>
            </w:r>
            <w:r w:rsidRPr="008D1295">
              <w:t>.</w:t>
            </w:r>
          </w:p>
          <w:p w14:paraId="452BE77E" w14:textId="77777777" w:rsidR="008052C4" w:rsidRPr="008D1295" w:rsidRDefault="008052C4" w:rsidP="008052C4">
            <w:pPr>
              <w:pStyle w:val="Box"/>
              <w:numPr>
                <w:ilvl w:val="0"/>
                <w:numId w:val="3"/>
              </w:numPr>
            </w:pPr>
            <w:r w:rsidRPr="008D1295">
              <w:rPr>
                <w:b/>
                <w:i/>
              </w:rPr>
              <w:t>My Healthy Communities</w:t>
            </w:r>
            <w:r w:rsidRPr="008D1295">
              <w:t xml:space="preserve"> — </w:t>
            </w:r>
            <w:r>
              <w:t>Launched i</w:t>
            </w:r>
            <w:r w:rsidRPr="008D1295">
              <w:t xml:space="preserve">n 2013 </w:t>
            </w:r>
            <w:r>
              <w:t>and m</w:t>
            </w:r>
            <w:r w:rsidRPr="008D1295">
              <w:t>anaged by the AIHW</w:t>
            </w:r>
            <w:r>
              <w:t>,</w:t>
            </w:r>
            <w:r w:rsidRPr="008D1295">
              <w:t xml:space="preserve"> the </w:t>
            </w:r>
            <w:r w:rsidRPr="008D1295">
              <w:rPr>
                <w:i/>
              </w:rPr>
              <w:t>My Healthy Communities</w:t>
            </w:r>
            <w:r w:rsidRPr="008D1295">
              <w:t xml:space="preserve"> website compares a variety of health indicators between geographic areas around the country. Depending on </w:t>
            </w:r>
            <w:r>
              <w:t>the</w:t>
            </w:r>
            <w:r w:rsidRPr="008D1295">
              <w:t xml:space="preserve"> level of geographical detail chosen (from Primary Health Networks, to Medicare Local areas, Level 3 Statistical Areas (SA3) or individual postcodes), local data </w:t>
            </w:r>
            <w:r>
              <w:t xml:space="preserve">are available </w:t>
            </w:r>
            <w:r w:rsidRPr="008D1295">
              <w:t xml:space="preserve">on life expectancy at birth, immunisation rates, GP attendance rates, </w:t>
            </w:r>
            <w:r>
              <w:t xml:space="preserve">the </w:t>
            </w:r>
            <w:r w:rsidRPr="008D1295">
              <w:t>proportion of bulk</w:t>
            </w:r>
            <w:r>
              <w:noBreakHyphen/>
            </w:r>
            <w:r w:rsidRPr="008D1295">
              <w:t>billed GP attendances, primary health expenditure per person and survey results of GP treatment quality (AIHW 2016b).</w:t>
            </w:r>
          </w:p>
          <w:p w14:paraId="405CB2E7" w14:textId="77777777" w:rsidR="008052C4" w:rsidRPr="008D1295" w:rsidRDefault="008052C4" w:rsidP="008052C4">
            <w:pPr>
              <w:pStyle w:val="Box"/>
              <w:numPr>
                <w:ilvl w:val="0"/>
                <w:numId w:val="3"/>
              </w:numPr>
            </w:pPr>
            <w:r w:rsidRPr="008D1295">
              <w:rPr>
                <w:b/>
                <w:i/>
              </w:rPr>
              <w:t>My Child</w:t>
            </w:r>
            <w:r w:rsidRPr="008D1295">
              <w:t xml:space="preserve"> — The </w:t>
            </w:r>
            <w:r w:rsidRPr="008D1295">
              <w:rPr>
                <w:i/>
              </w:rPr>
              <w:t>My Child</w:t>
            </w:r>
            <w:r w:rsidRPr="008D1295">
              <w:t xml:space="preserve"> website, run by the Commonwealth Government, can be used to find local child care service providers and shows information on their fees, available services, vacancies and quality — including educational practices, children’s health and safety, the physical environment, staffing arrangements and more, as determined by the Australian Children’s Education and Care Quality Authority and the National Quality Standard (Australian Government 2015; DET 2016b). </w:t>
            </w:r>
          </w:p>
          <w:p w14:paraId="7A24CF6D" w14:textId="3F48117F" w:rsidR="008052C4" w:rsidRDefault="008052C4" w:rsidP="008052C4">
            <w:pPr>
              <w:pStyle w:val="Box"/>
              <w:numPr>
                <w:ilvl w:val="0"/>
                <w:numId w:val="3"/>
              </w:numPr>
              <w:spacing w:before="100"/>
            </w:pPr>
            <w:r w:rsidRPr="008D1295">
              <w:rPr>
                <w:b/>
                <w:i/>
              </w:rPr>
              <w:t xml:space="preserve">Know Your Council </w:t>
            </w:r>
            <w:r w:rsidRPr="008D1295">
              <w:t xml:space="preserve">— The Victorian Government established the </w:t>
            </w:r>
            <w:r w:rsidRPr="008D1295">
              <w:rPr>
                <w:i/>
              </w:rPr>
              <w:t>Know Your Council</w:t>
            </w:r>
            <w:r w:rsidRPr="008D1295">
              <w:t xml:space="preserve"> website to improve the transparency and accountability of council performance to ratepayers through the regular reporting of 66 measures of service performance, including on animal management, waste collection, financial performance, library services and many others. Users can benchmark and compare each of Victoria’s 79 local councils to councils that are similar in size and scope (Local Government Victoria 2015).</w:t>
            </w:r>
          </w:p>
        </w:tc>
      </w:tr>
      <w:tr w:rsidR="001D1833" w14:paraId="3B353616" w14:textId="77777777" w:rsidTr="00DE10E9">
        <w:tc>
          <w:tcPr>
            <w:tcW w:w="5000" w:type="pct"/>
            <w:tcBorders>
              <w:top w:val="nil"/>
              <w:left w:val="nil"/>
              <w:bottom w:val="single" w:sz="6" w:space="0" w:color="78A22F"/>
              <w:right w:val="nil"/>
            </w:tcBorders>
            <w:shd w:val="clear" w:color="auto" w:fill="F2F2F2"/>
          </w:tcPr>
          <w:p w14:paraId="28936FD0" w14:textId="77777777" w:rsidR="001D1833" w:rsidRDefault="001D1833" w:rsidP="00432B95">
            <w:pPr>
              <w:pStyle w:val="Box"/>
              <w:spacing w:before="0" w:line="120" w:lineRule="exact"/>
            </w:pPr>
          </w:p>
        </w:tc>
      </w:tr>
      <w:tr w:rsidR="001D1833" w:rsidRPr="000863A5" w14:paraId="62DA8ED2" w14:textId="77777777" w:rsidTr="00DE10E9">
        <w:tc>
          <w:tcPr>
            <w:tcW w:w="5000" w:type="pct"/>
            <w:tcBorders>
              <w:top w:val="single" w:sz="6" w:space="0" w:color="78A22F"/>
              <w:left w:val="nil"/>
              <w:bottom w:val="nil"/>
              <w:right w:val="nil"/>
            </w:tcBorders>
          </w:tcPr>
          <w:p w14:paraId="0368B453" w14:textId="77777777" w:rsidR="001D1833" w:rsidRPr="00626D32" w:rsidRDefault="001D1833" w:rsidP="00432B95">
            <w:pPr>
              <w:pStyle w:val="BoxSpaceBelow"/>
            </w:pPr>
          </w:p>
        </w:tc>
      </w:tr>
    </w:tbl>
    <w:p w14:paraId="62F56703" w14:textId="61FFA7B9" w:rsidR="00DE10E9" w:rsidRDefault="00DE10E9" w:rsidP="008D6D3E">
      <w:pPr>
        <w:pStyle w:val="BoxSpaceAbove"/>
      </w:pPr>
    </w:p>
    <w:p w14:paraId="27D25952" w14:textId="77777777" w:rsidR="00DE10E9" w:rsidRDefault="00DE10E9">
      <w:pPr>
        <w:rPr>
          <w:szCs w:val="20"/>
        </w:rPr>
      </w:pPr>
      <w:r>
        <w:br w:type="page"/>
      </w:r>
    </w:p>
    <w:p w14:paraId="6DE76AF8" w14:textId="77777777" w:rsidR="008D1295" w:rsidRDefault="008D1295" w:rsidP="008D6D3E">
      <w:pPr>
        <w:pStyle w:val="BoxSpaceAbove"/>
      </w:pPr>
    </w:p>
    <w:p w14:paraId="2A61F088" w14:textId="77777777" w:rsidR="008052C4" w:rsidRPr="009739E1" w:rsidRDefault="008052C4" w:rsidP="008052C4">
      <w:pPr>
        <w:pStyle w:val="BodyText"/>
        <w:spacing w:before="200"/>
        <w:rPr>
          <w:spacing w:val="-4"/>
        </w:rPr>
      </w:pPr>
      <w:bookmarkStart w:id="8" w:name="_Toc488926845"/>
      <w:bookmarkStart w:id="9" w:name="_Toc489014194"/>
      <w:r w:rsidRPr="009739E1">
        <w:rPr>
          <w:spacing w:val="-4"/>
        </w:rPr>
        <w:t xml:space="preserve">Although the considerable progress that has been made on many of these ‘My Service’ type sites is promising, most of them remain incomplete, with new data sources, performance indicators and providers still planned to be added by their managing organisations, as well as ongoing enhancements to the user interface. </w:t>
      </w:r>
    </w:p>
    <w:p w14:paraId="0A555F09" w14:textId="77777777" w:rsidR="008052C4" w:rsidRPr="009739E1" w:rsidRDefault="008052C4" w:rsidP="008052C4">
      <w:pPr>
        <w:pStyle w:val="BodyText"/>
        <w:spacing w:before="200"/>
      </w:pPr>
      <w:r w:rsidRPr="009739E1">
        <w:t>The existing comparator sites are also not comprehensive in their reach across government</w:t>
      </w:r>
      <w:r w:rsidRPr="009739E1">
        <w:noBreakHyphen/>
        <w:t>funded services, with significant gaps in public administration (particularly in the justice and emergency services sectors), primary health care and local government (outside Victoria).</w:t>
      </w:r>
      <w:r w:rsidRPr="009739E1">
        <w:rPr>
          <w:rStyle w:val="FootnoteReference"/>
        </w:rPr>
        <w:footnoteReference w:id="6"/>
      </w:r>
    </w:p>
    <w:p w14:paraId="4968D6DE" w14:textId="42EE47ED" w:rsidR="00647898" w:rsidRPr="00F27410" w:rsidRDefault="005A28E9" w:rsidP="0081799C">
      <w:pPr>
        <w:pStyle w:val="Heading2"/>
      </w:pPr>
      <w:r>
        <w:rPr>
          <w:noProof/>
        </w:rPr>
        <w:t>2</w:t>
      </w:r>
      <w:r w:rsidR="000C73D1">
        <w:tab/>
      </w:r>
      <w:r w:rsidR="00647898" w:rsidRPr="00F27410">
        <w:t xml:space="preserve">A </w:t>
      </w:r>
      <w:r w:rsidR="0050694A" w:rsidRPr="00F27410">
        <w:t>basis</w:t>
      </w:r>
      <w:r w:rsidR="00647898" w:rsidRPr="00F27410">
        <w:t xml:space="preserve"> for developing </w:t>
      </w:r>
      <w:r w:rsidR="0050694A">
        <w:t xml:space="preserve">comparative </w:t>
      </w:r>
      <w:r w:rsidR="00647898" w:rsidRPr="00F27410">
        <w:t>performance indicators</w:t>
      </w:r>
      <w:bookmarkEnd w:id="8"/>
      <w:bookmarkEnd w:id="9"/>
    </w:p>
    <w:p w14:paraId="7EC315F8" w14:textId="6C6EA38A" w:rsidR="002A1287" w:rsidRDefault="004B3646" w:rsidP="00360EF2">
      <w:pPr>
        <w:pStyle w:val="BodyText"/>
      </w:pPr>
      <w:r>
        <w:t>The old computer adage ‘garbage in, g</w:t>
      </w:r>
      <w:r w:rsidR="002A1287">
        <w:t xml:space="preserve">arbage out’ equally applies to comparative performance data. </w:t>
      </w:r>
      <w:r w:rsidR="002A553D">
        <w:t>Useful p</w:t>
      </w:r>
      <w:r w:rsidR="00E162C8">
        <w:t>erformance</w:t>
      </w:r>
      <w:r w:rsidR="002A1287">
        <w:t xml:space="preserve"> measures have </w:t>
      </w:r>
      <w:r w:rsidR="00F62D1C">
        <w:t>seven</w:t>
      </w:r>
      <w:r w:rsidR="002A1287">
        <w:t xml:space="preserve"> </w:t>
      </w:r>
      <w:r w:rsidR="00E162C8">
        <w:t>characteristics</w:t>
      </w:r>
      <w:r w:rsidR="002A553D">
        <w:t>: t</w:t>
      </w:r>
      <w:r w:rsidR="00E162C8">
        <w:t>hey should be</w:t>
      </w:r>
      <w:r w:rsidR="002A1287">
        <w:t xml:space="preserve"> </w:t>
      </w:r>
      <w:r w:rsidR="00341BA4">
        <w:t xml:space="preserve">relevant, </w:t>
      </w:r>
      <w:r w:rsidR="002A1287">
        <w:t>valid, reliable, accu</w:t>
      </w:r>
      <w:r w:rsidR="00F62D1C">
        <w:t>rate, interpretable, accessible and cost</w:t>
      </w:r>
      <w:r w:rsidR="00F62D1C">
        <w:noBreakHyphen/>
      </w:r>
      <w:r w:rsidR="002A1287">
        <w:t xml:space="preserve">effectively collectable and storable. </w:t>
      </w:r>
      <w:r w:rsidR="00E162C8">
        <w:t>A</w:t>
      </w:r>
      <w:r w:rsidR="002A1287">
        <w:t xml:space="preserve">n exhaustive </w:t>
      </w:r>
      <w:r w:rsidR="00E162C8">
        <w:t>treatment</w:t>
      </w:r>
      <w:r w:rsidR="002A1287">
        <w:t xml:space="preserve"> of all of these aspects</w:t>
      </w:r>
      <w:r w:rsidR="00E162C8">
        <w:t xml:space="preserve"> is beyond the scope of this paper, but there are several important ge</w:t>
      </w:r>
      <w:r>
        <w:t>neral observations worth making, particularly in light of the ongoing development of comparative indicators in Australia.</w:t>
      </w:r>
    </w:p>
    <w:p w14:paraId="4E27797B" w14:textId="0FAE748A" w:rsidR="00D6128B" w:rsidRPr="00F27410" w:rsidRDefault="008E5BE8" w:rsidP="00D6128B">
      <w:pPr>
        <w:pStyle w:val="Heading3"/>
      </w:pPr>
      <w:r>
        <w:t>Comparison</w:t>
      </w:r>
      <w:r w:rsidR="007557E8">
        <w:t>s</w:t>
      </w:r>
      <w:r>
        <w:t xml:space="preserve"> </w:t>
      </w:r>
      <w:r w:rsidR="007557E8">
        <w:t>work</w:t>
      </w:r>
      <w:r>
        <w:t xml:space="preserve"> best across the widest possible sample</w:t>
      </w:r>
    </w:p>
    <w:p w14:paraId="26B6330D" w14:textId="7DD7C048" w:rsidR="00D57B50" w:rsidRDefault="00D6128B" w:rsidP="00D57B50">
      <w:pPr>
        <w:pStyle w:val="BodyText"/>
      </w:pPr>
      <w:r w:rsidRPr="00F27410">
        <w:t xml:space="preserve">Since a provider’s performance is relative, </w:t>
      </w:r>
      <w:r>
        <w:t xml:space="preserve">the most valuable performance </w:t>
      </w:r>
      <w:r w:rsidRPr="00F27410">
        <w:t xml:space="preserve">indicators </w:t>
      </w:r>
      <w:r>
        <w:t xml:space="preserve">would </w:t>
      </w:r>
      <w:r w:rsidRPr="00F27410">
        <w:t xml:space="preserve">cover the widest possible sample of comparable providers. </w:t>
      </w:r>
      <w:r>
        <w:t xml:space="preserve">This means comparative performance indicators </w:t>
      </w:r>
      <w:r w:rsidR="00C73ADE">
        <w:t xml:space="preserve">should </w:t>
      </w:r>
      <w:r w:rsidR="0097604D">
        <w:t xml:space="preserve">ideally </w:t>
      </w:r>
      <w:r w:rsidR="00C73ADE">
        <w:t>seek to cover</w:t>
      </w:r>
      <w:r>
        <w:t xml:space="preserve"> </w:t>
      </w:r>
      <w:r w:rsidR="00C73ADE">
        <w:t>all comparable</w:t>
      </w:r>
      <w:r w:rsidRPr="00F27410">
        <w:t xml:space="preserve"> service providers </w:t>
      </w:r>
      <w:r w:rsidR="00C73ADE">
        <w:t>across the widest catchment practicable</w:t>
      </w:r>
      <w:r>
        <w:t xml:space="preserve"> (</w:t>
      </w:r>
      <w:r w:rsidRPr="00F27410">
        <w:t xml:space="preserve">such as all </w:t>
      </w:r>
      <w:r w:rsidR="00C73ADE">
        <w:t xml:space="preserve">public and private </w:t>
      </w:r>
      <w:r w:rsidRPr="00F27410">
        <w:t>hospitals</w:t>
      </w:r>
      <w:r w:rsidR="00C73ADE">
        <w:t xml:space="preserve"> in Australia</w:t>
      </w:r>
      <w:r w:rsidRPr="00F27410">
        <w:t xml:space="preserve">, as in the case of </w:t>
      </w:r>
      <w:r>
        <w:t xml:space="preserve">the </w:t>
      </w:r>
      <w:r w:rsidRPr="00F27410">
        <w:rPr>
          <w:i/>
        </w:rPr>
        <w:t>My</w:t>
      </w:r>
      <w:r>
        <w:rPr>
          <w:i/>
        </w:rPr>
        <w:t xml:space="preserve"> </w:t>
      </w:r>
      <w:r w:rsidRPr="00F27410">
        <w:rPr>
          <w:i/>
        </w:rPr>
        <w:t>Hospitals</w:t>
      </w:r>
      <w:r>
        <w:t xml:space="preserve"> website)</w:t>
      </w:r>
      <w:r w:rsidR="002A553D">
        <w:t xml:space="preserve">. This facilitates benchmarking and ensures that all consumers will have access to data that </w:t>
      </w:r>
      <w:r w:rsidR="000558C4">
        <w:t>are</w:t>
      </w:r>
      <w:r w:rsidR="002A553D">
        <w:t xml:space="preserve"> relevant to their choice set</w:t>
      </w:r>
      <w:r w:rsidR="00B277C0">
        <w:t>.</w:t>
      </w:r>
      <w:r w:rsidRPr="00F27410">
        <w:t xml:space="preserve"> </w:t>
      </w:r>
    </w:p>
    <w:p w14:paraId="4BCA2EAD" w14:textId="36D145B3" w:rsidR="006F0943" w:rsidRDefault="006F0943" w:rsidP="00D6128B">
      <w:pPr>
        <w:pStyle w:val="BodyText"/>
      </w:pPr>
      <w:r>
        <w:t xml:space="preserve">There are </w:t>
      </w:r>
      <w:r w:rsidR="00AE7E1C">
        <w:t xml:space="preserve">several </w:t>
      </w:r>
      <w:r>
        <w:t>models that can support a national evidence base for government services</w:t>
      </w:r>
      <w:r w:rsidR="00296CF9">
        <w:t>, which will vary according to the context</w:t>
      </w:r>
      <w:r>
        <w:t>:</w:t>
      </w:r>
    </w:p>
    <w:p w14:paraId="0CAAD375" w14:textId="19FD8919" w:rsidR="00AE7E1C" w:rsidRDefault="006F0943" w:rsidP="00346AE5">
      <w:pPr>
        <w:pStyle w:val="ListBullet"/>
      </w:pPr>
      <w:r>
        <w:t>collaborative models between jurisdictions or entities that use common definitions</w:t>
      </w:r>
      <w:r w:rsidR="00AE7E1C">
        <w:t xml:space="preserve">, </w:t>
      </w:r>
      <w:r w:rsidR="00C7453F">
        <w:t xml:space="preserve">consent provisions, </w:t>
      </w:r>
      <w:r w:rsidR="00AE7E1C">
        <w:t>methodologies</w:t>
      </w:r>
      <w:r>
        <w:t xml:space="preserve"> and collection methods </w:t>
      </w:r>
      <w:r w:rsidR="00B52A03">
        <w:t>to assemble a national</w:t>
      </w:r>
      <w:r>
        <w:t xml:space="preserve"> </w:t>
      </w:r>
      <w:r w:rsidR="00AE7E1C">
        <w:t>data</w:t>
      </w:r>
      <w:r>
        <w:t>base</w:t>
      </w:r>
      <w:r w:rsidR="00AE7E1C">
        <w:t xml:space="preserve"> </w:t>
      </w:r>
    </w:p>
    <w:p w14:paraId="6F52234B" w14:textId="34F13A99" w:rsidR="00AE7E1C" w:rsidRDefault="00AE7E1C" w:rsidP="00346AE5">
      <w:pPr>
        <w:pStyle w:val="ListBullet"/>
      </w:pPr>
      <w:r>
        <w:t>a single body — most likely a Commonwealth agency — that collects the data</w:t>
      </w:r>
      <w:r w:rsidR="002A553D">
        <w:t xml:space="preserve"> </w:t>
      </w:r>
      <w:r w:rsidR="00041A5B">
        <w:t>(</w:t>
      </w:r>
      <w:r w:rsidR="002A553D">
        <w:t>from the jurisdictions or directly</w:t>
      </w:r>
      <w:r w:rsidR="00041A5B">
        <w:t>)</w:t>
      </w:r>
      <w:r>
        <w:t xml:space="preserve"> and builds it into an accessible database.</w:t>
      </w:r>
    </w:p>
    <w:p w14:paraId="6366D563" w14:textId="1078E912" w:rsidR="00296CF9" w:rsidRDefault="00C7453F" w:rsidP="00D6128B">
      <w:pPr>
        <w:pStyle w:val="BodyText"/>
      </w:pPr>
      <w:r>
        <w:t xml:space="preserve">The desirable holder and disseminator of the data will also vary, depending on the form and nature of the use of the data. In many instances, comparative performance information is built up from micro information that should not be publicly available in an identified form. For example, data on </w:t>
      </w:r>
      <w:r w:rsidR="00F21691">
        <w:t xml:space="preserve">comparative </w:t>
      </w:r>
      <w:r>
        <w:t xml:space="preserve">school performance </w:t>
      </w:r>
      <w:r w:rsidR="00F21691">
        <w:t xml:space="preserve">needs to take account of the </w:t>
      </w:r>
      <w:r w:rsidR="00296CF9">
        <w:t>characteristics</w:t>
      </w:r>
      <w:r w:rsidR="00F21691">
        <w:t xml:space="preserve"> of students, since much of the variation in </w:t>
      </w:r>
      <w:r w:rsidR="00296CF9">
        <w:t>performance</w:t>
      </w:r>
      <w:r w:rsidR="00F21691">
        <w:t xml:space="preserve"> across schools reflects factors outside the school’s control </w:t>
      </w:r>
      <w:r w:rsidR="004E0274" w:rsidRPr="004E0274">
        <w:rPr>
          <w:szCs w:val="24"/>
        </w:rPr>
        <w:t>(PC 2016b)</w:t>
      </w:r>
      <w:r w:rsidR="00296CF9">
        <w:t>.</w:t>
      </w:r>
      <w:r>
        <w:t xml:space="preserve"> </w:t>
      </w:r>
      <w:r w:rsidR="00296CF9">
        <w:t xml:space="preserve">Such information — combined with other information about schools (their </w:t>
      </w:r>
      <w:r w:rsidR="0070384E">
        <w:t>teaching methods</w:t>
      </w:r>
      <w:r w:rsidR="00296CF9">
        <w:t>, links to the community, teacher quality, and facilities) — can inform ‘what works’ to improve school performance, which is one of the key goals of gathering comparative information. Such micro data cannot be available publicly because of the need to protect privacy, but should be available to any research institution that has the capabilities to protect the data</w:t>
      </w:r>
      <w:r w:rsidR="007E2019">
        <w:t xml:space="preserve"> (see below)</w:t>
      </w:r>
      <w:r w:rsidR="00296CF9">
        <w:t xml:space="preserve">. </w:t>
      </w:r>
    </w:p>
    <w:p w14:paraId="7C4BA859" w14:textId="575B1721" w:rsidR="00AE7E1C" w:rsidRDefault="00BD722B" w:rsidP="00D6128B">
      <w:pPr>
        <w:pStyle w:val="BodyText"/>
      </w:pPr>
      <w:r>
        <w:t>T</w:t>
      </w:r>
      <w:r w:rsidR="00C7453F">
        <w:t xml:space="preserve">here is a </w:t>
      </w:r>
      <w:r>
        <w:t>distinction</w:t>
      </w:r>
      <w:r w:rsidR="00C7453F">
        <w:t xml:space="preserve"> between </w:t>
      </w:r>
      <w:r w:rsidR="00B52A03">
        <w:t xml:space="preserve">a </w:t>
      </w:r>
      <w:r w:rsidR="00C7453F">
        <w:t>database that contain</w:t>
      </w:r>
      <w:r w:rsidR="00B52A03">
        <w:t>s</w:t>
      </w:r>
      <w:r w:rsidR="00C7453F">
        <w:t xml:space="preserve"> all the comparative information and </w:t>
      </w:r>
      <w:r w:rsidR="00B52A03">
        <w:t>the platform</w:t>
      </w:r>
      <w:r w:rsidR="00C7453F">
        <w:t xml:space="preserve"> that disseminates</w:t>
      </w:r>
      <w:r w:rsidR="00B52A03">
        <w:t xml:space="preserve"> information</w:t>
      </w:r>
      <w:r w:rsidR="00C7453F">
        <w:t xml:space="preserve"> to </w:t>
      </w:r>
      <w:r w:rsidR="00C7453F" w:rsidRPr="00346AE5">
        <w:rPr>
          <w:i/>
        </w:rPr>
        <w:t>consumers</w:t>
      </w:r>
      <w:r w:rsidR="00C7453F">
        <w:t xml:space="preserve">. In the latter case, it would be usually desirable </w:t>
      </w:r>
      <w:r w:rsidR="00B52A03">
        <w:t xml:space="preserve">for Australian governments to agree </w:t>
      </w:r>
      <w:r w:rsidR="00C7453F">
        <w:t xml:space="preserve">to have only one point of access by consumers to comparative data (hence </w:t>
      </w:r>
      <w:r w:rsidR="00C7453F" w:rsidRPr="00346AE5">
        <w:rPr>
          <w:i/>
        </w:rPr>
        <w:t>My Hospitals</w:t>
      </w:r>
      <w:r w:rsidR="00C7453F">
        <w:t>, not eight jurisdictionally</w:t>
      </w:r>
      <w:r w:rsidR="00C7453F">
        <w:noBreakHyphen/>
        <w:t xml:space="preserve">based portals for access </w:t>
      </w:r>
      <w:r w:rsidR="00B52A03">
        <w:t xml:space="preserve">to data </w:t>
      </w:r>
      <w:r w:rsidR="00C7453F">
        <w:t>on hospitals). This reduces confusion between the various portals and eliminate</w:t>
      </w:r>
      <w:r w:rsidR="00296CF9">
        <w:t>s</w:t>
      </w:r>
      <w:r w:rsidR="00C7453F">
        <w:t xml:space="preserve"> the costs of duplication.</w:t>
      </w:r>
    </w:p>
    <w:p w14:paraId="535BB763" w14:textId="6A84689D" w:rsidR="00296CF9" w:rsidRDefault="00296CF9" w:rsidP="00D6128B">
      <w:pPr>
        <w:pStyle w:val="BodyText"/>
      </w:pPr>
      <w:r>
        <w:t xml:space="preserve">The availability of a </w:t>
      </w:r>
      <w:r w:rsidR="00B52A03">
        <w:t xml:space="preserve">single government </w:t>
      </w:r>
      <w:r>
        <w:t xml:space="preserve">platform for informing consumers does not mean that national data should be reported </w:t>
      </w:r>
      <w:r w:rsidR="00041A5B">
        <w:t xml:space="preserve">only </w:t>
      </w:r>
      <w:r>
        <w:t xml:space="preserve">through that vehicle. Indeed, it would be desirable that other parties — for example, </w:t>
      </w:r>
      <w:r w:rsidR="00B52A03">
        <w:t>a consumer advocacy group</w:t>
      </w:r>
      <w:r>
        <w:t xml:space="preserve"> — could add value to the data from such a platform, through analysis, data augmentation, interpretative tools </w:t>
      </w:r>
      <w:r w:rsidR="002A553D">
        <w:t>and more</w:t>
      </w:r>
      <w:r>
        <w:t xml:space="preserve"> accessible interfaces.</w:t>
      </w:r>
    </w:p>
    <w:p w14:paraId="0FE5741C" w14:textId="261F1580" w:rsidR="00D6128B" w:rsidRDefault="00C73ADE" w:rsidP="00D6128B">
      <w:pPr>
        <w:pStyle w:val="BodyText"/>
      </w:pPr>
      <w:r>
        <w:t>N</w:t>
      </w:r>
      <w:r w:rsidR="00D6128B">
        <w:t>ational comparison</w:t>
      </w:r>
      <w:r>
        <w:t>s (for benchmarking purposes) are less likely to be useful</w:t>
      </w:r>
      <w:r w:rsidR="00D6128B">
        <w:t xml:space="preserve"> where there are substantive differences between </w:t>
      </w:r>
      <w:r>
        <w:t>jurisdictions</w:t>
      </w:r>
      <w:r w:rsidR="00D6128B">
        <w:t xml:space="preserve"> that make comparisons difficult — one such example is local council</w:t>
      </w:r>
      <w:r w:rsidR="00D6128B" w:rsidRPr="000D5233">
        <w:t xml:space="preserve"> </w:t>
      </w:r>
      <w:r w:rsidR="00D6128B">
        <w:t>performance reporting</w:t>
      </w:r>
      <w:r w:rsidR="000A74DC">
        <w:t>, as councils perform different tasks in different states</w:t>
      </w:r>
      <w:r w:rsidR="00D6128B">
        <w:t>.</w:t>
      </w:r>
      <w:r w:rsidRPr="00C73ADE">
        <w:t xml:space="preserve"> </w:t>
      </w:r>
      <w:r w:rsidR="000A74DC">
        <w:t xml:space="preserve">In these instances, where differences cannot be overcome, duplicated reporting frameworks between jurisdictions (with individual databases and access portals for each state or territory) are </w:t>
      </w:r>
      <w:r w:rsidR="0014517C">
        <w:t>generally</w:t>
      </w:r>
      <w:r w:rsidR="000A74DC">
        <w:t xml:space="preserve"> justified.</w:t>
      </w:r>
    </w:p>
    <w:p w14:paraId="2ABE0C10" w14:textId="7C77D125" w:rsidR="00A1001F" w:rsidRDefault="0034711E" w:rsidP="00A1001F">
      <w:pPr>
        <w:pStyle w:val="Heading3"/>
      </w:pPr>
      <w:r>
        <w:t>The l</w:t>
      </w:r>
      <w:r w:rsidR="004D4D6D">
        <w:t>evel</w:t>
      </w:r>
      <w:r w:rsidR="00A1001F">
        <w:t xml:space="preserve"> of </w:t>
      </w:r>
      <w:r w:rsidR="004D4D6D">
        <w:t xml:space="preserve">performance </w:t>
      </w:r>
      <w:r>
        <w:t>granularity</w:t>
      </w:r>
    </w:p>
    <w:p w14:paraId="57E17BBB" w14:textId="12D1074F" w:rsidR="00A1001F" w:rsidRDefault="00A845F9" w:rsidP="00A1001F">
      <w:pPr>
        <w:pStyle w:val="BodyText"/>
      </w:pPr>
      <w:r>
        <w:t>T</w:t>
      </w:r>
      <w:r w:rsidR="00A1001F">
        <w:t xml:space="preserve">he </w:t>
      </w:r>
      <w:r>
        <w:t xml:space="preserve">benefits </w:t>
      </w:r>
      <w:r w:rsidR="00A1001F">
        <w:t xml:space="preserve">of performance </w:t>
      </w:r>
      <w:r>
        <w:t xml:space="preserve">measurement </w:t>
      </w:r>
      <w:r w:rsidR="00A1001F">
        <w:t>for government</w:t>
      </w:r>
      <w:r w:rsidR="00BD722B">
        <w:noBreakHyphen/>
      </w:r>
      <w:r w:rsidR="00A1001F">
        <w:t xml:space="preserve">funded service providers vary </w:t>
      </w:r>
      <w:r w:rsidR="0021271F">
        <w:t>depending on how a ‘provider’ is defined</w:t>
      </w:r>
      <w:r w:rsidR="006465AE">
        <w:t xml:space="preserve"> and, more particularly, how close the </w:t>
      </w:r>
      <w:r w:rsidR="006465AE" w:rsidRPr="00A05DA5">
        <w:t>defined</w:t>
      </w:r>
      <w:r w:rsidR="006465AE">
        <w:t xml:space="preserve"> provider is to </w:t>
      </w:r>
      <w:r w:rsidR="00987592">
        <w:t>the unit or entity actually delivering the service. C</w:t>
      </w:r>
      <w:r w:rsidR="0034711E">
        <w:t>omparison</w:t>
      </w:r>
      <w:r w:rsidR="00987592">
        <w:t xml:space="preserve">s can occur at the level </w:t>
      </w:r>
      <w:r w:rsidR="0034711E">
        <w:t xml:space="preserve">of entire states and territories </w:t>
      </w:r>
      <w:r w:rsidR="00987592">
        <w:t xml:space="preserve">down to </w:t>
      </w:r>
      <w:r w:rsidR="0034711E">
        <w:t>individual professionals providing government</w:t>
      </w:r>
      <w:r w:rsidR="00B277C0">
        <w:noBreakHyphen/>
      </w:r>
      <w:r w:rsidR="0034711E">
        <w:t xml:space="preserve">funded services </w:t>
      </w:r>
      <w:r w:rsidR="0041385B">
        <w:t>(box </w:t>
      </w:r>
      <w:r>
        <w:t>3</w:t>
      </w:r>
      <w:r w:rsidR="0041385B">
        <w:t xml:space="preserve">) </w:t>
      </w:r>
      <w:r w:rsidR="0034711E">
        <w:t>—</w:t>
      </w:r>
      <w:r w:rsidR="00EB0C98">
        <w:t xml:space="preserve"> </w:t>
      </w:r>
      <w:r w:rsidR="004D4D6D">
        <w:t>the</w:t>
      </w:r>
      <w:r w:rsidR="00987592">
        <w:t>ir</w:t>
      </w:r>
      <w:r w:rsidR="004D4D6D">
        <w:t xml:space="preserve"> value </w:t>
      </w:r>
      <w:r w:rsidR="00987592">
        <w:t xml:space="preserve">will </w:t>
      </w:r>
      <w:r w:rsidR="003211DB">
        <w:t>depend on</w:t>
      </w:r>
      <w:r w:rsidR="00987592">
        <w:t xml:space="preserve"> </w:t>
      </w:r>
      <w:r w:rsidR="000B57A8">
        <w:t xml:space="preserve">how closely reported results can be attributed to those deemed </w:t>
      </w:r>
      <w:r w:rsidR="00C53568">
        <w:t>‘</w:t>
      </w:r>
      <w:r w:rsidR="000B57A8">
        <w:t>providers</w:t>
      </w:r>
      <w:r w:rsidR="00C53568">
        <w:t>’</w:t>
      </w:r>
      <w:r w:rsidR="00C00742">
        <w:t>.</w:t>
      </w:r>
    </w:p>
    <w:p w14:paraId="757C3637" w14:textId="77777777" w:rsidR="0091340F" w:rsidRDefault="0091340F" w:rsidP="0091340F">
      <w:pPr>
        <w:pStyle w:val="Heading4"/>
      </w:pPr>
      <w:r>
        <w:t>More granularity is better,</w:t>
      </w:r>
      <w:r w:rsidRPr="00624280">
        <w:t xml:space="preserve"> </w:t>
      </w:r>
      <w:r>
        <w:t>until it isn’t</w:t>
      </w:r>
    </w:p>
    <w:p w14:paraId="4C9BA6FA" w14:textId="77777777" w:rsidR="000757E2" w:rsidRDefault="0091340F" w:rsidP="0091340F">
      <w:pPr>
        <w:pStyle w:val="BodyText"/>
      </w:pPr>
      <w:r>
        <w:t xml:space="preserve">For many government services, more detailed data provide a better idea of how performance varies between different providers. Reporting data at higher levels can mask considerable performance differences between providers. For example, while secondary schools in Queensland may perform at a similar level to other states </w:t>
      </w:r>
      <w:r w:rsidRPr="00C00742">
        <w:rPr>
          <w:i/>
        </w:rPr>
        <w:t>on average</w:t>
      </w:r>
      <w:r>
        <w:t>, this may be hiding considerable differences between the comparatively wealthy Brisbane and Gold Coast communities and the remote areas of Far North Queensland. Even within the Brisbane area, there are likely significant differences between the performance of individual schools, while individuals teachers at a given school can also vary greatly in their comparative performance.</w:t>
      </w:r>
    </w:p>
    <w:p w14:paraId="2B6C9B22" w14:textId="0A61A721" w:rsidR="00E8468B" w:rsidRDefault="0091340F" w:rsidP="000757E2">
      <w:pPr>
        <w:pStyle w:val="BodyText"/>
        <w:spacing w:before="80" w:line="80" w:lineRule="atLeast"/>
      </w:pPr>
      <w:r w:rsidRPr="0077070C">
        <w:t xml:space="preserve"> </w:t>
      </w: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E8468B" w14:paraId="06BB20A8" w14:textId="77777777" w:rsidTr="00DE10E9">
        <w:tc>
          <w:tcPr>
            <w:tcW w:w="8771" w:type="dxa"/>
            <w:tcBorders>
              <w:top w:val="single" w:sz="6" w:space="0" w:color="78A22F"/>
              <w:left w:val="nil"/>
              <w:bottom w:val="nil"/>
              <w:right w:val="nil"/>
            </w:tcBorders>
            <w:shd w:val="clear" w:color="auto" w:fill="F2F2F2"/>
          </w:tcPr>
          <w:p w14:paraId="00884491" w14:textId="705FD9AA" w:rsidR="00E8468B" w:rsidRDefault="00E8468B" w:rsidP="004C6BAF">
            <w:pPr>
              <w:pStyle w:val="BoxTitle"/>
            </w:pPr>
            <w:r>
              <w:rPr>
                <w:b w:val="0"/>
              </w:rPr>
              <w:t xml:space="preserve">Box </w:t>
            </w:r>
            <w:r w:rsidR="005A28E9">
              <w:rPr>
                <w:b w:val="0"/>
                <w:noProof/>
              </w:rPr>
              <w:t>3</w:t>
            </w:r>
            <w:r>
              <w:tab/>
            </w:r>
            <w:r w:rsidR="0041385B">
              <w:t>Different levels of performance reporting</w:t>
            </w:r>
          </w:p>
        </w:tc>
      </w:tr>
      <w:tr w:rsidR="00E8468B" w14:paraId="6791EE2E" w14:textId="77777777" w:rsidTr="00DE10E9">
        <w:tc>
          <w:tcPr>
            <w:tcW w:w="8771" w:type="dxa"/>
            <w:tcBorders>
              <w:top w:val="nil"/>
              <w:left w:val="nil"/>
              <w:bottom w:val="nil"/>
              <w:right w:val="nil"/>
            </w:tcBorders>
            <w:shd w:val="clear" w:color="auto" w:fill="F2F2F2"/>
          </w:tcPr>
          <w:p w14:paraId="7E1F46D1" w14:textId="7D9DCF1F" w:rsidR="00E8468B" w:rsidRPr="00E8468B" w:rsidRDefault="00E8468B" w:rsidP="0041385B">
            <w:pPr>
              <w:pStyle w:val="Box"/>
            </w:pPr>
            <w:r w:rsidRPr="0041385B">
              <w:rPr>
                <w:b/>
              </w:rPr>
              <w:t>State and territory level reporting</w:t>
            </w:r>
            <w:r w:rsidRPr="00E8468B">
              <w:t xml:space="preserve"> </w:t>
            </w:r>
            <w:r w:rsidR="0041385B">
              <w:t xml:space="preserve">— </w:t>
            </w:r>
            <w:r w:rsidRPr="00E8468B">
              <w:t xml:space="preserve">One way to compare performance is at the level of entire states and territories — comparing, for example, the overall performance of Victoria’s correctional facilities with those of South Australia. </w:t>
            </w:r>
            <w:r w:rsidR="00BF1825" w:rsidRPr="00E8468B">
              <w:t>This is the approach taken in the Productivity Commission’s Reports on Government Services.</w:t>
            </w:r>
            <w:r w:rsidR="00BF1825">
              <w:t xml:space="preserve"> At this level</w:t>
            </w:r>
            <w:r w:rsidRPr="00E8468B">
              <w:t>, the provider of the services is taken to be the entire state or territory</w:t>
            </w:r>
            <w:r w:rsidR="00B5064E">
              <w:t>, which</w:t>
            </w:r>
            <w:r w:rsidR="006465AE">
              <w:t xml:space="preserve"> is most </w:t>
            </w:r>
            <w:r w:rsidR="00987592">
              <w:t>useful</w:t>
            </w:r>
            <w:r w:rsidR="006465AE">
              <w:t xml:space="preserve"> when there are monopoly or largely undifferentiated oligopoly providers and </w:t>
            </w:r>
            <w:r w:rsidR="00987592">
              <w:t>the</w:t>
            </w:r>
            <w:r w:rsidR="006465AE">
              <w:t xml:space="preserve"> actions</w:t>
            </w:r>
            <w:r w:rsidR="00987592">
              <w:t xml:space="preserve"> of these providers</w:t>
            </w:r>
            <w:r w:rsidR="006465AE">
              <w:t xml:space="preserve"> can </w:t>
            </w:r>
            <w:r w:rsidR="00987592">
              <w:t xml:space="preserve">reasonably </w:t>
            </w:r>
            <w:r w:rsidR="006465AE">
              <w:t xml:space="preserve">be viewed as those of the jurisdiction’s as a whole — </w:t>
            </w:r>
            <w:r w:rsidRPr="00E8468B">
              <w:t xml:space="preserve">such as </w:t>
            </w:r>
            <w:r w:rsidR="006465AE">
              <w:t xml:space="preserve">some </w:t>
            </w:r>
            <w:r w:rsidR="00BF1825">
              <w:t xml:space="preserve">public transport </w:t>
            </w:r>
            <w:r w:rsidR="006465AE">
              <w:t xml:space="preserve">and utility </w:t>
            </w:r>
            <w:r w:rsidR="00BF1825">
              <w:t>service</w:t>
            </w:r>
            <w:r w:rsidR="006465AE">
              <w:t xml:space="preserve"> providers</w:t>
            </w:r>
            <w:r w:rsidRPr="00E8468B">
              <w:t xml:space="preserve">. </w:t>
            </w:r>
          </w:p>
          <w:p w14:paraId="3C1356EB" w14:textId="03865AFE" w:rsidR="00E8468B" w:rsidRPr="00E8468B" w:rsidRDefault="00E8468B" w:rsidP="0041385B">
            <w:pPr>
              <w:pStyle w:val="Box"/>
            </w:pPr>
            <w:r w:rsidRPr="0041385B">
              <w:rPr>
                <w:b/>
              </w:rPr>
              <w:t>Local level reporting</w:t>
            </w:r>
            <w:r w:rsidR="0041385B">
              <w:t xml:space="preserve"> — </w:t>
            </w:r>
            <w:r w:rsidR="00987592">
              <w:t>Some jurisdiction</w:t>
            </w:r>
            <w:r w:rsidR="00B277C0">
              <w:noBreakHyphen/>
            </w:r>
            <w:r w:rsidR="00987592">
              <w:t xml:space="preserve">wide services report </w:t>
            </w:r>
            <w:r w:rsidR="00BF1825">
              <w:t>indicators</w:t>
            </w:r>
            <w:r w:rsidRPr="00E8468B">
              <w:t xml:space="preserve"> </w:t>
            </w:r>
            <w:r w:rsidR="00987592">
              <w:t>by</w:t>
            </w:r>
            <w:r w:rsidR="00987592" w:rsidRPr="00E8468B">
              <w:t xml:space="preserve"> </w:t>
            </w:r>
            <w:r w:rsidRPr="00E8468B">
              <w:t>local geographic area</w:t>
            </w:r>
            <w:r w:rsidR="00BF1825">
              <w:t>.</w:t>
            </w:r>
            <w:r w:rsidRPr="00E8468B">
              <w:t xml:space="preserve"> As an example, this already occurs for </w:t>
            </w:r>
            <w:r w:rsidR="00BF1825">
              <w:t>much</w:t>
            </w:r>
            <w:r w:rsidRPr="00E8468B">
              <w:t xml:space="preserve"> of the </w:t>
            </w:r>
            <w:r w:rsidR="00570AB3">
              <w:t>health care</w:t>
            </w:r>
            <w:r w:rsidRPr="00E8468B">
              <w:t xml:space="preserve"> sector on the </w:t>
            </w:r>
            <w:r w:rsidRPr="00E8468B">
              <w:rPr>
                <w:i/>
              </w:rPr>
              <w:t>My</w:t>
            </w:r>
            <w:r w:rsidR="00BF1825">
              <w:rPr>
                <w:i/>
              </w:rPr>
              <w:t xml:space="preserve"> </w:t>
            </w:r>
            <w:r w:rsidRPr="00E8468B">
              <w:rPr>
                <w:i/>
              </w:rPr>
              <w:t>Healthy</w:t>
            </w:r>
            <w:r w:rsidR="00BF1825">
              <w:rPr>
                <w:i/>
              </w:rPr>
              <w:t xml:space="preserve"> </w:t>
            </w:r>
            <w:r w:rsidRPr="00E8468B">
              <w:rPr>
                <w:i/>
              </w:rPr>
              <w:t>Communities</w:t>
            </w:r>
            <w:r w:rsidRPr="00E8468B">
              <w:t xml:space="preserve"> website, which compares performance data between local areas </w:t>
            </w:r>
            <w:r w:rsidR="00BF1825">
              <w:t>(</w:t>
            </w:r>
            <w:r w:rsidRPr="00E8468B">
              <w:t xml:space="preserve">from </w:t>
            </w:r>
            <w:r w:rsidR="00BF1825">
              <w:t>Primary Health N</w:t>
            </w:r>
            <w:r w:rsidRPr="00E8468B">
              <w:t>etworks down to individual postcodes</w:t>
            </w:r>
            <w:r w:rsidR="00BF1825">
              <w:t>)</w:t>
            </w:r>
            <w:r w:rsidRPr="00E8468B">
              <w:t xml:space="preserve">. </w:t>
            </w:r>
            <w:r w:rsidR="00B97ADE">
              <w:t>T</w:t>
            </w:r>
            <w:r w:rsidRPr="00E8468B">
              <w:t xml:space="preserve">his level of performance granularity </w:t>
            </w:r>
            <w:r w:rsidR="00B97ADE">
              <w:t>is most</w:t>
            </w:r>
            <w:r w:rsidRPr="00E8468B">
              <w:t xml:space="preserve"> appropriate where there are monopoly providers for specific </w:t>
            </w:r>
            <w:r w:rsidR="006465AE">
              <w:t>areas</w:t>
            </w:r>
            <w:r w:rsidR="00B97ADE">
              <w:t>,</w:t>
            </w:r>
            <w:r w:rsidRPr="00E8468B">
              <w:t xml:space="preserve"> such as individual police precincts or Centrelink offices.</w:t>
            </w:r>
          </w:p>
          <w:p w14:paraId="395EC08F" w14:textId="62B1A5A4" w:rsidR="00E8468B" w:rsidRPr="00E8468B" w:rsidRDefault="00E8468B" w:rsidP="0041385B">
            <w:pPr>
              <w:pStyle w:val="Box"/>
            </w:pPr>
            <w:r w:rsidRPr="0041385B">
              <w:rPr>
                <w:b/>
              </w:rPr>
              <w:t>Facility level reporting</w:t>
            </w:r>
            <w:r w:rsidR="0041385B">
              <w:t xml:space="preserve"> — </w:t>
            </w:r>
            <w:r w:rsidRPr="00E8468B">
              <w:t xml:space="preserve">Reporting at the level of individual facilities, organisations or firms — depending on what is appropriate for the relevant sector — can provide a </w:t>
            </w:r>
            <w:r w:rsidR="00BF1825">
              <w:t>further</w:t>
            </w:r>
            <w:r w:rsidRPr="00E8468B">
              <w:t xml:space="preserve"> detailed picture of how government</w:t>
            </w:r>
            <w:r w:rsidR="00B277C0">
              <w:noBreakHyphen/>
            </w:r>
            <w:r w:rsidRPr="00E8468B">
              <w:t>funded services are performing. Ex</w:t>
            </w:r>
            <w:r w:rsidR="00BF1825">
              <w:t>isting ex</w:t>
            </w:r>
            <w:r w:rsidRPr="00E8468B">
              <w:t xml:space="preserve">amples include </w:t>
            </w:r>
            <w:r w:rsidR="00966DF5">
              <w:t xml:space="preserve">the </w:t>
            </w:r>
            <w:r w:rsidR="00BF1825" w:rsidRPr="00966DF5">
              <w:rPr>
                <w:i/>
              </w:rPr>
              <w:t>My School</w:t>
            </w:r>
            <w:r w:rsidR="00966DF5" w:rsidRPr="00966DF5">
              <w:rPr>
                <w:i/>
              </w:rPr>
              <w:t xml:space="preserve"> </w:t>
            </w:r>
            <w:r w:rsidR="00966DF5">
              <w:t xml:space="preserve">and </w:t>
            </w:r>
            <w:r w:rsidR="00966DF5" w:rsidRPr="00966DF5">
              <w:rPr>
                <w:i/>
              </w:rPr>
              <w:t>My Hospital</w:t>
            </w:r>
            <w:r w:rsidR="00966DF5">
              <w:rPr>
                <w:i/>
              </w:rPr>
              <w:t>s</w:t>
            </w:r>
            <w:r w:rsidR="00966DF5">
              <w:t xml:space="preserve"> websites</w:t>
            </w:r>
            <w:r w:rsidRPr="00E8468B">
              <w:t xml:space="preserve">. </w:t>
            </w:r>
            <w:r w:rsidR="00987592">
              <w:t>Facility</w:t>
            </w:r>
            <w:r w:rsidR="00987592">
              <w:noBreakHyphen/>
              <w:t xml:space="preserve">level reporting </w:t>
            </w:r>
            <w:r w:rsidRPr="00E8468B">
              <w:t xml:space="preserve">can extend to particular teams or units working within a particular facility, where that team’s work </w:t>
            </w:r>
            <w:r w:rsidR="00BF1825">
              <w:t>is sufficiently</w:t>
            </w:r>
            <w:r w:rsidRPr="00E8468B">
              <w:t xml:space="preserve"> separate from others.</w:t>
            </w:r>
          </w:p>
          <w:p w14:paraId="53E0866D" w14:textId="34270805" w:rsidR="00E8468B" w:rsidRDefault="00E8468B" w:rsidP="004E0274">
            <w:pPr>
              <w:pStyle w:val="Box"/>
            </w:pPr>
            <w:r w:rsidRPr="0041385B">
              <w:rPr>
                <w:b/>
              </w:rPr>
              <w:t>Individual level reporting</w:t>
            </w:r>
            <w:r w:rsidR="0041385B">
              <w:t xml:space="preserve"> —</w:t>
            </w:r>
            <w:r w:rsidR="00BF1825">
              <w:t xml:space="preserve"> T</w:t>
            </w:r>
            <w:r w:rsidRPr="00E8468B">
              <w:t>he most granular picture of performance possible</w:t>
            </w:r>
            <w:r w:rsidR="00BF1825" w:rsidRPr="00E8468B">
              <w:t xml:space="preserve"> define</w:t>
            </w:r>
            <w:r w:rsidR="00BF1825">
              <w:t>s</w:t>
            </w:r>
            <w:r w:rsidRPr="00E8468B">
              <w:t xml:space="preserve"> a ‘provider’ as the individuals providing government</w:t>
            </w:r>
            <w:r w:rsidR="00B277C0">
              <w:noBreakHyphen/>
            </w:r>
            <w:r w:rsidRPr="00E8468B">
              <w:t xml:space="preserve">funded services (such as specific surgeons, GPs or teachers), rather than the facilities or institutions they work for. Public performance reporting at such a detailed level </w:t>
            </w:r>
            <w:r w:rsidR="00966DF5">
              <w:t>does not currently occur in Australia, but</w:t>
            </w:r>
            <w:r w:rsidR="00966DF5" w:rsidRPr="00E8468B">
              <w:t xml:space="preserve"> </w:t>
            </w:r>
            <w:r w:rsidRPr="00E8468B">
              <w:t>has existed for many years in</w:t>
            </w:r>
            <w:r w:rsidR="00987592">
              <w:t xml:space="preserve"> some fields in</w:t>
            </w:r>
            <w:r w:rsidRPr="00E8468B">
              <w:t xml:space="preserve"> the United Kingdom and United States</w:t>
            </w:r>
            <w:r w:rsidR="00987592">
              <w:t xml:space="preserve">, including to assess </w:t>
            </w:r>
            <w:r w:rsidRPr="00E8468B">
              <w:t xml:space="preserve">individual surgeon performance </w:t>
            </w:r>
            <w:r w:rsidR="004E0274" w:rsidRPr="004E0274">
              <w:rPr>
                <w:rFonts w:cs="Arial"/>
                <w:szCs w:val="24"/>
              </w:rPr>
              <w:t>(PC 2016a)</w:t>
            </w:r>
            <w:r w:rsidR="00B97ADE">
              <w:t>.</w:t>
            </w:r>
            <w:r w:rsidR="00B277C0">
              <w:t xml:space="preserve"> </w:t>
            </w:r>
          </w:p>
        </w:tc>
      </w:tr>
      <w:tr w:rsidR="00E8468B" w14:paraId="4F945635" w14:textId="77777777" w:rsidTr="00DE10E9">
        <w:tc>
          <w:tcPr>
            <w:tcW w:w="8771" w:type="dxa"/>
            <w:tcBorders>
              <w:top w:val="nil"/>
              <w:left w:val="nil"/>
              <w:bottom w:val="single" w:sz="6" w:space="0" w:color="78A22F"/>
              <w:right w:val="nil"/>
            </w:tcBorders>
            <w:shd w:val="clear" w:color="auto" w:fill="F2F2F2"/>
          </w:tcPr>
          <w:p w14:paraId="6C99490D" w14:textId="77777777" w:rsidR="00E8468B" w:rsidRDefault="00E8468B">
            <w:pPr>
              <w:pStyle w:val="Box"/>
              <w:spacing w:before="0" w:line="120" w:lineRule="exact"/>
            </w:pPr>
          </w:p>
        </w:tc>
      </w:tr>
      <w:tr w:rsidR="00E8468B" w:rsidRPr="000863A5" w14:paraId="31006C08" w14:textId="77777777" w:rsidTr="00DE10E9">
        <w:tc>
          <w:tcPr>
            <w:tcW w:w="8771" w:type="dxa"/>
            <w:tcBorders>
              <w:top w:val="single" w:sz="6" w:space="0" w:color="78A22F"/>
              <w:left w:val="nil"/>
              <w:bottom w:val="nil"/>
              <w:right w:val="nil"/>
            </w:tcBorders>
          </w:tcPr>
          <w:p w14:paraId="08BC0B0B" w14:textId="66F26F0B" w:rsidR="00E8468B" w:rsidRPr="00626D32" w:rsidRDefault="00E8468B" w:rsidP="00A42003">
            <w:pPr>
              <w:pStyle w:val="BoxSpaceBelow"/>
            </w:pPr>
          </w:p>
        </w:tc>
      </w:tr>
    </w:tbl>
    <w:p w14:paraId="34E50496" w14:textId="18941647" w:rsidR="00C00742" w:rsidRPr="00A1001F" w:rsidRDefault="0077070C" w:rsidP="00C00742">
      <w:pPr>
        <w:pStyle w:val="BodyText"/>
      </w:pPr>
      <w:r>
        <w:t>Higher</w:t>
      </w:r>
      <w:r w:rsidR="00B277C0">
        <w:noBreakHyphen/>
      </w:r>
      <w:r>
        <w:t>level performance reporting can thus lead to distorted or dulled incentives, as g</w:t>
      </w:r>
      <w:r w:rsidRPr="005A48F3">
        <w:t xml:space="preserve">ood providers </w:t>
      </w:r>
      <w:r>
        <w:t>may k</w:t>
      </w:r>
      <w:r w:rsidRPr="005A48F3">
        <w:t>now that the national</w:t>
      </w:r>
      <w:r w:rsidR="00B277C0">
        <w:noBreakHyphen/>
      </w:r>
      <w:r>
        <w:t xml:space="preserve"> or state</w:t>
      </w:r>
      <w:r w:rsidR="00B277C0">
        <w:noBreakHyphen/>
      </w:r>
      <w:r>
        <w:t>level</w:t>
      </w:r>
      <w:r w:rsidRPr="005A48F3">
        <w:t xml:space="preserve"> statistics do not apply to them, while bad providers know that their performance is </w:t>
      </w:r>
      <w:r>
        <w:t xml:space="preserve">camouflaged and not identifiable </w:t>
      </w:r>
      <w:r w:rsidRPr="005A48F3">
        <w:rPr>
          <w:szCs w:val="24"/>
        </w:rPr>
        <w:t>(Dunleavy 2016)</w:t>
      </w:r>
      <w:r>
        <w:t>.</w:t>
      </w:r>
    </w:p>
    <w:p w14:paraId="0F38D774" w14:textId="5F1F76EA" w:rsidR="001C37B2" w:rsidRDefault="001C37B2" w:rsidP="001C37B2">
      <w:pPr>
        <w:pStyle w:val="BodyText"/>
      </w:pPr>
      <w:r>
        <w:t>Although</w:t>
      </w:r>
      <w:r w:rsidR="006B74E5">
        <w:t xml:space="preserve"> this would imply that individual level performance reporting is the ideal goal of comparative performance reporting</w:t>
      </w:r>
      <w:r>
        <w:t xml:space="preserve">, </w:t>
      </w:r>
      <w:r w:rsidR="00CB3794">
        <w:t>different reporting levels have different uses. As such, h</w:t>
      </w:r>
      <w:r>
        <w:t>igher</w:t>
      </w:r>
      <w:r w:rsidR="00CB3794">
        <w:noBreakHyphen/>
      </w:r>
      <w:r>
        <w:t>level performance reporting is not mutually exclusive with lower</w:t>
      </w:r>
      <w:r>
        <w:noBreakHyphen/>
        <w:t>level reporting — there is often space for reporting at a variety of different levels through a range of different mechanisms. Higher</w:t>
      </w:r>
      <w:r>
        <w:noBreakHyphen/>
      </w:r>
      <w:r w:rsidRPr="002859B3">
        <w:t xml:space="preserve">level monitoring </w:t>
      </w:r>
      <w:r>
        <w:t>(such as the annual ROGS reports</w:t>
      </w:r>
      <w:r w:rsidRPr="009C18A9">
        <w:t xml:space="preserve"> </w:t>
      </w:r>
      <w:r>
        <w:t>compiled by the Commission) can still</w:t>
      </w:r>
      <w:r w:rsidRPr="002859B3">
        <w:t xml:space="preserve"> hold government</w:t>
      </w:r>
      <w:r>
        <w:t>s</w:t>
      </w:r>
      <w:r w:rsidRPr="002859B3">
        <w:t xml:space="preserve"> </w:t>
      </w:r>
      <w:r>
        <w:t xml:space="preserve">and service providers </w:t>
      </w:r>
      <w:r w:rsidRPr="002859B3">
        <w:t>to account</w:t>
      </w:r>
      <w:r>
        <w:t>, as well as</w:t>
      </w:r>
      <w:r w:rsidRPr="002859B3">
        <w:t xml:space="preserve"> </w:t>
      </w:r>
      <w:r>
        <w:t>improve</w:t>
      </w:r>
      <w:r w:rsidRPr="002859B3">
        <w:t xml:space="preserve"> transparency in performance. </w:t>
      </w:r>
    </w:p>
    <w:p w14:paraId="12AE479F" w14:textId="449963DB" w:rsidR="001C37B2" w:rsidRDefault="001C37B2" w:rsidP="001C37B2">
      <w:pPr>
        <w:pStyle w:val="BodyText"/>
      </w:pPr>
      <w:r>
        <w:t>In addition, higher</w:t>
      </w:r>
      <w:r w:rsidR="00B277C0">
        <w:noBreakHyphen/>
      </w:r>
      <w:r>
        <w:t xml:space="preserve">level indicators (such as comparisons between states and territories) have generally also been a first step towards more detailed future comparisons. For instance, the ROGS reports have been around </w:t>
      </w:r>
      <w:r w:rsidRPr="00B9356A">
        <w:t>for 22 years</w:t>
      </w:r>
      <w:r>
        <w:t xml:space="preserve"> (although it took many years to achieve widespread recognition of their inherent value, given concerns and misgivings about how the data could be misused), whereas the </w:t>
      </w:r>
      <w:r w:rsidRPr="00A42003">
        <w:rPr>
          <w:i/>
        </w:rPr>
        <w:t>My School</w:t>
      </w:r>
      <w:r>
        <w:t xml:space="preserve"> and </w:t>
      </w:r>
      <w:r w:rsidRPr="00A42003">
        <w:rPr>
          <w:i/>
        </w:rPr>
        <w:t>My Hospitals</w:t>
      </w:r>
      <w:r>
        <w:t xml:space="preserve"> websites were not launched until 2010.</w:t>
      </w:r>
      <w:r w:rsidRPr="002859B3">
        <w:t xml:space="preserve"> </w:t>
      </w:r>
      <w:r>
        <w:t>Higher</w:t>
      </w:r>
      <w:r w:rsidR="00B277C0">
        <w:noBreakHyphen/>
      </w:r>
      <w:r>
        <w:t>level performance reporting can be particularly valuable through encouraging better and more timely data collection from different jurisdictions and service providers, prior to lower levels of granularity being developed.</w:t>
      </w:r>
    </w:p>
    <w:p w14:paraId="5CDE516C" w14:textId="69470A3F" w:rsidR="0088021F" w:rsidRDefault="001C37B2" w:rsidP="00A1001F">
      <w:pPr>
        <w:pStyle w:val="BodyText"/>
      </w:pPr>
      <w:r>
        <w:t>Indeed,</w:t>
      </w:r>
      <w:r w:rsidR="006B74E5">
        <w:t xml:space="preserve"> </w:t>
      </w:r>
      <w:r w:rsidR="00A1001F">
        <w:t xml:space="preserve">no </w:t>
      </w:r>
      <w:r w:rsidR="00CB3794">
        <w:t xml:space="preserve">Australian </w:t>
      </w:r>
      <w:r w:rsidR="00D97E24">
        <w:t xml:space="preserve">performance </w:t>
      </w:r>
      <w:r w:rsidR="00A1001F">
        <w:t xml:space="preserve">data </w:t>
      </w:r>
      <w:r w:rsidR="000558C4">
        <w:t>are</w:t>
      </w:r>
      <w:r w:rsidR="00A1001F">
        <w:t xml:space="preserve"> currently reported </w:t>
      </w:r>
      <w:r w:rsidR="00D5238F">
        <w:t xml:space="preserve">at </w:t>
      </w:r>
      <w:r>
        <w:t>the individual</w:t>
      </w:r>
      <w:r w:rsidR="00CB3794">
        <w:t xml:space="preserve"> level (such as by individual surgeons, GPs or teachers)</w:t>
      </w:r>
      <w:r w:rsidR="003D5463">
        <w:t xml:space="preserve">. This is due in part </w:t>
      </w:r>
      <w:r w:rsidR="009A5C55">
        <w:t>to the significant challenges involved</w:t>
      </w:r>
      <w:r w:rsidR="003D5463">
        <w:t>, including the cost of the additional data collection, the technical difficulties of ensuring comparisons are valid (discussed below) and concerns about the privacy of the individuals (also discussed below).</w:t>
      </w:r>
    </w:p>
    <w:p w14:paraId="4FB04019" w14:textId="0D1DAA03" w:rsidR="00A1001F" w:rsidRPr="00F27410" w:rsidRDefault="003D5463" w:rsidP="00A1001F">
      <w:pPr>
        <w:pStyle w:val="BodyText"/>
      </w:pPr>
      <w:r>
        <w:t>Individual</w:t>
      </w:r>
      <w:r w:rsidR="00B277C0">
        <w:noBreakHyphen/>
      </w:r>
      <w:r>
        <w:t>level p</w:t>
      </w:r>
      <w:r w:rsidR="00A1001F" w:rsidRPr="00F27410">
        <w:t xml:space="preserve">erformance indicators </w:t>
      </w:r>
      <w:r w:rsidR="00A1001F">
        <w:t>are</w:t>
      </w:r>
      <w:r w:rsidR="008677F6">
        <w:t xml:space="preserve"> also</w:t>
      </w:r>
      <w:r w:rsidR="00A1001F">
        <w:t xml:space="preserve"> not </w:t>
      </w:r>
      <w:r w:rsidR="00A1001F" w:rsidRPr="00F27410">
        <w:t xml:space="preserve">practical for </w:t>
      </w:r>
      <w:r w:rsidR="00A1001F">
        <w:t>many</w:t>
      </w:r>
      <w:r w:rsidR="00A1001F" w:rsidRPr="00F27410">
        <w:t xml:space="preserve"> professions, particularly where the outputs and outcomes of the individual are highly dependent on the performance of a team</w:t>
      </w:r>
      <w:r w:rsidR="00436709">
        <w:t xml:space="preserve"> (fire and rescue workers being an obvious example).</w:t>
      </w:r>
      <w:r w:rsidR="00A1001F" w:rsidRPr="00F27410">
        <w:t xml:space="preserve"> In these circumstance</w:t>
      </w:r>
      <w:r w:rsidR="00A1001F">
        <w:t>s</w:t>
      </w:r>
      <w:r w:rsidR="00A1001F" w:rsidRPr="00F27410">
        <w:t xml:space="preserve">, </w:t>
      </w:r>
      <w:r w:rsidR="00A1001F">
        <w:t xml:space="preserve">performance </w:t>
      </w:r>
      <w:r w:rsidR="00A1001F" w:rsidRPr="00F27410">
        <w:t xml:space="preserve">measurement at the </w:t>
      </w:r>
      <w:r w:rsidR="00A1001F">
        <w:t>team</w:t>
      </w:r>
      <w:r w:rsidR="00A1001F" w:rsidRPr="00F27410">
        <w:t xml:space="preserve"> level </w:t>
      </w:r>
      <w:r w:rsidR="00596E3C">
        <w:t>may</w:t>
      </w:r>
      <w:r w:rsidR="00A1001F" w:rsidRPr="00F27410">
        <w:t xml:space="preserve"> </w:t>
      </w:r>
      <w:r w:rsidR="00A1001F">
        <w:t xml:space="preserve">therefore </w:t>
      </w:r>
      <w:r w:rsidR="00596E3C">
        <w:t xml:space="preserve">be </w:t>
      </w:r>
      <w:r w:rsidR="00A1001F" w:rsidRPr="00F27410">
        <w:t>more appropriate</w:t>
      </w:r>
      <w:r w:rsidR="009C18A9">
        <w:t xml:space="preserve"> — as argued by</w:t>
      </w:r>
      <w:r w:rsidR="00596E3C">
        <w:t xml:space="preserve"> </w:t>
      </w:r>
      <w:r w:rsidR="0048649D" w:rsidRPr="00596E3C">
        <w:rPr>
          <w:szCs w:val="24"/>
        </w:rPr>
        <w:t>RACS</w:t>
      </w:r>
      <w:r w:rsidR="0048649D">
        <w:t xml:space="preserve"> </w:t>
      </w:r>
      <w:r w:rsidR="0048649D" w:rsidRPr="0048649D">
        <w:t>(2016)</w:t>
      </w:r>
      <w:r w:rsidR="009C18A9">
        <w:t xml:space="preserve"> —</w:t>
      </w:r>
      <w:r w:rsidR="00596E3C">
        <w:t xml:space="preserve"> although </w:t>
      </w:r>
      <w:r w:rsidR="00E81795">
        <w:t xml:space="preserve">the existence of </w:t>
      </w:r>
      <w:r w:rsidR="00E81795" w:rsidRPr="00E81795">
        <w:rPr>
          <w:i/>
        </w:rPr>
        <w:t>any</w:t>
      </w:r>
      <w:r w:rsidR="00E81795">
        <w:t xml:space="preserve"> team</w:t>
      </w:r>
      <w:r w:rsidR="00B277C0">
        <w:noBreakHyphen/>
      </w:r>
      <w:r w:rsidR="00E81795">
        <w:t xml:space="preserve">related work should not be used as an excuse to avoid </w:t>
      </w:r>
      <w:r w:rsidR="00E81795" w:rsidRPr="009C18A9">
        <w:rPr>
          <w:i/>
        </w:rPr>
        <w:t>all</w:t>
      </w:r>
      <w:r w:rsidR="00E81795">
        <w:t xml:space="preserve"> individual reporting</w:t>
      </w:r>
      <w:r w:rsidR="00A1001F">
        <w:t>.</w:t>
      </w:r>
    </w:p>
    <w:p w14:paraId="2C5CB128" w14:textId="23B314E1" w:rsidR="008D23B7" w:rsidRDefault="00201888" w:rsidP="00A1001F">
      <w:pPr>
        <w:pStyle w:val="BodyText"/>
      </w:pPr>
      <w:r>
        <w:t xml:space="preserve">It is </w:t>
      </w:r>
      <w:r w:rsidR="00D5238F">
        <w:t xml:space="preserve">also </w:t>
      </w:r>
      <w:r>
        <w:t xml:space="preserve">sometimes claimed that </w:t>
      </w:r>
      <w:r w:rsidR="005B42BB">
        <w:t xml:space="preserve">public </w:t>
      </w:r>
      <w:r>
        <w:t>reporting at th</w:t>
      </w:r>
      <w:r w:rsidR="004D2561">
        <w:t>e individual professional level is</w:t>
      </w:r>
      <w:r>
        <w:t xml:space="preserve"> unreliable due to </w:t>
      </w:r>
      <w:r w:rsidR="004D2561">
        <w:t xml:space="preserve">typically </w:t>
      </w:r>
      <w:r>
        <w:t xml:space="preserve">small </w:t>
      </w:r>
      <w:r w:rsidR="004D2561">
        <w:t>caseloads</w:t>
      </w:r>
      <w:r w:rsidR="00F428CA">
        <w:t xml:space="preserve"> and the variations in the characteristics of customers</w:t>
      </w:r>
      <w:r w:rsidR="004D2561">
        <w:t xml:space="preserve">. For instance, </w:t>
      </w:r>
      <w:r w:rsidR="00A1001F">
        <w:t>a</w:t>
      </w:r>
      <w:r w:rsidR="00A1001F" w:rsidRPr="00C904E3">
        <w:t xml:space="preserve"> recent </w:t>
      </w:r>
      <w:r w:rsidR="00B277C0">
        <w:t>New Zealand</w:t>
      </w:r>
      <w:r w:rsidR="00A1001F" w:rsidRPr="00C904E3">
        <w:t xml:space="preserve"> Government review concluded that the typical caseload of </w:t>
      </w:r>
      <w:r w:rsidR="00A1001F">
        <w:t xml:space="preserve">medical </w:t>
      </w:r>
      <w:r w:rsidR="00A1001F" w:rsidRPr="00C904E3">
        <w:t xml:space="preserve">specialists is too small to have enough statistical power to identify poorer performers </w:t>
      </w:r>
      <w:r w:rsidR="005A48F3" w:rsidRPr="005A48F3">
        <w:rPr>
          <w:szCs w:val="24"/>
        </w:rPr>
        <w:t>(HQSCNZ 2016)</w:t>
      </w:r>
      <w:r w:rsidR="00A1001F" w:rsidRPr="00AC2C1D">
        <w:t>.</w:t>
      </w:r>
      <w:r w:rsidR="00436709">
        <w:t xml:space="preserve"> </w:t>
      </w:r>
      <w:r w:rsidR="004D2561">
        <w:t xml:space="preserve">Some professional associations </w:t>
      </w:r>
      <w:r w:rsidR="005B42BB">
        <w:t>accordingly</w:t>
      </w:r>
      <w:r w:rsidR="004D2561">
        <w:t xml:space="preserve"> object to the publication of such data</w:t>
      </w:r>
      <w:r w:rsidR="00F428CA">
        <w:t xml:space="preserve"> </w:t>
      </w:r>
      <w:r w:rsidR="00F428CA" w:rsidRPr="00F428CA">
        <w:rPr>
          <w:szCs w:val="24"/>
        </w:rPr>
        <w:t>(RACS 2015)</w:t>
      </w:r>
      <w:r w:rsidR="00F428CA">
        <w:t xml:space="preserve">. </w:t>
      </w:r>
      <w:r w:rsidR="005E31EC">
        <w:t xml:space="preserve">Clinician comparison websites, such as </w:t>
      </w:r>
      <w:r w:rsidR="005E31EC" w:rsidRPr="00E8468B">
        <w:rPr>
          <w:i/>
        </w:rPr>
        <w:t>Physician Compare</w:t>
      </w:r>
      <w:r w:rsidR="005E31EC">
        <w:t xml:space="preserve"> in the United States, has been met with considerable concern by physicians </w:t>
      </w:r>
      <w:r w:rsidR="005E31EC" w:rsidRPr="005E31EC">
        <w:rPr>
          <w:szCs w:val="24"/>
        </w:rPr>
        <w:t>(Lowes 2015)</w:t>
      </w:r>
      <w:r w:rsidR="005E31EC">
        <w:t xml:space="preserve">. </w:t>
      </w:r>
    </w:p>
    <w:p w14:paraId="3797EB48" w14:textId="11438720" w:rsidR="00A1001F" w:rsidRDefault="00F428CA" w:rsidP="00A1001F">
      <w:pPr>
        <w:pStyle w:val="BodyText"/>
      </w:pPr>
      <w:r>
        <w:t>However</w:t>
      </w:r>
      <w:r w:rsidR="005B42BB">
        <w:t xml:space="preserve">, data at the clinician level </w:t>
      </w:r>
      <w:r w:rsidR="00E81795">
        <w:t>may be</w:t>
      </w:r>
      <w:r w:rsidR="005B42BB">
        <w:t xml:space="preserve"> more reliable for some </w:t>
      </w:r>
      <w:r w:rsidR="005E31EC">
        <w:t>areas of health</w:t>
      </w:r>
      <w:r w:rsidR="005B42BB">
        <w:t xml:space="preserve"> — such as cardiologists </w:t>
      </w:r>
      <w:r w:rsidR="005E31EC">
        <w:t>or GPs</w:t>
      </w:r>
      <w:r w:rsidR="00E81795">
        <w:t xml:space="preserve"> </w:t>
      </w:r>
      <w:r w:rsidR="005B42BB">
        <w:t xml:space="preserve">— </w:t>
      </w:r>
      <w:r w:rsidR="004E0274">
        <w:t xml:space="preserve">where the casemix is less variable. </w:t>
      </w:r>
      <w:r w:rsidR="003D5463">
        <w:t xml:space="preserve">This is </w:t>
      </w:r>
      <w:r w:rsidR="005B42BB">
        <w:t xml:space="preserve">especially </w:t>
      </w:r>
      <w:r w:rsidR="003D5463">
        <w:t xml:space="preserve">true </w:t>
      </w:r>
      <w:r w:rsidR="005B42BB">
        <w:t xml:space="preserve">where the data are combined over several years. </w:t>
      </w:r>
      <w:r w:rsidR="005E31EC">
        <w:t xml:space="preserve">Nor </w:t>
      </w:r>
      <w:r w:rsidR="00E8468B">
        <w:t xml:space="preserve">does the </w:t>
      </w:r>
      <w:r w:rsidR="005E31EC">
        <w:t xml:space="preserve">data necessarily </w:t>
      </w:r>
      <w:r w:rsidR="00E8468B">
        <w:t xml:space="preserve">need to </w:t>
      </w:r>
      <w:r w:rsidR="005E31EC">
        <w:t xml:space="preserve">relate to mortality or complications, but can </w:t>
      </w:r>
      <w:r w:rsidR="002D6556">
        <w:t xml:space="preserve">also </w:t>
      </w:r>
      <w:r w:rsidR="005E31EC">
        <w:t xml:space="preserve">apply to the practices of </w:t>
      </w:r>
      <w:r w:rsidR="00492DA4">
        <w:t>physicians</w:t>
      </w:r>
      <w:r w:rsidR="005E31EC">
        <w:t xml:space="preserve"> — such as their use of evidence</w:t>
      </w:r>
      <w:r w:rsidR="005E31EC">
        <w:noBreakHyphen/>
        <w:t>based diagnostics</w:t>
      </w:r>
      <w:r w:rsidR="00492DA4">
        <w:t>,</w:t>
      </w:r>
      <w:r w:rsidR="005E31EC">
        <w:t xml:space="preserve"> like screening for o</w:t>
      </w:r>
      <w:r w:rsidR="005E31EC" w:rsidRPr="005E31EC">
        <w:t xml:space="preserve">steoporosis for </w:t>
      </w:r>
      <w:r w:rsidR="005E31EC">
        <w:t>w</w:t>
      </w:r>
      <w:r w:rsidR="005E31EC" w:rsidRPr="005E31EC">
        <w:t xml:space="preserve">omen </w:t>
      </w:r>
      <w:r w:rsidR="005E31EC">
        <w:t>a</w:t>
      </w:r>
      <w:r w:rsidR="005E31EC" w:rsidRPr="005E31EC">
        <w:t xml:space="preserve">ged 65 </w:t>
      </w:r>
      <w:r w:rsidR="005E31EC">
        <w:t>y</w:t>
      </w:r>
      <w:r w:rsidR="005E31EC" w:rsidRPr="005E31EC">
        <w:t xml:space="preserve">ears and </w:t>
      </w:r>
      <w:r w:rsidR="005E31EC">
        <w:t>older</w:t>
      </w:r>
      <w:r w:rsidR="00492DA4">
        <w:t xml:space="preserve"> </w:t>
      </w:r>
      <w:r w:rsidR="00492DA4" w:rsidRPr="00492DA4">
        <w:rPr>
          <w:szCs w:val="24"/>
        </w:rPr>
        <w:t>(CMS 2016)</w:t>
      </w:r>
      <w:r w:rsidR="00492DA4">
        <w:t xml:space="preserve">. </w:t>
      </w:r>
    </w:p>
    <w:p w14:paraId="4F5AEBD9" w14:textId="570DC20D" w:rsidR="0081746E" w:rsidRPr="00F27410" w:rsidRDefault="0074362E" w:rsidP="0081746E">
      <w:pPr>
        <w:pStyle w:val="Heading3"/>
      </w:pPr>
      <w:r>
        <w:t>Warts and all</w:t>
      </w:r>
      <w:r w:rsidR="00122309">
        <w:t>?</w:t>
      </w:r>
      <w:r>
        <w:t xml:space="preserve"> — </w:t>
      </w:r>
      <w:r w:rsidR="00D6128B">
        <w:t xml:space="preserve">reporting </w:t>
      </w:r>
      <w:r>
        <w:t>p</w:t>
      </w:r>
      <w:r w:rsidR="0081746E" w:rsidRPr="00F27410">
        <w:t>ublic</w:t>
      </w:r>
      <w:r w:rsidR="00D6128B">
        <w:t>ly</w:t>
      </w:r>
      <w:r w:rsidR="0081746E">
        <w:t xml:space="preserve"> </w:t>
      </w:r>
    </w:p>
    <w:p w14:paraId="4AA6CACB" w14:textId="77777777" w:rsidR="007E2019" w:rsidRDefault="007E2019" w:rsidP="007E2019">
      <w:pPr>
        <w:pStyle w:val="BodyText"/>
      </w:pPr>
      <w:r>
        <w:t>Unless there are strong counter</w:t>
      </w:r>
      <w:r>
        <w:noBreakHyphen/>
        <w:t xml:space="preserve">arguments, the default for disclosure of performance data should be full public transparency. When combined with consumer capabilities, transparency allows informed choice. Regardless, sunlight has a cleaning effect because most parties do not want to be publicly exposed as poor performers. </w:t>
      </w:r>
    </w:p>
    <w:p w14:paraId="00723256" w14:textId="1D111E7C" w:rsidR="00122309" w:rsidRDefault="00122309" w:rsidP="00901106">
      <w:pPr>
        <w:pStyle w:val="Heading4"/>
      </w:pPr>
      <w:r>
        <w:t xml:space="preserve">If full public reporting is not </w:t>
      </w:r>
      <w:r w:rsidRPr="00901106">
        <w:t>possible</w:t>
      </w:r>
      <w:r>
        <w:t xml:space="preserve">, then other reporting should </w:t>
      </w:r>
      <w:r w:rsidR="007E20A8">
        <w:t xml:space="preserve">still </w:t>
      </w:r>
      <w:r>
        <w:t>take place</w:t>
      </w:r>
    </w:p>
    <w:p w14:paraId="49732A6D" w14:textId="3AB5BBB0" w:rsidR="0081746E" w:rsidRDefault="00900356" w:rsidP="00901106">
      <w:pPr>
        <w:pStyle w:val="BodyText"/>
      </w:pPr>
      <w:r>
        <w:t>W</w:t>
      </w:r>
      <w:r w:rsidR="007E2019">
        <w:t xml:space="preserve">here full public disclosure is not feasible for all data, this should not preclude its </w:t>
      </w:r>
      <w:r w:rsidR="007E2019" w:rsidRPr="00901106">
        <w:t>availability</w:t>
      </w:r>
      <w:r w:rsidR="007E2019">
        <w:t xml:space="preserve"> to some parties. Other parts of government, trusted t</w:t>
      </w:r>
      <w:r w:rsidR="0081746E" w:rsidRPr="00F27410">
        <w:t>hird</w:t>
      </w:r>
      <w:r w:rsidR="00B277C0">
        <w:noBreakHyphen/>
      </w:r>
      <w:r w:rsidR="0081746E" w:rsidRPr="00F27410">
        <w:t>party researchers</w:t>
      </w:r>
      <w:r w:rsidR="007E2019">
        <w:t xml:space="preserve"> and intermediaries often have a capacity </w:t>
      </w:r>
      <w:r w:rsidR="0081746E" w:rsidRPr="00F27410">
        <w:t>to analyse the data, link it to other available information, experiment</w:t>
      </w:r>
      <w:r w:rsidR="001C01BC">
        <w:t xml:space="preserve"> with it</w:t>
      </w:r>
      <w:r w:rsidR="0081746E" w:rsidRPr="00F27410">
        <w:t xml:space="preserve"> and discover new and valuable</w:t>
      </w:r>
      <w:r w:rsidR="00812F55">
        <w:t xml:space="preserve"> relationships between outcomes —</w:t>
      </w:r>
      <w:r w:rsidR="0081746E" w:rsidRPr="00F27410">
        <w:t xml:space="preserve"> all at little cost to government. </w:t>
      </w:r>
      <w:r w:rsidR="00A02E7F">
        <w:t xml:space="preserve">Limits </w:t>
      </w:r>
      <w:r w:rsidR="008D23B7">
        <w:t xml:space="preserve">on </w:t>
      </w:r>
      <w:r w:rsidR="007E2019">
        <w:t xml:space="preserve">access </w:t>
      </w:r>
      <w:r w:rsidR="00A02E7F">
        <w:t>thus</w:t>
      </w:r>
      <w:r w:rsidR="0081746E" w:rsidRPr="00F27410">
        <w:t xml:space="preserve"> undermine any potential improvements to the diffusion of best</w:t>
      </w:r>
      <w:r w:rsidR="0081746E" w:rsidRPr="00F27410">
        <w:noBreakHyphen/>
        <w:t>practice service delivery</w:t>
      </w:r>
      <w:r w:rsidR="004E0274">
        <w:t>.</w:t>
      </w:r>
      <w:r w:rsidR="0081746E" w:rsidRPr="00F27410">
        <w:t xml:space="preserve"> </w:t>
      </w:r>
      <w:r w:rsidR="004E0274">
        <w:t>I</w:t>
      </w:r>
      <w:r w:rsidR="0081746E" w:rsidRPr="00F27410">
        <w:t xml:space="preserve">n the </w:t>
      </w:r>
      <w:r w:rsidR="00570AB3">
        <w:t>health care</w:t>
      </w:r>
      <w:r w:rsidR="0081746E" w:rsidRPr="00F27410">
        <w:t xml:space="preserve"> sector for example, </w:t>
      </w:r>
      <w:r w:rsidR="004E0274">
        <w:t xml:space="preserve">this </w:t>
      </w:r>
      <w:r w:rsidR="0081746E" w:rsidRPr="00F27410">
        <w:t xml:space="preserve">can mean that patients receive ineffective (or even harmful) care, adverse effects of drugs go undetected, or significant money is spent on interventions that do not improve health outcomes </w:t>
      </w:r>
      <w:r w:rsidR="00A35688" w:rsidRPr="00A35688">
        <w:rPr>
          <w:szCs w:val="24"/>
        </w:rPr>
        <w:t>(PC 2010a, 2015)</w:t>
      </w:r>
      <w:r w:rsidR="0081746E" w:rsidRPr="00F27410">
        <w:t>.</w:t>
      </w:r>
    </w:p>
    <w:p w14:paraId="0C943450" w14:textId="60EFEE72" w:rsidR="00C11C41" w:rsidRDefault="00C11C41" w:rsidP="00C11C41">
      <w:pPr>
        <w:pStyle w:val="BodyText"/>
      </w:pPr>
      <w:r>
        <w:t xml:space="preserve">Where sensitive data </w:t>
      </w:r>
      <w:r w:rsidR="00FA2FE3">
        <w:t>are</w:t>
      </w:r>
      <w:r>
        <w:t xml:space="preserve"> provided to third parties, there are a series of now well</w:t>
      </w:r>
      <w:r>
        <w:noBreakHyphen/>
        <w:t>known methods for ensuring that access is not abused, since trust is an important aspect of making data available. De</w:t>
      </w:r>
      <w:r w:rsidR="00B277C0">
        <w:noBreakHyphen/>
      </w:r>
      <w:r>
        <w:t>identification, perturbation of data, secure</w:t>
      </w:r>
      <w:r w:rsidR="004E0274">
        <w:t>d</w:t>
      </w:r>
      <w:r>
        <w:t xml:space="preserve"> data </w:t>
      </w:r>
      <w:r w:rsidR="004E0274">
        <w:t>storage</w:t>
      </w:r>
      <w:r>
        <w:t xml:space="preserve">, agreements about the scope of use, </w:t>
      </w:r>
      <w:r w:rsidR="004E0274">
        <w:t xml:space="preserve">secure server access </w:t>
      </w:r>
      <w:r>
        <w:t xml:space="preserve">and ‘trusted user’ arrangements are all part of the repertoire of methods </w:t>
      </w:r>
      <w:r w:rsidR="004E0274" w:rsidRPr="004E0274">
        <w:rPr>
          <w:szCs w:val="24"/>
        </w:rPr>
        <w:t>(PC 2017)</w:t>
      </w:r>
      <w:r>
        <w:t xml:space="preserve">. </w:t>
      </w:r>
    </w:p>
    <w:p w14:paraId="3B4ED150" w14:textId="77777777" w:rsidR="0093601B" w:rsidRPr="00F27410" w:rsidRDefault="0093601B" w:rsidP="0093601B">
      <w:pPr>
        <w:pStyle w:val="Heading5"/>
      </w:pPr>
      <w:r>
        <w:t>The power of private feedback</w:t>
      </w:r>
    </w:p>
    <w:p w14:paraId="59C0B058" w14:textId="12C1F19B" w:rsidR="0093601B" w:rsidRDefault="00122309" w:rsidP="0093601B">
      <w:pPr>
        <w:pStyle w:val="BodyText"/>
      </w:pPr>
      <w:r>
        <w:t>T</w:t>
      </w:r>
      <w:r w:rsidR="0093601B" w:rsidRPr="00F27410">
        <w:t xml:space="preserve">he incentives for improvement created by public disclosure could also be </w:t>
      </w:r>
      <w:r>
        <w:t xml:space="preserve">partially </w:t>
      </w:r>
      <w:r w:rsidR="0093601B" w:rsidRPr="00F27410">
        <w:t xml:space="preserve">achieved if service providers </w:t>
      </w:r>
      <w:r w:rsidR="0093601B">
        <w:t xml:space="preserve">or facilities </w:t>
      </w:r>
      <w:r w:rsidR="0093601B" w:rsidRPr="00F27410">
        <w:t xml:space="preserve">were simply told of their own </w:t>
      </w:r>
      <w:r w:rsidR="0093601B">
        <w:t>comparative</w:t>
      </w:r>
      <w:r w:rsidR="0093601B" w:rsidRPr="00F27410">
        <w:t xml:space="preserve"> performance, without public disclosure — for example, allowing an individual police station to know how </w:t>
      </w:r>
      <w:r w:rsidR="0093601B">
        <w:t>its</w:t>
      </w:r>
      <w:r w:rsidR="0093601B" w:rsidRPr="00F27410">
        <w:t xml:space="preserve"> performance compared </w:t>
      </w:r>
      <w:r w:rsidR="00C132A8">
        <w:t>with</w:t>
      </w:r>
      <w:r w:rsidR="00C132A8" w:rsidRPr="00F27410">
        <w:t xml:space="preserve"> </w:t>
      </w:r>
      <w:r w:rsidR="0093601B" w:rsidRPr="00F27410">
        <w:t xml:space="preserve">that of similar stations over several time periods. </w:t>
      </w:r>
      <w:r w:rsidR="0093601B">
        <w:t xml:space="preserve">Similarly, in </w:t>
      </w:r>
      <w:r w:rsidR="00570AB3">
        <w:t>health care</w:t>
      </w:r>
      <w:r w:rsidR="0093601B">
        <w:t>, information provided to a clinician that indicated that they had the highest rate of post</w:t>
      </w:r>
      <w:r w:rsidR="00B277C0">
        <w:noBreakHyphen/>
      </w:r>
      <w:r w:rsidR="0093601B">
        <w:t>operative complications among their peers allows the clinician to assess whether this reflected chance, the riskiness of their client base, or deficiencies in their practices. Many suppliers — as organisations or individuals — want to improve because of a strong belief in the public good goals of their activities or through a competitive spirit (both of these being cited as factors affecting the behaviour of clinicians in some of the Commission’s consultations).</w:t>
      </w:r>
    </w:p>
    <w:p w14:paraId="503A0858" w14:textId="77777777" w:rsidR="0093601B" w:rsidRDefault="0093601B" w:rsidP="0093601B">
      <w:pPr>
        <w:pStyle w:val="BodyText"/>
      </w:pPr>
      <w:r>
        <w:t xml:space="preserve">Similarly, intermediaries (particularly funders) have strong interests in using individual performance metrics to improve consumer outcomes because these often also reduce costs. </w:t>
      </w:r>
    </w:p>
    <w:p w14:paraId="5D5EF2C8" w14:textId="77777777" w:rsidR="0093601B" w:rsidRDefault="0093601B" w:rsidP="0093601B">
      <w:pPr>
        <w:pStyle w:val="BodyText"/>
      </w:pPr>
      <w:r>
        <w:t>L</w:t>
      </w:r>
      <w:r w:rsidRPr="00F27410">
        <w:t xml:space="preserve">imited disclosure </w:t>
      </w:r>
      <w:r>
        <w:t>before full public disclosure can</w:t>
      </w:r>
      <w:r w:rsidRPr="00F27410">
        <w:t xml:space="preserve"> also be employed to </w:t>
      </w:r>
      <w:r>
        <w:t>ensure that new measures provide meaningful performance measures, as well as winning support from the entities or individuals concerned.</w:t>
      </w:r>
    </w:p>
    <w:p w14:paraId="2B789501" w14:textId="2C2DAB16" w:rsidR="00843022" w:rsidRDefault="00843022" w:rsidP="00843022">
      <w:pPr>
        <w:pStyle w:val="Heading3"/>
      </w:pPr>
      <w:r>
        <w:t xml:space="preserve">Measuring performance </w:t>
      </w:r>
      <w:r w:rsidR="00804CAE">
        <w:t>comprehensively</w:t>
      </w:r>
      <w:r>
        <w:t xml:space="preserve"> </w:t>
      </w:r>
    </w:p>
    <w:p w14:paraId="5ED07936" w14:textId="3A428559" w:rsidR="00251B79" w:rsidRDefault="00251B79" w:rsidP="00251B79">
      <w:pPr>
        <w:pStyle w:val="BodyText"/>
      </w:pPr>
      <w:r>
        <w:t>S</w:t>
      </w:r>
      <w:r w:rsidRPr="00F27410">
        <w:t>imilar to the quality</w:t>
      </w:r>
      <w:r w:rsidR="00B277C0">
        <w:noBreakHyphen/>
      </w:r>
      <w:r w:rsidRPr="00F27410">
        <w:t xml:space="preserve">adjustment issues that exist </w:t>
      </w:r>
      <w:r>
        <w:t xml:space="preserve">for </w:t>
      </w:r>
      <w:r w:rsidRPr="00F27410">
        <w:t xml:space="preserve">measures </w:t>
      </w:r>
      <w:r>
        <w:t>of productivity in the national accounts (</w:t>
      </w:r>
      <w:r w:rsidRPr="00D00E58">
        <w:t xml:space="preserve">see </w:t>
      </w:r>
      <w:r w:rsidR="001C6A96">
        <w:t>SP </w:t>
      </w:r>
      <w:r w:rsidR="004E0274" w:rsidRPr="008D23B7">
        <w:t>2</w:t>
      </w:r>
      <w:r>
        <w:t xml:space="preserve">), there are many aspects of a provider’s </w:t>
      </w:r>
      <w:r w:rsidR="004728C5">
        <w:t xml:space="preserve">services that affect their </w:t>
      </w:r>
      <w:r>
        <w:t xml:space="preserve">performance, some of which are </w:t>
      </w:r>
      <w:r w:rsidR="004728C5">
        <w:t>more</w:t>
      </w:r>
      <w:r>
        <w:t xml:space="preserve"> difficult to </w:t>
      </w:r>
      <w:r w:rsidRPr="00F27410">
        <w:t>measure</w:t>
      </w:r>
      <w:r>
        <w:t xml:space="preserve"> and quantify. </w:t>
      </w:r>
      <w:r w:rsidR="004728C5">
        <w:t xml:space="preserve">In particular, </w:t>
      </w:r>
      <w:r w:rsidR="004728C5" w:rsidRPr="00F27410">
        <w:t xml:space="preserve">fuzzier notions of the </w:t>
      </w:r>
      <w:r w:rsidR="004728C5" w:rsidRPr="00F27410">
        <w:rPr>
          <w:i/>
        </w:rPr>
        <w:t>quality</w:t>
      </w:r>
      <w:r w:rsidR="004728C5" w:rsidRPr="00F27410">
        <w:t xml:space="preserve"> of services provided</w:t>
      </w:r>
      <w:r w:rsidR="004728C5" w:rsidRPr="004728C5">
        <w:t xml:space="preserve"> </w:t>
      </w:r>
      <w:r w:rsidR="00CB63B0">
        <w:t xml:space="preserve">can </w:t>
      </w:r>
      <w:r w:rsidR="004728C5" w:rsidRPr="00F27410">
        <w:t xml:space="preserve">often not lend themselves to </w:t>
      </w:r>
      <w:r w:rsidR="004728C5">
        <w:t>easy measurement.</w:t>
      </w:r>
      <w:r w:rsidR="004728C5" w:rsidRPr="004728C5">
        <w:t xml:space="preserve"> </w:t>
      </w:r>
      <w:r w:rsidR="004728C5" w:rsidRPr="00F27410">
        <w:t xml:space="preserve">For example, in the </w:t>
      </w:r>
      <w:r w:rsidR="004728C5">
        <w:t>education</w:t>
      </w:r>
      <w:r w:rsidR="004728C5" w:rsidRPr="00F27410">
        <w:t xml:space="preserve"> sector, although the nature of what makes a particular teacher </w:t>
      </w:r>
      <w:r w:rsidR="004728C5">
        <w:t>‘</w:t>
      </w:r>
      <w:r w:rsidR="004728C5" w:rsidRPr="00F27410">
        <w:t>better</w:t>
      </w:r>
      <w:r w:rsidR="004728C5">
        <w:t>’</w:t>
      </w:r>
      <w:r w:rsidR="004728C5" w:rsidRPr="00F27410">
        <w:t xml:space="preserve"> can be difficult to identify, most </w:t>
      </w:r>
      <w:r w:rsidR="00A94C1A">
        <w:t xml:space="preserve">people </w:t>
      </w:r>
      <w:r w:rsidR="004728C5" w:rsidRPr="00F27410">
        <w:t>would recognise that it involves more than maximis</w:t>
      </w:r>
      <w:r w:rsidR="006F115F">
        <w:t>ation</w:t>
      </w:r>
      <w:r w:rsidR="004728C5" w:rsidRPr="00F27410">
        <w:t xml:space="preserve"> </w:t>
      </w:r>
      <w:r w:rsidR="006F115F">
        <w:t>of</w:t>
      </w:r>
      <w:r w:rsidR="006F115F" w:rsidRPr="00F27410">
        <w:t xml:space="preserve"> </w:t>
      </w:r>
      <w:r w:rsidR="004728C5" w:rsidRPr="00F27410">
        <w:t xml:space="preserve">test results, but </w:t>
      </w:r>
      <w:r w:rsidR="006F115F">
        <w:t xml:space="preserve">also </w:t>
      </w:r>
      <w:r w:rsidR="00A42003">
        <w:t xml:space="preserve">the </w:t>
      </w:r>
      <w:r w:rsidR="006F115F">
        <w:t xml:space="preserve">development </w:t>
      </w:r>
      <w:r w:rsidR="009A3057">
        <w:t xml:space="preserve">of </w:t>
      </w:r>
      <w:r w:rsidR="006F115F">
        <w:t>students</w:t>
      </w:r>
      <w:r w:rsidR="009A3057">
        <w:t>’</w:t>
      </w:r>
      <w:r w:rsidR="006F115F">
        <w:t xml:space="preserve"> broader analytical capabilities, </w:t>
      </w:r>
      <w:r w:rsidR="004728C5" w:rsidRPr="00F27410">
        <w:t>non</w:t>
      </w:r>
      <w:r w:rsidR="00B277C0">
        <w:noBreakHyphen/>
      </w:r>
      <w:r w:rsidR="004728C5" w:rsidRPr="00F27410">
        <w:t>cognitive skills</w:t>
      </w:r>
      <w:r w:rsidR="006F115F">
        <w:t xml:space="preserve"> and a positive ethos of learning</w:t>
      </w:r>
      <w:r w:rsidR="004728C5" w:rsidRPr="00F27410">
        <w:t xml:space="preserve"> </w:t>
      </w:r>
      <w:r w:rsidR="004E0274" w:rsidRPr="004E0274">
        <w:rPr>
          <w:szCs w:val="24"/>
        </w:rPr>
        <w:t>(PC 2016b)</w:t>
      </w:r>
      <w:r w:rsidR="004728C5" w:rsidRPr="00F27410">
        <w:t>.</w:t>
      </w:r>
    </w:p>
    <w:p w14:paraId="6C69FC19" w14:textId="21B2DCD0" w:rsidR="00E904BE" w:rsidRDefault="001C7B6C" w:rsidP="00251B79">
      <w:pPr>
        <w:pStyle w:val="BodyText"/>
      </w:pPr>
      <w:r>
        <w:t>Given the difficulties of measuring these more intangible aspects</w:t>
      </w:r>
      <w:r w:rsidR="00251B79" w:rsidRPr="00F27410">
        <w:t xml:space="preserve">, </w:t>
      </w:r>
      <w:r w:rsidR="004728C5">
        <w:t xml:space="preserve">some comparative </w:t>
      </w:r>
      <w:r w:rsidR="00251B79" w:rsidRPr="00F27410">
        <w:t xml:space="preserve">performance </w:t>
      </w:r>
      <w:r w:rsidR="004728C5">
        <w:t xml:space="preserve">indicators </w:t>
      </w:r>
      <w:r w:rsidR="00251B79">
        <w:t>may simply not</w:t>
      </w:r>
      <w:r w:rsidR="00251B79" w:rsidRPr="00F27410">
        <w:t xml:space="preserve"> include </w:t>
      </w:r>
      <w:r w:rsidR="004728C5">
        <w:t>aspects of service quality</w:t>
      </w:r>
      <w:r w:rsidR="00251B79" w:rsidRPr="00F27410">
        <w:t xml:space="preserve">, or </w:t>
      </w:r>
      <w:r w:rsidR="004728C5">
        <w:t>may</w:t>
      </w:r>
      <w:r w:rsidR="00251B79" w:rsidRPr="00F27410">
        <w:t xml:space="preserve"> use imperfect proxies that are quantifiable </w:t>
      </w:r>
      <w:r w:rsidR="002D08E7">
        <w:t>instead</w:t>
      </w:r>
      <w:r w:rsidR="00B36069">
        <w:t xml:space="preserve">. </w:t>
      </w:r>
      <w:r w:rsidR="004E0274">
        <w:t>W</w:t>
      </w:r>
      <w:r w:rsidR="00B36069">
        <w:t>here quality is not measured or proxy measures are poorly chosen,</w:t>
      </w:r>
      <w:r w:rsidR="00251B79" w:rsidRPr="00F27410">
        <w:t xml:space="preserve"> </w:t>
      </w:r>
      <w:r w:rsidR="00B36069">
        <w:t>a</w:t>
      </w:r>
      <w:r w:rsidR="002D08E7">
        <w:t xml:space="preserve"> </w:t>
      </w:r>
      <w:r w:rsidR="00251B79" w:rsidRPr="00F27410">
        <w:t xml:space="preserve">focus on a narrow range of quantifiable indicators can </w:t>
      </w:r>
      <w:r w:rsidR="004E0274">
        <w:t>create</w:t>
      </w:r>
      <w:r w:rsidR="004E0274" w:rsidRPr="00F27410">
        <w:t xml:space="preserve"> a risk that</w:t>
      </w:r>
      <w:r w:rsidR="00251B79" w:rsidRPr="00F27410">
        <w:t xml:space="preserve"> some providers </w:t>
      </w:r>
      <w:r w:rsidR="004E0274">
        <w:t>will</w:t>
      </w:r>
      <w:r w:rsidR="00251B79" w:rsidRPr="00F27410">
        <w:t xml:space="preserve"> </w:t>
      </w:r>
      <w:r w:rsidR="002D08E7">
        <w:t>neglect</w:t>
      </w:r>
      <w:r w:rsidR="004E0274">
        <w:t xml:space="preserve"> unreported aspects of care or try to ‘game’ the metrics that are reported.</w:t>
      </w:r>
    </w:p>
    <w:p w14:paraId="796DA183" w14:textId="5659D7CA" w:rsidR="00251B79" w:rsidRDefault="00E904BE" w:rsidP="00251B79">
      <w:pPr>
        <w:pStyle w:val="BodyText"/>
      </w:pPr>
      <w:r>
        <w:t>More broadly, some</w:t>
      </w:r>
      <w:r w:rsidR="00B36069">
        <w:t xml:space="preserve"> measures </w:t>
      </w:r>
      <w:r>
        <w:t xml:space="preserve">of performance </w:t>
      </w:r>
      <w:r w:rsidR="00B36069">
        <w:t xml:space="preserve">can also mask considerable variation between providers — for example, the use of quality indicators based </w:t>
      </w:r>
      <w:r w:rsidR="009A3057">
        <w:t xml:space="preserve">only </w:t>
      </w:r>
      <w:r w:rsidR="00B36069">
        <w:t xml:space="preserve">on whether a provider is meeting required </w:t>
      </w:r>
      <w:r w:rsidR="003243F7">
        <w:t xml:space="preserve">service </w:t>
      </w:r>
      <w:r w:rsidR="00B36069">
        <w:t xml:space="preserve">standards </w:t>
      </w:r>
      <w:r w:rsidR="009A3057">
        <w:t>does not allow</w:t>
      </w:r>
      <w:r w:rsidR="00B36069">
        <w:t xml:space="preserve"> for differentiating between providers who excel and those who only just achieve </w:t>
      </w:r>
      <w:r w:rsidR="003243F7">
        <w:t>the standard</w:t>
      </w:r>
      <w:r w:rsidR="00B36069" w:rsidRPr="00F27410">
        <w:t>.</w:t>
      </w:r>
    </w:p>
    <w:p w14:paraId="2C035DB5" w14:textId="03C04D95" w:rsidR="002D08E7" w:rsidRDefault="002D08E7" w:rsidP="004728C5">
      <w:pPr>
        <w:pStyle w:val="BodyText"/>
      </w:pPr>
      <w:r>
        <w:t xml:space="preserve">To mitigate these </w:t>
      </w:r>
      <w:r w:rsidR="00D05CB0">
        <w:t>issues</w:t>
      </w:r>
      <w:r>
        <w:t xml:space="preserve">, governments creating and administering platforms for indicators of comparative performance </w:t>
      </w:r>
      <w:r w:rsidR="00FC7AC3">
        <w:t>sh</w:t>
      </w:r>
      <w:r>
        <w:t xml:space="preserve">ould </w:t>
      </w:r>
      <w:r w:rsidR="00FC7AC3">
        <w:t xml:space="preserve">also </w:t>
      </w:r>
      <w:r>
        <w:t xml:space="preserve">incorporate consumer </w:t>
      </w:r>
      <w:r w:rsidR="00D05CB0">
        <w:t>views of</w:t>
      </w:r>
      <w:r>
        <w:t xml:space="preserve"> service quality into the performance measures</w:t>
      </w:r>
      <w:r w:rsidR="00FC7AC3">
        <w:t xml:space="preserve"> (</w:t>
      </w:r>
      <w:r w:rsidR="00D05CB0">
        <w:t>including through</w:t>
      </w:r>
      <w:r w:rsidR="00FC7AC3">
        <w:t xml:space="preserve"> </w:t>
      </w:r>
      <w:r w:rsidR="00A94C1A">
        <w:t xml:space="preserve">surveys </w:t>
      </w:r>
      <w:r w:rsidR="00E904BE">
        <w:t>or feedback</w:t>
      </w:r>
      <w:r w:rsidR="00E904BE" w:rsidRPr="00D05CB0">
        <w:t xml:space="preserve"> </w:t>
      </w:r>
      <w:r w:rsidR="00E904BE">
        <w:t>mechanisms that account for</w:t>
      </w:r>
      <w:r w:rsidR="00A94C1A">
        <w:t xml:space="preserve"> consumer experiences</w:t>
      </w:r>
      <w:r w:rsidR="00D05CB0" w:rsidRPr="00D05CB0">
        <w:t xml:space="preserve"> </w:t>
      </w:r>
      <w:r w:rsidR="00E904BE">
        <w:t>with individual service providers</w:t>
      </w:r>
      <w:r w:rsidR="00FC7AC3">
        <w:t>)</w:t>
      </w:r>
      <w:r w:rsidR="0033355B">
        <w:t>.</w:t>
      </w:r>
      <w:r w:rsidR="00D31057">
        <w:t xml:space="preserve"> There is hostility to consumer feedback in some settings — exemplified by the </w:t>
      </w:r>
      <w:r w:rsidR="00D95ADB">
        <w:t>mixed</w:t>
      </w:r>
      <w:r w:rsidR="00D31057">
        <w:t xml:space="preserve"> views about the value of student evaluations of teacher performance</w:t>
      </w:r>
      <w:r w:rsidR="00C132A8">
        <w:t>.</w:t>
      </w:r>
      <w:r w:rsidR="004E0274" w:rsidRPr="00441F05">
        <w:rPr>
          <w:rStyle w:val="FootnoteReference"/>
        </w:rPr>
        <w:footnoteReference w:id="7"/>
      </w:r>
      <w:r w:rsidR="00D95ADB">
        <w:t xml:space="preserve"> </w:t>
      </w:r>
      <w:r w:rsidR="0059161D">
        <w:t xml:space="preserve">However, </w:t>
      </w:r>
      <w:r w:rsidR="00791F67">
        <w:t>opposition in some quarters</w:t>
      </w:r>
      <w:r w:rsidR="0059161D">
        <w:t xml:space="preserve"> sh</w:t>
      </w:r>
      <w:r w:rsidR="000A1921">
        <w:t xml:space="preserve">ould not imply that </w:t>
      </w:r>
      <w:r w:rsidR="0059161D">
        <w:t>consumer feedback mechanisms are</w:t>
      </w:r>
      <w:r w:rsidR="000A1921">
        <w:t xml:space="preserve"> wrong</w:t>
      </w:r>
      <w:r w:rsidR="00B277C0">
        <w:noBreakHyphen/>
      </w:r>
      <w:r w:rsidR="000A1921">
        <w:t xml:space="preserve">headed. Context matters in many studies (is it a school or a university, </w:t>
      </w:r>
      <w:r w:rsidR="00761B62">
        <w:t>how many students filled in the survey</w:t>
      </w:r>
      <w:r w:rsidR="00D95ADB">
        <w:t xml:space="preserve"> and</w:t>
      </w:r>
      <w:r w:rsidR="00761B62">
        <w:t xml:space="preserve"> </w:t>
      </w:r>
      <w:r w:rsidR="00D95ADB">
        <w:t xml:space="preserve">over what period, </w:t>
      </w:r>
      <w:r w:rsidR="00494A5A">
        <w:t xml:space="preserve">what is the nature of student assessment questionnaire, what is the goal of the assessment, </w:t>
      </w:r>
      <w:r w:rsidR="000A1921">
        <w:t>what is the subject</w:t>
      </w:r>
      <w:r w:rsidR="00494A5A">
        <w:t>?</w:t>
      </w:r>
      <w:r w:rsidR="00D95ADB">
        <w:t xml:space="preserve">). More might need to be done to refine and interpret the tools in their various settings, but the notion that feedback from </w:t>
      </w:r>
      <w:r w:rsidR="00E353E1">
        <w:t>students has no value should not be accepted uncritically. The same applies to the feedback from the customers of other government services.</w:t>
      </w:r>
      <w:r w:rsidR="00D5480B">
        <w:t xml:space="preserve"> </w:t>
      </w:r>
      <w:r w:rsidR="00143BE1">
        <w:t>Similarly,</w:t>
      </w:r>
      <w:r w:rsidR="00D5480B">
        <w:t xml:space="preserve"> context</w:t>
      </w:r>
      <w:r w:rsidR="00143BE1">
        <w:t>ual information</w:t>
      </w:r>
      <w:r w:rsidR="00D5480B">
        <w:t xml:space="preserve"> from service providers on </w:t>
      </w:r>
      <w:r w:rsidR="00143BE1">
        <w:t xml:space="preserve">significant </w:t>
      </w:r>
      <w:r w:rsidR="00D5480B">
        <w:t>extraordinary factors that have skewed performance is also important</w:t>
      </w:r>
      <w:r w:rsidR="00143BE1">
        <w:t xml:space="preserve"> for interpretation.</w:t>
      </w:r>
    </w:p>
    <w:p w14:paraId="4B780568" w14:textId="2C716B6A" w:rsidR="00800F6C" w:rsidRPr="00F27410" w:rsidRDefault="00800F6C" w:rsidP="00800F6C">
      <w:pPr>
        <w:pStyle w:val="Heading4"/>
      </w:pPr>
      <w:r>
        <w:t>Valid</w:t>
      </w:r>
      <w:r w:rsidRPr="00F27410">
        <w:t xml:space="preserve"> comparisons </w:t>
      </w:r>
      <w:r>
        <w:t>— r</w:t>
      </w:r>
      <w:r w:rsidRPr="00F27410">
        <w:t>isk</w:t>
      </w:r>
      <w:r w:rsidR="00B277C0">
        <w:noBreakHyphen/>
      </w:r>
      <w:r w:rsidRPr="00F27410">
        <w:t>adjust</w:t>
      </w:r>
      <w:r>
        <w:t>ed</w:t>
      </w:r>
      <w:r w:rsidRPr="00F27410">
        <w:t xml:space="preserve"> </w:t>
      </w:r>
      <w:r>
        <w:t>and value</w:t>
      </w:r>
      <w:r w:rsidR="00B277C0">
        <w:noBreakHyphen/>
      </w:r>
      <w:r>
        <w:t>added measures</w:t>
      </w:r>
      <w:r w:rsidRPr="00F27410">
        <w:t xml:space="preserve"> </w:t>
      </w:r>
    </w:p>
    <w:p w14:paraId="5674348E" w14:textId="1690E9E4" w:rsidR="00800F6C" w:rsidRPr="00F27410" w:rsidRDefault="00C132A8" w:rsidP="00800F6C">
      <w:pPr>
        <w:pStyle w:val="BodyText"/>
      </w:pPr>
      <w:r>
        <w:t>C</w:t>
      </w:r>
      <w:r w:rsidR="00800F6C" w:rsidRPr="00F27410">
        <w:t xml:space="preserve">omparisons between providers also need to be </w:t>
      </w:r>
      <w:r w:rsidR="00800F6C">
        <w:t>valid.</w:t>
      </w:r>
      <w:r w:rsidR="00800F6C" w:rsidRPr="00F27410">
        <w:t xml:space="preserve"> </w:t>
      </w:r>
      <w:r w:rsidR="00800F6C">
        <w:t>For example, students in selective schools perform on average better than non</w:t>
      </w:r>
      <w:r w:rsidR="00800F6C">
        <w:noBreakHyphen/>
        <w:t>selective schools, which might suggest that high</w:t>
      </w:r>
      <w:r w:rsidR="00800F6C">
        <w:noBreakHyphen/>
        <w:t>ability students should move to selective schools. However, the empirical evidence suggests that high</w:t>
      </w:r>
      <w:r w:rsidR="00800F6C">
        <w:noBreakHyphen/>
        <w:t xml:space="preserve">ability students actually perform worse than they would have, had they not moved </w:t>
      </w:r>
      <w:r w:rsidR="00800F6C" w:rsidRPr="00C50E12">
        <w:rPr>
          <w:szCs w:val="24"/>
        </w:rPr>
        <w:t>(Marsh and Hau 2003)</w:t>
      </w:r>
      <w:r w:rsidR="00800F6C">
        <w:t xml:space="preserve">. The key problem is selection bias — schools perform differently, but much of it is due to the different traits of their students, which are outside the control of the school. A similar concern applies to the interpretation of the differences in outcomes for, say </w:t>
      </w:r>
      <w:r w:rsidR="00800F6C" w:rsidRPr="00F27410">
        <w:t xml:space="preserve">the crude </w:t>
      </w:r>
      <w:r w:rsidR="00800F6C">
        <w:t>exam scores</w:t>
      </w:r>
      <w:r w:rsidR="00800F6C" w:rsidRPr="00F27410">
        <w:t xml:space="preserve"> of a wealthy, private metropolitan </w:t>
      </w:r>
      <w:r w:rsidR="00800F6C">
        <w:t>school</w:t>
      </w:r>
      <w:r w:rsidR="00800F6C" w:rsidRPr="00F27410">
        <w:t xml:space="preserve"> with a remote </w:t>
      </w:r>
      <w:r w:rsidR="00800F6C">
        <w:t>school</w:t>
      </w:r>
      <w:r w:rsidR="00800F6C" w:rsidRPr="00F27410">
        <w:t xml:space="preserve"> in a </w:t>
      </w:r>
      <w:r w:rsidR="00800F6C">
        <w:t>disadvantaged</w:t>
      </w:r>
      <w:r w:rsidR="00800F6C" w:rsidRPr="00F27410">
        <w:t xml:space="preserve"> region — the two facilities have large disparities in their available resources</w:t>
      </w:r>
      <w:r w:rsidR="00800F6C">
        <w:t xml:space="preserve"> and the inherent characteristics of their students and families. </w:t>
      </w:r>
    </w:p>
    <w:p w14:paraId="65FD8EAD" w14:textId="73135C09" w:rsidR="00800F6C" w:rsidRDefault="00800F6C" w:rsidP="00800F6C">
      <w:pPr>
        <w:pStyle w:val="BodyText"/>
      </w:pPr>
      <w:r>
        <w:t xml:space="preserve">One partial remedy is to adjust </w:t>
      </w:r>
      <w:r w:rsidRPr="00F27410">
        <w:t xml:space="preserve">performance indicators </w:t>
      </w:r>
      <w:r>
        <w:t xml:space="preserve">to remove the key factors that affect performance, but that are outside the control of any given provider. </w:t>
      </w:r>
      <w:r w:rsidR="00565851">
        <w:t>These ‘r</w:t>
      </w:r>
      <w:r w:rsidR="009073FB">
        <w:t>isk</w:t>
      </w:r>
      <w:r w:rsidR="00B277C0">
        <w:noBreakHyphen/>
      </w:r>
      <w:r w:rsidR="009073FB" w:rsidRPr="009073FB">
        <w:t>adjusted</w:t>
      </w:r>
      <w:r w:rsidR="00565851">
        <w:t>’</w:t>
      </w:r>
      <w:r w:rsidR="009073FB" w:rsidRPr="009073FB">
        <w:t xml:space="preserve"> measures aim to control the part of </w:t>
      </w:r>
      <w:r w:rsidR="009073FB">
        <w:t xml:space="preserve">the </w:t>
      </w:r>
      <w:r w:rsidR="009073FB" w:rsidRPr="009073FB">
        <w:t xml:space="preserve">different outcomes explained by </w:t>
      </w:r>
      <w:r>
        <w:t xml:space="preserve">the underlying risk characteristics of </w:t>
      </w:r>
      <w:r w:rsidR="00565851">
        <w:t xml:space="preserve">the </w:t>
      </w:r>
      <w:r w:rsidR="00D843BC">
        <w:t>client</w:t>
      </w:r>
      <w:r>
        <w:t xml:space="preserve"> group (for example, people receiving treatment for disease Y who also have disease X, compared with those with disease Y and no co</w:t>
      </w:r>
      <w:r w:rsidR="001D4802">
        <w:noBreakHyphen/>
      </w:r>
      <w:r>
        <w:t xml:space="preserve">morbidity). </w:t>
      </w:r>
      <w:r w:rsidR="00240BBE">
        <w:t>In essence, risk</w:t>
      </w:r>
      <w:r w:rsidR="00565851">
        <w:noBreakHyphen/>
      </w:r>
      <w:r w:rsidR="00240BBE">
        <w:t>adjustment measures the effectiveness of any provider in achieving an outcome after controlling for the different characteristics of the population.</w:t>
      </w:r>
    </w:p>
    <w:p w14:paraId="340472FB" w14:textId="5D5B1C92" w:rsidR="00800F6C" w:rsidRDefault="00800F6C" w:rsidP="00800F6C">
      <w:pPr>
        <w:pStyle w:val="BodyText"/>
      </w:pPr>
      <w:r>
        <w:t xml:space="preserve">While mostly used in contexts outside </w:t>
      </w:r>
      <w:r w:rsidR="00570AB3">
        <w:t>health care</w:t>
      </w:r>
      <w:r>
        <w:t xml:space="preserve"> — </w:t>
      </w:r>
      <w:r w:rsidR="00E16D2F">
        <w:t>particularly in</w:t>
      </w:r>
      <w:r>
        <w:t xml:space="preserve"> schooling — the concept of ‘value</w:t>
      </w:r>
      <w:r>
        <w:noBreakHyphen/>
        <w:t xml:space="preserve">added’ adjustment is </w:t>
      </w:r>
      <w:r w:rsidR="00240BBE">
        <w:t>very similar, but with adjustments for expected outcomes and growth over time</w:t>
      </w:r>
      <w:r>
        <w:t xml:space="preserve">. </w:t>
      </w:r>
      <w:r w:rsidR="00240BBE">
        <w:t xml:space="preserve">In particular, </w:t>
      </w:r>
      <w:r w:rsidR="00240BBE" w:rsidRPr="00240BBE">
        <w:t>value</w:t>
      </w:r>
      <w:r w:rsidR="00B277C0">
        <w:noBreakHyphen/>
      </w:r>
      <w:r w:rsidR="00240BBE" w:rsidRPr="00240BBE">
        <w:t xml:space="preserve">added analysis focuses on the value that a </w:t>
      </w:r>
      <w:r w:rsidR="00240BBE">
        <w:t>provider</w:t>
      </w:r>
      <w:r w:rsidR="00240BBE" w:rsidRPr="00240BBE">
        <w:t xml:space="preserve"> has </w:t>
      </w:r>
      <w:r w:rsidR="00240BBE">
        <w:t>given to consumers</w:t>
      </w:r>
      <w:r w:rsidR="00240BBE" w:rsidRPr="00240BBE">
        <w:t xml:space="preserve">, over and above </w:t>
      </w:r>
      <w:r w:rsidR="00240BBE">
        <w:t>what would be</w:t>
      </w:r>
      <w:r w:rsidR="00240BBE" w:rsidRPr="00240BBE">
        <w:t xml:space="preserve"> expected given the</w:t>
      </w:r>
      <w:r w:rsidR="00B73899">
        <w:t>ir</w:t>
      </w:r>
      <w:r w:rsidR="00240BBE" w:rsidRPr="00240BBE">
        <w:t xml:space="preserve"> backgrounds and prior </w:t>
      </w:r>
      <w:r w:rsidR="00240BBE">
        <w:t>circumstances. For schooling, value</w:t>
      </w:r>
      <w:r w:rsidR="00B277C0">
        <w:noBreakHyphen/>
      </w:r>
      <w:r w:rsidR="00240BBE">
        <w:t xml:space="preserve">added outcomes are most commonly measured through the equivalent years of education achieved each school year — </w:t>
      </w:r>
      <w:r w:rsidR="00B73899">
        <w:t>thus students who achieve more than one year’s worth of learning in a given year are likely being taught well, even if their</w:t>
      </w:r>
      <w:r w:rsidR="002522A9">
        <w:t xml:space="preserve"> overall</w:t>
      </w:r>
      <w:r w:rsidR="00B73899">
        <w:t xml:space="preserve"> test scores are comparably worse </w:t>
      </w:r>
      <w:r w:rsidR="004E0274" w:rsidRPr="004E0274">
        <w:rPr>
          <w:szCs w:val="24"/>
        </w:rPr>
        <w:t>(Kim and Lalancette 2013; PC 2016b)</w:t>
      </w:r>
      <w:r w:rsidR="000A1CDF">
        <w:t>.</w:t>
      </w:r>
    </w:p>
    <w:p w14:paraId="02291452" w14:textId="45EB9ED5" w:rsidR="00800F6C" w:rsidRDefault="00800F6C" w:rsidP="00800F6C">
      <w:pPr>
        <w:pStyle w:val="BodyText"/>
      </w:pPr>
      <w:r>
        <w:t>Risk</w:t>
      </w:r>
      <w:r>
        <w:noBreakHyphen/>
        <w:t>adjusted or value</w:t>
      </w:r>
      <w:r w:rsidR="00B277C0">
        <w:noBreakHyphen/>
      </w:r>
      <w:r>
        <w:t>added measures are intended to simulate the outcome of random</w:t>
      </w:r>
      <w:r w:rsidR="00517C4B">
        <w:t>ised</w:t>
      </w:r>
      <w:r>
        <w:noBreakHyphen/>
        <w:t>control trials, assessing the impacts of any given service provider (school, hospital, physician and so on) as if customers were randomly assigned to them. Without proper risk</w:t>
      </w:r>
      <w:r>
        <w:noBreakHyphen/>
      </w:r>
      <w:r w:rsidRPr="00F27410">
        <w:t>adjustment in published performance data, providers may have</w:t>
      </w:r>
      <w:r>
        <w:t xml:space="preserve"> perverse incentives to ‘cherry</w:t>
      </w:r>
      <w:r w:rsidR="00B277C0">
        <w:noBreakHyphen/>
      </w:r>
      <w:r w:rsidRPr="00F27410">
        <w:t xml:space="preserve">pick’ the easiest customers </w:t>
      </w:r>
      <w:r>
        <w:t>in order to influence their results. F</w:t>
      </w:r>
      <w:r w:rsidRPr="00F27410">
        <w:t>or example, surgeons may choose to avoid treating more co</w:t>
      </w:r>
      <w:r>
        <w:t>mplex cases</w:t>
      </w:r>
      <w:r w:rsidRPr="00F27410">
        <w:t xml:space="preserve"> </w:t>
      </w:r>
      <w:r w:rsidRPr="0050644B">
        <w:rPr>
          <w:szCs w:val="24"/>
        </w:rPr>
        <w:t>(Fung et al. 2008; PC 2015; Totten et al. 2012)</w:t>
      </w:r>
      <w:r w:rsidRPr="00F27410">
        <w:t>. Examples of how risk</w:t>
      </w:r>
      <w:r w:rsidRPr="00F27410">
        <w:noBreakHyphen/>
        <w:t xml:space="preserve">adjustment occurs </w:t>
      </w:r>
      <w:r>
        <w:t xml:space="preserve">on the </w:t>
      </w:r>
      <w:r w:rsidRPr="00B86A49">
        <w:rPr>
          <w:i/>
        </w:rPr>
        <w:t>My Hospitals</w:t>
      </w:r>
      <w:r>
        <w:t xml:space="preserve"> and </w:t>
      </w:r>
      <w:r w:rsidRPr="00B86A49">
        <w:rPr>
          <w:i/>
        </w:rPr>
        <w:t>My School</w:t>
      </w:r>
      <w:r>
        <w:t xml:space="preserve"> websites </w:t>
      </w:r>
      <w:r w:rsidR="00C132A8">
        <w:t>are in</w:t>
      </w:r>
      <w:r>
        <w:t xml:space="preserve"> b</w:t>
      </w:r>
      <w:r w:rsidRPr="00F27410">
        <w:t>ox</w:t>
      </w:r>
      <w:r w:rsidR="00B277C0">
        <w:t> </w:t>
      </w:r>
      <w:r w:rsidR="00D843BC">
        <w:t>4</w:t>
      </w:r>
      <w:r w:rsidRPr="00F27410">
        <w:t>.</w:t>
      </w:r>
      <w:r>
        <w:t xml:space="preserve"> </w:t>
      </w:r>
    </w:p>
    <w:p w14:paraId="5A1595B5" w14:textId="77777777" w:rsidR="0091340F" w:rsidRPr="00F27410" w:rsidRDefault="0091340F" w:rsidP="0091340F">
      <w:pPr>
        <w:pStyle w:val="BodyText"/>
      </w:pPr>
      <w:r>
        <w:t>However, such adjustment is imperfect for many reasons. First, some of the factors that affect performance are not easily observable. Second, a ‘like with like’ comparison only relates to average performance outcomes, whereas many customers want to know how a particular service will perform for them. For instance, the fact that school A produces better outcomes on average than school B after controlling for the influences of the characteristics of the students, does not answer the question relevant to a parent: ‘How</w:t>
      </w:r>
      <w:r w:rsidRPr="00F27410">
        <w:t xml:space="preserve"> </w:t>
      </w:r>
      <w:r>
        <w:t xml:space="preserve">well will </w:t>
      </w:r>
      <w:r w:rsidRPr="00D94B31">
        <w:rPr>
          <w:i/>
        </w:rPr>
        <w:t>my</w:t>
      </w:r>
      <w:r>
        <w:t xml:space="preserve"> child do at this school rather than that one?’ Sophisticated performance measures would take into account the nature of the customer, producing bespoke comparisons. It may be that the application of data analytics will ultimately head in this direction, but such an approach is still a way off for those services where it is most likely to apply (such as education or career advice). In the meantime, imperfect risk adjustment, appropriately interpreted, is probably the best that can be done.</w:t>
      </w:r>
    </w:p>
    <w:p w14:paraId="7BEBEF3C" w14:textId="02583207" w:rsidR="00800F6C" w:rsidRDefault="00800F6C" w:rsidP="00800F6C">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800F6C" w14:paraId="044FC914" w14:textId="77777777" w:rsidTr="00DE10E9">
        <w:tc>
          <w:tcPr>
            <w:tcW w:w="8771" w:type="dxa"/>
            <w:tcBorders>
              <w:top w:val="single" w:sz="6" w:space="0" w:color="78A22F"/>
              <w:left w:val="nil"/>
              <w:bottom w:val="nil"/>
              <w:right w:val="nil"/>
            </w:tcBorders>
            <w:shd w:val="clear" w:color="auto" w:fill="F2F2F2"/>
          </w:tcPr>
          <w:p w14:paraId="2545DD84" w14:textId="4B1D6FAE" w:rsidR="00800F6C" w:rsidRDefault="00800F6C" w:rsidP="004C6BAF">
            <w:pPr>
              <w:pStyle w:val="BoxTitle"/>
            </w:pPr>
            <w:r>
              <w:rPr>
                <w:b w:val="0"/>
              </w:rPr>
              <w:t xml:space="preserve">Box </w:t>
            </w:r>
            <w:r w:rsidR="005A28E9">
              <w:rPr>
                <w:b w:val="0"/>
                <w:noProof/>
              </w:rPr>
              <w:t>4</w:t>
            </w:r>
            <w:r>
              <w:tab/>
            </w:r>
            <w:r w:rsidRPr="00360EF2">
              <w:t>Risk</w:t>
            </w:r>
            <w:r w:rsidR="00B277C0">
              <w:noBreakHyphen/>
            </w:r>
            <w:r w:rsidRPr="00360EF2">
              <w:t>adjustment in practice</w:t>
            </w:r>
          </w:p>
        </w:tc>
      </w:tr>
      <w:tr w:rsidR="00800F6C" w14:paraId="6D301761" w14:textId="77777777" w:rsidTr="00DE10E9">
        <w:tc>
          <w:tcPr>
            <w:tcW w:w="8771" w:type="dxa"/>
            <w:tcBorders>
              <w:top w:val="nil"/>
              <w:left w:val="nil"/>
              <w:bottom w:val="nil"/>
              <w:right w:val="nil"/>
            </w:tcBorders>
            <w:shd w:val="clear" w:color="auto" w:fill="F2F2F2"/>
          </w:tcPr>
          <w:p w14:paraId="03E1B99E" w14:textId="096EF3C0" w:rsidR="00800F6C" w:rsidRPr="000F0744" w:rsidRDefault="00800F6C" w:rsidP="0074494C">
            <w:pPr>
              <w:pStyle w:val="Box"/>
            </w:pPr>
            <w:r w:rsidRPr="000F0744">
              <w:t>For schools, some risk</w:t>
            </w:r>
            <w:r w:rsidR="00B277C0">
              <w:noBreakHyphen/>
            </w:r>
            <w:r w:rsidRPr="000F0744">
              <w:t xml:space="preserve">adjustment already occurs on the </w:t>
            </w:r>
            <w:r w:rsidRPr="000F0744">
              <w:rPr>
                <w:i/>
              </w:rPr>
              <w:t>My School</w:t>
            </w:r>
            <w:r w:rsidRPr="000F0744">
              <w:t xml:space="preserve"> website through the use of the index of community socio</w:t>
            </w:r>
            <w:r w:rsidR="00B277C0">
              <w:noBreakHyphen/>
            </w:r>
            <w:r w:rsidRPr="000F0744">
              <w:t xml:space="preserve">educational advantage (ICSEA). The index, developed by </w:t>
            </w:r>
            <w:r w:rsidR="001D4802" w:rsidRPr="001D4802">
              <w:t xml:space="preserve">Australian Curriculum, Assessment and Reporting Authority </w:t>
            </w:r>
            <w:r w:rsidR="001D4802">
              <w:t>(</w:t>
            </w:r>
            <w:r w:rsidRPr="000F0744">
              <w:t>ACARA</w:t>
            </w:r>
            <w:r w:rsidR="001D4802">
              <w:t>)</w:t>
            </w:r>
            <w:r w:rsidRPr="000F0744">
              <w:t>, accounts for</w:t>
            </w:r>
            <w:r w:rsidR="00E40250">
              <w:t xml:space="preserve"> characteristics such as</w:t>
            </w:r>
            <w:r w:rsidRPr="000F0744">
              <w:t xml:space="preserve"> the geographic location of the school, and the occupations and education of students’ parents. The average value of ICSE</w:t>
            </w:r>
            <w:r w:rsidR="00B277C0">
              <w:t>A scores is set at 1</w:t>
            </w:r>
            <w:r w:rsidRPr="000F0744">
              <w:t xml:space="preserve">000, with lower scores denoting greater disadvantage. Test results on the </w:t>
            </w:r>
            <w:r w:rsidRPr="000F0744">
              <w:rPr>
                <w:i/>
              </w:rPr>
              <w:t>My School</w:t>
            </w:r>
            <w:r w:rsidRPr="000F0744">
              <w:t xml:space="preserve"> website are then typically compared with the group of 60 schools that have the closest ICSEA values.</w:t>
            </w:r>
          </w:p>
          <w:p w14:paraId="2AE4F599" w14:textId="4DDF097A" w:rsidR="000F0744" w:rsidRDefault="000F0744" w:rsidP="000F0744">
            <w:pPr>
              <w:pStyle w:val="Box"/>
            </w:pPr>
            <w:r>
              <w:t>For hospitals, the New South Wales Bur</w:t>
            </w:r>
            <w:r w:rsidRPr="000F0744">
              <w:t>eau of Health Information</w:t>
            </w:r>
            <w:r>
              <w:t xml:space="preserve"> (BHI) has developed a 30</w:t>
            </w:r>
            <w:r>
              <w:noBreakHyphen/>
            </w:r>
            <w:r w:rsidRPr="000F0744">
              <w:t>day Risk</w:t>
            </w:r>
            <w:r w:rsidR="00B277C0">
              <w:noBreakHyphen/>
            </w:r>
            <w:r w:rsidRPr="000F0744">
              <w:t xml:space="preserve">Standardised Mortality Ratio (RSMR) indicator </w:t>
            </w:r>
            <w:r>
              <w:t xml:space="preserve">to </w:t>
            </w:r>
            <w:r w:rsidRPr="000F0744">
              <w:t>highlight outlier hospitals in the state</w:t>
            </w:r>
            <w:r>
              <w:t xml:space="preserve">. The measure </w:t>
            </w:r>
            <w:r w:rsidRPr="000F0744">
              <w:t xml:space="preserve">calculates a ratio of expected </w:t>
            </w:r>
            <w:r>
              <w:t xml:space="preserve">deaths </w:t>
            </w:r>
            <w:r w:rsidR="006C7230">
              <w:t>(based on condition specific indicators, including gender, age and co</w:t>
            </w:r>
            <w:r w:rsidR="00B277C0">
              <w:noBreakHyphen/>
            </w:r>
            <w:r w:rsidR="006C7230">
              <w:t xml:space="preserve">morbidities) </w:t>
            </w:r>
            <w:r>
              <w:t xml:space="preserve">to the </w:t>
            </w:r>
            <w:r w:rsidRPr="000F0744">
              <w:t xml:space="preserve">deaths </w:t>
            </w:r>
            <w:r>
              <w:t xml:space="preserve">that were actually observed </w:t>
            </w:r>
            <w:r w:rsidRPr="000F0744">
              <w:t>in the 30</w:t>
            </w:r>
            <w:r w:rsidR="00B277C0">
              <w:noBreakHyphen/>
            </w:r>
            <w:r w:rsidRPr="000F0744">
              <w:t xml:space="preserve">days following </w:t>
            </w:r>
            <w:r>
              <w:t xml:space="preserve">hospital </w:t>
            </w:r>
            <w:r w:rsidRPr="000F0744">
              <w:t>admission for selected conditions</w:t>
            </w:r>
            <w:r>
              <w:t xml:space="preserve"> (including </w:t>
            </w:r>
            <w:r w:rsidRPr="000F0744">
              <w:t>acute myocardial infarction</w:t>
            </w:r>
            <w:r w:rsidR="002522A9">
              <w:t>, ischaemic stroke,</w:t>
            </w:r>
            <w:r w:rsidRPr="000F0744">
              <w:t xml:space="preserve"> haemorrhagic stroke</w:t>
            </w:r>
            <w:r w:rsidR="002522A9">
              <w:t>,</w:t>
            </w:r>
            <w:r w:rsidRPr="000F0744">
              <w:t xml:space="preserve"> </w:t>
            </w:r>
            <w:r w:rsidR="002522A9">
              <w:t>pneumonia,</w:t>
            </w:r>
            <w:r w:rsidRPr="000F0744">
              <w:t xml:space="preserve"> </w:t>
            </w:r>
            <w:r>
              <w:t xml:space="preserve">and </w:t>
            </w:r>
            <w:r w:rsidRPr="000F0744">
              <w:t>hip fracture surgery)</w:t>
            </w:r>
            <w:r w:rsidR="006C7230">
              <w:t>.</w:t>
            </w:r>
          </w:p>
          <w:p w14:paraId="18576E53" w14:textId="1268B4EC" w:rsidR="00800F6C" w:rsidRPr="000F0744" w:rsidRDefault="00800F6C" w:rsidP="002522A9">
            <w:pPr>
              <w:pStyle w:val="Box"/>
            </w:pPr>
            <w:r w:rsidRPr="000F0744">
              <w:t xml:space="preserve">In </w:t>
            </w:r>
            <w:r w:rsidR="00570AB3">
              <w:t>health care</w:t>
            </w:r>
            <w:r w:rsidRPr="000F0744">
              <w:t xml:space="preserve"> more broadly, a hospital’s performance can also be adjusted for differences in the mix of patients treated (</w:t>
            </w:r>
            <w:r w:rsidR="00B73899">
              <w:t>including their demographics, procedure type, length of stay and other</w:t>
            </w:r>
            <w:r w:rsidR="002522A9">
              <w:t xml:space="preserve"> factor</w:t>
            </w:r>
            <w:r w:rsidR="00B73899">
              <w:t xml:space="preserve">s, </w:t>
            </w:r>
            <w:r w:rsidRPr="000F0744">
              <w:t xml:space="preserve">known as the </w:t>
            </w:r>
            <w:r w:rsidR="00B73899">
              <w:t>‘</w:t>
            </w:r>
            <w:r w:rsidRPr="000F0744">
              <w:t>casemix</w:t>
            </w:r>
            <w:r w:rsidR="00B73899">
              <w:t>’</w:t>
            </w:r>
            <w:r w:rsidRPr="000F0744">
              <w:t xml:space="preserve">) </w:t>
            </w:r>
            <w:r w:rsidR="00DA167A">
              <w:t xml:space="preserve">in order </w:t>
            </w:r>
            <w:r w:rsidRPr="000F0744">
              <w:t xml:space="preserve">for results to be comparable across </w:t>
            </w:r>
            <w:r w:rsidR="002522A9">
              <w:t>providers</w:t>
            </w:r>
            <w:r w:rsidRPr="000F0744">
              <w:t xml:space="preserve"> and across time. </w:t>
            </w:r>
            <w:r w:rsidR="00B73899">
              <w:t xml:space="preserve">As a </w:t>
            </w:r>
            <w:r w:rsidR="002522A9">
              <w:t>basic</w:t>
            </w:r>
            <w:r w:rsidRPr="000F0744">
              <w:t xml:space="preserve"> example</w:t>
            </w:r>
            <w:r w:rsidR="002522A9">
              <w:t xml:space="preserve"> of this adjustment</w:t>
            </w:r>
            <w:r w:rsidRPr="000F0744">
              <w:t xml:space="preserve">, the </w:t>
            </w:r>
            <w:r w:rsidR="001D4802">
              <w:t>Australian Institute of Health and Welfare (</w:t>
            </w:r>
            <w:r w:rsidRPr="000F0744">
              <w:t>AIHW</w:t>
            </w:r>
            <w:r w:rsidR="001D4802">
              <w:t>)</w:t>
            </w:r>
            <w:r w:rsidRPr="000F0744">
              <w:t xml:space="preserve"> publishes rates of cancer incidence and mortality that are age</w:t>
            </w:r>
            <w:r w:rsidRPr="000F0744">
              <w:noBreakHyphen/>
              <w:t>standardised over time (rather than just crude rates) to reflect Australia’s ageing population and that cancer incidence and mortality strongly depend on age.</w:t>
            </w:r>
          </w:p>
        </w:tc>
      </w:tr>
      <w:tr w:rsidR="00800F6C" w14:paraId="6B632090" w14:textId="77777777" w:rsidTr="00DE10E9">
        <w:trPr>
          <w:trHeight w:val="327"/>
        </w:trPr>
        <w:tc>
          <w:tcPr>
            <w:tcW w:w="8771" w:type="dxa"/>
            <w:tcBorders>
              <w:top w:val="nil"/>
              <w:left w:val="nil"/>
              <w:bottom w:val="nil"/>
              <w:right w:val="nil"/>
            </w:tcBorders>
            <w:shd w:val="clear" w:color="auto" w:fill="F2F2F2"/>
          </w:tcPr>
          <w:p w14:paraId="68FDCB0A" w14:textId="287484D1" w:rsidR="00800F6C" w:rsidRDefault="00800F6C" w:rsidP="009739E1">
            <w:pPr>
              <w:pStyle w:val="BoxSource"/>
            </w:pPr>
            <w:r>
              <w:rPr>
                <w:i/>
              </w:rPr>
              <w:t>Sources</w:t>
            </w:r>
            <w:r w:rsidRPr="00167F06">
              <w:t xml:space="preserve">: </w:t>
            </w:r>
            <w:r w:rsidR="00524FC2" w:rsidRPr="0004279C">
              <w:rPr>
                <w:rFonts w:cs="Arial"/>
                <w:szCs w:val="24"/>
              </w:rPr>
              <w:t>ACARA</w:t>
            </w:r>
            <w:r w:rsidR="00524FC2">
              <w:rPr>
                <w:rFonts w:cs="Arial"/>
                <w:szCs w:val="24"/>
              </w:rPr>
              <w:t xml:space="preserve"> </w:t>
            </w:r>
            <w:r w:rsidR="00524FC2" w:rsidRPr="00524FC2">
              <w:rPr>
                <w:rFonts w:cs="Arial"/>
              </w:rPr>
              <w:t>(2015)</w:t>
            </w:r>
            <w:r w:rsidR="0045693B">
              <w:t xml:space="preserve">; </w:t>
            </w:r>
            <w:r w:rsidR="00524FC2">
              <w:t xml:space="preserve">AIHW </w:t>
            </w:r>
            <w:r w:rsidR="00524FC2" w:rsidRPr="00524FC2">
              <w:rPr>
                <w:rFonts w:cs="Arial"/>
              </w:rPr>
              <w:t>(2016a)</w:t>
            </w:r>
            <w:r w:rsidR="0045693B">
              <w:t>;</w:t>
            </w:r>
            <w:r w:rsidR="00524FC2">
              <w:t xml:space="preserve"> NSW BHI </w:t>
            </w:r>
            <w:r w:rsidR="00524FC2" w:rsidRPr="00524FC2">
              <w:rPr>
                <w:rFonts w:cs="Arial"/>
              </w:rPr>
              <w:t>(2013)</w:t>
            </w:r>
            <w:r w:rsidRPr="00360EF2">
              <w:t>.</w:t>
            </w:r>
          </w:p>
        </w:tc>
      </w:tr>
      <w:tr w:rsidR="00800F6C" w14:paraId="74AFC511" w14:textId="77777777" w:rsidTr="00DE10E9">
        <w:trPr>
          <w:trHeight w:val="87"/>
        </w:trPr>
        <w:tc>
          <w:tcPr>
            <w:tcW w:w="8771" w:type="dxa"/>
            <w:tcBorders>
              <w:top w:val="nil"/>
              <w:left w:val="nil"/>
              <w:bottom w:val="single" w:sz="6" w:space="0" w:color="78A22F"/>
              <w:right w:val="nil"/>
            </w:tcBorders>
            <w:shd w:val="clear" w:color="auto" w:fill="F2F2F2"/>
          </w:tcPr>
          <w:p w14:paraId="54E51DA9" w14:textId="77777777" w:rsidR="00800F6C" w:rsidRDefault="00800F6C" w:rsidP="0074494C">
            <w:pPr>
              <w:pStyle w:val="Box"/>
              <w:spacing w:before="0" w:line="120" w:lineRule="exact"/>
            </w:pPr>
          </w:p>
        </w:tc>
      </w:tr>
      <w:tr w:rsidR="00800F6C" w:rsidRPr="000863A5" w14:paraId="1A8ED456" w14:textId="77777777" w:rsidTr="00DE10E9">
        <w:tc>
          <w:tcPr>
            <w:tcW w:w="8771" w:type="dxa"/>
            <w:tcBorders>
              <w:top w:val="single" w:sz="6" w:space="0" w:color="78A22F"/>
              <w:left w:val="nil"/>
              <w:bottom w:val="nil"/>
              <w:right w:val="nil"/>
            </w:tcBorders>
          </w:tcPr>
          <w:p w14:paraId="162813DD" w14:textId="553136D1" w:rsidR="00800F6C" w:rsidRPr="00626D32" w:rsidRDefault="00800F6C" w:rsidP="0074494C">
            <w:pPr>
              <w:pStyle w:val="BoxSpaceBelow"/>
            </w:pPr>
          </w:p>
        </w:tc>
      </w:tr>
    </w:tbl>
    <w:p w14:paraId="59BCA0B1" w14:textId="77777777" w:rsidR="00800F6C" w:rsidRDefault="00800F6C" w:rsidP="00800F6C">
      <w:pPr>
        <w:pStyle w:val="Heading4"/>
      </w:pPr>
      <w:r>
        <w:t>Measure things that matter for people</w:t>
      </w:r>
    </w:p>
    <w:p w14:paraId="346D96FE" w14:textId="74E9BB00" w:rsidR="00800F6C" w:rsidRDefault="00800F6C" w:rsidP="00800F6C">
      <w:pPr>
        <w:pStyle w:val="BodyText"/>
      </w:pPr>
      <w:r>
        <w:t xml:space="preserve">Outcomes often lie on a continuum. Hip replacements provide an illustration. </w:t>
      </w:r>
      <w:r w:rsidR="00D843BC">
        <w:t>Reporting only the c</w:t>
      </w:r>
      <w:r>
        <w:t>omplete restoration of mobility following a hip replacement would conceal many other outcomes that people regard as worthwhile, such as improved mobility or the ability to undertake an especially valued activity</w:t>
      </w:r>
      <w:r w:rsidR="002522A9">
        <w:t xml:space="preserve"> (such as walking upstairs)</w:t>
      </w:r>
      <w:r>
        <w:t xml:space="preserve">. </w:t>
      </w:r>
      <w:r w:rsidR="0087780B">
        <w:t xml:space="preserve">Although the ability to deliver complete restoration of mobility may be correlated with other good outcomes, such a relationship is not perfect and likely overlooks many partial, yet beneficial, outcomes. </w:t>
      </w:r>
      <w:r>
        <w:t xml:space="preserve">In addition, </w:t>
      </w:r>
      <w:r w:rsidR="00D16568">
        <w:t xml:space="preserve">other </w:t>
      </w:r>
      <w:r>
        <w:t>measures of the impact of service delivery (</w:t>
      </w:r>
      <w:r w:rsidR="0016636B">
        <w:t>such as</w:t>
      </w:r>
      <w:r>
        <w:t xml:space="preserve"> </w:t>
      </w:r>
      <w:r w:rsidRPr="00DB0043">
        <w:t>haemoglobin A1C</w:t>
      </w:r>
      <w:r>
        <w:t xml:space="preserve"> in the case of a diabetes patient) might not correspond to a person’s assessment of their</w:t>
      </w:r>
      <w:r w:rsidR="0087780B">
        <w:t xml:space="preserve"> own</w:t>
      </w:r>
      <w:r>
        <w:t xml:space="preserve"> health status, </w:t>
      </w:r>
      <w:r w:rsidR="0016636B">
        <w:t>but both are equally</w:t>
      </w:r>
      <w:r>
        <w:t xml:space="preserve"> relevant for their ongoing treatment </w:t>
      </w:r>
      <w:r w:rsidRPr="00DB0043">
        <w:rPr>
          <w:szCs w:val="24"/>
        </w:rPr>
        <w:t>(Chen 2016, p. 17)</w:t>
      </w:r>
      <w:r w:rsidR="0084192C">
        <w:rPr>
          <w:szCs w:val="24"/>
        </w:rPr>
        <w:t>.</w:t>
      </w:r>
    </w:p>
    <w:p w14:paraId="6B466F4E" w14:textId="718A2A8E" w:rsidR="00800F6C" w:rsidRDefault="00800F6C" w:rsidP="00800F6C">
      <w:pPr>
        <w:pStyle w:val="BodyText"/>
      </w:pPr>
      <w:r>
        <w:t xml:space="preserve">Accordingly, performance measures should take account of people’s own appraisals of the impacts associated with service delivery, including their experiences of that delivery. The concept is most advanced in </w:t>
      </w:r>
      <w:r w:rsidR="00570AB3">
        <w:t>health care</w:t>
      </w:r>
      <w:r>
        <w:t xml:space="preserve">, where </w:t>
      </w:r>
      <w:r w:rsidR="00803E40">
        <w:t>P</w:t>
      </w:r>
      <w:r w:rsidRPr="00B656C4">
        <w:t>atient</w:t>
      </w:r>
      <w:r w:rsidR="00B277C0">
        <w:noBreakHyphen/>
      </w:r>
      <w:r w:rsidR="00803E40">
        <w:t>R</w:t>
      </w:r>
      <w:r w:rsidRPr="00B656C4">
        <w:t xml:space="preserve">eported </w:t>
      </w:r>
      <w:r w:rsidR="00803E40">
        <w:t>O</w:t>
      </w:r>
      <w:r w:rsidRPr="00B656C4">
        <w:t xml:space="preserve">utcome </w:t>
      </w:r>
      <w:r w:rsidR="00803E40">
        <w:t>M</w:t>
      </w:r>
      <w:r w:rsidRPr="00B656C4">
        <w:t xml:space="preserve">easures (PROMs) </w:t>
      </w:r>
      <w:r>
        <w:t>and Patient</w:t>
      </w:r>
      <w:r w:rsidR="00803E40">
        <w:noBreakHyphen/>
      </w:r>
      <w:r>
        <w:t xml:space="preserve">Reported Experience Measures (PREMs) are now commonplace, including in England, the Netherlands and Sweden </w:t>
      </w:r>
      <w:r w:rsidRPr="00796208">
        <w:rPr>
          <w:szCs w:val="24"/>
        </w:rPr>
        <w:t>(Williams et al. 2016)</w:t>
      </w:r>
      <w:r>
        <w:t>. PROMS ask patients for their assessment of how interventions have affected their quality of life, capacity to undertake activities, symptoms of pain, distress levels, and other aspect of their health (for which there already well</w:t>
      </w:r>
      <w:r w:rsidR="00B277C0">
        <w:noBreakHyphen/>
      </w:r>
      <w:r>
        <w:t xml:space="preserve">developed instruments, such as WHODAS 2.0). PREMS relate to people’s perceptions of their </w:t>
      </w:r>
      <w:r w:rsidR="00570AB3">
        <w:t>health care</w:t>
      </w:r>
      <w:r>
        <w:t xml:space="preserve"> — such as waiting times, involvement in decision</w:t>
      </w:r>
      <w:r>
        <w:noBreakHyphen/>
        <w:t xml:space="preserve">making, the quality of communication, and </w:t>
      </w:r>
      <w:r w:rsidR="00517C4B">
        <w:t xml:space="preserve">the </w:t>
      </w:r>
      <w:r>
        <w:t xml:space="preserve">support </w:t>
      </w:r>
      <w:r w:rsidR="00517C4B">
        <w:t xml:space="preserve">they receive </w:t>
      </w:r>
      <w:r>
        <w:t>to manage a long</w:t>
      </w:r>
      <w:r>
        <w:noBreakHyphen/>
        <w:t xml:space="preserve">term condition </w:t>
      </w:r>
      <w:r w:rsidRPr="00482923">
        <w:rPr>
          <w:szCs w:val="24"/>
        </w:rPr>
        <w:t>(Verma 2015)</w:t>
      </w:r>
      <w:r>
        <w:t>.</w:t>
      </w:r>
    </w:p>
    <w:p w14:paraId="24046A26" w14:textId="1DED1512" w:rsidR="00800F6C" w:rsidRDefault="00800F6C" w:rsidP="00800F6C">
      <w:pPr>
        <w:pStyle w:val="BodyText"/>
      </w:pPr>
      <w:r>
        <w:t xml:space="preserve">Not only </w:t>
      </w:r>
      <w:r w:rsidR="003C281F">
        <w:t>can</w:t>
      </w:r>
      <w:r>
        <w:t xml:space="preserve"> PREMs and PROMs serve to provide better information on performance, but they </w:t>
      </w:r>
      <w:r w:rsidR="003C281F">
        <w:t xml:space="preserve">can </w:t>
      </w:r>
      <w:r>
        <w:t xml:space="preserve">also involve the patient as a more active participant in their own health care. </w:t>
      </w:r>
      <w:r w:rsidR="00803E40">
        <w:t xml:space="preserve">However, </w:t>
      </w:r>
      <w:r>
        <w:t xml:space="preserve">Australia has </w:t>
      </w:r>
      <w:r w:rsidR="003C281F">
        <w:t xml:space="preserve">largely </w:t>
      </w:r>
      <w:r>
        <w:t>not adopted PREMs or PROMs</w:t>
      </w:r>
      <w:r w:rsidR="00517C4B">
        <w:t xml:space="preserve">. This </w:t>
      </w:r>
      <w:r w:rsidR="00AA167F">
        <w:t xml:space="preserve">is likely to change, </w:t>
      </w:r>
      <w:r w:rsidR="00517C4B">
        <w:t>as</w:t>
      </w:r>
      <w:r>
        <w:t xml:space="preserve"> the </w:t>
      </w:r>
      <w:r w:rsidR="003C281F">
        <w:t xml:space="preserve">NSW </w:t>
      </w:r>
      <w:r w:rsidR="00AA167F">
        <w:t xml:space="preserve">and Victorian </w:t>
      </w:r>
      <w:r w:rsidR="003C281F">
        <w:t>Government</w:t>
      </w:r>
      <w:r w:rsidR="00AA167F">
        <w:t>s are currently running pilot programs to collect this data (see SP</w:t>
      </w:r>
      <w:r w:rsidR="001C6A96">
        <w:t> 5</w:t>
      </w:r>
      <w:r w:rsidR="00AA167F">
        <w:t>)</w:t>
      </w:r>
      <w:r>
        <w:t>.</w:t>
      </w:r>
    </w:p>
    <w:p w14:paraId="0A59806F" w14:textId="7DAD040E" w:rsidR="00B13EC2" w:rsidRDefault="00B13EC2" w:rsidP="004728C5">
      <w:pPr>
        <w:pStyle w:val="Heading4"/>
      </w:pPr>
      <w:r>
        <w:t>The balance between too many and too few indicators</w:t>
      </w:r>
    </w:p>
    <w:p w14:paraId="26A09111" w14:textId="0022C6E0" w:rsidR="00803E40" w:rsidRDefault="00803E40" w:rsidP="00803E40">
      <w:pPr>
        <w:pStyle w:val="BodyText"/>
      </w:pPr>
      <w:r>
        <w:t>There can often also be a</w:t>
      </w:r>
      <w:r w:rsidR="00E8084F">
        <w:t xml:space="preserve"> balance between reporting too many indicators and reporting too few.</w:t>
      </w:r>
      <w:r>
        <w:t xml:space="preserve"> Providing consumers and users with too many indicators can greatly increase compliance costs for providers and potentially make it difficult for consumers to determine (on balance) which provider is better or worse across an array of different performance measures. </w:t>
      </w:r>
    </w:p>
    <w:p w14:paraId="42500169" w14:textId="59ED46DD" w:rsidR="00803E40" w:rsidRDefault="00803E40" w:rsidP="00803E40">
      <w:pPr>
        <w:pStyle w:val="BodyText"/>
      </w:pPr>
      <w:r>
        <w:t>On the other hand, however, l</w:t>
      </w:r>
      <w:r w:rsidR="00E8084F">
        <w:t xml:space="preserve">imiting </w:t>
      </w:r>
      <w:r w:rsidR="00EC2BAB">
        <w:t xml:space="preserve">performance </w:t>
      </w:r>
      <w:r w:rsidR="00E8084F">
        <w:t xml:space="preserve">reporting to only one or two </w:t>
      </w:r>
      <w:r w:rsidR="00EC2BAB">
        <w:t xml:space="preserve">indicators </w:t>
      </w:r>
      <w:r w:rsidR="00E8084F">
        <w:t xml:space="preserve">for </w:t>
      </w:r>
      <w:r w:rsidR="00EC2BAB">
        <w:t>a</w:t>
      </w:r>
      <w:r w:rsidR="00E8084F">
        <w:t xml:space="preserve"> given sector </w:t>
      </w:r>
      <w:r w:rsidR="00B13EC2">
        <w:t xml:space="preserve">can </w:t>
      </w:r>
      <w:r>
        <w:t xml:space="preserve">be problematic if the measured areas do not </w:t>
      </w:r>
      <w:r w:rsidR="006D7B60">
        <w:t xml:space="preserve">provide an </w:t>
      </w:r>
      <w:r>
        <w:t xml:space="preserve">adequate </w:t>
      </w:r>
      <w:r w:rsidR="006D7B60">
        <w:t>sense of</w:t>
      </w:r>
      <w:r>
        <w:t xml:space="preserve"> performance. This can </w:t>
      </w:r>
      <w:r w:rsidR="006D7B60">
        <w:t xml:space="preserve">also </w:t>
      </w:r>
      <w:r w:rsidR="00B13EC2">
        <w:t xml:space="preserve">create incentives for service providers to focus </w:t>
      </w:r>
      <w:r w:rsidR="006D7B60">
        <w:t xml:space="preserve">unduly </w:t>
      </w:r>
      <w:r w:rsidR="00B13EC2">
        <w:t xml:space="preserve">on </w:t>
      </w:r>
      <w:r w:rsidR="00EC2BAB">
        <w:t>those aspects of service delivery where performance is measured</w:t>
      </w:r>
      <w:r>
        <w:t>, resulting in perverse an</w:t>
      </w:r>
      <w:r w:rsidR="006D7B60">
        <w:t>d</w:t>
      </w:r>
      <w:r>
        <w:t xml:space="preserve"> unintended outcomes. </w:t>
      </w:r>
      <w:r w:rsidR="001447CD">
        <w:t>For instance</w:t>
      </w:r>
      <w:r w:rsidR="008B398C" w:rsidRPr="00F27410">
        <w:t>, hospitals may discharge patients too early to free up hospital beds as a way to improve performance against narrow waiting</w:t>
      </w:r>
      <w:r w:rsidR="00B277C0">
        <w:noBreakHyphen/>
      </w:r>
      <w:r w:rsidR="008B398C" w:rsidRPr="00F27410">
        <w:t>time criteria</w:t>
      </w:r>
      <w:r w:rsidR="008B398C">
        <w:t>, while neglecting the effect this has on patient outcomes</w:t>
      </w:r>
      <w:r w:rsidR="00D406F4">
        <w:t xml:space="preserve"> </w:t>
      </w:r>
      <w:r w:rsidR="005A48F3" w:rsidRPr="005A48F3">
        <w:rPr>
          <w:szCs w:val="24"/>
        </w:rPr>
        <w:t>(Dunleavy 2016; PC 2015)</w:t>
      </w:r>
      <w:r w:rsidR="00EC2BAB">
        <w:t xml:space="preserve">. </w:t>
      </w:r>
    </w:p>
    <w:p w14:paraId="7C866CBA" w14:textId="16882AFB" w:rsidR="0034245B" w:rsidRPr="00540E0A" w:rsidRDefault="00803E40" w:rsidP="0034245B">
      <w:pPr>
        <w:pStyle w:val="BodyText"/>
      </w:pPr>
      <w:r>
        <w:t>Ideally, well</w:t>
      </w:r>
      <w:r w:rsidR="00B277C0">
        <w:noBreakHyphen/>
      </w:r>
      <w:r>
        <w:t xml:space="preserve">designed performance measures would be few enough in number to be comprehensible to consumers, but also broad enough to cover every important aspect of performance. </w:t>
      </w:r>
      <w:r w:rsidR="00546FCA">
        <w:t>Ongoing consultation with the providers and the trial and testing of new data variables</w:t>
      </w:r>
      <w:r w:rsidR="00BA7B9D">
        <w:t xml:space="preserve"> can be useful in discovering the key factors relevant to judgements about performance.</w:t>
      </w:r>
    </w:p>
    <w:p w14:paraId="1F866A42" w14:textId="04E4A03A" w:rsidR="00C53489" w:rsidRDefault="00C53489" w:rsidP="003A4C87">
      <w:pPr>
        <w:pStyle w:val="Heading3"/>
      </w:pPr>
      <w:r>
        <w:t>Make prices as well as performance indicators visible</w:t>
      </w:r>
    </w:p>
    <w:p w14:paraId="1A71AC6F" w14:textId="3C51D3FF" w:rsidR="00921927" w:rsidRDefault="00227F4F" w:rsidP="00000D7A">
      <w:pPr>
        <w:pStyle w:val="BodyText"/>
      </w:pPr>
      <w:r>
        <w:t>P</w:t>
      </w:r>
      <w:r w:rsidR="004E2726">
        <w:t xml:space="preserve">roviding performance metrics to consumers so they can exercise informed choice </w:t>
      </w:r>
      <w:r>
        <w:t xml:space="preserve">loses </w:t>
      </w:r>
      <w:r w:rsidR="00104A4E">
        <w:t xml:space="preserve">some of </w:t>
      </w:r>
      <w:r>
        <w:t xml:space="preserve">its potency if consumers are ex ante </w:t>
      </w:r>
      <w:r w:rsidR="00571F46">
        <w:t>un</w:t>
      </w:r>
      <w:r>
        <w:t xml:space="preserve">aware of the magnitude of any payments they may need to make when choosing between the various service providers. </w:t>
      </w:r>
      <w:r w:rsidR="00921927">
        <w:t>This reflects that</w:t>
      </w:r>
      <w:r w:rsidR="00104A4E">
        <w:t>,</w:t>
      </w:r>
      <w:r w:rsidR="00921927">
        <w:t xml:space="preserve"> like all goods and services, people </w:t>
      </w:r>
      <w:r w:rsidR="00104A4E">
        <w:t>have</w:t>
      </w:r>
      <w:r w:rsidR="00921927">
        <w:t xml:space="preserve"> trade</w:t>
      </w:r>
      <w:r w:rsidR="00B277C0">
        <w:noBreakHyphen/>
      </w:r>
      <w:r w:rsidR="00921927">
        <w:t xml:space="preserve">offs between prices and quality. </w:t>
      </w:r>
      <w:r w:rsidR="00104A4E">
        <w:t>To put it simply, a consumer choosing between a ‘5 star’ provider and a ‘4 star’ provider based on some performance metric would not necessarily choose the former if the</w:t>
      </w:r>
      <w:r w:rsidR="003A4C87">
        <w:t>ir</w:t>
      </w:r>
      <w:r w:rsidR="00104A4E">
        <w:t xml:space="preserve"> </w:t>
      </w:r>
      <w:r w:rsidR="003A4C87">
        <w:t>cost</w:t>
      </w:r>
      <w:r w:rsidR="00104A4E">
        <w:t xml:space="preserve"> was </w:t>
      </w:r>
      <w:r w:rsidR="003A4C87">
        <w:t>several times</w:t>
      </w:r>
      <w:r w:rsidR="00104A4E">
        <w:t xml:space="preserve"> that of the latter.</w:t>
      </w:r>
      <w:r w:rsidR="004D4AA1">
        <w:t xml:space="preserve"> </w:t>
      </w:r>
      <w:r w:rsidR="00A14517">
        <w:t xml:space="preserve">For instance, in the United Kingdom, </w:t>
      </w:r>
      <w:r w:rsidR="002F5BDD">
        <w:t xml:space="preserve">the National Institute for Health and Care Experience </w:t>
      </w:r>
      <w:r w:rsidR="00A14517">
        <w:t xml:space="preserve">provides advice on </w:t>
      </w:r>
      <w:r w:rsidR="004D4AA1">
        <w:t xml:space="preserve">treatment options </w:t>
      </w:r>
      <w:r w:rsidR="00A14517">
        <w:t xml:space="preserve">covered by </w:t>
      </w:r>
      <w:r w:rsidR="004D4AA1">
        <w:t xml:space="preserve">the </w:t>
      </w:r>
      <w:r w:rsidR="00A14517">
        <w:t>NHS,</w:t>
      </w:r>
      <w:r w:rsidR="004D4AA1">
        <w:t xml:space="preserve"> based on </w:t>
      </w:r>
      <w:r w:rsidR="002F5BDD">
        <w:t>incremental cost effectiveness rati</w:t>
      </w:r>
      <w:r w:rsidR="00A14517">
        <w:t>os</w:t>
      </w:r>
      <w:r w:rsidR="002F5BDD">
        <w:t xml:space="preserve"> </w:t>
      </w:r>
      <w:r w:rsidR="00A14517">
        <w:t>(</w:t>
      </w:r>
      <w:r w:rsidR="002F5BDD">
        <w:t xml:space="preserve">which are </w:t>
      </w:r>
      <w:r w:rsidR="004D4AA1">
        <w:t>quality</w:t>
      </w:r>
      <w:r w:rsidR="004D4AA1">
        <w:noBreakHyphen/>
        <w:t xml:space="preserve">adjusted life years obtained from a treatment </w:t>
      </w:r>
      <w:r w:rsidR="00A14517">
        <w:t xml:space="preserve">— </w:t>
      </w:r>
      <w:r w:rsidR="004D4AA1">
        <w:t>a performance metric</w:t>
      </w:r>
      <w:r w:rsidR="00A14517">
        <w:t xml:space="preserve"> —</w:t>
      </w:r>
      <w:r w:rsidR="004D4AA1">
        <w:t xml:space="preserve"> </w:t>
      </w:r>
      <w:r w:rsidR="004D4AA1" w:rsidRPr="003A4C87">
        <w:rPr>
          <w:i/>
        </w:rPr>
        <w:t>per dollar</w:t>
      </w:r>
      <w:r w:rsidR="00A14517">
        <w:rPr>
          <w:i/>
        </w:rPr>
        <w:t>)</w:t>
      </w:r>
      <w:r w:rsidR="004D4AA1">
        <w:t xml:space="preserve"> and not just on QALYs alone. </w:t>
      </w:r>
    </w:p>
    <w:p w14:paraId="4527ABE6" w14:textId="7E8DF389" w:rsidR="00227F4F" w:rsidRDefault="00546FCA" w:rsidP="00000D7A">
      <w:pPr>
        <w:pStyle w:val="BodyText"/>
      </w:pPr>
      <w:r>
        <w:t>For</w:t>
      </w:r>
      <w:r w:rsidR="00227F4F">
        <w:t xml:space="preserve"> some </w:t>
      </w:r>
      <w:r>
        <w:t>government</w:t>
      </w:r>
      <w:r w:rsidR="00B277C0">
        <w:noBreakHyphen/>
      </w:r>
      <w:r>
        <w:t>funded service</w:t>
      </w:r>
      <w:r w:rsidR="00132ADB">
        <w:t>s</w:t>
      </w:r>
      <w:r w:rsidR="00227F4F">
        <w:t xml:space="preserve">, </w:t>
      </w:r>
      <w:r w:rsidR="00921927">
        <w:t>pricing uncertainty</w:t>
      </w:r>
      <w:r w:rsidR="00227F4F">
        <w:t xml:space="preserve"> </w:t>
      </w:r>
      <w:r w:rsidR="004D4AA1">
        <w:t xml:space="preserve">for consumers is </w:t>
      </w:r>
      <w:r>
        <w:t xml:space="preserve">minimal or </w:t>
      </w:r>
      <w:r w:rsidR="004D4AA1">
        <w:t>unlikely to present</w:t>
      </w:r>
      <w:r w:rsidR="00227F4F">
        <w:t xml:space="preserve"> </w:t>
      </w:r>
      <w:r w:rsidR="004D4AA1">
        <w:t>many</w:t>
      </w:r>
      <w:r w:rsidR="00227F4F">
        <w:t xml:space="preserve"> problems:</w:t>
      </w:r>
    </w:p>
    <w:p w14:paraId="0F5A308F" w14:textId="1C5B6C00" w:rsidR="00227F4F" w:rsidRDefault="00227F4F" w:rsidP="003A4C87">
      <w:pPr>
        <w:pStyle w:val="ListBullet"/>
      </w:pPr>
      <w:r>
        <w:t>parents make co</w:t>
      </w:r>
      <w:r w:rsidR="00B277C0">
        <w:noBreakHyphen/>
      </w:r>
      <w:r>
        <w:t>contributions to private schools, but the prices are clearly posted</w:t>
      </w:r>
    </w:p>
    <w:p w14:paraId="121DB4A8" w14:textId="7741FCA9" w:rsidR="00921927" w:rsidRDefault="00227F4F" w:rsidP="003A4C87">
      <w:pPr>
        <w:pStyle w:val="ListBullet"/>
      </w:pPr>
      <w:r>
        <w:t xml:space="preserve">where a person goes to a GP who does not bulk bill, patients </w:t>
      </w:r>
      <w:r w:rsidR="00132ADB">
        <w:t>may</w:t>
      </w:r>
      <w:r>
        <w:t xml:space="preserve"> not know the fee charged</w:t>
      </w:r>
      <w:r w:rsidRPr="00227F4F">
        <w:t xml:space="preserve"> </w:t>
      </w:r>
      <w:r>
        <w:t>beforehand</w:t>
      </w:r>
      <w:r w:rsidR="003A4C87">
        <w:t>. However,</w:t>
      </w:r>
      <w:r>
        <w:t xml:space="preserve"> </w:t>
      </w:r>
      <w:r w:rsidR="00921927">
        <w:t>a</w:t>
      </w:r>
      <w:r>
        <w:t xml:space="preserve">s GP services are usually repeat services, </w:t>
      </w:r>
      <w:r w:rsidR="00921927">
        <w:t xml:space="preserve">prices for standard consultations (the most common service) are revealed over time. In most Australian locations, competition in general practice is also relatively strong (as suggested by high bulk billing rates), which </w:t>
      </w:r>
      <w:r w:rsidR="009073FB">
        <w:t xml:space="preserve">helps to </w:t>
      </w:r>
      <w:r w:rsidR="00921927">
        <w:t xml:space="preserve">limit premiums above the scheduled fee. </w:t>
      </w:r>
    </w:p>
    <w:p w14:paraId="5B521C86" w14:textId="508FCC11" w:rsidR="00C769FB" w:rsidRDefault="00921927" w:rsidP="00000D7A">
      <w:pPr>
        <w:pStyle w:val="BodyText"/>
      </w:pPr>
      <w:r>
        <w:t xml:space="preserve">However, there are </w:t>
      </w:r>
      <w:r w:rsidR="00C769FB">
        <w:t xml:space="preserve">likely to be </w:t>
      </w:r>
      <w:r>
        <w:t xml:space="preserve">significantly greater problems </w:t>
      </w:r>
      <w:r w:rsidR="00C769FB">
        <w:t>associated with consumer uncertainty about co</w:t>
      </w:r>
      <w:r w:rsidR="00C769FB">
        <w:noBreakHyphen/>
        <w:t>payments for medical specialists</w:t>
      </w:r>
      <w:r w:rsidR="0065627B">
        <w:t xml:space="preserve"> </w:t>
      </w:r>
      <w:r w:rsidR="0065627B" w:rsidRPr="00C20FA4">
        <w:rPr>
          <w:szCs w:val="24"/>
        </w:rPr>
        <w:t>(Sivey 2016)</w:t>
      </w:r>
      <w:r w:rsidR="0065627B">
        <w:t xml:space="preserve">. </w:t>
      </w:r>
      <w:r w:rsidR="00DA167A">
        <w:t>Most people do not see the same specialists frequently or for the same service, so there is little scope for learning about prices. Moreover, GPs are often the gatekeepers for specialist services and may not know the co</w:t>
      </w:r>
      <w:r w:rsidR="00DA167A">
        <w:noBreakHyphen/>
        <w:t xml:space="preserve">payments that patients will face with different specialists, and neither patients nor GPs may want to discuss this as part of clinical consultations. </w:t>
      </w:r>
      <w:r w:rsidR="0065627B">
        <w:t>This could affect the genuine exercise of choice and, because uncertainty itself acts as a cost, may deter people from</w:t>
      </w:r>
      <w:r w:rsidR="0065627B" w:rsidRPr="0065627B">
        <w:t xml:space="preserve"> </w:t>
      </w:r>
      <w:r w:rsidR="0065627B">
        <w:t>undergoing diagnostics or treatments</w:t>
      </w:r>
      <w:r w:rsidR="00C769FB">
        <w:t>.</w:t>
      </w:r>
      <w:r w:rsidR="0065627B">
        <w:t xml:space="preserve"> Further difficulties </w:t>
      </w:r>
      <w:r w:rsidR="003A4C87">
        <w:t xml:space="preserve">also </w:t>
      </w:r>
      <w:r w:rsidR="0065627B">
        <w:t>arise</w:t>
      </w:r>
      <w:r w:rsidR="00546FCA">
        <w:t xml:space="preserve"> </w:t>
      </w:r>
      <w:r w:rsidR="001C6DF5">
        <w:t xml:space="preserve">because </w:t>
      </w:r>
      <w:r w:rsidR="003A4C87">
        <w:t>t</w:t>
      </w:r>
      <w:r w:rsidR="0065627B">
        <w:t>he specialist market</w:t>
      </w:r>
      <w:r w:rsidR="001C6DF5">
        <w:t xml:space="preserve"> is</w:t>
      </w:r>
      <w:r w:rsidR="0065627B">
        <w:t xml:space="preserve"> not as competitive as the GP market</w:t>
      </w:r>
      <w:r w:rsidR="00546FCA">
        <w:t xml:space="preserve"> and</w:t>
      </w:r>
      <w:r w:rsidR="00835446">
        <w:t xml:space="preserve"> </w:t>
      </w:r>
      <w:r w:rsidR="00C31C83">
        <w:t>the share of services with an out</w:t>
      </w:r>
      <w:r w:rsidR="00C31C83">
        <w:noBreakHyphen/>
        <w:t>of</w:t>
      </w:r>
      <w:r w:rsidR="00C31C83">
        <w:noBreakHyphen/>
        <w:t xml:space="preserve">pocket cost </w:t>
      </w:r>
      <w:r w:rsidR="001C6DF5">
        <w:t xml:space="preserve">are </w:t>
      </w:r>
      <w:r w:rsidR="00C31C83">
        <w:t>much higher</w:t>
      </w:r>
      <w:r w:rsidR="00835446">
        <w:t xml:space="preserve"> </w:t>
      </w:r>
      <w:r w:rsidR="00B5064E" w:rsidRPr="00B5064E">
        <w:rPr>
          <w:szCs w:val="24"/>
        </w:rPr>
        <w:t>(Hillis et al. 2017)</w:t>
      </w:r>
      <w:r w:rsidR="0065627B">
        <w:t>.</w:t>
      </w:r>
      <w:r w:rsidR="00C31C83" w:rsidRPr="00441F05">
        <w:rPr>
          <w:rStyle w:val="FootnoteReference"/>
        </w:rPr>
        <w:footnoteReference w:id="8"/>
      </w:r>
      <w:r w:rsidR="0065627B">
        <w:t xml:space="preserve"> </w:t>
      </w:r>
      <w:r w:rsidR="00546FCA">
        <w:t>Further, the variations between out</w:t>
      </w:r>
      <w:r w:rsidR="00546FCA">
        <w:noBreakHyphen/>
        <w:t>of</w:t>
      </w:r>
      <w:r w:rsidR="00546FCA">
        <w:noBreakHyphen/>
        <w:t>pocket</w:t>
      </w:r>
      <w:r w:rsidR="001C6DF5">
        <w:t xml:space="preserve"> cost</w:t>
      </w:r>
      <w:r w:rsidR="00546FCA">
        <w:t>s are very large and generally</w:t>
      </w:r>
      <w:r w:rsidR="00294903">
        <w:t xml:space="preserve"> vary by specialty (see figure</w:t>
      </w:r>
      <w:r w:rsidR="00B277C0">
        <w:t> </w:t>
      </w:r>
      <w:r w:rsidR="00546FCA">
        <w:t xml:space="preserve">1). </w:t>
      </w:r>
    </w:p>
    <w:p w14:paraId="6086A1E2" w14:textId="77777777" w:rsidR="0091340F" w:rsidRDefault="0091340F" w:rsidP="0091340F">
      <w:pPr>
        <w:pStyle w:val="BodyText"/>
      </w:pPr>
      <w:r>
        <w:t xml:space="preserve">There are no websites that compare prices, as there are for many other consumer goods, a gap that some have recommended filling </w:t>
      </w:r>
      <w:r w:rsidRPr="003A4C87">
        <w:rPr>
          <w:szCs w:val="24"/>
        </w:rPr>
        <w:t>(McRae and Gool 2017; Sivey 2016; Taylor 2015)</w:t>
      </w:r>
      <w:r>
        <w:t>. An editorial in the Medical Journal of Australia argued that:</w:t>
      </w:r>
    </w:p>
    <w:p w14:paraId="27FD40B5" w14:textId="77777777" w:rsidR="0091340F" w:rsidRDefault="0091340F" w:rsidP="0091340F">
      <w:pPr>
        <w:pStyle w:val="Quote"/>
      </w:pPr>
      <w:r>
        <w:t xml:space="preserve">Easier access to information may induce greater competition. Patients have little opportunity to verify claims of higher quality care by medical specialists, and it is difﬁcult to shop around to ﬁnd the best price. Unveriﬁed quality claims can lead to extensive price variation, despite there being little evidence that quality is correlated with price. </w:t>
      </w:r>
      <w:r w:rsidRPr="002A7534">
        <w:rPr>
          <w:szCs w:val="24"/>
        </w:rPr>
        <w:t>(McRae and Gool 2017, p. 162)</w:t>
      </w:r>
    </w:p>
    <w:p w14:paraId="39A81EEB" w14:textId="77777777" w:rsidR="0091340F" w:rsidRDefault="0091340F" w:rsidP="0091340F">
      <w:pPr>
        <w:pStyle w:val="BodyText"/>
      </w:pPr>
      <w:r>
        <w:t>While the analysis above applies to health care specialists, the general principle is that the public availability of performance indicators should be accompanied by transparency in pricing in any government</w:t>
      </w:r>
      <w:r>
        <w:noBreakHyphen/>
        <w:t>subsidised service where payments are expected from consumers and pricing variation between providers is significant.</w:t>
      </w:r>
    </w:p>
    <w:p w14:paraId="12D43093" w14:textId="7AC80C57" w:rsidR="00B5064E" w:rsidRDefault="00B5064E" w:rsidP="004634F2">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B5064E" w14:paraId="52C0740E" w14:textId="77777777" w:rsidTr="00DE10E9">
        <w:trPr>
          <w:tblHeader/>
        </w:trPr>
        <w:tc>
          <w:tcPr>
            <w:tcW w:w="8771" w:type="dxa"/>
            <w:tcBorders>
              <w:top w:val="single" w:sz="6" w:space="0" w:color="78A22F"/>
              <w:left w:val="nil"/>
              <w:bottom w:val="nil"/>
              <w:right w:val="nil"/>
            </w:tcBorders>
            <w:shd w:val="clear" w:color="auto" w:fill="auto"/>
          </w:tcPr>
          <w:p w14:paraId="3C6E9EA0" w14:textId="100D5165" w:rsidR="00B5064E" w:rsidRDefault="00B5064E" w:rsidP="00546FCA">
            <w:pPr>
              <w:pStyle w:val="FigureTitle"/>
            </w:pPr>
            <w:r w:rsidRPr="00784A05">
              <w:rPr>
                <w:b w:val="0"/>
              </w:rPr>
              <w:t xml:space="preserve">Figure </w:t>
            </w:r>
            <w:r w:rsidR="005A28E9">
              <w:rPr>
                <w:b w:val="0"/>
                <w:noProof/>
              </w:rPr>
              <w:t>1</w:t>
            </w:r>
            <w:r>
              <w:tab/>
              <w:t xml:space="preserve">Variation in specialist </w:t>
            </w:r>
            <w:r w:rsidR="00546FCA">
              <w:t>out</w:t>
            </w:r>
            <w:r w:rsidR="00B277C0">
              <w:noBreakHyphen/>
            </w:r>
            <w:r w:rsidR="00546FCA">
              <w:t>of</w:t>
            </w:r>
            <w:r w:rsidR="00B277C0">
              <w:noBreakHyphen/>
            </w:r>
            <w:r w:rsidR="00546FCA">
              <w:t>pocket fees by specialty</w:t>
            </w:r>
          </w:p>
          <w:p w14:paraId="5D103B51" w14:textId="6013303D" w:rsidR="002F2191" w:rsidRPr="002F2191" w:rsidRDefault="002F2191" w:rsidP="002F2191">
            <w:pPr>
              <w:pStyle w:val="Subtitle"/>
            </w:pPr>
            <w:r>
              <w:t>Australia</w:t>
            </w:r>
            <w:r w:rsidR="00084B4A">
              <w:t>, 2015</w:t>
            </w:r>
          </w:p>
        </w:tc>
      </w:tr>
      <w:tr w:rsidR="00B5064E" w14:paraId="56D38C97" w14:textId="77777777" w:rsidTr="00DE10E9">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B5064E" w:rsidRPr="00B1465D" w14:paraId="462EC6E5" w14:textId="77777777" w:rsidTr="004634F2">
              <w:trPr>
                <w:tblHeader/>
                <w:jc w:val="center"/>
              </w:trPr>
              <w:tc>
                <w:tcPr>
                  <w:tcW w:w="5000" w:type="pct"/>
                  <w:tcBorders>
                    <w:top w:val="nil"/>
                    <w:bottom w:val="nil"/>
                  </w:tcBorders>
                </w:tcPr>
                <w:p w14:paraId="3C3130ED" w14:textId="6B633428" w:rsidR="00B5064E" w:rsidRPr="00B1465D" w:rsidRDefault="00B5064E" w:rsidP="004634F2">
                  <w:pPr>
                    <w:pStyle w:val="Figure"/>
                    <w:spacing w:before="60" w:after="60"/>
                    <w:rPr>
                      <w:rFonts w:ascii="Arial" w:hAnsi="Arial" w:cs="Arial"/>
                      <w:sz w:val="18"/>
                      <w:szCs w:val="18"/>
                    </w:rPr>
                  </w:pPr>
                  <w:r>
                    <w:rPr>
                      <w:noProof/>
                    </w:rPr>
                    <w:drawing>
                      <wp:inline distT="0" distB="0" distL="0" distR="0" wp14:anchorId="57D4C7FC" wp14:editId="119C8911">
                        <wp:extent cx="5400000" cy="2880000"/>
                        <wp:effectExtent l="0" t="0" r="0" b="0"/>
                        <wp:docPr id="1" name="Chart 1" descr="This chart shows the ratio of 90th to 10th percentile out-of-pocket prices for various health specialties. It shows that the ratio tends to be around 4, though reaching as high as 9 for respiratory medicine. The data indicates the significant dispersion in out-of-pocket prices for pati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14:paraId="0B910E05" w14:textId="77777777" w:rsidR="00B5064E" w:rsidRDefault="00B5064E" w:rsidP="004634F2">
            <w:pPr>
              <w:pStyle w:val="Figure"/>
            </w:pPr>
          </w:p>
        </w:tc>
      </w:tr>
      <w:tr w:rsidR="00B5064E" w:rsidRPr="00176D3F" w14:paraId="19C9962B" w14:textId="77777777" w:rsidTr="00DE10E9">
        <w:trPr>
          <w:trHeight w:val="277"/>
        </w:trPr>
        <w:tc>
          <w:tcPr>
            <w:tcW w:w="8771" w:type="dxa"/>
            <w:tcBorders>
              <w:top w:val="nil"/>
              <w:left w:val="nil"/>
              <w:bottom w:val="nil"/>
              <w:right w:val="nil"/>
            </w:tcBorders>
            <w:shd w:val="clear" w:color="auto" w:fill="auto"/>
          </w:tcPr>
          <w:p w14:paraId="09804AFE" w14:textId="3D73BD5A" w:rsidR="00B5064E" w:rsidRPr="00176D3F" w:rsidRDefault="008D6C4D" w:rsidP="009739E1">
            <w:pPr>
              <w:pStyle w:val="Source"/>
            </w:pPr>
            <w:r>
              <w:rPr>
                <w:i/>
              </w:rPr>
              <w:t>S</w:t>
            </w:r>
            <w:r w:rsidR="00B5064E" w:rsidRPr="00784A05">
              <w:rPr>
                <w:i/>
              </w:rPr>
              <w:t>ource</w:t>
            </w:r>
            <w:r w:rsidR="00B5064E" w:rsidRPr="00176D3F">
              <w:t xml:space="preserve">: </w:t>
            </w:r>
            <w:r w:rsidR="00B5064E" w:rsidRPr="000B390D">
              <w:rPr>
                <w:rFonts w:cs="Arial"/>
                <w:szCs w:val="24"/>
              </w:rPr>
              <w:t>Freed and Allen</w:t>
            </w:r>
            <w:r w:rsidR="00B5064E">
              <w:t xml:space="preserve"> </w:t>
            </w:r>
            <w:r w:rsidR="00B5064E" w:rsidRPr="000B390D">
              <w:rPr>
                <w:rFonts w:cs="Arial"/>
              </w:rPr>
              <w:t>(2017)</w:t>
            </w:r>
            <w:r w:rsidR="00B5064E">
              <w:t>.</w:t>
            </w:r>
          </w:p>
        </w:tc>
      </w:tr>
      <w:tr w:rsidR="00B5064E" w14:paraId="4590675E" w14:textId="77777777" w:rsidTr="00DE10E9">
        <w:tc>
          <w:tcPr>
            <w:tcW w:w="8771" w:type="dxa"/>
            <w:tcBorders>
              <w:top w:val="nil"/>
              <w:left w:val="nil"/>
              <w:bottom w:val="single" w:sz="6" w:space="0" w:color="78A22F"/>
              <w:right w:val="nil"/>
            </w:tcBorders>
            <w:shd w:val="clear" w:color="auto" w:fill="auto"/>
          </w:tcPr>
          <w:p w14:paraId="6592A352" w14:textId="77777777" w:rsidR="00B5064E" w:rsidRDefault="00B5064E" w:rsidP="004634F2">
            <w:pPr>
              <w:pStyle w:val="Figurespace"/>
            </w:pPr>
          </w:p>
        </w:tc>
      </w:tr>
      <w:tr w:rsidR="00B5064E" w:rsidRPr="000863A5" w14:paraId="04F5E3B3" w14:textId="77777777" w:rsidTr="00DE10E9">
        <w:tc>
          <w:tcPr>
            <w:tcW w:w="8771" w:type="dxa"/>
            <w:tcBorders>
              <w:top w:val="single" w:sz="6" w:space="0" w:color="78A22F"/>
              <w:left w:val="nil"/>
              <w:bottom w:val="nil"/>
              <w:right w:val="nil"/>
            </w:tcBorders>
          </w:tcPr>
          <w:p w14:paraId="4FDA4E2D" w14:textId="017EF51E" w:rsidR="00B5064E" w:rsidRPr="00626D32" w:rsidRDefault="00B5064E" w:rsidP="004634F2">
            <w:pPr>
              <w:pStyle w:val="BoxSpaceBelow"/>
            </w:pPr>
          </w:p>
        </w:tc>
      </w:tr>
    </w:tbl>
    <w:p w14:paraId="16F64902" w14:textId="191F666A" w:rsidR="00A1001F" w:rsidRPr="003853A8" w:rsidRDefault="005A28E9" w:rsidP="00A1001F">
      <w:pPr>
        <w:pStyle w:val="Heading2"/>
      </w:pPr>
      <w:bookmarkStart w:id="10" w:name="_Toc488926846"/>
      <w:bookmarkStart w:id="11" w:name="_Toc489014195"/>
      <w:r>
        <w:rPr>
          <w:noProof/>
        </w:rPr>
        <w:t>3</w:t>
      </w:r>
      <w:r w:rsidR="00A1001F">
        <w:tab/>
        <w:t>Data availability and accessibility</w:t>
      </w:r>
      <w:bookmarkEnd w:id="10"/>
      <w:bookmarkEnd w:id="11"/>
    </w:p>
    <w:p w14:paraId="1A6211DD" w14:textId="62EC808E" w:rsidR="000966D6" w:rsidRPr="00F27410" w:rsidRDefault="00D71BBA" w:rsidP="000966D6">
      <w:pPr>
        <w:pStyle w:val="BodyText"/>
      </w:pPr>
      <w:r>
        <w:t>T</w:t>
      </w:r>
      <w:r w:rsidR="000966D6" w:rsidRPr="00F27410">
        <w:t xml:space="preserve">he development of </w:t>
      </w:r>
      <w:r w:rsidR="000966D6">
        <w:t xml:space="preserve">comparative </w:t>
      </w:r>
      <w:r w:rsidR="000966D6" w:rsidRPr="00F27410">
        <w:t xml:space="preserve">performance indicators for individual </w:t>
      </w:r>
      <w:r w:rsidR="000966D6">
        <w:t>government</w:t>
      </w:r>
      <w:r w:rsidR="000966D6">
        <w:noBreakHyphen/>
        <w:t xml:space="preserve">funded </w:t>
      </w:r>
      <w:r w:rsidR="000966D6" w:rsidRPr="00F27410">
        <w:t>service provider</w:t>
      </w:r>
      <w:r w:rsidR="000966D6">
        <w:t>s</w:t>
      </w:r>
      <w:r w:rsidR="000966D6" w:rsidRPr="00F27410">
        <w:t xml:space="preserve"> </w:t>
      </w:r>
      <w:r w:rsidR="000966D6">
        <w:t xml:space="preserve">is </w:t>
      </w:r>
      <w:r w:rsidR="000966D6" w:rsidRPr="00F27410">
        <w:t>a data</w:t>
      </w:r>
      <w:r w:rsidR="00B277C0">
        <w:noBreakHyphen/>
      </w:r>
      <w:r w:rsidR="000966D6" w:rsidRPr="00F27410">
        <w:t xml:space="preserve">intensive task, requiring a range of different variables to be reported, collated, cleaned and published for each of thousands of service providers around Australia. As such, </w:t>
      </w:r>
      <w:r w:rsidR="000966D6">
        <w:t>issues</w:t>
      </w:r>
      <w:r w:rsidR="000966D6" w:rsidRPr="00F27410">
        <w:t xml:space="preserve"> with the data sources underlying the performance indicators </w:t>
      </w:r>
      <w:r>
        <w:t xml:space="preserve">affect the quality of </w:t>
      </w:r>
      <w:r w:rsidR="000966D6" w:rsidRPr="00F27410">
        <w:t xml:space="preserve">the indicators themselves. </w:t>
      </w:r>
    </w:p>
    <w:p w14:paraId="3F5401FC" w14:textId="4688885D" w:rsidR="000966D6" w:rsidRPr="00F27410" w:rsidRDefault="000966D6" w:rsidP="000966D6">
      <w:pPr>
        <w:pStyle w:val="BodyText"/>
      </w:pPr>
      <w:r w:rsidRPr="00F27410">
        <w:t xml:space="preserve">Generally, issues with the underlying data fall in two camps: </w:t>
      </w:r>
      <w:r w:rsidR="00D71BBA">
        <w:t>in</w:t>
      </w:r>
      <w:r w:rsidRPr="00F27410">
        <w:t xml:space="preserve">sufficient access to existing sources of data to determine specific indicators; and </w:t>
      </w:r>
      <w:r w:rsidR="00D71BBA">
        <w:t xml:space="preserve">inadequate </w:t>
      </w:r>
      <w:r w:rsidRPr="00F27410">
        <w:t xml:space="preserve">existing data sources </w:t>
      </w:r>
      <w:r w:rsidR="00D71BBA">
        <w:t>(b</w:t>
      </w:r>
      <w:r w:rsidRPr="00F27410">
        <w:t>ecause they are not collected</w:t>
      </w:r>
      <w:r w:rsidR="00D71BBA">
        <w:t xml:space="preserve">, are </w:t>
      </w:r>
      <w:r w:rsidR="001C6DF5">
        <w:t xml:space="preserve">of </w:t>
      </w:r>
      <w:r w:rsidR="00D71BBA">
        <w:t xml:space="preserve">low quality or </w:t>
      </w:r>
      <w:r w:rsidR="001C6DF5">
        <w:t xml:space="preserve">are </w:t>
      </w:r>
      <w:r w:rsidR="00796208">
        <w:t>not comparable across suppliers or jurisdictions</w:t>
      </w:r>
      <w:r w:rsidR="00D71BBA">
        <w:t>)</w:t>
      </w:r>
      <w:r w:rsidRPr="00F27410">
        <w:t>.</w:t>
      </w:r>
      <w:r w:rsidR="00B277C0">
        <w:t xml:space="preserve"> </w:t>
      </w:r>
    </w:p>
    <w:p w14:paraId="14DCEAF4" w14:textId="281C6B2E" w:rsidR="000966D6" w:rsidRPr="00F27410" w:rsidRDefault="000966D6" w:rsidP="00B930E9">
      <w:pPr>
        <w:pStyle w:val="Heading3"/>
      </w:pPr>
      <w:r w:rsidRPr="00F27410">
        <w:t>Making greater use of existing administrative data sources</w:t>
      </w:r>
      <w:r w:rsidR="00B277C0">
        <w:t xml:space="preserve"> </w:t>
      </w:r>
      <w:r w:rsidRPr="00F27410">
        <w:t xml:space="preserve">… </w:t>
      </w:r>
    </w:p>
    <w:p w14:paraId="7A2E5446" w14:textId="0DA93A95" w:rsidR="000966D6" w:rsidRPr="00F27410" w:rsidRDefault="000966D6" w:rsidP="000966D6">
      <w:pPr>
        <w:pStyle w:val="BodyText"/>
      </w:pPr>
      <w:r>
        <w:t>Commonwealth</w:t>
      </w:r>
      <w:r w:rsidRPr="00F27410">
        <w:t xml:space="preserve">, </w:t>
      </w:r>
      <w:r>
        <w:t>S</w:t>
      </w:r>
      <w:r w:rsidRPr="00F27410">
        <w:t xml:space="preserve">tate and </w:t>
      </w:r>
      <w:r>
        <w:t>T</w:t>
      </w:r>
      <w:r w:rsidRPr="00F27410">
        <w:t>erritor</w:t>
      </w:r>
      <w:r>
        <w:t xml:space="preserve">y </w:t>
      </w:r>
      <w:r w:rsidR="00D11EB4">
        <w:t>G</w:t>
      </w:r>
      <w:r>
        <w:t>overnments already collect vast quantities</w:t>
      </w:r>
      <w:r w:rsidRPr="00F27410">
        <w:t xml:space="preserve"> of </w:t>
      </w:r>
      <w:r w:rsidR="00762DAF">
        <w:t>information as by</w:t>
      </w:r>
      <w:r w:rsidR="00B277C0">
        <w:noBreakHyphen/>
      </w:r>
      <w:r w:rsidR="00762DAF">
        <w:t xml:space="preserve">products of its </w:t>
      </w:r>
      <w:r w:rsidR="00D11EB4">
        <w:t xml:space="preserve">administrative </w:t>
      </w:r>
      <w:r w:rsidR="00762DAF">
        <w:t>functions</w:t>
      </w:r>
      <w:r w:rsidRPr="00F27410">
        <w:t xml:space="preserve">. </w:t>
      </w:r>
      <w:r w:rsidR="00D11EB4">
        <w:t xml:space="preserve">These data are </w:t>
      </w:r>
      <w:r w:rsidRPr="00F27410">
        <w:t>collecte</w:t>
      </w:r>
      <w:r w:rsidR="00F37AD7">
        <w:t>d for regulatory requirements (such as</w:t>
      </w:r>
      <w:r w:rsidRPr="00F27410">
        <w:t xml:space="preserve"> financial information for vocational education and training providers), program administration (</w:t>
      </w:r>
      <w:r w:rsidR="00F37AD7">
        <w:t>for example,</w:t>
      </w:r>
      <w:r w:rsidRPr="00F27410">
        <w:t xml:space="preserve"> Centrelink and Medicare payments, school, university and vocational enrolments and completions, and hospital admissions) or as a byproduct of transactions (</w:t>
      </w:r>
      <w:r w:rsidR="00F37AD7">
        <w:t>such as</w:t>
      </w:r>
      <w:r w:rsidRPr="00F27410">
        <w:t xml:space="preserve"> a purchase of </w:t>
      </w:r>
      <w:r w:rsidR="00570AB3">
        <w:t>health care</w:t>
      </w:r>
      <w:r w:rsidRPr="00F27410">
        <w:t xml:space="preserve"> services or fines and fees in the public administration system) </w:t>
      </w:r>
      <w:r w:rsidR="00B158BB" w:rsidRPr="00B158BB">
        <w:rPr>
          <w:szCs w:val="24"/>
        </w:rPr>
        <w:t>(PC 2013, 2017)</w:t>
      </w:r>
      <w:r w:rsidRPr="00F27410">
        <w:t xml:space="preserve">. </w:t>
      </w:r>
    </w:p>
    <w:p w14:paraId="29E0CC8E" w14:textId="47E17B44" w:rsidR="009D287B" w:rsidRDefault="000966D6" w:rsidP="000966D6">
      <w:pPr>
        <w:pStyle w:val="BodyText"/>
      </w:pPr>
      <w:r>
        <w:t>A</w:t>
      </w:r>
      <w:r w:rsidRPr="00F27410">
        <w:t>dministrative data can be a rich vein of information</w:t>
      </w:r>
      <w:r w:rsidR="00796208">
        <w:t xml:space="preserve"> because it is typically longitudinal</w:t>
      </w:r>
      <w:r w:rsidR="00D972C2">
        <w:t xml:space="preserve"> and</w:t>
      </w:r>
      <w:r w:rsidR="00796208">
        <w:t xml:space="preserve"> g</w:t>
      </w:r>
      <w:r w:rsidR="00796208" w:rsidRPr="00F27410">
        <w:t xml:space="preserve">enerally </w:t>
      </w:r>
      <w:r w:rsidR="00796208">
        <w:t>covers</w:t>
      </w:r>
      <w:r w:rsidR="00796208" w:rsidRPr="00F27410">
        <w:t xml:space="preserve"> the full population</w:t>
      </w:r>
      <w:r w:rsidR="007E0458">
        <w:t xml:space="preserve"> of service</w:t>
      </w:r>
      <w:r w:rsidR="00B277C0">
        <w:noBreakHyphen/>
      </w:r>
      <w:r w:rsidR="007E0458">
        <w:t>users</w:t>
      </w:r>
      <w:r w:rsidR="00796208">
        <w:t xml:space="preserve"> instead of a sample,</w:t>
      </w:r>
      <w:r w:rsidR="00796208" w:rsidRPr="00F27410">
        <w:t xml:space="preserve"> </w:t>
      </w:r>
      <w:r w:rsidR="00D972C2">
        <w:t>as well as</w:t>
      </w:r>
      <w:r w:rsidR="00796208" w:rsidRPr="00F27410">
        <w:t xml:space="preserve"> </w:t>
      </w:r>
      <w:r w:rsidR="007E0458">
        <w:t>largely</w:t>
      </w:r>
      <w:r w:rsidR="00796208">
        <w:t xml:space="preserve"> avoid</w:t>
      </w:r>
      <w:r w:rsidR="00D972C2">
        <w:t>ing</w:t>
      </w:r>
      <w:r w:rsidR="00796208">
        <w:t xml:space="preserve"> </w:t>
      </w:r>
      <w:r w:rsidR="00796208" w:rsidRPr="00F27410">
        <w:t>non</w:t>
      </w:r>
      <w:r w:rsidR="00796208" w:rsidRPr="00F27410">
        <w:noBreakHyphen/>
        <w:t>response rates</w:t>
      </w:r>
      <w:r w:rsidR="007E0458">
        <w:t xml:space="preserve"> for individuals, </w:t>
      </w:r>
      <w:r w:rsidR="00796208" w:rsidRPr="00F27410">
        <w:t xml:space="preserve">participant attrition </w:t>
      </w:r>
      <w:r w:rsidR="007E0458">
        <w:t xml:space="preserve">over time and </w:t>
      </w:r>
      <w:r w:rsidR="00D972C2">
        <w:t>many</w:t>
      </w:r>
      <w:r w:rsidR="007E0458">
        <w:t xml:space="preserve"> forms of under</w:t>
      </w:r>
      <w:r w:rsidR="00B277C0">
        <w:noBreakHyphen/>
      </w:r>
      <w:r w:rsidR="007E0458">
        <w:t>reporting</w:t>
      </w:r>
      <w:r w:rsidR="00796208">
        <w:t>.</w:t>
      </w:r>
      <w:r w:rsidR="00673ADB" w:rsidRPr="00441F05">
        <w:rPr>
          <w:rStyle w:val="FootnoteReference"/>
        </w:rPr>
        <w:footnoteReference w:id="9"/>
      </w:r>
      <w:r w:rsidR="00796208" w:rsidRPr="00F27410">
        <w:t xml:space="preserve"> </w:t>
      </w:r>
      <w:r w:rsidR="00762DAF">
        <w:t xml:space="preserve">Automated systems and routine collection </w:t>
      </w:r>
      <w:r w:rsidR="00D972C2">
        <w:t xml:space="preserve">also </w:t>
      </w:r>
      <w:r w:rsidR="00762DAF">
        <w:t xml:space="preserve">lower the cost of </w:t>
      </w:r>
      <w:r w:rsidR="00D972C2">
        <w:t xml:space="preserve">administrative </w:t>
      </w:r>
      <w:r w:rsidR="00762DAF">
        <w:t>data collection compared with standard labour</w:t>
      </w:r>
      <w:r w:rsidR="00762DAF">
        <w:noBreakHyphen/>
        <w:t>intensive survey methods</w:t>
      </w:r>
      <w:r w:rsidRPr="00F27410">
        <w:t xml:space="preserve"> </w:t>
      </w:r>
      <w:r w:rsidR="00B158BB" w:rsidRPr="00B158BB">
        <w:rPr>
          <w:szCs w:val="24"/>
        </w:rPr>
        <w:t>(PC 2013)</w:t>
      </w:r>
      <w:r w:rsidRPr="00F27410">
        <w:t>.</w:t>
      </w:r>
      <w:r>
        <w:t xml:space="preserve"> </w:t>
      </w:r>
    </w:p>
    <w:p w14:paraId="07FE4F32" w14:textId="6102D5A7" w:rsidR="007E20A8" w:rsidRDefault="009D287B" w:rsidP="009D287B">
      <w:pPr>
        <w:pStyle w:val="BodyText"/>
      </w:pPr>
      <w:r>
        <w:t>There</w:t>
      </w:r>
      <w:r w:rsidR="00762DAF">
        <w:t xml:space="preserve"> remain problems with such data for the development of performance indicators</w:t>
      </w:r>
      <w:r>
        <w:t>, mainly reflecting that the data are collected for administrative rather than evaluative purposes.</w:t>
      </w:r>
      <w:r w:rsidR="00762DAF">
        <w:t xml:space="preserve"> Respondents </w:t>
      </w:r>
      <w:r w:rsidR="00C54193">
        <w:t xml:space="preserve">and data collecting agencies </w:t>
      </w:r>
      <w:r w:rsidR="00762DAF">
        <w:t xml:space="preserve">make errors — so data requires cleaning to be </w:t>
      </w:r>
      <w:r w:rsidR="001D06B4">
        <w:t>usable</w:t>
      </w:r>
      <w:r w:rsidR="00762DAF">
        <w:t>.</w:t>
      </w:r>
      <w:r>
        <w:t xml:space="preserve"> Data collections vary over time as policies and programs change. Variables are not always well</w:t>
      </w:r>
      <w:r w:rsidR="000608E7">
        <w:noBreakHyphen/>
      </w:r>
      <w:r>
        <w:t xml:space="preserve">defined or documented </w:t>
      </w:r>
      <w:r w:rsidRPr="00F27410">
        <w:rPr>
          <w:szCs w:val="24"/>
        </w:rPr>
        <w:t>(PC 2015)</w:t>
      </w:r>
      <w:r>
        <w:t xml:space="preserve">. </w:t>
      </w:r>
      <w:r w:rsidRPr="00F27410">
        <w:t xml:space="preserve">Administrative data also suffers from an inability for researchers to specify the scope of data that </w:t>
      </w:r>
      <w:r w:rsidR="008D6C4D">
        <w:t>are</w:t>
      </w:r>
      <w:r w:rsidRPr="00F27410">
        <w:t xml:space="preserve"> collected in advance, as many crucial datasets </w:t>
      </w:r>
      <w:r>
        <w:t>for government</w:t>
      </w:r>
      <w:r>
        <w:noBreakHyphen/>
        <w:t>funded services</w:t>
      </w:r>
      <w:r w:rsidRPr="00F27410">
        <w:t xml:space="preserve"> are designed for purposes other than </w:t>
      </w:r>
      <w:r>
        <w:t xml:space="preserve">performance </w:t>
      </w:r>
      <w:r w:rsidRPr="00F27410">
        <w:t>analysis</w:t>
      </w:r>
      <w:r w:rsidR="001C6DF5">
        <w:t>. T</w:t>
      </w:r>
      <w:r w:rsidRPr="00F27410">
        <w:t xml:space="preserve">heir usefulness is </w:t>
      </w:r>
      <w:r w:rsidR="001C6DF5">
        <w:t xml:space="preserve">therefore </w:t>
      </w:r>
      <w:r w:rsidRPr="00F27410">
        <w:t>a welcome byproduct, but not always a planned outcome</w:t>
      </w:r>
      <w:r w:rsidR="00F37AD7">
        <w:t xml:space="preserve"> </w:t>
      </w:r>
      <w:r w:rsidRPr="00F27410">
        <w:rPr>
          <w:szCs w:val="24"/>
        </w:rPr>
        <w:t>(PC 2015; Schreyer 2010)</w:t>
      </w:r>
      <w:r w:rsidR="007E20A8">
        <w:t>.</w:t>
      </w:r>
      <w:r w:rsidR="00F37AD7" w:rsidRPr="00441F05">
        <w:rPr>
          <w:rStyle w:val="FootnoteReference"/>
        </w:rPr>
        <w:footnoteReference w:id="10"/>
      </w:r>
    </w:p>
    <w:p w14:paraId="7E0C4B72" w14:textId="61E81E2F" w:rsidR="009D287B" w:rsidRDefault="009D287B" w:rsidP="009D287B">
      <w:pPr>
        <w:pStyle w:val="BodyText"/>
        <w:rPr>
          <w:rFonts w:asciiTheme="minorHAnsi" w:eastAsiaTheme="minorHAnsi" w:hAnsiTheme="minorHAnsi" w:cstheme="minorBidi"/>
          <w:sz w:val="22"/>
          <w:szCs w:val="22"/>
          <w:lang w:eastAsia="en-US"/>
        </w:rPr>
      </w:pPr>
      <w:r w:rsidRPr="00F27410">
        <w:t xml:space="preserve">Further, </w:t>
      </w:r>
      <w:r w:rsidR="00800436">
        <w:t>d</w:t>
      </w:r>
      <w:r w:rsidRPr="00F27410">
        <w:t xml:space="preserve">ifferent </w:t>
      </w:r>
      <w:r w:rsidR="007453BB">
        <w:t xml:space="preserve">jurisdictions (particularly the </w:t>
      </w:r>
      <w:r w:rsidRPr="00F27410">
        <w:t>states and territories</w:t>
      </w:r>
      <w:r w:rsidR="007453BB">
        <w:t>)</w:t>
      </w:r>
      <w:r w:rsidRPr="00F27410">
        <w:t xml:space="preserve"> frequently have </w:t>
      </w:r>
      <w:r w:rsidR="00F37AD7">
        <w:t>different</w:t>
      </w:r>
      <w:r w:rsidRPr="00F27410">
        <w:t xml:space="preserve"> </w:t>
      </w:r>
      <w:r>
        <w:t>definitions and</w:t>
      </w:r>
      <w:r w:rsidRPr="00F27410">
        <w:t xml:space="preserve"> collection standards</w:t>
      </w:r>
      <w:r>
        <w:t xml:space="preserve">, </w:t>
      </w:r>
      <w:r w:rsidRPr="00F27410">
        <w:t xml:space="preserve">making the development of </w:t>
      </w:r>
      <w:r>
        <w:t>comparable</w:t>
      </w:r>
      <w:r w:rsidRPr="00F27410">
        <w:t xml:space="preserve"> performance indicators </w:t>
      </w:r>
      <w:r>
        <w:t>difficult — for e</w:t>
      </w:r>
      <w:r w:rsidRPr="00F27410">
        <w:t>xample</w:t>
      </w:r>
      <w:r>
        <w:t>,</w:t>
      </w:r>
      <w:r w:rsidRPr="00F27410">
        <w:t xml:space="preserve"> </w:t>
      </w:r>
      <w:r>
        <w:t>there is considerable</w:t>
      </w:r>
      <w:r w:rsidRPr="00F27410">
        <w:t xml:space="preserve"> variation in the way hospitals </w:t>
      </w:r>
      <w:r>
        <w:t>code</w:t>
      </w:r>
      <w:r w:rsidRPr="00F27410">
        <w:t xml:space="preserve"> information about patient</w:t>
      </w:r>
      <w:r w:rsidR="007E0458">
        <w:t xml:space="preserve"> </w:t>
      </w:r>
      <w:r w:rsidR="00D972C2">
        <w:t>deaths</w:t>
      </w:r>
      <w:r>
        <w:t xml:space="preserve"> </w:t>
      </w:r>
      <w:r w:rsidRPr="00AE1A96">
        <w:rPr>
          <w:szCs w:val="24"/>
        </w:rPr>
        <w:t>(NHPA 2016)</w:t>
      </w:r>
      <w:r w:rsidR="00800436">
        <w:t>.</w:t>
      </w:r>
    </w:p>
    <w:p w14:paraId="741709D1" w14:textId="5A8EDCC0" w:rsidR="000966D6" w:rsidRDefault="00762DAF" w:rsidP="000966D6">
      <w:pPr>
        <w:pStyle w:val="BodyText"/>
      </w:pPr>
      <w:r>
        <w:t xml:space="preserve">Nevertheless, such data </w:t>
      </w:r>
      <w:r w:rsidR="008D6C4D">
        <w:t>are</w:t>
      </w:r>
      <w:r>
        <w:t xml:space="preserve"> a promising source of evidence on performance, and becomes more so if linked </w:t>
      </w:r>
      <w:r w:rsidR="00F37AD7">
        <w:t xml:space="preserve">(by client or provider) </w:t>
      </w:r>
      <w:r>
        <w:t xml:space="preserve">across datasets. Arguably, the most significant barrier to the use of administrative data </w:t>
      </w:r>
      <w:r w:rsidR="008D6C4D">
        <w:t>are</w:t>
      </w:r>
      <w:r>
        <w:t xml:space="preserve"> accessibility — an issue that was a central concern of the Productivity Commission’s inquiry into Data Availability and Use.</w:t>
      </w:r>
      <w:r w:rsidR="000608E7">
        <w:t xml:space="preserve"> </w:t>
      </w:r>
      <w:r w:rsidR="00BD7E2D">
        <w:t>While there is a need to meet privacy and confidentiality expectations of the community</w:t>
      </w:r>
      <w:r w:rsidR="009D287B">
        <w:t xml:space="preserve">, </w:t>
      </w:r>
      <w:r w:rsidR="00BD7E2D">
        <w:t xml:space="preserve">Australian governments have </w:t>
      </w:r>
      <w:r w:rsidR="000966D6" w:rsidRPr="00F27410">
        <w:t>tend</w:t>
      </w:r>
      <w:r w:rsidR="00BD7E2D">
        <w:t>ed</w:t>
      </w:r>
      <w:r w:rsidR="000966D6" w:rsidRPr="00F27410">
        <w:t xml:space="preserve"> to </w:t>
      </w:r>
      <w:r w:rsidR="00BD7E2D">
        <w:t xml:space="preserve">be overly </w:t>
      </w:r>
      <w:r w:rsidR="000966D6" w:rsidRPr="00F27410">
        <w:t>risk</w:t>
      </w:r>
      <w:r w:rsidR="000966D6" w:rsidRPr="00F27410">
        <w:noBreakHyphen/>
      </w:r>
      <w:r w:rsidR="00BD7E2D" w:rsidRPr="00F27410">
        <w:t>avers</w:t>
      </w:r>
      <w:r w:rsidR="00BD7E2D">
        <w:t>e</w:t>
      </w:r>
      <w:r w:rsidR="00BD7E2D" w:rsidRPr="00F27410">
        <w:t xml:space="preserve"> </w:t>
      </w:r>
      <w:r w:rsidR="00BD7E2D">
        <w:t xml:space="preserve">in providing access to </w:t>
      </w:r>
      <w:r w:rsidR="000966D6" w:rsidRPr="00F27410">
        <w:t>administrative data</w:t>
      </w:r>
      <w:r w:rsidR="009B582D">
        <w:t xml:space="preserve">, even </w:t>
      </w:r>
      <w:r w:rsidR="00AF6D75">
        <w:t xml:space="preserve">on a private basis </w:t>
      </w:r>
      <w:r w:rsidR="009B582D">
        <w:t>between government agencies</w:t>
      </w:r>
      <w:r w:rsidR="00AF6D75">
        <w:t xml:space="preserve"> </w:t>
      </w:r>
      <w:r w:rsidR="00B158BB">
        <w:t>or</w:t>
      </w:r>
      <w:r w:rsidR="00AF6D75">
        <w:t xml:space="preserve"> trusted users</w:t>
      </w:r>
      <w:r w:rsidR="00B158BB">
        <w:t>.</w:t>
      </w:r>
      <w:r w:rsidR="000966D6" w:rsidRPr="00F27410">
        <w:t xml:space="preserve"> </w:t>
      </w:r>
      <w:r w:rsidR="00AF6D75">
        <w:t>Under one measure of access</w:t>
      </w:r>
      <w:r w:rsidR="00B158BB">
        <w:t>ibility</w:t>
      </w:r>
      <w:r w:rsidR="00AF6D75">
        <w:t xml:space="preserve">, </w:t>
      </w:r>
      <w:r w:rsidR="000966D6" w:rsidRPr="00F27410">
        <w:t xml:space="preserve">Australia’s provision of open access data </w:t>
      </w:r>
      <w:r w:rsidR="00F670FF">
        <w:t>lags</w:t>
      </w:r>
      <w:r w:rsidR="000966D6" w:rsidRPr="00F27410">
        <w:t xml:space="preserve"> that of comparable countries with similar governance structures — </w:t>
      </w:r>
      <w:r w:rsidR="000966D6">
        <w:t>such as</w:t>
      </w:r>
      <w:r w:rsidR="000966D6" w:rsidRPr="00F27410">
        <w:t xml:space="preserve"> the United States, the United Kingdom and Canada</w:t>
      </w:r>
      <w:r w:rsidR="001F2133">
        <w:t>. A</w:t>
      </w:r>
      <w:r w:rsidR="000966D6" w:rsidRPr="00F27410">
        <w:t xml:space="preserve">ll outperform Australia in collecting and releasing </w:t>
      </w:r>
      <w:r w:rsidR="00570AB3">
        <w:t>health care</w:t>
      </w:r>
      <w:r w:rsidR="000966D6" w:rsidRPr="00F27410">
        <w:t xml:space="preserve"> data, </w:t>
      </w:r>
      <w:r w:rsidR="000966D6">
        <w:t>including</w:t>
      </w:r>
      <w:r w:rsidR="000966D6" w:rsidRPr="00F27410">
        <w:t xml:space="preserve"> performance data on hospitals and administrative data on the use of health services </w:t>
      </w:r>
      <w:r w:rsidR="00B158BB" w:rsidRPr="00B158BB">
        <w:rPr>
          <w:szCs w:val="24"/>
        </w:rPr>
        <w:t>(PC 2010a, 2013, 2015, 2016b, 2017)</w:t>
      </w:r>
      <w:r w:rsidR="000966D6" w:rsidRPr="00F27410">
        <w:t>.</w:t>
      </w:r>
      <w:r w:rsidR="00F70F09">
        <w:t xml:space="preserve"> </w:t>
      </w:r>
      <w:r w:rsidR="001F2133">
        <w:t>T</w:t>
      </w:r>
      <w:r w:rsidR="00F70F09" w:rsidRPr="00F27410">
        <w:t xml:space="preserve">he United States </w:t>
      </w:r>
      <w:r w:rsidR="009B582D">
        <w:t xml:space="preserve">government </w:t>
      </w:r>
      <w:r w:rsidR="00F70F09" w:rsidRPr="00F27410">
        <w:t>currently releases datasets containing over 100 measures of performance for over 4000 hospitals, ranging from operational measures to patient survey information</w:t>
      </w:r>
      <w:r w:rsidR="00F70F09">
        <w:t>, with nothing comparable existing in Australia</w:t>
      </w:r>
      <w:r w:rsidR="00F70F09" w:rsidRPr="00F27410">
        <w:t xml:space="preserve"> </w:t>
      </w:r>
      <w:r w:rsidR="004E0274" w:rsidRPr="004E0274">
        <w:rPr>
          <w:szCs w:val="24"/>
        </w:rPr>
        <w:t>(PC 2017)</w:t>
      </w:r>
      <w:r w:rsidR="00F70F09" w:rsidRPr="00F27410">
        <w:t>.</w:t>
      </w:r>
    </w:p>
    <w:p w14:paraId="53E9D96B" w14:textId="687C9BE2" w:rsidR="00DC3837" w:rsidRDefault="00DC3837" w:rsidP="00EF4B59">
      <w:pPr>
        <w:pStyle w:val="BodyText"/>
      </w:pPr>
      <w:r>
        <w:t>Despite these challenges</w:t>
      </w:r>
      <w:r w:rsidR="00EF4B59">
        <w:t xml:space="preserve">, </w:t>
      </w:r>
      <w:r w:rsidR="009B582D">
        <w:t xml:space="preserve">there have been </w:t>
      </w:r>
      <w:r w:rsidR="00EF4B59">
        <w:t xml:space="preserve">some improvements in utilising existing data sources. </w:t>
      </w:r>
      <w:r w:rsidR="00A35688">
        <w:t>In particular</w:t>
      </w:r>
      <w:r w:rsidR="00ED7CF5">
        <w:t>,</w:t>
      </w:r>
      <w:r w:rsidR="00EF4B59">
        <w:t xml:space="preserve"> governments have </w:t>
      </w:r>
      <w:r w:rsidR="00FB5306">
        <w:t>gotten</w:t>
      </w:r>
      <w:r w:rsidR="00EF4B59">
        <w:t xml:space="preserve"> </w:t>
      </w:r>
      <w:r w:rsidR="00ED7CF5">
        <w:t xml:space="preserve">marginally </w:t>
      </w:r>
      <w:r w:rsidR="00FB5306">
        <w:t>better at ensuring that data collected by third</w:t>
      </w:r>
      <w:r w:rsidR="00B277C0">
        <w:noBreakHyphen/>
      </w:r>
      <w:r w:rsidR="00FB5306">
        <w:t>party, private providers of government</w:t>
      </w:r>
      <w:r w:rsidR="00B277C0">
        <w:noBreakHyphen/>
      </w:r>
      <w:r w:rsidR="00FB5306">
        <w:t xml:space="preserve">funded services are </w:t>
      </w:r>
      <w:r w:rsidR="00ED7CF5">
        <w:t xml:space="preserve">passed </w:t>
      </w:r>
      <w:r w:rsidR="009B582D">
        <w:t>back to the regulating or contracting agency</w:t>
      </w:r>
      <w:r w:rsidR="00FB5306">
        <w:t xml:space="preserve"> for further analysis</w:t>
      </w:r>
      <w:r w:rsidR="00B55ECA">
        <w:t xml:space="preserve"> </w:t>
      </w:r>
      <w:r w:rsidR="00B55ECA" w:rsidRPr="004E0274">
        <w:rPr>
          <w:szCs w:val="24"/>
        </w:rPr>
        <w:t>(PC 2017)</w:t>
      </w:r>
      <w:r w:rsidR="00ED7CF5">
        <w:t>. This largely occurs through</w:t>
      </w:r>
      <w:r w:rsidR="00EF4B59">
        <w:t xml:space="preserve"> standardised </w:t>
      </w:r>
      <w:r w:rsidR="00ED7CF5">
        <w:t xml:space="preserve">data sharing arrangements </w:t>
      </w:r>
      <w:r w:rsidR="00EF4B59">
        <w:t>in contracts</w:t>
      </w:r>
      <w:r w:rsidR="00B55ECA">
        <w:t xml:space="preserve"> (such as under the guidelines published by TfNSW, noted in section</w:t>
      </w:r>
      <w:r w:rsidR="00B277C0">
        <w:t> </w:t>
      </w:r>
      <w:r w:rsidR="00B55ECA">
        <w:t>1)</w:t>
      </w:r>
      <w:r w:rsidR="00A35688">
        <w:t xml:space="preserve">. </w:t>
      </w:r>
    </w:p>
    <w:p w14:paraId="7156194D" w14:textId="2530E582" w:rsidR="00EF4B59" w:rsidRPr="00F27410" w:rsidRDefault="00A35688" w:rsidP="00EF4B59">
      <w:pPr>
        <w:pStyle w:val="BodyText"/>
      </w:pPr>
      <w:r>
        <w:t xml:space="preserve">However, further progress could be made, as agencies frequently collect </w:t>
      </w:r>
      <w:r w:rsidR="00565851">
        <w:t>large amounts</w:t>
      </w:r>
      <w:r>
        <w:t xml:space="preserve"> of performance</w:t>
      </w:r>
      <w:r w:rsidR="00B277C0">
        <w:noBreakHyphen/>
      </w:r>
      <w:r>
        <w:t xml:space="preserve">related information from contractors, but only </w:t>
      </w:r>
      <w:r w:rsidR="00B158BB">
        <w:t>make use of</w:t>
      </w:r>
      <w:r>
        <w:t xml:space="preserve"> a small portion </w:t>
      </w:r>
      <w:r w:rsidR="00B158BB">
        <w:t>when</w:t>
      </w:r>
      <w:r>
        <w:t xml:space="preserve"> assessing performance and providing feedback. As this data collection can create considerable reporting burdens for contractors, there is room to improve through more accurate targeting of performance reporting requirements — collecting less data overall, but making better use of what is collected </w:t>
      </w:r>
      <w:r w:rsidRPr="00A35688">
        <w:rPr>
          <w:szCs w:val="24"/>
        </w:rPr>
        <w:t>(PC 2010b)</w:t>
      </w:r>
      <w:r>
        <w:t>.</w:t>
      </w:r>
      <w:r w:rsidR="00DC3837">
        <w:t xml:space="preserve"> There are also concerns that excessive measurement and reporting requirements are hindering the benefits of social impact bonds </w:t>
      </w:r>
      <w:r w:rsidR="00770415" w:rsidRPr="00770415">
        <w:rPr>
          <w:szCs w:val="24"/>
        </w:rPr>
        <w:t>(Edmiston and Nicholls 2017)</w:t>
      </w:r>
      <w:r w:rsidR="00DC3837">
        <w:t>.</w:t>
      </w:r>
    </w:p>
    <w:p w14:paraId="6DD90CAA" w14:textId="77777777" w:rsidR="000966D6" w:rsidRPr="00F27410" w:rsidRDefault="000966D6" w:rsidP="00B930E9">
      <w:pPr>
        <w:pStyle w:val="Heading3"/>
      </w:pPr>
      <w:r w:rsidRPr="00F27410">
        <w:t xml:space="preserve">… while also covering gaps in data collections </w:t>
      </w:r>
    </w:p>
    <w:p w14:paraId="4E738174" w14:textId="27FC41CC" w:rsidR="00ED7CF5" w:rsidRDefault="000966D6" w:rsidP="00ED7CF5">
      <w:pPr>
        <w:pStyle w:val="BodyText"/>
      </w:pPr>
      <w:r>
        <w:t>T</w:t>
      </w:r>
      <w:r w:rsidRPr="00F27410">
        <w:t>here are also a range of areas where performance</w:t>
      </w:r>
      <w:r w:rsidRPr="00F27410">
        <w:noBreakHyphen/>
        <w:t xml:space="preserve">related data either do not exist or the quality of what is collected is too low to be of any </w:t>
      </w:r>
      <w:r>
        <w:t>value</w:t>
      </w:r>
      <w:r w:rsidRPr="00F27410">
        <w:t xml:space="preserve">. </w:t>
      </w:r>
      <w:r>
        <w:t xml:space="preserve">In </w:t>
      </w:r>
      <w:r w:rsidR="00570AB3">
        <w:t>health care</w:t>
      </w:r>
      <w:r>
        <w:t>, o</w:t>
      </w:r>
      <w:r w:rsidRPr="00F27410">
        <w:t xml:space="preserve">ne such area is the nature of patient encounters in the primary </w:t>
      </w:r>
      <w:r w:rsidR="00570AB3">
        <w:t>health care</w:t>
      </w:r>
      <w:r w:rsidRPr="00F27410">
        <w:t xml:space="preserve"> sector (</w:t>
      </w:r>
      <w:r>
        <w:t>such as during GP consultations</w:t>
      </w:r>
      <w:r w:rsidR="00871DA5">
        <w:t xml:space="preserve"> — </w:t>
      </w:r>
      <w:r w:rsidRPr="00F27410">
        <w:t>box</w:t>
      </w:r>
      <w:r w:rsidR="00B277C0">
        <w:t> </w:t>
      </w:r>
      <w:r w:rsidR="0048765E">
        <w:t>5</w:t>
      </w:r>
      <w:r w:rsidRPr="00F27410">
        <w:t xml:space="preserve">). </w:t>
      </w:r>
      <w:r>
        <w:t>For the education sector, there is also a lack of information about the</w:t>
      </w:r>
      <w:r w:rsidRPr="00F27410">
        <w:t xml:space="preserve"> characteris</w:t>
      </w:r>
      <w:r>
        <w:t>tics of the education workforce</w:t>
      </w:r>
      <w:r w:rsidRPr="00F27410">
        <w:t xml:space="preserve"> and </w:t>
      </w:r>
      <w:r w:rsidR="00871DA5">
        <w:t xml:space="preserve">the </w:t>
      </w:r>
      <w:r w:rsidR="0048765E">
        <w:t>student</w:t>
      </w:r>
      <w:r w:rsidR="00B277C0">
        <w:noBreakHyphen/>
      </w:r>
      <w:r w:rsidR="0048765E">
        <w:t xml:space="preserve">level </w:t>
      </w:r>
      <w:r w:rsidRPr="00F27410">
        <w:t xml:space="preserve">learning outcomes from early childhood education and </w:t>
      </w:r>
      <w:r w:rsidR="00871DA5">
        <w:t xml:space="preserve">the </w:t>
      </w:r>
      <w:r w:rsidR="009B582D">
        <w:t>first</w:t>
      </w:r>
      <w:r w:rsidRPr="00F27410">
        <w:t xml:space="preserve"> year of primary school </w:t>
      </w:r>
      <w:r w:rsidR="004E0274" w:rsidRPr="004E0274">
        <w:rPr>
          <w:szCs w:val="24"/>
        </w:rPr>
        <w:t>(PC 2016b)</w:t>
      </w:r>
      <w:r w:rsidR="00F54297">
        <w:t>.</w:t>
      </w:r>
      <w:r w:rsidR="00ED7CF5" w:rsidRPr="00ED7CF5">
        <w:t xml:space="preserve"> </w:t>
      </w:r>
    </w:p>
    <w:p w14:paraId="6C98BB45" w14:textId="77777777" w:rsidR="00A75367" w:rsidRDefault="00A75367" w:rsidP="00A75367">
      <w:pPr>
        <w:pStyle w:val="BodyText"/>
      </w:pPr>
      <w:r w:rsidRPr="00F27410">
        <w:t>Although additional data across the non</w:t>
      </w:r>
      <w:r>
        <w:noBreakHyphen/>
      </w:r>
      <w:r w:rsidRPr="00F27410">
        <w:t>market sector would be useful, a key constraint of greater data collection is cost. To publish performance</w:t>
      </w:r>
      <w:r>
        <w:noBreakHyphen/>
      </w:r>
      <w:r w:rsidRPr="00F27410">
        <w:t xml:space="preserve">related data for each individual service provider across the sector requires data to be collected from all of them. Often, </w:t>
      </w:r>
      <w:r>
        <w:t xml:space="preserve">doing </w:t>
      </w:r>
      <w:r w:rsidRPr="00F27410">
        <w:t>this will not be pract</w:t>
      </w:r>
      <w:r>
        <w:t>ical or cost</w:t>
      </w:r>
      <w:r>
        <w:noBreakHyphen/>
        <w:t>effective — this is</w:t>
      </w:r>
      <w:r w:rsidRPr="00F27410">
        <w:t xml:space="preserve"> especially </w:t>
      </w:r>
      <w:r>
        <w:t xml:space="preserve">true </w:t>
      </w:r>
      <w:r w:rsidRPr="00F27410">
        <w:t>for the collection of large</w:t>
      </w:r>
      <w:r>
        <w:noBreakHyphen/>
      </w:r>
      <w:r w:rsidRPr="00F27410">
        <w:t>scale, time</w:t>
      </w:r>
      <w:r w:rsidRPr="00F27410">
        <w:noBreakHyphen/>
        <w:t>consuming survey data to measure quality outcomes. Additional data collection requirement</w:t>
      </w:r>
      <w:r>
        <w:t>s</w:t>
      </w:r>
      <w:r w:rsidRPr="00F27410">
        <w:t xml:space="preserve"> can also be seen as disruptive </w:t>
      </w:r>
      <w:r>
        <w:t>to</w:t>
      </w:r>
      <w:r w:rsidRPr="00F27410">
        <w:t xml:space="preserve"> the core activities of the service providers themselves, such as preventing doctors from attending to their patients </w:t>
      </w:r>
      <w:r>
        <w:t xml:space="preserve">or teachers from educating their students </w:t>
      </w:r>
      <w:r w:rsidRPr="004E0274">
        <w:rPr>
          <w:szCs w:val="24"/>
        </w:rPr>
        <w:t>(PC 2017)</w:t>
      </w:r>
      <w:r w:rsidRPr="00F27410">
        <w:t xml:space="preserve">. </w:t>
      </w:r>
    </w:p>
    <w:p w14:paraId="2832A9FE" w14:textId="77777777" w:rsidR="00A75367" w:rsidRDefault="00A75367" w:rsidP="00A75367">
      <w:pPr>
        <w:pStyle w:val="BodyText"/>
      </w:pPr>
      <w:r w:rsidRPr="000355CC">
        <w:t>However, while governments often perceive additional data collection activities to be expendable relative to other functions, the savings can prove illusory when weighed against the gains through better outcomes for consumers and greater cost</w:t>
      </w:r>
      <w:r>
        <w:noBreakHyphen/>
      </w:r>
      <w:r w:rsidRPr="000355CC">
        <w:t>effectiveness for taxpayers. As such, increasing data collection may still be worthwhile in select, high</w:t>
      </w:r>
      <w:r w:rsidRPr="000355CC">
        <w:noBreakHyphen/>
        <w:t xml:space="preserve">priority areas where the gains are likely to be large and outweigh the costs of collection, even if those costs may be considerable </w:t>
      </w:r>
      <w:r w:rsidRPr="00A35688">
        <w:rPr>
          <w:szCs w:val="24"/>
        </w:rPr>
        <w:t>(PC 2010a)</w:t>
      </w:r>
      <w:r w:rsidRPr="000355CC">
        <w:t xml:space="preserve">. </w:t>
      </w:r>
      <w:r>
        <w:t>These c</w:t>
      </w:r>
      <w:r w:rsidRPr="000355CC">
        <w:t xml:space="preserve">ost </w:t>
      </w:r>
      <w:r>
        <w:t xml:space="preserve">constraints also mean that there is a </w:t>
      </w:r>
      <w:r w:rsidRPr="000355CC">
        <w:t xml:space="preserve">need for careful consideration as to what sorts of </w:t>
      </w:r>
      <w:r>
        <w:t>information will be most</w:t>
      </w:r>
      <w:r w:rsidRPr="000355CC">
        <w:t xml:space="preserve"> useful </w:t>
      </w:r>
      <w:r>
        <w:t xml:space="preserve">for improving service delivery </w:t>
      </w:r>
      <w:r w:rsidRPr="000355CC">
        <w:t>to customers</w:t>
      </w:r>
      <w:r>
        <w:t>,</w:t>
      </w:r>
      <w:r w:rsidRPr="000355CC">
        <w:t xml:space="preserve"> </w:t>
      </w:r>
      <w:r>
        <w:t>including what is</w:t>
      </w:r>
      <w:r w:rsidRPr="000355CC">
        <w:t xml:space="preserve"> </w:t>
      </w:r>
      <w:r>
        <w:t xml:space="preserve">most </w:t>
      </w:r>
      <w:r w:rsidRPr="000355CC">
        <w:t>likely to inform policy design or prompt behavioural change.</w:t>
      </w:r>
      <w:r w:rsidRPr="00EF4B59">
        <w:t xml:space="preserve"> </w:t>
      </w:r>
    </w:p>
    <w:p w14:paraId="6B55A188" w14:textId="77777777" w:rsidR="00A75367" w:rsidRDefault="00A75367" w:rsidP="00ED7CF5">
      <w:pPr>
        <w:pStyle w:val="BodyText"/>
      </w:pPr>
    </w:p>
    <w:p w14:paraId="6E3835BC" w14:textId="5A16C68D" w:rsidR="00B277C0" w:rsidRDefault="00B277C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B277C0" w14:paraId="27C051C4" w14:textId="77777777" w:rsidTr="00DE10E9">
        <w:tc>
          <w:tcPr>
            <w:tcW w:w="5000" w:type="pct"/>
            <w:tcBorders>
              <w:top w:val="single" w:sz="6" w:space="0" w:color="78A22F"/>
              <w:left w:val="nil"/>
              <w:bottom w:val="nil"/>
              <w:right w:val="nil"/>
            </w:tcBorders>
            <w:shd w:val="clear" w:color="auto" w:fill="F2F2F2"/>
          </w:tcPr>
          <w:p w14:paraId="7D725F56" w14:textId="01CEF8F9" w:rsidR="00B277C0" w:rsidRDefault="00B277C0" w:rsidP="004C6BAF">
            <w:pPr>
              <w:pStyle w:val="BoxTitle"/>
            </w:pPr>
            <w:r>
              <w:rPr>
                <w:b w:val="0"/>
              </w:rPr>
              <w:t xml:space="preserve">Box </w:t>
            </w:r>
            <w:r w:rsidR="005A28E9">
              <w:rPr>
                <w:b w:val="0"/>
                <w:noProof/>
              </w:rPr>
              <w:t>5</w:t>
            </w:r>
            <w:r>
              <w:tab/>
            </w:r>
            <w:r w:rsidR="00BA2DA4" w:rsidRPr="00F27410">
              <w:t xml:space="preserve">The black box of primary </w:t>
            </w:r>
            <w:r w:rsidR="00570AB3">
              <w:t>health care</w:t>
            </w:r>
          </w:p>
        </w:tc>
      </w:tr>
      <w:tr w:rsidR="00B277C0" w14:paraId="5CADDC6E" w14:textId="77777777" w:rsidTr="00DE10E9">
        <w:tc>
          <w:tcPr>
            <w:tcW w:w="5000" w:type="pct"/>
            <w:tcBorders>
              <w:top w:val="nil"/>
              <w:left w:val="nil"/>
              <w:bottom w:val="nil"/>
              <w:right w:val="nil"/>
            </w:tcBorders>
            <w:shd w:val="clear" w:color="auto" w:fill="F2F2F2"/>
          </w:tcPr>
          <w:p w14:paraId="3C777ECA" w14:textId="52BB3D8A" w:rsidR="00B277C0" w:rsidRPr="00F27410" w:rsidRDefault="00B277C0" w:rsidP="00B277C0">
            <w:pPr>
              <w:pStyle w:val="Box"/>
            </w:pPr>
            <w:r w:rsidRPr="00F27410">
              <w:t xml:space="preserve">In primary </w:t>
            </w:r>
            <w:r w:rsidR="00570AB3">
              <w:t>health care</w:t>
            </w:r>
            <w:r w:rsidRPr="00F27410">
              <w:t xml:space="preserve"> (such </w:t>
            </w:r>
            <w:r>
              <w:t>as visits to GPs and specialist clinics</w:t>
            </w:r>
            <w:r w:rsidRPr="00F27410">
              <w:t xml:space="preserve">), there is very limited information available on the treatment and diagnostic details of individual patient encounters. This includes details of why an individual was visiting their primary </w:t>
            </w:r>
            <w:r w:rsidR="00570AB3">
              <w:t>health care</w:t>
            </w:r>
            <w:r w:rsidRPr="00F27410">
              <w:t xml:space="preserve"> professional, what their symptoms and diagnoses were, what treatment was prescribed, what the outcome was and whether follow</w:t>
            </w:r>
            <w:r>
              <w:noBreakHyphen/>
            </w:r>
            <w:r w:rsidRPr="00F27410">
              <w:t>up treatments were needed. In 2008</w:t>
            </w:r>
            <w:r>
              <w:t>,</w:t>
            </w:r>
            <w:r w:rsidRPr="00F27410">
              <w:t xml:space="preserve"> the AIHW concluded that existing data sources in primary </w:t>
            </w:r>
            <w:r w:rsidR="00570AB3">
              <w:t>health care</w:t>
            </w:r>
            <w:r w:rsidRPr="00F27410">
              <w:t xml:space="preserve"> were severely limited and there was a pressing need for additional data collection to build a more comprehensive picture of activity to drive outcome improvements. </w:t>
            </w:r>
          </w:p>
          <w:p w14:paraId="4F47D603" w14:textId="5EEDBFF4" w:rsidR="00B277C0" w:rsidRPr="00F27410" w:rsidRDefault="00B277C0" w:rsidP="00B277C0">
            <w:pPr>
              <w:pStyle w:val="Box"/>
            </w:pPr>
            <w:r w:rsidRPr="00F27410">
              <w:t xml:space="preserve">Although the Australian Government generally provides Medicare benefits for most patient encounters, there is no information collected on the contents of the encounter. Other data sources mostly rely on limited survey samples that are not broad enough to </w:t>
            </w:r>
            <w:r>
              <w:t>provide</w:t>
            </w:r>
            <w:r w:rsidRPr="00F27410">
              <w:t xml:space="preserve"> a comprehensive picture of primary </w:t>
            </w:r>
            <w:r w:rsidR="00570AB3">
              <w:t>health care</w:t>
            </w:r>
            <w:r w:rsidRPr="00F27410">
              <w:t xml:space="preserve"> activity and develop performance indicators for individual providers.</w:t>
            </w:r>
          </w:p>
          <w:p w14:paraId="11EA07A3" w14:textId="4CC17216" w:rsidR="00B277C0" w:rsidRPr="00F27410" w:rsidRDefault="00B277C0" w:rsidP="00B277C0">
            <w:pPr>
              <w:pStyle w:val="Box"/>
            </w:pPr>
            <w:r w:rsidRPr="00F27410">
              <w:t xml:space="preserve">While there are genuine patient confidentiality concerns to be considered, many of the issues instead relate to individual </w:t>
            </w:r>
            <w:r w:rsidR="00570AB3">
              <w:t>health care</w:t>
            </w:r>
            <w:r w:rsidRPr="00F27410">
              <w:t xml:space="preserve"> providers maintaining their own siloed record</w:t>
            </w:r>
            <w:r w:rsidRPr="00F27410">
              <w:noBreakHyphen/>
              <w:t>keeping arrangements and not sharing data. Historically, this has been exacerbated by the slow take</w:t>
            </w:r>
            <w:r>
              <w:noBreakHyphen/>
            </w:r>
            <w:r w:rsidRPr="00F27410">
              <w:t xml:space="preserve">up of computerised patient records by the </w:t>
            </w:r>
            <w:r w:rsidR="00570AB3">
              <w:t>health care</w:t>
            </w:r>
            <w:r w:rsidRPr="00F27410">
              <w:t xml:space="preserve"> sector.</w:t>
            </w:r>
          </w:p>
          <w:p w14:paraId="5A33A3D2" w14:textId="32CFAB48" w:rsidR="00B277C0" w:rsidRPr="00F27410" w:rsidRDefault="00B277C0" w:rsidP="00B277C0">
            <w:pPr>
              <w:pStyle w:val="Box"/>
            </w:pPr>
            <w:r w:rsidRPr="00F27410">
              <w:t xml:space="preserve">Further, </w:t>
            </w:r>
            <w:r>
              <w:t>since July</w:t>
            </w:r>
            <w:r w:rsidRPr="00F27410">
              <w:t xml:space="preserve"> 2016 one of the </w:t>
            </w:r>
            <w:r>
              <w:t>major</w:t>
            </w:r>
            <w:r w:rsidRPr="00F27410">
              <w:t xml:space="preserve"> datasets </w:t>
            </w:r>
            <w:r>
              <w:t>that</w:t>
            </w:r>
            <w:r w:rsidRPr="00F27410">
              <w:t xml:space="preserve"> sh</w:t>
            </w:r>
            <w:r>
              <w:t>one</w:t>
            </w:r>
            <w:r w:rsidRPr="00F27410">
              <w:t xml:space="preserve"> a light on activities in the primary </w:t>
            </w:r>
            <w:r w:rsidR="00570AB3">
              <w:t>health care</w:t>
            </w:r>
            <w:r w:rsidRPr="00F27410">
              <w:t xml:space="preserve"> sector</w:t>
            </w:r>
            <w:r>
              <w:t xml:space="preserve"> —</w:t>
            </w:r>
            <w:r w:rsidRPr="00F27410">
              <w:t xml:space="preserve"> the BEACH (Bettering the Evaluat</w:t>
            </w:r>
            <w:r>
              <w:t>ion and Care of Health) program —</w:t>
            </w:r>
            <w:r w:rsidRPr="00F27410">
              <w:t xml:space="preserve"> was </w:t>
            </w:r>
            <w:r>
              <w:t>discontinued</w:t>
            </w:r>
            <w:r w:rsidRPr="00F27410">
              <w:t xml:space="preserve"> after 18 years. The BEACH program randomly surveyed 1000 GPs </w:t>
            </w:r>
            <w:r w:rsidR="00F670FF">
              <w:t xml:space="preserve">a year </w:t>
            </w:r>
            <w:r w:rsidRPr="00F27410">
              <w:t>on the details of 100 patient encounters, resulting in a dataset of 100</w:t>
            </w:r>
            <w:r>
              <w:t> </w:t>
            </w:r>
            <w:r w:rsidRPr="00F27410">
              <w:t>000 GP</w:t>
            </w:r>
            <w:r w:rsidRPr="00F27410">
              <w:noBreakHyphen/>
              <w:t>patient encounters each year. Although not comprehensive enough to cover all GP encounters (</w:t>
            </w:r>
            <w:r w:rsidR="006F3254">
              <w:t>about</w:t>
            </w:r>
            <w:r w:rsidRPr="00F27410">
              <w:t xml:space="preserve"> 127 million occur each year) and enable the development of robust performance indicators, the program nonetheless provided a sizable database of evidence in an otherwise largely unreported sector.</w:t>
            </w:r>
          </w:p>
          <w:p w14:paraId="180D98DC" w14:textId="56C96140" w:rsidR="00B277C0" w:rsidRDefault="00B277C0">
            <w:pPr>
              <w:pStyle w:val="Box"/>
            </w:pPr>
            <w:r w:rsidRPr="00F27410">
              <w:t xml:space="preserve">Despite these challenges, one area of recent progress for primary </w:t>
            </w:r>
            <w:r w:rsidR="00570AB3">
              <w:t>health care</w:t>
            </w:r>
            <w:r w:rsidRPr="00F27410">
              <w:t xml:space="preserve"> is the expansion of national eHealth records. Although a</w:t>
            </w:r>
            <w:r>
              <w:t>doption</w:t>
            </w:r>
            <w:r w:rsidRPr="00F27410">
              <w:t xml:space="preserve"> has been sporadic and there is not yet much existing research based on the data, the reinvigorated My Health Record</w:t>
            </w:r>
            <w:r>
              <w:t xml:space="preserve"> system</w:t>
            </w:r>
            <w:r w:rsidRPr="00F27410">
              <w:t xml:space="preserve"> (se</w:t>
            </w:r>
            <w:r w:rsidRPr="00E16D2F">
              <w:t xml:space="preserve">e </w:t>
            </w:r>
            <w:r w:rsidR="000558C4">
              <w:t>c</w:t>
            </w:r>
            <w:r w:rsidRPr="00E16D2F">
              <w:t>hapter</w:t>
            </w:r>
            <w:r>
              <w:t> </w:t>
            </w:r>
            <w:r w:rsidR="001C6A96">
              <w:t xml:space="preserve">2 </w:t>
            </w:r>
            <w:r>
              <w:t xml:space="preserve">in the main report </w:t>
            </w:r>
            <w:r w:rsidRPr="00F27410">
              <w:t xml:space="preserve">for further details) </w:t>
            </w:r>
            <w:r>
              <w:t>is likely to</w:t>
            </w:r>
            <w:r w:rsidRPr="00F27410">
              <w:t xml:space="preserve"> assist with </w:t>
            </w:r>
            <w:r>
              <w:t>providing additional details</w:t>
            </w:r>
            <w:r w:rsidRPr="00F27410">
              <w:t xml:space="preserve"> </w:t>
            </w:r>
            <w:r>
              <w:t>on</w:t>
            </w:r>
            <w:r w:rsidRPr="00F27410">
              <w:t xml:space="preserve"> primary </w:t>
            </w:r>
            <w:r w:rsidR="00570AB3">
              <w:t>health care</w:t>
            </w:r>
            <w:r w:rsidRPr="00F27410">
              <w:t xml:space="preserve"> treatments in coming years. In particular, as new patients sign up for the service and it becomes more widespread, it will become an increasingly useful source of data in the primary </w:t>
            </w:r>
            <w:r w:rsidR="00570AB3">
              <w:t>health care</w:t>
            </w:r>
            <w:r w:rsidRPr="00F27410">
              <w:t xml:space="preserve"> sector, as well as in hospitals and other </w:t>
            </w:r>
            <w:r w:rsidR="00570AB3">
              <w:t>health care</w:t>
            </w:r>
            <w:r w:rsidRPr="00F27410">
              <w:t xml:space="preserve"> areas </w:t>
            </w:r>
            <w:r>
              <w:t>more broadly</w:t>
            </w:r>
            <w:r w:rsidRPr="00F27410">
              <w:t>.</w:t>
            </w:r>
          </w:p>
        </w:tc>
      </w:tr>
      <w:tr w:rsidR="00B277C0" w14:paraId="12C3EE22" w14:textId="77777777" w:rsidTr="00DE10E9">
        <w:tc>
          <w:tcPr>
            <w:tcW w:w="5000" w:type="pct"/>
            <w:tcBorders>
              <w:top w:val="nil"/>
              <w:left w:val="nil"/>
              <w:bottom w:val="nil"/>
              <w:right w:val="nil"/>
            </w:tcBorders>
            <w:shd w:val="clear" w:color="auto" w:fill="F2F2F2"/>
          </w:tcPr>
          <w:p w14:paraId="14EE3DC2" w14:textId="220A931B" w:rsidR="00B277C0" w:rsidRDefault="00B277C0" w:rsidP="008D6C4D">
            <w:pPr>
              <w:pStyle w:val="BoxSource"/>
            </w:pPr>
            <w:r>
              <w:rPr>
                <w:i/>
              </w:rPr>
              <w:t>Sources</w:t>
            </w:r>
            <w:r w:rsidRPr="00167F06">
              <w:t xml:space="preserve">: </w:t>
            </w:r>
            <w:r>
              <w:t xml:space="preserve">AIHW </w:t>
            </w:r>
            <w:r w:rsidRPr="00FE782B">
              <w:rPr>
                <w:rFonts w:cs="Arial"/>
              </w:rPr>
              <w:t>(2008)</w:t>
            </w:r>
            <w:r w:rsidR="008D6C4D">
              <w:t>,</w:t>
            </w:r>
            <w:r>
              <w:t xml:space="preserve"> Department of Health </w:t>
            </w:r>
            <w:r w:rsidRPr="00FE782B">
              <w:rPr>
                <w:rFonts w:cs="Arial"/>
              </w:rPr>
              <w:t>(2016a)</w:t>
            </w:r>
            <w:r w:rsidR="008D6C4D">
              <w:t>,</w:t>
            </w:r>
            <w:r>
              <w:t xml:space="preserve"> FMRC </w:t>
            </w:r>
            <w:r w:rsidRPr="00FE782B">
              <w:rPr>
                <w:rFonts w:cs="Arial"/>
              </w:rPr>
              <w:t>(2016a, 2016b)</w:t>
            </w:r>
            <w:r w:rsidR="008D6C4D">
              <w:t>,</w:t>
            </w:r>
            <w:r w:rsidR="0045693B">
              <w:t xml:space="preserve"> </w:t>
            </w:r>
            <w:r>
              <w:t xml:space="preserve">PC </w:t>
            </w:r>
            <w:r w:rsidRPr="00FE782B">
              <w:rPr>
                <w:rFonts w:cs="Arial"/>
              </w:rPr>
              <w:t>(2017)</w:t>
            </w:r>
            <w:r>
              <w:t>.</w:t>
            </w:r>
          </w:p>
        </w:tc>
      </w:tr>
      <w:tr w:rsidR="00B277C0" w14:paraId="081AC1A9" w14:textId="77777777" w:rsidTr="00DE10E9">
        <w:tc>
          <w:tcPr>
            <w:tcW w:w="5000" w:type="pct"/>
            <w:tcBorders>
              <w:top w:val="nil"/>
              <w:left w:val="nil"/>
              <w:bottom w:val="single" w:sz="6" w:space="0" w:color="78A22F"/>
              <w:right w:val="nil"/>
            </w:tcBorders>
            <w:shd w:val="clear" w:color="auto" w:fill="F2F2F2"/>
          </w:tcPr>
          <w:p w14:paraId="019339BD" w14:textId="77777777" w:rsidR="00B277C0" w:rsidRDefault="00B277C0">
            <w:pPr>
              <w:pStyle w:val="Box"/>
              <w:spacing w:before="0" w:line="120" w:lineRule="exact"/>
            </w:pPr>
          </w:p>
        </w:tc>
      </w:tr>
      <w:tr w:rsidR="00B277C0" w:rsidRPr="000863A5" w14:paraId="37055A58" w14:textId="77777777" w:rsidTr="00DE10E9">
        <w:tc>
          <w:tcPr>
            <w:tcW w:w="5000" w:type="pct"/>
            <w:tcBorders>
              <w:top w:val="single" w:sz="6" w:space="0" w:color="78A22F"/>
              <w:left w:val="nil"/>
              <w:bottom w:val="nil"/>
              <w:right w:val="nil"/>
            </w:tcBorders>
          </w:tcPr>
          <w:p w14:paraId="05841424" w14:textId="1B54D76F" w:rsidR="00B277C0" w:rsidRPr="00626D32" w:rsidRDefault="00B277C0" w:rsidP="009966FC">
            <w:pPr>
              <w:pStyle w:val="BoxSpaceBelow"/>
            </w:pPr>
          </w:p>
        </w:tc>
      </w:tr>
    </w:tbl>
    <w:p w14:paraId="6D2E4038" w14:textId="397EF38B" w:rsidR="000966D6" w:rsidRDefault="00441F05" w:rsidP="000966D6">
      <w:pPr>
        <w:pStyle w:val="BodyText"/>
      </w:pPr>
      <w:r>
        <w:t>U</w:t>
      </w:r>
      <w:r w:rsidR="000966D6" w:rsidRPr="00F27410">
        <w:t xml:space="preserve">se of technology can help to </w:t>
      </w:r>
      <w:r w:rsidRPr="00441F05">
        <w:t>support the provision of credible information</w:t>
      </w:r>
      <w:r>
        <w:t xml:space="preserve"> (as discussed in </w:t>
      </w:r>
      <w:r w:rsidR="001C6A96">
        <w:t>SP 13</w:t>
      </w:r>
      <w:r>
        <w:t>), particularly by m</w:t>
      </w:r>
      <w:r w:rsidR="000966D6" w:rsidRPr="00F27410">
        <w:t>inimis</w:t>
      </w:r>
      <w:r>
        <w:t>ing</w:t>
      </w:r>
      <w:r w:rsidR="000966D6" w:rsidRPr="00F27410">
        <w:t xml:space="preserve"> </w:t>
      </w:r>
      <w:r w:rsidR="000966D6">
        <w:t xml:space="preserve">collection </w:t>
      </w:r>
      <w:r w:rsidR="000966D6" w:rsidRPr="00F27410">
        <w:t>costs. For example, electronic online surveys are vastly cheaper to collect than paper ones</w:t>
      </w:r>
      <w:r w:rsidR="00D972C2">
        <w:t xml:space="preserve"> (although response rates can be lower)</w:t>
      </w:r>
      <w:r w:rsidR="000966D6" w:rsidRPr="00F27410">
        <w:t xml:space="preserve">, while </w:t>
      </w:r>
      <w:r w:rsidR="000966D6">
        <w:t xml:space="preserve">automated </w:t>
      </w:r>
      <w:r w:rsidR="000966D6" w:rsidRPr="00F27410">
        <w:t>email or text message notifications following interactions (such as through the MyGov portal once Medicare benefits are claimed for a GP appointment) can ensure low</w:t>
      </w:r>
      <w:r w:rsidR="00D82CD3">
        <w:noBreakHyphen/>
      </w:r>
      <w:r w:rsidR="000966D6">
        <w:t>cost delivery and notification</w:t>
      </w:r>
      <w:r w:rsidR="000966D6" w:rsidRPr="00F27410">
        <w:t xml:space="preserve"> </w:t>
      </w:r>
      <w:r w:rsidR="00CB2C3B" w:rsidRPr="00CB2C3B">
        <w:rPr>
          <w:szCs w:val="24"/>
        </w:rPr>
        <w:t>(Couper 2011; Schuster and Perez Brito 2011)</w:t>
      </w:r>
      <w:r w:rsidR="000966D6" w:rsidRPr="00F27410">
        <w:t>.</w:t>
      </w:r>
      <w:r w:rsidR="00346BD4">
        <w:t xml:space="preserve"> </w:t>
      </w:r>
      <w:r w:rsidR="00B158BB">
        <w:t>However, c</w:t>
      </w:r>
      <w:r w:rsidR="00346BD4">
        <w:t>are is needed to ensure that such collection approaches do not result in a biased sample, that could led to inferences that were not applicable to segments of the population for whom these collection methods do not apply.</w:t>
      </w:r>
    </w:p>
    <w:p w14:paraId="22629556" w14:textId="75AA6F87" w:rsidR="000966D6" w:rsidRDefault="00A1001F" w:rsidP="000966D6">
      <w:pPr>
        <w:pStyle w:val="Heading3"/>
      </w:pPr>
      <w:r>
        <w:t>P</w:t>
      </w:r>
      <w:r w:rsidR="000966D6">
        <w:t>resentation and accessibility</w:t>
      </w:r>
    </w:p>
    <w:p w14:paraId="04AEEF1D" w14:textId="409F82C0" w:rsidR="00E561EA" w:rsidRDefault="00D82CD3" w:rsidP="00E561EA">
      <w:pPr>
        <w:pStyle w:val="BodyText"/>
      </w:pPr>
      <w:r>
        <w:t>C</w:t>
      </w:r>
      <w:r w:rsidR="000966D6">
        <w:t xml:space="preserve">omparative performance indicators </w:t>
      </w:r>
      <w:r>
        <w:t xml:space="preserve">for use by consumers should be </w:t>
      </w:r>
      <w:r w:rsidR="000966D6">
        <w:t xml:space="preserve">easily accessible. Recent New Zealand work recommended that the context of performance indicator publications must be explained, while results should be presented in a range of different formats to ensure that the information is not misinterpreted due to a failure to address different levels of technical literacy </w:t>
      </w:r>
      <w:r w:rsidR="005A48F3" w:rsidRPr="005A48F3">
        <w:rPr>
          <w:szCs w:val="24"/>
        </w:rPr>
        <w:t>(HQSCNZ 2016)</w:t>
      </w:r>
      <w:r w:rsidR="000966D6">
        <w:t xml:space="preserve">. </w:t>
      </w:r>
      <w:r w:rsidR="00E561EA">
        <w:t>T</w:t>
      </w:r>
      <w:r w:rsidR="00E561EA" w:rsidRPr="00CA74CB">
        <w:t xml:space="preserve">he </w:t>
      </w:r>
      <w:r w:rsidR="00E561EA" w:rsidRPr="00AD2FB3">
        <w:rPr>
          <w:i/>
        </w:rPr>
        <w:t>NHS Choice</w:t>
      </w:r>
      <w:r w:rsidR="00E561EA" w:rsidRPr="00CA74CB">
        <w:t>s website</w:t>
      </w:r>
      <w:r w:rsidR="00E561EA">
        <w:t xml:space="preserve"> in the United Kingdom is an exemplar of a simple and accessible information source intended to provide informed choice (box</w:t>
      </w:r>
      <w:r w:rsidR="00B277C0">
        <w:t> </w:t>
      </w:r>
      <w:r w:rsidR="009E061B">
        <w:t>6</w:t>
      </w:r>
      <w:r w:rsidR="00E561EA">
        <w:t>).</w:t>
      </w:r>
      <w:r w:rsidR="00E561EA" w:rsidRPr="00E561EA">
        <w:t xml:space="preserve"> </w:t>
      </w:r>
    </w:p>
    <w:p w14:paraId="3B07DAC9" w14:textId="2DADD0D4" w:rsidR="000966D6" w:rsidRDefault="00E561EA" w:rsidP="000966D6">
      <w:pPr>
        <w:pStyle w:val="BodyText"/>
      </w:pPr>
      <w:r>
        <w:t>As noted earlier, ready access to granular data should also be provided to third</w:t>
      </w:r>
      <w:r w:rsidR="00B277C0">
        <w:noBreakHyphen/>
      </w:r>
      <w:r>
        <w:t>party researchers (with the usual protections to ensure confidentially and ethical use)</w:t>
      </w:r>
      <w:r w:rsidRPr="00AD2FB3">
        <w:t xml:space="preserve"> </w:t>
      </w:r>
      <w:r>
        <w:t>so as to enable them to test and form their own conclusions.</w:t>
      </w:r>
    </w:p>
    <w:p w14:paraId="5751B6E7" w14:textId="7DC262CD" w:rsidR="00E561EA" w:rsidRDefault="00E561EA">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E561EA" w14:paraId="33D7424E" w14:textId="77777777" w:rsidTr="00DE10E9">
        <w:tc>
          <w:tcPr>
            <w:tcW w:w="8771" w:type="dxa"/>
            <w:tcBorders>
              <w:top w:val="single" w:sz="6" w:space="0" w:color="78A22F"/>
              <w:left w:val="nil"/>
              <w:bottom w:val="nil"/>
              <w:right w:val="nil"/>
            </w:tcBorders>
            <w:shd w:val="clear" w:color="auto" w:fill="F2F2F2"/>
          </w:tcPr>
          <w:p w14:paraId="74E29767" w14:textId="5E1FD1CC" w:rsidR="00E561EA" w:rsidRDefault="00E561EA" w:rsidP="004C6BAF">
            <w:pPr>
              <w:pStyle w:val="BoxTitle"/>
            </w:pPr>
            <w:r>
              <w:rPr>
                <w:b w:val="0"/>
              </w:rPr>
              <w:t xml:space="preserve">Box </w:t>
            </w:r>
            <w:r w:rsidR="005A28E9">
              <w:rPr>
                <w:b w:val="0"/>
                <w:noProof/>
              </w:rPr>
              <w:t>6</w:t>
            </w:r>
            <w:r>
              <w:tab/>
              <w:t xml:space="preserve">On Her Majesty’s </w:t>
            </w:r>
            <w:r w:rsidR="00730317">
              <w:t>Surgical</w:t>
            </w:r>
            <w:r>
              <w:t xml:space="preserve"> </w:t>
            </w:r>
            <w:r w:rsidR="00FA7058">
              <w:t>Service</w:t>
            </w:r>
          </w:p>
        </w:tc>
      </w:tr>
      <w:tr w:rsidR="00E561EA" w14:paraId="730E9CD9" w14:textId="77777777" w:rsidTr="00DE10E9">
        <w:tc>
          <w:tcPr>
            <w:tcW w:w="8771" w:type="dxa"/>
            <w:tcBorders>
              <w:top w:val="nil"/>
              <w:left w:val="nil"/>
              <w:bottom w:val="nil"/>
              <w:right w:val="nil"/>
            </w:tcBorders>
            <w:shd w:val="clear" w:color="auto" w:fill="F2F2F2"/>
          </w:tcPr>
          <w:p w14:paraId="7C84517E" w14:textId="07AB9E70" w:rsidR="00E561EA" w:rsidRDefault="00E561EA" w:rsidP="004634F2">
            <w:pPr>
              <w:pStyle w:val="Box"/>
            </w:pPr>
            <w:r w:rsidRPr="00E561EA">
              <w:rPr>
                <w:i/>
              </w:rPr>
              <w:t>NHS Choices</w:t>
            </w:r>
            <w:r w:rsidRPr="00E561EA">
              <w:t xml:space="preserve"> provides information on </w:t>
            </w:r>
            <w:r w:rsidR="00570AB3">
              <w:t>health care</w:t>
            </w:r>
            <w:r w:rsidRPr="00E561EA">
              <w:t xml:space="preserve"> services in England, including a complete list of all NHS providers across the country. This enables users to search for facilities that offer particular services nearby, such as accident and emergency departments, GPs, hospitals, dentists, pharmacies, specialists and care homes. </w:t>
            </w:r>
          </w:p>
          <w:p w14:paraId="47BE744D" w14:textId="64A859CA" w:rsidR="00E561EA" w:rsidRDefault="00E561EA" w:rsidP="004634F2">
            <w:pPr>
              <w:pStyle w:val="Box"/>
            </w:pPr>
            <w:r w:rsidRPr="00E561EA">
              <w:t xml:space="preserve">Besides general information on the listed providers — including their contact details, opening hours, services offered at the facility, available amenities (such as disability access and nearby parking) and the name of staff members (for GP clinics) — the </w:t>
            </w:r>
            <w:r w:rsidRPr="00E561EA">
              <w:rPr>
                <w:i/>
              </w:rPr>
              <w:t>NHS Choices</w:t>
            </w:r>
            <w:r w:rsidRPr="00E561EA">
              <w:t xml:space="preserve"> site also provides details on the provider’s performance </w:t>
            </w:r>
            <w:r w:rsidR="009E061B">
              <w:t>based on</w:t>
            </w:r>
            <w:r w:rsidRPr="00E561EA">
              <w:t xml:space="preserve"> survey responses and other metrics. For example, GP clinics are rated on whether patients would r</w:t>
            </w:r>
            <w:r w:rsidR="009E061B">
              <w:t>ecommend the clinic to others, using</w:t>
            </w:r>
            <w:r w:rsidRPr="00E561EA">
              <w:t xml:space="preserve"> results from the biannual National GP Patient Survey. The survey results are reported as a percentage rate, alongside a comparative score indicator, where the bottom 25 per cent of clinics are rated as ‘among the worst’, while the top 25 per cent are rated ‘among the best’. </w:t>
            </w:r>
          </w:p>
          <w:p w14:paraId="641775C9" w14:textId="2989817C" w:rsidR="00E561EA" w:rsidRDefault="00E561EA" w:rsidP="009E061B">
            <w:pPr>
              <w:pStyle w:val="Box"/>
            </w:pPr>
            <w:r w:rsidRPr="00E561EA">
              <w:t>Another survey reports the proportion of hospital staff who would recommend their own facility, while others report on waiting times and convenience at GP clinics. Hospital ratings include measures on a procedure</w:t>
            </w:r>
            <w:r w:rsidRPr="00E561EA">
              <w:noBreakHyphen/>
              <w:t>by</w:t>
            </w:r>
            <w:r w:rsidRPr="00E561EA">
              <w:noBreakHyphen/>
              <w:t>procedure basis, such as waiting times and the results from Care Quality Commission inspections.</w:t>
            </w:r>
          </w:p>
        </w:tc>
      </w:tr>
      <w:tr w:rsidR="00E561EA" w14:paraId="3DC0D1A0" w14:textId="77777777" w:rsidTr="00DE10E9">
        <w:trPr>
          <w:trHeight w:val="299"/>
        </w:trPr>
        <w:tc>
          <w:tcPr>
            <w:tcW w:w="8771" w:type="dxa"/>
            <w:tcBorders>
              <w:top w:val="nil"/>
              <w:left w:val="nil"/>
              <w:bottom w:val="nil"/>
              <w:right w:val="nil"/>
            </w:tcBorders>
            <w:shd w:val="clear" w:color="auto" w:fill="F2F2F2"/>
          </w:tcPr>
          <w:p w14:paraId="12A42234" w14:textId="33144890" w:rsidR="00E561EA" w:rsidRDefault="00E561EA" w:rsidP="009739E1">
            <w:pPr>
              <w:pStyle w:val="BoxSource"/>
            </w:pPr>
            <w:r>
              <w:rPr>
                <w:i/>
              </w:rPr>
              <w:t>Source</w:t>
            </w:r>
            <w:r w:rsidRPr="00167F06">
              <w:t xml:space="preserve">: </w:t>
            </w:r>
            <w:r w:rsidR="00FE782B">
              <w:t xml:space="preserve">NHS </w:t>
            </w:r>
            <w:r w:rsidR="00673ADB" w:rsidRPr="00673ADB">
              <w:rPr>
                <w:rFonts w:cs="Arial"/>
              </w:rPr>
              <w:t>(2016)</w:t>
            </w:r>
            <w:r w:rsidR="00B277C0">
              <w:t>.</w:t>
            </w:r>
          </w:p>
        </w:tc>
      </w:tr>
      <w:tr w:rsidR="00E561EA" w14:paraId="315C9A85" w14:textId="77777777" w:rsidTr="00DE10E9">
        <w:trPr>
          <w:trHeight w:val="87"/>
        </w:trPr>
        <w:tc>
          <w:tcPr>
            <w:tcW w:w="8771" w:type="dxa"/>
            <w:tcBorders>
              <w:top w:val="nil"/>
              <w:left w:val="nil"/>
              <w:bottom w:val="single" w:sz="6" w:space="0" w:color="78A22F"/>
              <w:right w:val="nil"/>
            </w:tcBorders>
            <w:shd w:val="clear" w:color="auto" w:fill="F2F2F2"/>
          </w:tcPr>
          <w:p w14:paraId="2936AB76" w14:textId="77777777" w:rsidR="00E561EA" w:rsidRDefault="00E561EA">
            <w:pPr>
              <w:pStyle w:val="Box"/>
              <w:spacing w:before="0" w:line="120" w:lineRule="exact"/>
            </w:pPr>
          </w:p>
        </w:tc>
      </w:tr>
      <w:tr w:rsidR="00E561EA" w:rsidRPr="000863A5" w14:paraId="58070E3B" w14:textId="77777777" w:rsidTr="00DE10E9">
        <w:tc>
          <w:tcPr>
            <w:tcW w:w="8771" w:type="dxa"/>
            <w:tcBorders>
              <w:top w:val="single" w:sz="6" w:space="0" w:color="78A22F"/>
              <w:left w:val="nil"/>
              <w:bottom w:val="nil"/>
              <w:right w:val="nil"/>
            </w:tcBorders>
          </w:tcPr>
          <w:p w14:paraId="48A0B330" w14:textId="3E2F328A" w:rsidR="00E561EA" w:rsidRPr="00626D32" w:rsidRDefault="00E561EA" w:rsidP="004634F2">
            <w:pPr>
              <w:pStyle w:val="BoxSpaceBelow"/>
            </w:pPr>
          </w:p>
        </w:tc>
      </w:tr>
    </w:tbl>
    <w:p w14:paraId="56113BC1" w14:textId="225B1037" w:rsidR="0023607E" w:rsidRDefault="005A28E9" w:rsidP="0023607E">
      <w:pPr>
        <w:pStyle w:val="Heading2"/>
      </w:pPr>
      <w:bookmarkStart w:id="12" w:name="_Toc488926847"/>
      <w:bookmarkStart w:id="13" w:name="_Toc489014196"/>
      <w:r>
        <w:rPr>
          <w:noProof/>
        </w:rPr>
        <w:t>4</w:t>
      </w:r>
      <w:r w:rsidR="0023607E">
        <w:tab/>
        <w:t>Links to financial incentives</w:t>
      </w:r>
      <w:bookmarkEnd w:id="12"/>
      <w:bookmarkEnd w:id="13"/>
    </w:p>
    <w:p w14:paraId="2A5F7D7A" w14:textId="0BABDFF1" w:rsidR="00632966" w:rsidRDefault="00584D6A" w:rsidP="00632966">
      <w:pPr>
        <w:pStyle w:val="BodyText"/>
      </w:pPr>
      <w:r>
        <w:t>A</w:t>
      </w:r>
      <w:r w:rsidR="00A273D3">
        <w:t xml:space="preserve">dequate performance measures </w:t>
      </w:r>
      <w:r>
        <w:t>are a pre</w:t>
      </w:r>
      <w:r w:rsidR="00B277C0">
        <w:noBreakHyphen/>
      </w:r>
      <w:r>
        <w:t xml:space="preserve">requisite to </w:t>
      </w:r>
      <w:r w:rsidR="009E061B">
        <w:t>payment</w:t>
      </w:r>
      <w:r w:rsidR="00B277C0">
        <w:noBreakHyphen/>
      </w:r>
      <w:r w:rsidR="009E061B">
        <w:t xml:space="preserve">based </w:t>
      </w:r>
      <w:r>
        <w:t>incentive</w:t>
      </w:r>
      <w:r w:rsidR="009E061B">
        <w:t>s</w:t>
      </w:r>
      <w:r>
        <w:t xml:space="preserve">, </w:t>
      </w:r>
      <w:r w:rsidR="0015464D">
        <w:t>such</w:t>
      </w:r>
      <w:r>
        <w:t xml:space="preserve"> as </w:t>
      </w:r>
      <w:r w:rsidR="0023607E">
        <w:t xml:space="preserve">financial </w:t>
      </w:r>
      <w:r>
        <w:t>rewards or penalties</w:t>
      </w:r>
      <w:r w:rsidR="00A273D3">
        <w:t xml:space="preserve">. The use of </w:t>
      </w:r>
      <w:r w:rsidR="00356384">
        <w:t>performance</w:t>
      </w:r>
      <w:r w:rsidR="00B277C0">
        <w:noBreakHyphen/>
      </w:r>
      <w:r w:rsidR="00356384">
        <w:t>based</w:t>
      </w:r>
      <w:r w:rsidR="00A273D3">
        <w:t xml:space="preserve"> financial incentives</w:t>
      </w:r>
      <w:r w:rsidR="0023607E">
        <w:t xml:space="preserve"> has a long and chequered history, </w:t>
      </w:r>
      <w:r w:rsidR="00632966">
        <w:t xml:space="preserve">with a range of different </w:t>
      </w:r>
      <w:r w:rsidR="00A273D3">
        <w:t>types</w:t>
      </w:r>
      <w:r w:rsidR="00632966">
        <w:t xml:space="preserve"> available, depending on the nature of the sector and the outcome</w:t>
      </w:r>
      <w:r w:rsidR="00A273D3">
        <w:t>s</w:t>
      </w:r>
      <w:r w:rsidR="00632966">
        <w:t xml:space="preserve"> desired. </w:t>
      </w:r>
      <w:r w:rsidR="009E061B">
        <w:t>P</w:t>
      </w:r>
      <w:r w:rsidR="0020783E" w:rsidRPr="0077385E">
        <w:t xml:space="preserve">erformance indicators linked to incentives </w:t>
      </w:r>
      <w:r w:rsidR="0020783E">
        <w:t>do</w:t>
      </w:r>
      <w:r w:rsidR="0020783E" w:rsidRPr="0077385E">
        <w:t xml:space="preserve"> not </w:t>
      </w:r>
      <w:r w:rsidR="0020783E">
        <w:t xml:space="preserve">necessarily have to </w:t>
      </w:r>
      <w:r w:rsidR="0020783E" w:rsidRPr="0077385E">
        <w:t xml:space="preserve">be comparative </w:t>
      </w:r>
      <w:r w:rsidR="0020783E">
        <w:t>indicators — creating financial incentives based on a provider’s performance against a given benchmark, rather than against competitors, can be equally useful</w:t>
      </w:r>
      <w:r w:rsidR="009E061B">
        <w:t xml:space="preserve"> (although </w:t>
      </w:r>
      <w:r w:rsidR="004E50A5">
        <w:t xml:space="preserve">under a basic design </w:t>
      </w:r>
      <w:r w:rsidR="009E061B">
        <w:t>this can lead to uncontrolled costs, as the number of providers receiving payments is unknown ex ante</w:t>
      </w:r>
      <w:r w:rsidR="004E50A5" w:rsidRPr="00441F05">
        <w:rPr>
          <w:rStyle w:val="FootnoteReference"/>
        </w:rPr>
        <w:footnoteReference w:id="11"/>
      </w:r>
      <w:r w:rsidR="009E061B">
        <w:t>)</w:t>
      </w:r>
      <w:r w:rsidR="0020783E" w:rsidRPr="0077385E">
        <w:t>.</w:t>
      </w:r>
    </w:p>
    <w:p w14:paraId="5B83D503" w14:textId="3E2436FD" w:rsidR="0020783E" w:rsidRDefault="009E061B" w:rsidP="0077385E">
      <w:pPr>
        <w:pStyle w:val="BodyText"/>
      </w:pPr>
      <w:r>
        <w:t>E</w:t>
      </w:r>
      <w:r w:rsidR="0015464D">
        <w:t xml:space="preserve">xperience in </w:t>
      </w:r>
      <w:r w:rsidR="00632966">
        <w:t xml:space="preserve">linking </w:t>
      </w:r>
      <w:r w:rsidR="00632966" w:rsidRPr="002C6CE4">
        <w:t xml:space="preserve">performance </w:t>
      </w:r>
      <w:r w:rsidR="00632966">
        <w:t>measures</w:t>
      </w:r>
      <w:r w:rsidR="00632966" w:rsidRPr="002C6CE4">
        <w:t xml:space="preserve"> with financial incentives</w:t>
      </w:r>
      <w:r w:rsidR="00632966">
        <w:t xml:space="preserve"> </w:t>
      </w:r>
      <w:r w:rsidR="00572379">
        <w:t xml:space="preserve">has been </w:t>
      </w:r>
      <w:r w:rsidR="00632966">
        <w:t>mixed, with some positive results, some negative, and</w:t>
      </w:r>
      <w:r w:rsidR="00584D6A">
        <w:t xml:space="preserve"> a </w:t>
      </w:r>
      <w:r w:rsidR="00632966">
        <w:t xml:space="preserve">lot depending on context and </w:t>
      </w:r>
      <w:r w:rsidR="00C414A3">
        <w:t>design</w:t>
      </w:r>
      <w:r w:rsidR="00632966">
        <w:t xml:space="preserve">. </w:t>
      </w:r>
    </w:p>
    <w:p w14:paraId="0269EAC8" w14:textId="794E31C6" w:rsidR="0020783E" w:rsidRDefault="0020783E" w:rsidP="0077385E">
      <w:pPr>
        <w:pStyle w:val="BodyText"/>
      </w:pPr>
      <w:r>
        <w:t>A</w:t>
      </w:r>
      <w:r w:rsidR="0077385E" w:rsidRPr="0077385E">
        <w:t xml:space="preserve"> key </w:t>
      </w:r>
      <w:r>
        <w:t xml:space="preserve">issue in the use of financial incentives linked to performance </w:t>
      </w:r>
      <w:r w:rsidR="0077385E" w:rsidRPr="0077385E">
        <w:t xml:space="preserve">is the extent to which providers are motivated by financial rewards or sanctions. </w:t>
      </w:r>
      <w:r>
        <w:t>Much of this</w:t>
      </w:r>
      <w:r w:rsidR="0077385E" w:rsidRPr="0077385E">
        <w:t xml:space="preserve"> depends on the nature of the ‘business’ and market, governance structures</w:t>
      </w:r>
      <w:r w:rsidR="009977D3">
        <w:t>,</w:t>
      </w:r>
      <w:r w:rsidR="0077385E" w:rsidRPr="0077385E">
        <w:t xml:space="preserve"> and what </w:t>
      </w:r>
      <w:r>
        <w:t xml:space="preserve">the </w:t>
      </w:r>
      <w:r w:rsidR="0077385E" w:rsidRPr="0077385E">
        <w:t>financial rewards can be used for (</w:t>
      </w:r>
      <w:r w:rsidR="009977D3">
        <w:t>such as</w:t>
      </w:r>
      <w:r w:rsidR="0077385E" w:rsidRPr="0077385E">
        <w:t xml:space="preserve"> </w:t>
      </w:r>
      <w:r>
        <w:t xml:space="preserve">personal </w:t>
      </w:r>
      <w:r w:rsidR="009977D3">
        <w:t>income, spending to improve the work environment,</w:t>
      </w:r>
      <w:r w:rsidR="0077385E" w:rsidRPr="0077385E">
        <w:t xml:space="preserve"> </w:t>
      </w:r>
      <w:r w:rsidR="004E50A5">
        <w:t xml:space="preserve">or </w:t>
      </w:r>
      <w:r w:rsidR="0077385E" w:rsidRPr="0077385E">
        <w:t>r</w:t>
      </w:r>
      <w:r w:rsidR="0077385E">
        <w:t xml:space="preserve">einvestment in the business?). </w:t>
      </w:r>
    </w:p>
    <w:p w14:paraId="4025AA36" w14:textId="28D8088E" w:rsidR="0077385E" w:rsidRDefault="0020783E" w:rsidP="0077385E">
      <w:pPr>
        <w:pStyle w:val="BodyText"/>
      </w:pPr>
      <w:r>
        <w:t>Further,</w:t>
      </w:r>
      <w:r w:rsidRPr="002C6CE4">
        <w:t xml:space="preserve"> many of the </w:t>
      </w:r>
      <w:r w:rsidR="008D48F3">
        <w:t>motivations created by</w:t>
      </w:r>
      <w:r>
        <w:t xml:space="preserve"> financial incentives</w:t>
      </w:r>
      <w:r w:rsidRPr="002C6CE4">
        <w:t xml:space="preserve"> occur in the</w:t>
      </w:r>
      <w:r>
        <w:t>ir</w:t>
      </w:r>
      <w:r w:rsidRPr="002C6CE4">
        <w:t xml:space="preserve"> absence</w:t>
      </w:r>
      <w:r>
        <w:t xml:space="preserve"> anyway, as</w:t>
      </w:r>
      <w:r w:rsidRPr="002C6CE4">
        <w:t xml:space="preserve"> non</w:t>
      </w:r>
      <w:r w:rsidR="00B277C0">
        <w:noBreakHyphen/>
      </w:r>
      <w:r w:rsidRPr="002C6CE4">
        <w:t>pecuniary initiatives (such as shaming through disclosure) and indirect financial measures (such as when consumers choose between providers based on their reported per</w:t>
      </w:r>
      <w:r>
        <w:t xml:space="preserve">formance) </w:t>
      </w:r>
      <w:r w:rsidR="009E061B">
        <w:t>act as</w:t>
      </w:r>
      <w:r>
        <w:t xml:space="preserve"> </w:t>
      </w:r>
      <w:r w:rsidR="008D48F3">
        <w:t xml:space="preserve">their own </w:t>
      </w:r>
      <w:r>
        <w:t>incentives. As noted above, many government</w:t>
      </w:r>
      <w:r>
        <w:noBreakHyphen/>
        <w:t xml:space="preserve">funded services are </w:t>
      </w:r>
      <w:r w:rsidR="008D48F3">
        <w:t xml:space="preserve">also </w:t>
      </w:r>
      <w:r>
        <w:t>delivered by professionals whose primary motiv</w:t>
      </w:r>
      <w:r w:rsidR="009E061B">
        <w:t>e</w:t>
      </w:r>
      <w:r>
        <w:t xml:space="preserve"> may not be financial rewards from their work — these individuals are unlikely to be driven by performance</w:t>
      </w:r>
      <w:r w:rsidR="008D48F3">
        <w:noBreakHyphen/>
      </w:r>
      <w:r>
        <w:t>related pay.</w:t>
      </w:r>
    </w:p>
    <w:p w14:paraId="0EDE91B6" w14:textId="2AA4077A" w:rsidR="00632966" w:rsidRDefault="0077385E" w:rsidP="00632966">
      <w:pPr>
        <w:pStyle w:val="BodyText"/>
      </w:pPr>
      <w:r>
        <w:t>T</w:t>
      </w:r>
      <w:r w:rsidRPr="0077385E">
        <w:t xml:space="preserve">he following section </w:t>
      </w:r>
      <w:r w:rsidR="009E061B">
        <w:t xml:space="preserve">draws on </w:t>
      </w:r>
      <w:r w:rsidR="009E061B" w:rsidRPr="0077385E">
        <w:t>evidence in the gov</w:t>
      </w:r>
      <w:r w:rsidR="009E061B">
        <w:t>ernmen</w:t>
      </w:r>
      <w:r w:rsidR="009E061B" w:rsidRPr="0077385E">
        <w:t xml:space="preserve">t </w:t>
      </w:r>
      <w:r w:rsidR="009E061B">
        <w:t>administration</w:t>
      </w:r>
      <w:r w:rsidR="009E061B" w:rsidRPr="0077385E">
        <w:t xml:space="preserve">, health and education sectors </w:t>
      </w:r>
      <w:r w:rsidR="009E061B">
        <w:t>to examine</w:t>
      </w:r>
      <w:r w:rsidRPr="0077385E">
        <w:t xml:space="preserve"> how financial incentives linked to performance indicators have worked in practice.</w:t>
      </w:r>
    </w:p>
    <w:p w14:paraId="0A25DC5C" w14:textId="0D1C9187" w:rsidR="0023607E" w:rsidRDefault="0023607E" w:rsidP="0023607E">
      <w:pPr>
        <w:pStyle w:val="Heading3"/>
      </w:pPr>
      <w:r w:rsidRPr="008E0C7B">
        <w:t>Incentive regulation</w:t>
      </w:r>
      <w:r w:rsidR="00D74544" w:rsidRPr="008E0C7B">
        <w:t>s</w:t>
      </w:r>
      <w:r w:rsidRPr="008E0C7B">
        <w:t>, capitation payments</w:t>
      </w:r>
      <w:r w:rsidR="00D74544" w:rsidRPr="008E0C7B">
        <w:t>,</w:t>
      </w:r>
      <w:r w:rsidRPr="008E0C7B">
        <w:t xml:space="preserve"> activity</w:t>
      </w:r>
      <w:r w:rsidR="00B277C0">
        <w:noBreakHyphen/>
      </w:r>
      <w:r w:rsidRPr="008E0C7B">
        <w:t>based funding</w:t>
      </w:r>
      <w:r w:rsidR="00D74544" w:rsidRPr="008E0C7B">
        <w:t xml:space="preserve"> and pay</w:t>
      </w:r>
      <w:r w:rsidR="00B277C0">
        <w:noBreakHyphen/>
      </w:r>
      <w:r w:rsidR="00D74544" w:rsidRPr="008E0C7B">
        <w:t>for</w:t>
      </w:r>
      <w:r w:rsidR="00B277C0">
        <w:noBreakHyphen/>
      </w:r>
      <w:r w:rsidR="00D74544" w:rsidRPr="008E0C7B">
        <w:t>performance</w:t>
      </w:r>
    </w:p>
    <w:p w14:paraId="0024EA20" w14:textId="75043AD7" w:rsidR="0023607E" w:rsidRPr="002C6CE4" w:rsidRDefault="0023607E" w:rsidP="0023607E">
      <w:pPr>
        <w:pStyle w:val="BodyText"/>
      </w:pPr>
      <w:r w:rsidRPr="002C6CE4">
        <w:t xml:space="preserve">For regulated </w:t>
      </w:r>
      <w:r w:rsidR="003530B8">
        <w:t xml:space="preserve">or </w:t>
      </w:r>
      <w:r w:rsidRPr="002C6CE4">
        <w:t>government</w:t>
      </w:r>
      <w:r w:rsidRPr="002C6CE4">
        <w:noBreakHyphen/>
        <w:t xml:space="preserve">owned natural monopolies, regulators often use ‘incentive regulation’ in which cost recovery from consumers cannot exceed some efficient benchmark level (such benchmarks are performance indicators by another name). In principle, providers have incentives to improve their efficiency because they retain any (or at least a share of) profits achieved from </w:t>
      </w:r>
      <w:r w:rsidR="00177BEE">
        <w:t>costs being below</w:t>
      </w:r>
      <w:r w:rsidRPr="002C6CE4">
        <w:t xml:space="preserve"> the benchmark level, and make losses if they exceed the benchmark. Penalties for </w:t>
      </w:r>
      <w:r w:rsidR="00584D6A">
        <w:t>not achieving a</w:t>
      </w:r>
      <w:r w:rsidR="00584D6A" w:rsidRPr="002C6CE4">
        <w:t xml:space="preserve"> </w:t>
      </w:r>
      <w:r w:rsidRPr="002C6CE4">
        <w:t xml:space="preserve">certain quality of service outcomes are also common in utility regulation (for example, for prolonged electricity network outages). The overall impacts of such incentive regulation on the efficiency of </w:t>
      </w:r>
      <w:r w:rsidR="003530B8">
        <w:t>providers</w:t>
      </w:r>
      <w:r w:rsidR="003530B8" w:rsidRPr="002C6CE4">
        <w:t xml:space="preserve"> </w:t>
      </w:r>
      <w:r w:rsidRPr="002C6CE4">
        <w:t xml:space="preserve">has been mixed, and has hinged on the exact regulatory design, and the capacity </w:t>
      </w:r>
      <w:r w:rsidR="00177BEE">
        <w:t>(and willingness) of</w:t>
      </w:r>
      <w:r w:rsidRPr="002C6CE4">
        <w:t xml:space="preserve"> governments to bail out poorly performing businesses</w:t>
      </w:r>
      <w:r w:rsidR="00177BEE">
        <w:t>. Governments can also</w:t>
      </w:r>
      <w:r w:rsidRPr="002C6CE4">
        <w:t xml:space="preserve"> issue directives that compromise efficiency (such as procurement rules, social obligations or quality standards). The same compromises </w:t>
      </w:r>
      <w:r w:rsidR="00703324">
        <w:t xml:space="preserve">often </w:t>
      </w:r>
      <w:r w:rsidRPr="002C6CE4">
        <w:t>do not exist for private entities</w:t>
      </w:r>
      <w:r w:rsidR="003530B8">
        <w:t xml:space="preserve"> in markets without natural monopolies</w:t>
      </w:r>
      <w:r w:rsidRPr="002C6CE4">
        <w:t xml:space="preserve">. </w:t>
      </w:r>
    </w:p>
    <w:p w14:paraId="2336709E" w14:textId="1E3B5893" w:rsidR="0023607E" w:rsidRPr="002C6CE4" w:rsidRDefault="0023607E" w:rsidP="0023607E">
      <w:pPr>
        <w:pStyle w:val="BodyText"/>
      </w:pPr>
      <w:r w:rsidRPr="002C6CE4">
        <w:t xml:space="preserve">Capitation systems for remunerating </w:t>
      </w:r>
      <w:r w:rsidR="00570AB3">
        <w:t>health care</w:t>
      </w:r>
      <w:r w:rsidRPr="002C6CE4">
        <w:t xml:space="preserve"> providers share many characteristics with utility regulation, although the parallel is often not drawn. Payments under capitation are (intended to be) based on the efficient costs of providing services to a population with given risk characteristics. Australian Health Care Homes include this feature, and they are widespread i</w:t>
      </w:r>
      <w:r w:rsidR="00177BEE">
        <w:t xml:space="preserve">n the United States </w:t>
      </w:r>
      <w:r w:rsidR="00570AB3">
        <w:t>health care</w:t>
      </w:r>
      <w:r w:rsidR="00177BEE">
        <w:t xml:space="preserve"> system, particularly through health maintenance organisations</w:t>
      </w:r>
      <w:r w:rsidRPr="002C6CE4">
        <w:t xml:space="preserve">. As discussed in </w:t>
      </w:r>
      <w:r w:rsidR="000558C4">
        <w:t>c</w:t>
      </w:r>
      <w:r w:rsidR="004E50A5" w:rsidRPr="004E50A5">
        <w:t>hapter</w:t>
      </w:r>
      <w:r w:rsidR="00B277C0">
        <w:t> </w:t>
      </w:r>
      <w:r w:rsidR="001C6A96">
        <w:t>2</w:t>
      </w:r>
      <w:r w:rsidR="001C6A96" w:rsidRPr="004E50A5">
        <w:t xml:space="preserve"> </w:t>
      </w:r>
      <w:r w:rsidR="004E50A5" w:rsidRPr="004E50A5">
        <w:t>of the main report</w:t>
      </w:r>
      <w:r w:rsidRPr="002C6CE4">
        <w:t>, the design of capitation arrangements and the perform</w:t>
      </w:r>
      <w:r w:rsidR="00177BEE">
        <w:t>ance metrics that underpin them</w:t>
      </w:r>
      <w:r w:rsidRPr="002C6CE4">
        <w:t xml:space="preserve"> are critical to outcomes.</w:t>
      </w:r>
    </w:p>
    <w:p w14:paraId="618C1F63" w14:textId="659B736D" w:rsidR="003530B8" w:rsidRDefault="0023607E" w:rsidP="0023607E">
      <w:pPr>
        <w:pStyle w:val="BodyText"/>
      </w:pPr>
      <w:r w:rsidRPr="002C6CE4">
        <w:t>Activity</w:t>
      </w:r>
      <w:r w:rsidRPr="002C6CE4">
        <w:noBreakHyphen/>
        <w:t>based funding (ABF) of hospital</w:t>
      </w:r>
      <w:r w:rsidR="00B30437">
        <w:t>s</w:t>
      </w:r>
      <w:r w:rsidRPr="002C6CE4">
        <w:t xml:space="preserve"> is similar to capitation, but relates to the efficient costs of particular hospital services. In Australia, the Independent Hospital Pricing Authority </w:t>
      </w:r>
      <w:r w:rsidR="00177BEE">
        <w:t>makes</w:t>
      </w:r>
      <w:r w:rsidRPr="002C6CE4">
        <w:t xml:space="preserve"> an annual National Efficient Price determination for public hospitals for the coming year, which is the basis for the payments to hospitals. As with any financial incentive arrangements based on performance measures, a critical issue is </w:t>
      </w:r>
      <w:r w:rsidR="00684FD0">
        <w:t xml:space="preserve">that </w:t>
      </w:r>
      <w:r w:rsidRPr="002C6CE4">
        <w:t>the measures be objective, precise, strongly correlated with good outcomes and</w:t>
      </w:r>
      <w:r w:rsidR="00684FD0">
        <w:t xml:space="preserve"> resistant to </w:t>
      </w:r>
      <w:r w:rsidR="008F71E6">
        <w:t xml:space="preserve">cost shifting (such as pushing difficult clients onto other providers) or </w:t>
      </w:r>
      <w:r w:rsidR="00684FD0">
        <w:t>gaming</w:t>
      </w:r>
      <w:r w:rsidR="003530B8">
        <w:t xml:space="preserve"> (</w:t>
      </w:r>
      <w:r w:rsidR="008F71E6">
        <w:t>also known as ‘</w:t>
      </w:r>
      <w:r w:rsidR="003530B8">
        <w:t>cherry picking</w:t>
      </w:r>
      <w:r w:rsidR="008F71E6">
        <w:t>’,</w:t>
      </w:r>
      <w:r w:rsidR="003530B8">
        <w:t xml:space="preserve"> where </w:t>
      </w:r>
      <w:r w:rsidR="008F71E6">
        <w:t>adequate risk adjustment has not occurred)</w:t>
      </w:r>
      <w:r w:rsidR="00684FD0">
        <w:t xml:space="preserve">. </w:t>
      </w:r>
      <w:r w:rsidRPr="002C6CE4">
        <w:t>Research overseas has found mixed results</w:t>
      </w:r>
      <w:r w:rsidR="00B90DD8">
        <w:t xml:space="preserve"> from ABF</w:t>
      </w:r>
      <w:r w:rsidRPr="002C6CE4">
        <w:t>, such as reduced lengths of stay, shifts from high</w:t>
      </w:r>
      <w:r w:rsidRPr="002C6CE4">
        <w:noBreakHyphen/>
        <w:t xml:space="preserve">cost inpatient care to outpatient care (which may be desirable), and a possible increase in readmissions (CIHI 2013, p. 5; Palmer et al. 2014). The most thorough (indeed best practice) meta study found that strong claims in favour or against ABF were not supported by the evidence, but that ABF had positive effects in some settings and not in others (Palmer et al. 2014). Context therefore clearly matters. </w:t>
      </w:r>
    </w:p>
    <w:p w14:paraId="7A8B3091" w14:textId="32FADEA8" w:rsidR="0023607E" w:rsidRPr="002C6CE4" w:rsidRDefault="0023607E" w:rsidP="0023607E">
      <w:pPr>
        <w:pStyle w:val="BodyText"/>
      </w:pPr>
      <w:r w:rsidRPr="002C6CE4">
        <w:t xml:space="preserve">No system for managing </w:t>
      </w:r>
      <w:r w:rsidR="00570AB3">
        <w:t>health care</w:t>
      </w:r>
      <w:r w:rsidRPr="002C6CE4">
        <w:t xml:space="preserve"> (or any other non</w:t>
      </w:r>
      <w:r w:rsidR="00B277C0">
        <w:noBreakHyphen/>
      </w:r>
      <w:r w:rsidRPr="002C6CE4">
        <w:t xml:space="preserve">market services) will provide perfect incentives for efficiency, </w:t>
      </w:r>
      <w:r w:rsidR="004D0F95">
        <w:t>which is hard to do even in market s</w:t>
      </w:r>
      <w:r w:rsidR="00B13600">
        <w:t>ervices where there is a clearer</w:t>
      </w:r>
      <w:r w:rsidR="004D0F95">
        <w:t xml:space="preserve"> indicator of outcomes in terms of profits.</w:t>
      </w:r>
      <w:r w:rsidRPr="002C6CE4">
        <w:t xml:space="preserve"> The key question is whether the overall effect is positive or can be made to be so through finessing the model. Given the widespread adoption of ABF in Australia, monitoring and finessing is likely to be appropriate. This will involve decisions about payment levels, governance arrangements and the scope of performance indicators. </w:t>
      </w:r>
    </w:p>
    <w:p w14:paraId="259CC45D" w14:textId="7AC6A3EF" w:rsidR="0023607E" w:rsidRDefault="0023607E" w:rsidP="00632966">
      <w:pPr>
        <w:pStyle w:val="Heading4"/>
      </w:pPr>
      <w:r>
        <w:t>Pay</w:t>
      </w:r>
      <w:r w:rsidR="00B277C0">
        <w:noBreakHyphen/>
      </w:r>
      <w:r>
        <w:t>for</w:t>
      </w:r>
      <w:r w:rsidR="00B277C0">
        <w:noBreakHyphen/>
      </w:r>
      <w:r>
        <w:t xml:space="preserve">performance in </w:t>
      </w:r>
      <w:r w:rsidR="00570AB3">
        <w:t>health care</w:t>
      </w:r>
    </w:p>
    <w:p w14:paraId="48D32ABA" w14:textId="540B3953" w:rsidR="0023607E" w:rsidRPr="002C6CE4" w:rsidRDefault="008664D0" w:rsidP="0023607E">
      <w:pPr>
        <w:pStyle w:val="BodyText"/>
      </w:pPr>
      <w:r>
        <w:t xml:space="preserve">The potential value of disincentives for poor clinical outcomes has long been </w:t>
      </w:r>
      <w:r w:rsidR="00F670FF">
        <w:t>presumed</w:t>
      </w:r>
      <w:r>
        <w:t xml:space="preserve">. </w:t>
      </w:r>
      <w:r w:rsidR="007F2A17">
        <w:t xml:space="preserve">More recently, </w:t>
      </w:r>
      <w:r w:rsidR="007F2A17" w:rsidRPr="00684FD0">
        <w:t xml:space="preserve">health purchasers </w:t>
      </w:r>
      <w:r w:rsidR="007F2A17">
        <w:t>have</w:t>
      </w:r>
      <w:r w:rsidR="007F2A17" w:rsidRPr="00684FD0">
        <w:t xml:space="preserve"> </w:t>
      </w:r>
      <w:r w:rsidR="007F2A17">
        <w:t>turned to financial incentives to encourage better clinical outcomes for patients</w:t>
      </w:r>
      <w:r w:rsidR="007F2A17" w:rsidRPr="00684FD0">
        <w:t>.</w:t>
      </w:r>
      <w:r w:rsidR="007F2A17">
        <w:t xml:space="preserve"> In particular,</w:t>
      </w:r>
      <w:r w:rsidR="0023607E" w:rsidRPr="002C6CE4">
        <w:t xml:space="preserve"> pay</w:t>
      </w:r>
      <w:r w:rsidR="00B277C0">
        <w:noBreakHyphen/>
      </w:r>
      <w:r w:rsidR="0023607E" w:rsidRPr="002C6CE4">
        <w:t>for</w:t>
      </w:r>
      <w:r w:rsidR="0023607E" w:rsidRPr="002C6CE4">
        <w:noBreakHyphen/>
        <w:t xml:space="preserve">performance (P4P) incentives have been used to (ostensibly) encourage higher quality care in general practice — exemplified in Australia by the Australian Government’s Practice Incentives Program </w:t>
      </w:r>
      <w:r w:rsidR="007F2A17">
        <w:t xml:space="preserve">(PIP). This </w:t>
      </w:r>
      <w:r w:rsidR="0023607E" w:rsidRPr="002C6CE4">
        <w:t>program has generally involved ‘performance’ measures of desirable processes</w:t>
      </w:r>
      <w:r w:rsidR="0023607E" w:rsidRPr="00441F05">
        <w:rPr>
          <w:rStyle w:val="FootnoteReference"/>
        </w:rPr>
        <w:footnoteReference w:id="12"/>
      </w:r>
      <w:r w:rsidR="007F2A17">
        <w:t xml:space="preserve"> that</w:t>
      </w:r>
      <w:r w:rsidR="0023607E" w:rsidRPr="002C6CE4">
        <w:t xml:space="preserve"> the Government infers will enhance quality care</w:t>
      </w:r>
      <w:r w:rsidR="007F2A17">
        <w:t>,</w:t>
      </w:r>
      <w:r w:rsidR="007F2A17" w:rsidRPr="007F2A17">
        <w:t xml:space="preserve"> </w:t>
      </w:r>
      <w:r w:rsidR="007F2A17" w:rsidRPr="002C6CE4">
        <w:t>rather than</w:t>
      </w:r>
      <w:r w:rsidR="00B13600">
        <w:t xml:space="preserve"> measures</w:t>
      </w:r>
      <w:r w:rsidR="007F2A17" w:rsidRPr="002C6CE4">
        <w:t xml:space="preserve"> of outcomes</w:t>
      </w:r>
      <w:r w:rsidR="0023607E" w:rsidRPr="002C6CE4">
        <w:t>. The PIP has a rang</w:t>
      </w:r>
      <w:r w:rsidR="00696F27">
        <w:t xml:space="preserve">e of deficiencies, </w:t>
      </w:r>
      <w:r w:rsidR="00B13600">
        <w:t>being</w:t>
      </w:r>
      <w:r w:rsidR="00696F27">
        <w:t xml:space="preserve"> </w:t>
      </w:r>
      <w:r w:rsidR="00B13600">
        <w:t xml:space="preserve">too </w:t>
      </w:r>
      <w:r w:rsidR="0023607E" w:rsidRPr="002C6CE4">
        <w:t xml:space="preserve">complex, </w:t>
      </w:r>
      <w:r w:rsidR="00B13600">
        <w:t xml:space="preserve">with </w:t>
      </w:r>
      <w:r w:rsidR="0023607E" w:rsidRPr="002C6CE4">
        <w:t xml:space="preserve">high administrative costs and </w:t>
      </w:r>
      <w:r w:rsidR="00B13600">
        <w:t xml:space="preserve">having </w:t>
      </w:r>
      <w:r w:rsidR="0023607E" w:rsidRPr="002C6CE4">
        <w:t>inadequate data collection</w:t>
      </w:r>
      <w:r w:rsidR="00B13600">
        <w:t xml:space="preserve"> for the task. These problems have been recognised and it is currently</w:t>
      </w:r>
      <w:r w:rsidR="0023607E" w:rsidRPr="002C6CE4">
        <w:t xml:space="preserve"> subject to re</w:t>
      </w:r>
      <w:r w:rsidR="00B277C0">
        <w:noBreakHyphen/>
      </w:r>
      <w:r w:rsidR="0023607E" w:rsidRPr="002C6CE4">
        <w:t xml:space="preserve">design </w:t>
      </w:r>
      <w:r w:rsidR="005A6E8A" w:rsidRPr="005A6E8A">
        <w:rPr>
          <w:szCs w:val="24"/>
        </w:rPr>
        <w:t>(ANAO 2010; DoH 2016b)</w:t>
      </w:r>
      <w:r w:rsidR="0023607E" w:rsidRPr="002C6CE4">
        <w:t>. Nevertheless, there is some indication that it has influenced diabetes care (Oliver</w:t>
      </w:r>
      <w:r w:rsidR="0084192C">
        <w:noBreakHyphen/>
      </w:r>
      <w:r w:rsidR="0023607E" w:rsidRPr="002C6CE4">
        <w:t xml:space="preserve">Baxter et al. 2014). The international literature appears to suggest that P4P in </w:t>
      </w:r>
      <w:r w:rsidR="00570AB3">
        <w:t>health care</w:t>
      </w:r>
      <w:r w:rsidR="0023607E" w:rsidRPr="002C6CE4">
        <w:t xml:space="preserve"> ‘works’ or at least does not produce negative outcomes, but with the size of the effects dependent on context and the magnitude of the payment (Gee 2016; Ogundeji, Bland and Sheldon 2016; Partel 2014; Scott and Connelly 2011). </w:t>
      </w:r>
    </w:p>
    <w:p w14:paraId="04E9243A" w14:textId="6DCA1BAF" w:rsidR="00C01736" w:rsidRDefault="0023607E" w:rsidP="0023607E">
      <w:pPr>
        <w:pStyle w:val="BodyText"/>
      </w:pPr>
      <w:r w:rsidRPr="002C6CE4">
        <w:t>There also seems to be some promise for P4P in hospital settings, in which funders provide no payment for events that should never occur (sentinel events) and reduce payments for events that involve complications. Non</w:t>
      </w:r>
      <w:r w:rsidR="00B277C0">
        <w:noBreakHyphen/>
      </w:r>
      <w:r w:rsidRPr="002C6CE4">
        <w:t xml:space="preserve">reimbursement for sentinel events in the United States appear to have been effective for some event types and no worse for others (Waters et al. 2015). </w:t>
      </w:r>
      <w:r w:rsidR="0053755B">
        <w:t>The Council of Australian Governments (</w:t>
      </w:r>
      <w:r w:rsidRPr="002C6CE4">
        <w:t>COAG</w:t>
      </w:r>
      <w:r w:rsidR="0053755B">
        <w:t>)</w:t>
      </w:r>
      <w:r w:rsidRPr="002C6CE4">
        <w:t xml:space="preserve"> intends to introduce pricing incentives to reduce 16 Hospital Acquired Complications (HACs) in 2017, although stopping short of full non</w:t>
      </w:r>
      <w:r w:rsidRPr="002C6CE4">
        <w:noBreakHyphen/>
        <w:t xml:space="preserve">reimbursement given that complications are often not fully avoidable </w:t>
      </w:r>
      <w:r w:rsidR="008C28DF" w:rsidRPr="008C28DF">
        <w:rPr>
          <w:szCs w:val="24"/>
        </w:rPr>
        <w:t>(Gee 2016; Herkes 2016; IHPA 2016)</w:t>
      </w:r>
      <w:r w:rsidRPr="002C6CE4">
        <w:t xml:space="preserve">. </w:t>
      </w:r>
    </w:p>
    <w:p w14:paraId="681B0BBE" w14:textId="7F1F80DC" w:rsidR="0023607E" w:rsidRPr="002C6CE4" w:rsidRDefault="0023607E" w:rsidP="0023607E">
      <w:pPr>
        <w:pStyle w:val="BodyText"/>
      </w:pPr>
      <w:r w:rsidRPr="002C6CE4">
        <w:t>In a much more radical move, Medibank (Australia’s largest private insurer) has introduced non</w:t>
      </w:r>
      <w:r w:rsidRPr="002C6CE4">
        <w:noBreakHyphen/>
        <w:t>reimbursement for 165 hospital</w:t>
      </w:r>
      <w:r w:rsidRPr="002C6CE4">
        <w:noBreakHyphen/>
        <w:t>acquired complications. This initiative has proved controversial because of the large number of non</w:t>
      </w:r>
      <w:r w:rsidRPr="002C6CE4">
        <w:noBreakHyphen/>
        <w:t>compensable complications, the cost of implementation, the way in which HACs have been determined, and the risk that, where complication risks are high, private hospitals may attempt to divert patients to public hospitals. In this case, the claim is that the performance indicators have been selected more to reduce pressures on premiums than to reduce adverse events — a claim the Commission has not tested — but which, in principle, illustrates another element of the complexities of linking performance measures and financial incentives.</w:t>
      </w:r>
    </w:p>
    <w:p w14:paraId="7DC2B9CC" w14:textId="6F2F122C" w:rsidR="0023607E" w:rsidRDefault="0023607E" w:rsidP="0023607E">
      <w:pPr>
        <w:pStyle w:val="Heading3"/>
      </w:pPr>
      <w:r>
        <w:t xml:space="preserve">Performance pay in teaching and </w:t>
      </w:r>
      <w:r w:rsidR="00632966">
        <w:t xml:space="preserve">the </w:t>
      </w:r>
      <w:r w:rsidR="00696F27">
        <w:t>public</w:t>
      </w:r>
      <w:r>
        <w:t xml:space="preserve"> service</w:t>
      </w:r>
    </w:p>
    <w:p w14:paraId="709E609F" w14:textId="36736826" w:rsidR="0023607E" w:rsidRPr="002C6CE4" w:rsidRDefault="0023607E" w:rsidP="0023607E">
      <w:pPr>
        <w:pStyle w:val="BodyText"/>
      </w:pPr>
      <w:r w:rsidRPr="002C6CE4">
        <w:t>While performance</w:t>
      </w:r>
      <w:r w:rsidRPr="002C6CE4">
        <w:noBreakHyphen/>
        <w:t xml:space="preserve">related incentives are widely used in </w:t>
      </w:r>
      <w:r w:rsidR="00570AB3">
        <w:t>health care</w:t>
      </w:r>
      <w:r w:rsidRPr="002C6CE4">
        <w:t xml:space="preserve"> and utilities, internationally, their genuine adoption in the public service and in teaching is patchy. Prima facie</w:t>
      </w:r>
      <w:r w:rsidR="00C01736">
        <w:t>,</w:t>
      </w:r>
      <w:r w:rsidRPr="002C6CE4">
        <w:t xml:space="preserve"> the contention that they should be used appears sound, and reputable parties have urged their adoption (Jensen and Reichl 2011). The use of performance pay in the Australian and State and Territory Government public services has waxed and waned (for example, being axed in Queensland in 2015). The Australian Government has recently </w:t>
      </w:r>
      <w:r w:rsidR="00A2468A">
        <w:t xml:space="preserve">announced plans to </w:t>
      </w:r>
      <w:r w:rsidR="002F72A1">
        <w:t xml:space="preserve">eventually </w:t>
      </w:r>
      <w:r w:rsidR="00A2468A">
        <w:t>provide</w:t>
      </w:r>
      <w:r w:rsidR="00A2468A" w:rsidRPr="002C6CE4">
        <w:t xml:space="preserve"> </w:t>
      </w:r>
      <w:r w:rsidRPr="002C6CE4">
        <w:t>funding to schools contingent on performance</w:t>
      </w:r>
      <w:r w:rsidR="00B277C0">
        <w:noBreakHyphen/>
      </w:r>
      <w:r w:rsidRPr="002C6CE4">
        <w:t>based pay for teachers</w:t>
      </w:r>
      <w:r w:rsidR="00A2468A">
        <w:t xml:space="preserve"> </w:t>
      </w:r>
      <w:r w:rsidR="00A2468A" w:rsidRPr="00A2468A">
        <w:rPr>
          <w:szCs w:val="24"/>
        </w:rPr>
        <w:t>(Australian Government 2016)</w:t>
      </w:r>
      <w:r w:rsidRPr="002C6CE4">
        <w:t xml:space="preserve">. </w:t>
      </w:r>
    </w:p>
    <w:p w14:paraId="06EDA37C" w14:textId="0A1EA1EC" w:rsidR="0023607E" w:rsidRPr="002C6CE4" w:rsidRDefault="0023607E" w:rsidP="0023607E">
      <w:pPr>
        <w:pStyle w:val="BodyText"/>
      </w:pPr>
      <w:r w:rsidRPr="002C6CE4">
        <w:t xml:space="preserve">Globally, the issue of performance pay for teachers and </w:t>
      </w:r>
      <w:r w:rsidR="00696F27">
        <w:t>public</w:t>
      </w:r>
      <w:r w:rsidRPr="002C6CE4">
        <w:t xml:space="preserve"> servants is controversial, and accompanied by mixed and contested evidence about their benefits, sometimes infected with ideology. Most of the best (of a lot of bad) evidence relates to teachers. The results of performance pay depend on context, place and time. For example, in the United Kingdom, over a succession of studies, a researcher found that teacher performance pay in the United Kingdom appeared to produce positive results initially, which then subsided (Marsden 2009, 2015; Marsden and Belfield 2006). Teachers themselves have mixed views — with recent UK survey evidence suggesting that a (slight) majority supported some link between performance and pay (Ware et al. 2014).</w:t>
      </w:r>
    </w:p>
    <w:p w14:paraId="65A578ED" w14:textId="4BCA085D" w:rsidR="0023607E" w:rsidRPr="002C6CE4" w:rsidRDefault="0023607E" w:rsidP="0023607E">
      <w:pPr>
        <w:pStyle w:val="BodyText"/>
      </w:pPr>
      <w:r w:rsidRPr="002C6CE4">
        <w:t xml:space="preserve">The </w:t>
      </w:r>
      <w:r w:rsidR="0053755B">
        <w:t>Organisation for Economic Cooperation and Development (</w:t>
      </w:r>
      <w:r w:rsidRPr="002C6CE4">
        <w:t>OECD</w:t>
      </w:r>
      <w:r w:rsidR="0053755B">
        <w:t>)</w:t>
      </w:r>
      <w:r w:rsidRPr="002C6CE4">
        <w:t xml:space="preserve"> found no average relationship between student performance on </w:t>
      </w:r>
      <w:r w:rsidR="00696F27" w:rsidRPr="00696F27">
        <w:t xml:space="preserve">Programme for International Student Assessment </w:t>
      </w:r>
      <w:r w:rsidR="00696F27">
        <w:t>(</w:t>
      </w:r>
      <w:r w:rsidRPr="002C6CE4">
        <w:t>PISA</w:t>
      </w:r>
      <w:r w:rsidR="00696F27">
        <w:t>)</w:t>
      </w:r>
      <w:r w:rsidRPr="002C6CE4">
        <w:t xml:space="preserve"> tests and the presence of performance pay. However, it </w:t>
      </w:r>
      <w:r>
        <w:t>did find</w:t>
      </w:r>
      <w:r w:rsidRPr="002C6CE4">
        <w:t xml:space="preserve"> a positive effect if teachers’ base salaries were low and a negative effect if base salaries were high (OECD 2012). Australia </w:t>
      </w:r>
      <w:r w:rsidR="00632966">
        <w:t>falls</w:t>
      </w:r>
      <w:r w:rsidRPr="002C6CE4">
        <w:t xml:space="preserve"> into the latter category. Nevertheless, the result was based on very simple analytics for a single year of data, and ignored the possibility that countries that were concerned about their relative PISA standing might try to improve outcomes through performance pay. A recent comprehensive meta</w:t>
      </w:r>
      <w:r w:rsidRPr="002C6CE4">
        <w:noBreakHyphen/>
        <w:t>study found a sufficient number of studies favourable to performance</w:t>
      </w:r>
      <w:r w:rsidRPr="002C6CE4">
        <w:noBreakHyphen/>
        <w:t xml:space="preserve">based pay in teaching to warrant further trials and evaluations (Leigh 2013). </w:t>
      </w:r>
    </w:p>
    <w:p w14:paraId="30D5D46F" w14:textId="1D4503DB" w:rsidR="00F5422B" w:rsidRDefault="00F5422B" w:rsidP="00F5422B">
      <w:pPr>
        <w:pStyle w:val="Heading4"/>
      </w:pPr>
      <w:r>
        <w:t>A lack of consensus</w:t>
      </w:r>
    </w:p>
    <w:p w14:paraId="181D14BC" w14:textId="33D3F717" w:rsidR="0023607E" w:rsidRPr="002C6CE4" w:rsidRDefault="00F5422B" w:rsidP="0023607E">
      <w:pPr>
        <w:pStyle w:val="BodyText"/>
      </w:pPr>
      <w:r>
        <w:t>One of the</w:t>
      </w:r>
      <w:r w:rsidR="0023607E" w:rsidRPr="002C6CE4">
        <w:t xml:space="preserve"> key problem</w:t>
      </w:r>
      <w:r>
        <w:t>s</w:t>
      </w:r>
      <w:r w:rsidR="0023607E" w:rsidRPr="002C6CE4">
        <w:t xml:space="preserve"> in appraising the impacts of pay for performance in teaching is that there is no consensus on: </w:t>
      </w:r>
    </w:p>
    <w:p w14:paraId="2EB134B5" w14:textId="4D152033" w:rsidR="0023607E" w:rsidRPr="002C6CE4" w:rsidRDefault="0023607E" w:rsidP="0023607E">
      <w:pPr>
        <w:pStyle w:val="ListBullet"/>
      </w:pPr>
      <w:r w:rsidRPr="002C6CE4">
        <w:t xml:space="preserve">the form </w:t>
      </w:r>
      <w:r w:rsidR="00C61BD1">
        <w:t xml:space="preserve">and size </w:t>
      </w:r>
      <w:r w:rsidRPr="002C6CE4">
        <w:t>of financial incentive — such as a payment for high performance, variable bonuses for variable performance, progression in pay scales based on annual assessment</w:t>
      </w:r>
      <w:r w:rsidR="003220E9">
        <w:t xml:space="preserve">, access to additional </w:t>
      </w:r>
      <w:r w:rsidR="006D3E53">
        <w:t xml:space="preserve">teaching </w:t>
      </w:r>
      <w:r w:rsidR="003220E9">
        <w:t>resources, or providing non</w:t>
      </w:r>
      <w:r w:rsidR="00B277C0">
        <w:noBreakHyphen/>
      </w:r>
      <w:r w:rsidR="003220E9">
        <w:t xml:space="preserve">personal financial rewards (such as additional </w:t>
      </w:r>
      <w:r w:rsidR="006D3E53">
        <w:t>school</w:t>
      </w:r>
      <w:r w:rsidR="003220E9">
        <w:t xml:space="preserve"> funding).</w:t>
      </w:r>
    </w:p>
    <w:p w14:paraId="1EC8CB80" w14:textId="77777777" w:rsidR="00673ADB" w:rsidRDefault="0023607E" w:rsidP="0023607E">
      <w:pPr>
        <w:pStyle w:val="ListBullet"/>
      </w:pPr>
      <w:r w:rsidRPr="002C6CE4">
        <w:t>the appropriate measure of performance — for example, test results, truant</w:t>
      </w:r>
      <w:r w:rsidR="00C61BD1">
        <w:t xml:space="preserve"> rates</w:t>
      </w:r>
      <w:r w:rsidRPr="002C6CE4">
        <w:t>, student and parent appraisal results, achievement of some agreed standard of teaching, engagement in processes linked to performance such as professional development, or some mixture of the above</w:t>
      </w:r>
      <w:r w:rsidR="009F3475">
        <w:t>.</w:t>
      </w:r>
      <w:r w:rsidR="00673ADB">
        <w:t xml:space="preserve"> </w:t>
      </w:r>
    </w:p>
    <w:p w14:paraId="5F3FD75F" w14:textId="42CD32B2" w:rsidR="0023607E" w:rsidRPr="002C6CE4" w:rsidRDefault="0023607E" w:rsidP="00673ADB">
      <w:pPr>
        <w:pStyle w:val="ListBullet2"/>
      </w:pPr>
      <w:r w:rsidRPr="002C6CE4">
        <w:t>It cannot be said that there is no mechanism for assessing the ‘art of teaching’. After all, students training to be teachers are assessed on a proficiency rather than a competency</w:t>
      </w:r>
      <w:r w:rsidRPr="002C6CE4">
        <w:noBreakHyphen/>
        <w:t>based standard</w:t>
      </w:r>
      <w:r w:rsidR="00980F6D">
        <w:t xml:space="preserve"> </w:t>
      </w:r>
      <w:r w:rsidR="00673ADB">
        <w:t>(</w:t>
      </w:r>
      <w:r w:rsidR="00980F6D">
        <w:t xml:space="preserve">see </w:t>
      </w:r>
      <w:r w:rsidR="000558C4">
        <w:t>c</w:t>
      </w:r>
      <w:r w:rsidR="003220E9" w:rsidRPr="003220E9">
        <w:t>hapter </w:t>
      </w:r>
      <w:r w:rsidR="001C6A96">
        <w:t>3</w:t>
      </w:r>
      <w:r w:rsidR="001C6A96" w:rsidRPr="003220E9">
        <w:t xml:space="preserve"> </w:t>
      </w:r>
      <w:r w:rsidR="003220E9" w:rsidRPr="003220E9">
        <w:t>of</w:t>
      </w:r>
      <w:r w:rsidR="003220E9">
        <w:t xml:space="preserve"> the main report </w:t>
      </w:r>
      <w:r w:rsidR="00980F6D">
        <w:t>for a discussion of the differences)</w:t>
      </w:r>
      <w:r w:rsidR="00673ADB">
        <w:t>.</w:t>
      </w:r>
      <w:r w:rsidRPr="002C6CE4">
        <w:t xml:space="preserve"> There have been advances in the development of recognised teaching standards that </w:t>
      </w:r>
      <w:r w:rsidR="006D3E53">
        <w:t xml:space="preserve">more </w:t>
      </w:r>
      <w:r w:rsidRPr="002C6CE4">
        <w:t xml:space="preserve">accurately reflect the nature of teachers’ work </w:t>
      </w:r>
      <w:r w:rsidR="006D3E53">
        <w:t>and</w:t>
      </w:r>
      <w:r w:rsidR="006D3E53" w:rsidRPr="002C6CE4">
        <w:t xml:space="preserve"> </w:t>
      </w:r>
      <w:r w:rsidRPr="002C6CE4">
        <w:t xml:space="preserve">which could be a basis for </w:t>
      </w:r>
      <w:r w:rsidR="00673ADB">
        <w:t>new performance pay initiatives.</w:t>
      </w:r>
    </w:p>
    <w:p w14:paraId="51266C4B" w14:textId="1605A207" w:rsidR="0023607E" w:rsidRPr="002C6CE4" w:rsidRDefault="0023607E" w:rsidP="0023607E">
      <w:pPr>
        <w:pStyle w:val="ListBullet"/>
      </w:pPr>
      <w:r w:rsidRPr="002C6CE4">
        <w:t>the appropriate parties who should make the assessments (external to the school, peers, the principal)</w:t>
      </w:r>
    </w:p>
    <w:p w14:paraId="4A154EBD" w14:textId="4B7F5F8D" w:rsidR="0023607E" w:rsidRPr="002C6CE4" w:rsidRDefault="0023607E" w:rsidP="0023607E">
      <w:pPr>
        <w:pStyle w:val="ListBullet"/>
      </w:pPr>
      <w:r w:rsidRPr="002C6CE4">
        <w:t>the extent to which there needs to be agreement between the main actors in schools</w:t>
      </w:r>
      <w:r w:rsidR="00B277C0">
        <w:t xml:space="preserve"> </w:t>
      </w:r>
      <w:r w:rsidRPr="002C6CE4">
        <w:t>— governments, school administrators, principals, teachers, school boards, parents and children — about the legitimacy and accuracy of the measures of quality. At least one authoritative study has attributed failure of performance pay on the absence of buy</w:t>
      </w:r>
      <w:r w:rsidRPr="002C6CE4">
        <w:noBreakHyphen/>
        <w:t>in by teachers and school administrators (Ingvarson, Kleinhenz and Wilkinson 2007)</w:t>
      </w:r>
    </w:p>
    <w:p w14:paraId="2E7A8C2B" w14:textId="771297E3" w:rsidR="0023607E" w:rsidRPr="002C6CE4" w:rsidRDefault="0023607E" w:rsidP="0023607E">
      <w:pPr>
        <w:pStyle w:val="ListBullet"/>
      </w:pPr>
      <w:r w:rsidRPr="002C6CE4">
        <w:t>the relative importance of performance</w:t>
      </w:r>
      <w:r w:rsidRPr="002C6CE4">
        <w:noBreakHyphen/>
        <w:t>based pay compared with other initiatives that might improve student performance, bearing in mind that all school</w:t>
      </w:r>
      <w:r w:rsidRPr="002C6CE4">
        <w:noBreakHyphen/>
        <w:t>based initiatives entail implementation and financial costs. Performance pay might produce a benefit, but it might be more or less than some other interventions</w:t>
      </w:r>
      <w:r w:rsidR="00980F6D">
        <w:t>.</w:t>
      </w:r>
    </w:p>
    <w:p w14:paraId="18EF4F44" w14:textId="45611AC6" w:rsidR="001507A8" w:rsidRDefault="0023607E" w:rsidP="009739E1">
      <w:pPr>
        <w:pStyle w:val="BodyText"/>
      </w:pPr>
      <w:r w:rsidRPr="002C6CE4">
        <w:t>Given the wide variety of outcomes from experiments in teacher pay performance around the world</w:t>
      </w:r>
      <w:r>
        <w:t>, any</w:t>
      </w:r>
      <w:r w:rsidRPr="002C6CE4">
        <w:t xml:space="preserve"> definitive declaration</w:t>
      </w:r>
      <w:r w:rsidR="009F3475">
        <w:t>s</w:t>
      </w:r>
      <w:r w:rsidRPr="002C6CE4">
        <w:t xml:space="preserve"> that </w:t>
      </w:r>
      <w:r>
        <w:t xml:space="preserve">they </w:t>
      </w:r>
      <w:r w:rsidRPr="000D22E6">
        <w:rPr>
          <w:i/>
        </w:rPr>
        <w:t>do</w:t>
      </w:r>
      <w:r w:rsidRPr="002C6CE4">
        <w:t xml:space="preserve"> or </w:t>
      </w:r>
      <w:r w:rsidRPr="000D22E6">
        <w:rPr>
          <w:i/>
        </w:rPr>
        <w:t>do not</w:t>
      </w:r>
      <w:r w:rsidRPr="002C6CE4">
        <w:t xml:space="preserve"> work </w:t>
      </w:r>
      <w:r>
        <w:t xml:space="preserve">are to be treated cautiously, as outcomes </w:t>
      </w:r>
      <w:r w:rsidR="00980F6D">
        <w:t xml:space="preserve">are highly contextual (that is, they </w:t>
      </w:r>
      <w:r>
        <w:t>depend on</w:t>
      </w:r>
      <w:r w:rsidRPr="002C6CE4">
        <w:t xml:space="preserve"> what </w:t>
      </w:r>
      <w:r>
        <w:t>incentives were used</w:t>
      </w:r>
      <w:r w:rsidRPr="002C6CE4">
        <w:t>, for who</w:t>
      </w:r>
      <w:r>
        <w:t>m</w:t>
      </w:r>
      <w:r w:rsidRPr="002C6CE4">
        <w:t xml:space="preserve">, and </w:t>
      </w:r>
      <w:r>
        <w:t>under</w:t>
      </w:r>
      <w:r w:rsidRPr="002C6CE4">
        <w:t xml:space="preserve"> what conditions</w:t>
      </w:r>
      <w:r w:rsidR="00980F6D">
        <w:t>)</w:t>
      </w:r>
      <w:r w:rsidRPr="002C6CE4">
        <w:t xml:space="preserve">. </w:t>
      </w:r>
      <w:r w:rsidR="001507A8">
        <w:br w:type="page"/>
      </w:r>
    </w:p>
    <w:p w14:paraId="1F886F85" w14:textId="1F5A3429" w:rsidR="00D434A0" w:rsidRDefault="006A354E" w:rsidP="00990050">
      <w:pPr>
        <w:pStyle w:val="Heading1"/>
        <w:spacing w:after="600"/>
      </w:pPr>
      <w:bookmarkStart w:id="14" w:name="_Toc488926848"/>
      <w:bookmarkStart w:id="15" w:name="_Toc489014197"/>
      <w:r w:rsidRPr="00673ADB">
        <w:t>References</w:t>
      </w:r>
      <w:bookmarkEnd w:id="14"/>
      <w:bookmarkEnd w:id="15"/>
    </w:p>
    <w:p w14:paraId="0243EE2E" w14:textId="65E7C897" w:rsidR="006F472F" w:rsidRPr="006F472F" w:rsidRDefault="006F472F" w:rsidP="009739E1">
      <w:pPr>
        <w:pStyle w:val="Reference"/>
      </w:pPr>
      <w:r w:rsidRPr="006F472F">
        <w:t xml:space="preserve">ACARA (Australian Curriculum, Assessment and Reporting Authority) 2015, </w:t>
      </w:r>
      <w:r w:rsidRPr="006F472F">
        <w:rPr>
          <w:i/>
          <w:iCs/>
        </w:rPr>
        <w:t xml:space="preserve">About ICSEA </w:t>
      </w:r>
      <w:r w:rsidR="0084192C">
        <w:rPr>
          <w:i/>
          <w:iCs/>
        </w:rPr>
        <w:noBreakHyphen/>
      </w:r>
      <w:r w:rsidRPr="006F472F">
        <w:rPr>
          <w:i/>
          <w:iCs/>
        </w:rPr>
        <w:t xml:space="preserve"> fact sheet</w:t>
      </w:r>
      <w:r w:rsidRPr="006F472F">
        <w:t>.</w:t>
      </w:r>
    </w:p>
    <w:p w14:paraId="0314FE15" w14:textId="47914DD8" w:rsidR="006F472F" w:rsidRPr="006F472F" w:rsidRDefault="00756C3A" w:rsidP="009739E1">
      <w:pPr>
        <w:pStyle w:val="Reference"/>
      </w:pPr>
      <w:r>
        <w:t>—— </w:t>
      </w:r>
      <w:r w:rsidR="006F472F" w:rsidRPr="006F472F">
        <w:t xml:space="preserve">2016, </w:t>
      </w:r>
      <w:r w:rsidR="006F472F" w:rsidRPr="006F472F">
        <w:rPr>
          <w:i/>
          <w:iCs/>
        </w:rPr>
        <w:t>My School</w:t>
      </w:r>
      <w:r w:rsidR="006F472F" w:rsidRPr="006F472F">
        <w:t>, www.myschool.edu.au (accessed 18</w:t>
      </w:r>
      <w:r w:rsidR="0084192C">
        <w:t> </w:t>
      </w:r>
      <w:r w:rsidR="006F472F" w:rsidRPr="006F472F">
        <w:t>November 2016).</w:t>
      </w:r>
    </w:p>
    <w:p w14:paraId="576414EA" w14:textId="77777777" w:rsidR="006F472F" w:rsidRPr="006F472F" w:rsidRDefault="006F472F" w:rsidP="009739E1">
      <w:pPr>
        <w:pStyle w:val="Reference"/>
      </w:pPr>
      <w:r w:rsidRPr="006F472F">
        <w:t xml:space="preserve">ACSQHC (Australian Commission on Safety and Quality in Health Care) 2015, </w:t>
      </w:r>
      <w:r w:rsidRPr="006F472F">
        <w:rPr>
          <w:i/>
          <w:iCs/>
        </w:rPr>
        <w:t>Australian Atlas of Healthcare Variation</w:t>
      </w:r>
      <w:r w:rsidRPr="006F472F">
        <w:t>, November.</w:t>
      </w:r>
    </w:p>
    <w:p w14:paraId="35834911" w14:textId="5404BAFF" w:rsidR="006F472F" w:rsidRPr="006F472F" w:rsidRDefault="006F472F" w:rsidP="009739E1">
      <w:pPr>
        <w:pStyle w:val="Reference"/>
      </w:pPr>
      <w:r w:rsidRPr="006F472F">
        <w:t xml:space="preserve">AIHW (Australian Institute of Health and Welfare) 2008, </w:t>
      </w:r>
      <w:r w:rsidRPr="006F472F">
        <w:rPr>
          <w:i/>
          <w:iCs/>
        </w:rPr>
        <w:t xml:space="preserve">Review and </w:t>
      </w:r>
      <w:r w:rsidR="00F85EE9">
        <w:rPr>
          <w:i/>
          <w:iCs/>
        </w:rPr>
        <w:t>Evaluation of Australian Information about Primary Health Care: A Focus on General P</w:t>
      </w:r>
      <w:r w:rsidRPr="006F472F">
        <w:rPr>
          <w:i/>
          <w:iCs/>
        </w:rPr>
        <w:t>ractice</w:t>
      </w:r>
      <w:r w:rsidRPr="006F472F">
        <w:t>, December.</w:t>
      </w:r>
    </w:p>
    <w:p w14:paraId="0896F13D" w14:textId="530155B1" w:rsidR="006F472F" w:rsidRPr="006F472F" w:rsidRDefault="00756C3A" w:rsidP="009739E1">
      <w:pPr>
        <w:pStyle w:val="Reference"/>
      </w:pPr>
      <w:r>
        <w:t>—— </w:t>
      </w:r>
      <w:r w:rsidR="006F472F" w:rsidRPr="006F472F">
        <w:t xml:space="preserve">2016a, </w:t>
      </w:r>
      <w:r w:rsidR="006F472F" w:rsidRPr="006F472F">
        <w:rPr>
          <w:i/>
          <w:iCs/>
        </w:rPr>
        <w:t>Australian Cancer Incidence and Mortality (ACIM) books</w:t>
      </w:r>
      <w:r w:rsidR="006F472F" w:rsidRPr="006F472F">
        <w:t>, January.</w:t>
      </w:r>
    </w:p>
    <w:p w14:paraId="21B15F65" w14:textId="1767467F" w:rsidR="006F472F" w:rsidRPr="006F472F" w:rsidRDefault="00756C3A" w:rsidP="009739E1">
      <w:pPr>
        <w:pStyle w:val="Reference"/>
      </w:pPr>
      <w:r>
        <w:t>—— </w:t>
      </w:r>
      <w:r w:rsidR="006F472F" w:rsidRPr="006F472F">
        <w:t xml:space="preserve">2016b, </w:t>
      </w:r>
      <w:r w:rsidR="006F472F" w:rsidRPr="006F472F">
        <w:rPr>
          <w:i/>
          <w:iCs/>
        </w:rPr>
        <w:t>MyHealthyCommunities</w:t>
      </w:r>
      <w:r w:rsidR="006F472F" w:rsidRPr="006F472F">
        <w:t>, www.myhealthycommunities.gov.au (accessed 1</w:t>
      </w:r>
      <w:r w:rsidR="0084192C">
        <w:t> </w:t>
      </w:r>
      <w:r w:rsidR="006F472F" w:rsidRPr="006F472F">
        <w:t>November 2016).</w:t>
      </w:r>
    </w:p>
    <w:p w14:paraId="2CA55BF1" w14:textId="70C57145" w:rsidR="006F472F" w:rsidRPr="006F472F" w:rsidRDefault="00756C3A" w:rsidP="009739E1">
      <w:pPr>
        <w:pStyle w:val="Reference"/>
      </w:pPr>
      <w:r>
        <w:t>—— </w:t>
      </w:r>
      <w:r w:rsidR="006F472F" w:rsidRPr="006F472F">
        <w:t xml:space="preserve">2016c, </w:t>
      </w:r>
      <w:r w:rsidR="006F472F" w:rsidRPr="006F472F">
        <w:rPr>
          <w:i/>
          <w:iCs/>
        </w:rPr>
        <w:t>MyHospitals</w:t>
      </w:r>
      <w:r w:rsidR="006F472F" w:rsidRPr="006F472F">
        <w:t>, www.myhospitals.gov.au (accessed 16</w:t>
      </w:r>
      <w:r w:rsidR="0084192C">
        <w:t> </w:t>
      </w:r>
      <w:r w:rsidR="006F472F" w:rsidRPr="006F472F">
        <w:t>November 2016).</w:t>
      </w:r>
    </w:p>
    <w:p w14:paraId="5EC4F382" w14:textId="22D68130" w:rsidR="006F472F" w:rsidRPr="006F472F" w:rsidRDefault="00756C3A" w:rsidP="009739E1">
      <w:pPr>
        <w:pStyle w:val="Reference"/>
      </w:pPr>
      <w:r>
        <w:t>—— </w:t>
      </w:r>
      <w:r w:rsidR="006F472F" w:rsidRPr="006F472F">
        <w:t xml:space="preserve">2017, </w:t>
      </w:r>
      <w:r w:rsidR="00F85EE9">
        <w:rPr>
          <w:i/>
          <w:iCs/>
        </w:rPr>
        <w:t>Impacts of Local Level Public R</w:t>
      </w:r>
      <w:r w:rsidR="006F472F" w:rsidRPr="006F472F">
        <w:rPr>
          <w:i/>
          <w:iCs/>
        </w:rPr>
        <w:t>eporting</w:t>
      </w:r>
      <w:r w:rsidR="006F472F" w:rsidRPr="006F472F">
        <w:t>, www.aihw.gov.au/health-performance/impacts-of-local-level-public-reporting/ (accessed 19</w:t>
      </w:r>
      <w:r w:rsidR="0084192C">
        <w:t> </w:t>
      </w:r>
      <w:r w:rsidR="006F472F" w:rsidRPr="006F472F">
        <w:t>January 2017).</w:t>
      </w:r>
    </w:p>
    <w:p w14:paraId="44BE9C97" w14:textId="50D12634" w:rsidR="006F472F" w:rsidRPr="006F472F" w:rsidRDefault="006F472F" w:rsidP="009739E1">
      <w:pPr>
        <w:pStyle w:val="Reference"/>
      </w:pPr>
      <w:r w:rsidRPr="006F472F">
        <w:t xml:space="preserve">AMA (Australian Medical Association) 2014, </w:t>
      </w:r>
      <w:r w:rsidRPr="006F472F">
        <w:rPr>
          <w:i/>
          <w:iCs/>
        </w:rPr>
        <w:t>AMA Submission on Out-of</w:t>
      </w:r>
      <w:r w:rsidR="0084192C">
        <w:rPr>
          <w:i/>
          <w:iCs/>
        </w:rPr>
        <w:noBreakHyphen/>
      </w:r>
      <w:r w:rsidR="00F85EE9">
        <w:rPr>
          <w:i/>
          <w:iCs/>
        </w:rPr>
        <w:t>pocket C</w:t>
      </w:r>
      <w:r w:rsidRPr="006F472F">
        <w:rPr>
          <w:i/>
          <w:iCs/>
        </w:rPr>
        <w:t>osts in Australian healthcare</w:t>
      </w:r>
      <w:r w:rsidRPr="006F472F">
        <w:t>, Submission to the Senate Community Affairs References Committee’s inquiry into out</w:t>
      </w:r>
      <w:r w:rsidR="0084192C">
        <w:noBreakHyphen/>
      </w:r>
      <w:r w:rsidRPr="006F472F">
        <w:t>of</w:t>
      </w:r>
      <w:r w:rsidR="0084192C">
        <w:noBreakHyphen/>
      </w:r>
      <w:r w:rsidRPr="006F472F">
        <w:t>pocket costs.</w:t>
      </w:r>
    </w:p>
    <w:p w14:paraId="5F8A28F1" w14:textId="112325B0" w:rsidR="006F472F" w:rsidRPr="006F472F" w:rsidRDefault="006F472F" w:rsidP="009739E1">
      <w:pPr>
        <w:pStyle w:val="Reference"/>
      </w:pPr>
      <w:r w:rsidRPr="006F472F">
        <w:t xml:space="preserve">ANAO (Australian National Audit Office) 2010, </w:t>
      </w:r>
      <w:r w:rsidRPr="006F472F">
        <w:rPr>
          <w:i/>
          <w:iCs/>
        </w:rPr>
        <w:t>Practice Incentives Program</w:t>
      </w:r>
      <w:r w:rsidRPr="006F472F">
        <w:t>, Performance Audit, 5 of 2010</w:t>
      </w:r>
      <w:r w:rsidR="0084192C">
        <w:noBreakHyphen/>
      </w:r>
      <w:r w:rsidRPr="006F472F">
        <w:t>11.</w:t>
      </w:r>
    </w:p>
    <w:p w14:paraId="52518875" w14:textId="77777777" w:rsidR="006F472F" w:rsidRPr="006F472F" w:rsidRDefault="006F472F" w:rsidP="009739E1">
      <w:pPr>
        <w:pStyle w:val="Reference"/>
      </w:pPr>
      <w:r w:rsidRPr="006F472F">
        <w:t xml:space="preserve">Andrews, D., Criscuolo, C. and Gal, P. 2015, </w:t>
      </w:r>
      <w:r w:rsidRPr="006F472F">
        <w:rPr>
          <w:i/>
          <w:iCs/>
        </w:rPr>
        <w:t>Frontier Firms, Technology Diffusion and Public Policy: Micro Evidence from OECD Countries</w:t>
      </w:r>
      <w:r w:rsidRPr="006F472F">
        <w:t>, Productivity Working Paper No. 2, November, OECD Publishing, Paris.</w:t>
      </w:r>
    </w:p>
    <w:p w14:paraId="1CECC15B" w14:textId="72868CAC" w:rsidR="006F472F" w:rsidRPr="006F472F" w:rsidRDefault="006F472F" w:rsidP="009739E1">
      <w:pPr>
        <w:pStyle w:val="Reference"/>
      </w:pPr>
      <w:r w:rsidRPr="006F472F">
        <w:t xml:space="preserve">Atkinson, T. 2005, </w:t>
      </w:r>
      <w:r w:rsidRPr="006F472F">
        <w:rPr>
          <w:i/>
          <w:iCs/>
        </w:rPr>
        <w:t xml:space="preserve">Atkinson Review: Final Report </w:t>
      </w:r>
      <w:r w:rsidR="0084192C">
        <w:rPr>
          <w:i/>
          <w:iCs/>
        </w:rPr>
        <w:noBreakHyphen/>
      </w:r>
      <w:r w:rsidRPr="006F472F">
        <w:rPr>
          <w:i/>
          <w:iCs/>
        </w:rPr>
        <w:t xml:space="preserve"> Measurement of Government Output and Productivity for the National Accounts</w:t>
      </w:r>
      <w:r w:rsidRPr="006F472F">
        <w:t>, United Kingdom.</w:t>
      </w:r>
    </w:p>
    <w:p w14:paraId="41C27329" w14:textId="3784D5C8" w:rsidR="006F472F" w:rsidRPr="006F472F" w:rsidRDefault="006F472F" w:rsidP="009739E1">
      <w:pPr>
        <w:pStyle w:val="Reference"/>
      </w:pPr>
      <w:r w:rsidRPr="006F472F">
        <w:t xml:space="preserve">Australian Government 2015, </w:t>
      </w:r>
      <w:r w:rsidRPr="006F472F">
        <w:rPr>
          <w:i/>
          <w:iCs/>
        </w:rPr>
        <w:t xml:space="preserve">The National Quality Standard </w:t>
      </w:r>
      <w:r w:rsidR="00F85EE9">
        <w:rPr>
          <w:i/>
          <w:iCs/>
        </w:rPr>
        <w:t>—</w:t>
      </w:r>
      <w:r w:rsidRPr="006F472F">
        <w:rPr>
          <w:i/>
          <w:iCs/>
        </w:rPr>
        <w:t xml:space="preserve"> My Child</w:t>
      </w:r>
      <w:r w:rsidRPr="006F472F">
        <w:t>, www.mychild.gov.au/agenda/quality</w:t>
      </w:r>
      <w:r w:rsidR="0084192C">
        <w:noBreakHyphen/>
      </w:r>
      <w:r w:rsidRPr="006F472F">
        <w:t>framework/quality</w:t>
      </w:r>
      <w:r w:rsidR="0084192C">
        <w:noBreakHyphen/>
      </w:r>
      <w:r w:rsidRPr="006F472F">
        <w:t>standard (accessed 11</w:t>
      </w:r>
      <w:r w:rsidR="0084192C">
        <w:t> </w:t>
      </w:r>
      <w:r w:rsidRPr="006F472F">
        <w:t>January 2017).</w:t>
      </w:r>
    </w:p>
    <w:p w14:paraId="5BC8C116" w14:textId="3561E808" w:rsidR="006F472F" w:rsidRPr="006F472F" w:rsidRDefault="00756C3A" w:rsidP="009739E1">
      <w:pPr>
        <w:pStyle w:val="Reference"/>
      </w:pPr>
      <w:r>
        <w:t>—— </w:t>
      </w:r>
      <w:r w:rsidR="006F472F" w:rsidRPr="006F472F">
        <w:t xml:space="preserve">2016, </w:t>
      </w:r>
      <w:r w:rsidR="006F472F" w:rsidRPr="006F472F">
        <w:rPr>
          <w:i/>
          <w:iCs/>
        </w:rPr>
        <w:t>Quality Schools, Quality Outcomes</w:t>
      </w:r>
      <w:r w:rsidR="006F472F" w:rsidRPr="006F472F">
        <w:t>, May.</w:t>
      </w:r>
    </w:p>
    <w:p w14:paraId="3FA456FD" w14:textId="317D7A39" w:rsidR="006F472F" w:rsidRPr="006F472F" w:rsidRDefault="006F472F" w:rsidP="009739E1">
      <w:pPr>
        <w:pStyle w:val="Reference"/>
      </w:pPr>
      <w:r w:rsidRPr="006F472F">
        <w:t xml:space="preserve">Barratt, H. 2011, ‘Increasing </w:t>
      </w:r>
      <w:r w:rsidR="00F85EE9">
        <w:t>p</w:t>
      </w:r>
      <w:r w:rsidRPr="006F472F">
        <w:t xml:space="preserve">atient </w:t>
      </w:r>
      <w:r w:rsidR="00F85EE9">
        <w:t>c</w:t>
      </w:r>
      <w:r w:rsidRPr="006F472F">
        <w:t xml:space="preserve">hoice’, </w:t>
      </w:r>
      <w:r w:rsidRPr="006F472F">
        <w:rPr>
          <w:i/>
          <w:iCs/>
        </w:rPr>
        <w:t>The Lancet UK Policy Matters</w:t>
      </w:r>
      <w:r w:rsidRPr="006F472F">
        <w:t>, 7 May.</w:t>
      </w:r>
    </w:p>
    <w:p w14:paraId="1EA9F444" w14:textId="77777777" w:rsidR="006F472F" w:rsidRPr="006F472F" w:rsidRDefault="006F472F" w:rsidP="009739E1">
      <w:pPr>
        <w:pStyle w:val="Reference"/>
      </w:pPr>
      <w:r w:rsidRPr="006F472F">
        <w:t xml:space="preserve">Benton, S. and Ryalls, K. 2016, ‘Challenging misconceptions about student ratings of instruction’, </w:t>
      </w:r>
      <w:r w:rsidRPr="006F472F">
        <w:rPr>
          <w:i/>
          <w:iCs/>
        </w:rPr>
        <w:t>IDEA</w:t>
      </w:r>
      <w:r w:rsidRPr="006F472F">
        <w:t>, vol. 58, April.</w:t>
      </w:r>
    </w:p>
    <w:p w14:paraId="790C8BB3" w14:textId="65680974" w:rsidR="006F472F" w:rsidRPr="006F472F" w:rsidRDefault="006F472F" w:rsidP="009739E1">
      <w:pPr>
        <w:pStyle w:val="Reference"/>
      </w:pPr>
      <w:r w:rsidRPr="006F472F">
        <w:t>Bergs, J., Hellings, J., Cleemput, I., Zurel, Ö., De Troyer, V., Van Hiel, M., Demeere, J., Claeys, D. and Vandijck, D. 2014, ‘Systematic review and meta</w:t>
      </w:r>
      <w:r w:rsidR="0084192C">
        <w:noBreakHyphen/>
      </w:r>
      <w:r w:rsidRPr="006F472F">
        <w:t xml:space="preserve">analysis of the effect of the World Health Organization surgical safety checklist on postoperative complications’, </w:t>
      </w:r>
      <w:r w:rsidRPr="006F472F">
        <w:rPr>
          <w:i/>
          <w:iCs/>
        </w:rPr>
        <w:t>The British Journal of Surgery</w:t>
      </w:r>
      <w:r w:rsidRPr="006F472F">
        <w:t>, vol. 101, no. 3, pp. 150–158.</w:t>
      </w:r>
    </w:p>
    <w:p w14:paraId="7158384D" w14:textId="6708C5FA" w:rsidR="006F472F" w:rsidRPr="006F472F" w:rsidRDefault="006F472F" w:rsidP="009739E1">
      <w:pPr>
        <w:pStyle w:val="Reference"/>
      </w:pPr>
      <w:r w:rsidRPr="006F472F">
        <w:t xml:space="preserve">Berwick, D., James, B. and Coye, M. 2003, ‘Connections between </w:t>
      </w:r>
      <w:r w:rsidR="00F85EE9">
        <w:t>q</w:t>
      </w:r>
      <w:r w:rsidRPr="006F472F">
        <w:t xml:space="preserve">uality </w:t>
      </w:r>
      <w:r w:rsidR="00F85EE9">
        <w:t>m</w:t>
      </w:r>
      <w:r w:rsidRPr="006F472F">
        <w:t xml:space="preserve">easurement and </w:t>
      </w:r>
      <w:r w:rsidR="00F85EE9">
        <w:t>i</w:t>
      </w:r>
      <w:r w:rsidRPr="006F472F">
        <w:t xml:space="preserve">mprovement’, </w:t>
      </w:r>
      <w:r w:rsidRPr="006F472F">
        <w:rPr>
          <w:i/>
          <w:iCs/>
        </w:rPr>
        <w:t>Medical Care</w:t>
      </w:r>
      <w:r w:rsidRPr="006F472F">
        <w:t>, vol. 41, no. 1, pp. 130–138.</w:t>
      </w:r>
    </w:p>
    <w:p w14:paraId="6074DFED" w14:textId="11037775" w:rsidR="006F472F" w:rsidRPr="006F472F" w:rsidRDefault="006F472F" w:rsidP="009739E1">
      <w:pPr>
        <w:pStyle w:val="Reference"/>
      </w:pPr>
      <w:r w:rsidRPr="006F472F">
        <w:t xml:space="preserve">Carpenter, A., Elshaug, A., Turnbull, F., Wilson, A. and Jan, S. 2014, </w:t>
      </w:r>
      <w:r w:rsidR="00F85EE9">
        <w:rPr>
          <w:i/>
          <w:iCs/>
        </w:rPr>
        <w:t>Health policy, Administration and E</w:t>
      </w:r>
      <w:r w:rsidRPr="006F472F">
        <w:rPr>
          <w:i/>
          <w:iCs/>
        </w:rPr>
        <w:t>xpenditure</w:t>
      </w:r>
      <w:r w:rsidRPr="006F472F">
        <w:t>, Submission to the Senate Select Committee on Health.</w:t>
      </w:r>
    </w:p>
    <w:p w14:paraId="7EBF6DF8" w14:textId="3636FDB6" w:rsidR="006F472F" w:rsidRPr="006F472F" w:rsidRDefault="006F472F" w:rsidP="009739E1">
      <w:pPr>
        <w:pStyle w:val="Reference"/>
      </w:pPr>
      <w:r w:rsidRPr="006F472F">
        <w:t xml:space="preserve">Chen, J. 2016, </w:t>
      </w:r>
      <w:r w:rsidRPr="006F472F">
        <w:rPr>
          <w:i/>
          <w:iCs/>
        </w:rPr>
        <w:t>Integrated Care: Patient</w:t>
      </w:r>
      <w:r w:rsidR="0084192C">
        <w:rPr>
          <w:i/>
          <w:iCs/>
        </w:rPr>
        <w:noBreakHyphen/>
      </w:r>
      <w:r w:rsidRPr="006F472F">
        <w:rPr>
          <w:i/>
          <w:iCs/>
        </w:rPr>
        <w:t>Reported Outcome Measures and</w:t>
      </w:r>
      <w:r w:rsidR="0084192C">
        <w:rPr>
          <w:i/>
          <w:iCs/>
        </w:rPr>
        <w:t xml:space="preserve"> </w:t>
      </w:r>
      <w:r w:rsidRPr="006F472F">
        <w:rPr>
          <w:i/>
          <w:iCs/>
        </w:rPr>
        <w:t>Patient</w:t>
      </w:r>
      <w:r w:rsidR="0084192C">
        <w:rPr>
          <w:i/>
          <w:iCs/>
        </w:rPr>
        <w:noBreakHyphen/>
      </w:r>
      <w:r w:rsidRPr="006F472F">
        <w:rPr>
          <w:i/>
          <w:iCs/>
        </w:rPr>
        <w:t>Reported Experience Measures: A rapid scoping review</w:t>
      </w:r>
      <w:r w:rsidRPr="006F472F">
        <w:t>, NSW Agency for Clinical Innovation.</w:t>
      </w:r>
    </w:p>
    <w:p w14:paraId="10EAD25C" w14:textId="56F057BB" w:rsidR="006F472F" w:rsidRPr="006F472F" w:rsidRDefault="006F472F" w:rsidP="009739E1">
      <w:pPr>
        <w:pStyle w:val="Reference"/>
      </w:pPr>
      <w:r w:rsidRPr="006F472F">
        <w:t xml:space="preserve">CIHI (Canadian Institute for Health Information) 2013, </w:t>
      </w:r>
      <w:r w:rsidRPr="006F472F">
        <w:rPr>
          <w:i/>
          <w:iCs/>
        </w:rPr>
        <w:t>Evaluating the Impact of Activity</w:t>
      </w:r>
      <w:r w:rsidR="0084192C">
        <w:rPr>
          <w:i/>
          <w:iCs/>
        </w:rPr>
        <w:noBreakHyphen/>
      </w:r>
      <w:r w:rsidRPr="006F472F">
        <w:rPr>
          <w:i/>
          <w:iCs/>
        </w:rPr>
        <w:t>Based Funding on Health System Performance</w:t>
      </w:r>
      <w:r w:rsidRPr="006F472F">
        <w:t>.</w:t>
      </w:r>
    </w:p>
    <w:p w14:paraId="1B94D24A" w14:textId="77777777" w:rsidR="006F472F" w:rsidRPr="006F472F" w:rsidRDefault="006F472F" w:rsidP="009739E1">
      <w:pPr>
        <w:pStyle w:val="Reference"/>
      </w:pPr>
      <w:r w:rsidRPr="006F472F">
        <w:t xml:space="preserve">CMS (Centers for Medicare and Medicaid Services) 2016, </w:t>
      </w:r>
      <w:r w:rsidRPr="006F472F">
        <w:rPr>
          <w:i/>
          <w:iCs/>
        </w:rPr>
        <w:t>2015 Individual Clinician Measures</w:t>
      </w:r>
      <w:r w:rsidRPr="006F472F">
        <w:t>.</w:t>
      </w:r>
    </w:p>
    <w:p w14:paraId="37542392" w14:textId="569FF451" w:rsidR="006F472F" w:rsidRPr="006F472F" w:rsidRDefault="006F472F" w:rsidP="009739E1">
      <w:pPr>
        <w:pStyle w:val="Reference"/>
      </w:pPr>
      <w:r w:rsidRPr="006F472F">
        <w:t>Colvin, L., Slack</w:t>
      </w:r>
      <w:r w:rsidR="0084192C">
        <w:noBreakHyphen/>
      </w:r>
      <w:r w:rsidRPr="006F472F">
        <w:t xml:space="preserve">Smith, L., Stanley, F. and Bower, C. 2010, ‘Linking a pharmaceutical claims database with a birth defects registry to investigate birth defect rates of suspected teratogens’, </w:t>
      </w:r>
      <w:r w:rsidRPr="006F472F">
        <w:rPr>
          <w:i/>
          <w:iCs/>
        </w:rPr>
        <w:t>Pharmacoepidemiology and Drug Safety</w:t>
      </w:r>
      <w:r w:rsidRPr="006F472F">
        <w:t>, vol. 19, no. 11, pp. 1137–1150.</w:t>
      </w:r>
    </w:p>
    <w:p w14:paraId="31E564D7" w14:textId="0F03C9ED" w:rsidR="006F472F" w:rsidRPr="006F472F" w:rsidRDefault="006F472F" w:rsidP="009739E1">
      <w:pPr>
        <w:pStyle w:val="Reference"/>
      </w:pPr>
      <w:r w:rsidRPr="006F472F">
        <w:t xml:space="preserve">Conway, P. 2016, </w:t>
      </w:r>
      <w:r w:rsidR="00F85EE9">
        <w:rPr>
          <w:i/>
          <w:iCs/>
        </w:rPr>
        <w:t>Achieving New Zealand’s Productivity P</w:t>
      </w:r>
      <w:r w:rsidRPr="006F472F">
        <w:rPr>
          <w:i/>
          <w:iCs/>
        </w:rPr>
        <w:t>otential</w:t>
      </w:r>
      <w:r w:rsidRPr="006F472F">
        <w:t>, New Zealand Productivity Commission.</w:t>
      </w:r>
    </w:p>
    <w:p w14:paraId="485A6CEA" w14:textId="77777777" w:rsidR="006F472F" w:rsidRPr="006F472F" w:rsidRDefault="006F472F" w:rsidP="009739E1">
      <w:pPr>
        <w:pStyle w:val="Reference"/>
      </w:pPr>
      <w:r w:rsidRPr="006F472F">
        <w:t xml:space="preserve">Coulter, A. 2010, ‘Do patients want a choice and does it work?’, </w:t>
      </w:r>
      <w:r w:rsidRPr="006F472F">
        <w:rPr>
          <w:i/>
          <w:iCs/>
        </w:rPr>
        <w:t>BMJ</w:t>
      </w:r>
      <w:r w:rsidRPr="006F472F">
        <w:t>, vol. 341.</w:t>
      </w:r>
    </w:p>
    <w:p w14:paraId="50111A8F" w14:textId="77777777" w:rsidR="006F472F" w:rsidRPr="006F472F" w:rsidRDefault="006F472F" w:rsidP="009739E1">
      <w:pPr>
        <w:pStyle w:val="Reference"/>
      </w:pPr>
      <w:r w:rsidRPr="006F472F">
        <w:t xml:space="preserve">Couper, M. 2011, ‘The future of modes of data collection’, </w:t>
      </w:r>
      <w:r w:rsidRPr="006F472F">
        <w:rPr>
          <w:i/>
          <w:iCs/>
        </w:rPr>
        <w:t>Public Opinion Quarterly</w:t>
      </w:r>
      <w:r w:rsidRPr="006F472F">
        <w:t>, vol. 75, no. 5, p. 889.</w:t>
      </w:r>
    </w:p>
    <w:p w14:paraId="3B34B9B7" w14:textId="3470579C" w:rsidR="006F472F" w:rsidRPr="006F472F" w:rsidRDefault="006F472F" w:rsidP="009739E1">
      <w:pPr>
        <w:pStyle w:val="Reference"/>
      </w:pPr>
      <w:r w:rsidRPr="006F472F">
        <w:t xml:space="preserve">Deloitte Access Economics 2016, </w:t>
      </w:r>
      <w:r w:rsidR="0035178C">
        <w:rPr>
          <w:i/>
          <w:iCs/>
        </w:rPr>
        <w:t>A Practical G</w:t>
      </w:r>
      <w:r w:rsidRPr="006F472F">
        <w:rPr>
          <w:i/>
          <w:iCs/>
        </w:rPr>
        <w:t>uide</w:t>
      </w:r>
      <w:r w:rsidR="0035178C">
        <w:rPr>
          <w:i/>
          <w:iCs/>
        </w:rPr>
        <w:t xml:space="preserve"> to Understanding Social Costs: Developing the Evidence Base for Informed Social Impact I</w:t>
      </w:r>
      <w:r w:rsidRPr="006F472F">
        <w:rPr>
          <w:i/>
          <w:iCs/>
        </w:rPr>
        <w:t>nvestment</w:t>
      </w:r>
      <w:r w:rsidRPr="006F472F">
        <w:t>, February.</w:t>
      </w:r>
    </w:p>
    <w:p w14:paraId="70C56C2E" w14:textId="5CAE1BC3" w:rsidR="006F472F" w:rsidRPr="006F472F" w:rsidRDefault="006F472F" w:rsidP="009739E1">
      <w:pPr>
        <w:pStyle w:val="Reference"/>
      </w:pPr>
      <w:r w:rsidRPr="006F472F">
        <w:t xml:space="preserve">DET (Department of Education and Training) 2015, </w:t>
      </w:r>
      <w:r w:rsidRPr="006F472F">
        <w:rPr>
          <w:i/>
          <w:iCs/>
        </w:rPr>
        <w:t xml:space="preserve">Upholding Quality </w:t>
      </w:r>
      <w:r w:rsidR="0035178C">
        <w:rPr>
          <w:i/>
          <w:iCs/>
        </w:rPr>
        <w:t>—</w:t>
      </w:r>
      <w:r w:rsidRPr="006F472F">
        <w:rPr>
          <w:i/>
          <w:iCs/>
        </w:rPr>
        <w:t xml:space="preserve"> Quality Indicators for Learning and Teaching</w:t>
      </w:r>
      <w:r w:rsidRPr="006F472F">
        <w:t>, www.education.gov.au/upholding</w:t>
      </w:r>
      <w:r w:rsidR="0084192C">
        <w:noBreakHyphen/>
      </w:r>
      <w:r w:rsidRPr="006F472F">
        <w:t>quality-quality-indicators-learning-and-teaching (accessed 11</w:t>
      </w:r>
      <w:r w:rsidR="0084192C">
        <w:t> </w:t>
      </w:r>
      <w:r w:rsidRPr="006F472F">
        <w:t>January 2017).</w:t>
      </w:r>
    </w:p>
    <w:p w14:paraId="60D42495" w14:textId="50B4D254" w:rsidR="006F472F" w:rsidRPr="006F472F" w:rsidRDefault="00756C3A" w:rsidP="009739E1">
      <w:pPr>
        <w:pStyle w:val="Reference"/>
      </w:pPr>
      <w:r>
        <w:t>—— </w:t>
      </w:r>
      <w:r w:rsidR="006F472F" w:rsidRPr="006F472F">
        <w:t xml:space="preserve">2016a, </w:t>
      </w:r>
      <w:r w:rsidR="006F472F" w:rsidRPr="006F472F">
        <w:rPr>
          <w:i/>
          <w:iCs/>
        </w:rPr>
        <w:t>My School</w:t>
      </w:r>
      <w:r w:rsidR="006F472F" w:rsidRPr="006F472F">
        <w:t>, www.education.gov.au/my-school (accessed 11</w:t>
      </w:r>
      <w:r w:rsidR="0084192C">
        <w:t> </w:t>
      </w:r>
      <w:r w:rsidR="006F472F" w:rsidRPr="006F472F">
        <w:t>January 2017).</w:t>
      </w:r>
    </w:p>
    <w:p w14:paraId="458C5C58" w14:textId="71800ED7" w:rsidR="006F472F" w:rsidRPr="006F472F" w:rsidRDefault="00756C3A" w:rsidP="009739E1">
      <w:pPr>
        <w:pStyle w:val="Reference"/>
      </w:pPr>
      <w:r>
        <w:t>—— </w:t>
      </w:r>
      <w:r w:rsidR="006F472F" w:rsidRPr="006F472F">
        <w:t xml:space="preserve">2016b, </w:t>
      </w:r>
      <w:r w:rsidR="006F472F" w:rsidRPr="006F472F">
        <w:rPr>
          <w:i/>
          <w:iCs/>
        </w:rPr>
        <w:t>MyChild</w:t>
      </w:r>
      <w:r w:rsidR="006F472F" w:rsidRPr="006F472F">
        <w:t>, www.education.gov.au/mychild (accessed 11</w:t>
      </w:r>
      <w:r w:rsidR="0084192C">
        <w:t> </w:t>
      </w:r>
      <w:r w:rsidR="006F472F" w:rsidRPr="006F472F">
        <w:t>January 2017).</w:t>
      </w:r>
    </w:p>
    <w:p w14:paraId="34BF6B3E" w14:textId="77777777" w:rsidR="006F472F" w:rsidRPr="006F472F" w:rsidRDefault="006F472F" w:rsidP="009739E1">
      <w:pPr>
        <w:pStyle w:val="Reference"/>
      </w:pPr>
      <w:r w:rsidRPr="006F472F">
        <w:t xml:space="preserve">Dixon, A., Robertson, R., Appleby, J., Burge, P., Devlin, N. and Magee, H. 2010, </w:t>
      </w:r>
      <w:r w:rsidRPr="006F472F">
        <w:rPr>
          <w:i/>
          <w:iCs/>
        </w:rPr>
        <w:t>Patient choice</w:t>
      </w:r>
      <w:r w:rsidRPr="006F472F">
        <w:t>, Picker Institute Europe; The Office of Health Economics; RAND Europe (funded by the Kings Fund).</w:t>
      </w:r>
    </w:p>
    <w:p w14:paraId="2E820A1B" w14:textId="0F43E668" w:rsidR="006F472F" w:rsidRPr="006F472F" w:rsidRDefault="006F472F" w:rsidP="009739E1">
      <w:pPr>
        <w:pStyle w:val="Reference"/>
      </w:pPr>
      <w:r w:rsidRPr="006F472F">
        <w:t xml:space="preserve">DoF (Department of Finance) 2016, </w:t>
      </w:r>
      <w:r w:rsidRPr="006F472F">
        <w:rPr>
          <w:i/>
          <w:iCs/>
        </w:rPr>
        <w:t xml:space="preserve">Resource Management Guide No. 130: Overview of the </w:t>
      </w:r>
      <w:r w:rsidR="0035178C">
        <w:rPr>
          <w:i/>
          <w:iCs/>
        </w:rPr>
        <w:t>Enhanced Commonwealth Performance F</w:t>
      </w:r>
      <w:r w:rsidRPr="006F472F">
        <w:rPr>
          <w:i/>
          <w:iCs/>
        </w:rPr>
        <w:t>ramework</w:t>
      </w:r>
      <w:r w:rsidRPr="006F472F">
        <w:t>, July.</w:t>
      </w:r>
    </w:p>
    <w:p w14:paraId="4DCA8CD1" w14:textId="77777777" w:rsidR="006F472F" w:rsidRPr="006F472F" w:rsidRDefault="006F472F" w:rsidP="009739E1">
      <w:pPr>
        <w:pStyle w:val="Reference"/>
      </w:pPr>
      <w:r w:rsidRPr="006F472F">
        <w:t xml:space="preserve">DoH (Department of Health) 2016a, </w:t>
      </w:r>
      <w:r w:rsidRPr="006F472F">
        <w:rPr>
          <w:i/>
          <w:iCs/>
        </w:rPr>
        <w:t>Annual Medicare Statistics</w:t>
      </w:r>
      <w:r w:rsidRPr="006F472F">
        <w:t>, August.</w:t>
      </w:r>
    </w:p>
    <w:p w14:paraId="6E89140D" w14:textId="63C10BF4" w:rsidR="006F472F" w:rsidRPr="006F472F" w:rsidRDefault="00756C3A" w:rsidP="009739E1">
      <w:pPr>
        <w:pStyle w:val="Reference"/>
      </w:pPr>
      <w:r>
        <w:t>—— </w:t>
      </w:r>
      <w:r w:rsidR="006F472F" w:rsidRPr="006F472F">
        <w:t xml:space="preserve">2016b, </w:t>
      </w:r>
      <w:r w:rsidR="006F472F" w:rsidRPr="006F472F">
        <w:rPr>
          <w:i/>
          <w:iCs/>
        </w:rPr>
        <w:t>Consultation Paper: Redesigning the Practice Incentives Program</w:t>
      </w:r>
      <w:r w:rsidR="006F472F" w:rsidRPr="006F472F">
        <w:t>.</w:t>
      </w:r>
    </w:p>
    <w:p w14:paraId="1BD326AB" w14:textId="43DBEDC4" w:rsidR="006F472F" w:rsidRPr="006F472F" w:rsidRDefault="0035178C" w:rsidP="009739E1">
      <w:pPr>
        <w:pStyle w:val="Reference"/>
      </w:pPr>
      <w:r>
        <w:t xml:space="preserve">Dunleavy, P. 2016, </w:t>
      </w:r>
      <w:r w:rsidR="006F472F" w:rsidRPr="006F472F">
        <w:t xml:space="preserve">Public </w:t>
      </w:r>
      <w:r>
        <w:t>s</w:t>
      </w:r>
      <w:r w:rsidR="006F472F" w:rsidRPr="006F472F">
        <w:t xml:space="preserve">ector </w:t>
      </w:r>
      <w:r>
        <w:t>p</w:t>
      </w:r>
      <w:r w:rsidR="006F472F" w:rsidRPr="006F472F">
        <w:t>roductivity: Measurement challenges, performance information</w:t>
      </w:r>
      <w:r>
        <w:t>, and prospects for improvement</w:t>
      </w:r>
      <w:r w:rsidR="006F472F" w:rsidRPr="006F472F">
        <w:t>, presented at The 12th Annual Meeting of the OECD Senior Budget Officials Performance and Results Network, Paris, November.</w:t>
      </w:r>
    </w:p>
    <w:p w14:paraId="0E7F2FFD" w14:textId="4FE42C1B" w:rsidR="006F472F" w:rsidRPr="006F472F" w:rsidRDefault="006F472F" w:rsidP="009739E1">
      <w:pPr>
        <w:pStyle w:val="Reference"/>
      </w:pPr>
      <w:r w:rsidRPr="006F472F">
        <w:t xml:space="preserve">Edmiston, D. and Nicholls, A. 2017, ‘Social </w:t>
      </w:r>
      <w:r w:rsidR="0035178C">
        <w:t>i</w:t>
      </w:r>
      <w:r w:rsidRPr="006F472F">
        <w:t xml:space="preserve">mpact </w:t>
      </w:r>
      <w:r w:rsidR="0035178C">
        <w:t>b</w:t>
      </w:r>
      <w:r w:rsidRPr="006F472F">
        <w:t xml:space="preserve">onds: The </w:t>
      </w:r>
      <w:r w:rsidR="0035178C">
        <w:t>r</w:t>
      </w:r>
      <w:r w:rsidRPr="006F472F">
        <w:t xml:space="preserve">ole of </w:t>
      </w:r>
      <w:r w:rsidR="0035178C">
        <w:t>p</w:t>
      </w:r>
      <w:r w:rsidRPr="006F472F">
        <w:t xml:space="preserve">rivate </w:t>
      </w:r>
      <w:r w:rsidR="0035178C">
        <w:t>c</w:t>
      </w:r>
      <w:r w:rsidRPr="006F472F">
        <w:t xml:space="preserve">apital in </w:t>
      </w:r>
      <w:r w:rsidR="0035178C">
        <w:t>o</w:t>
      </w:r>
      <w:r w:rsidRPr="006F472F">
        <w:t>utcome</w:t>
      </w:r>
      <w:r w:rsidR="0084192C">
        <w:noBreakHyphen/>
      </w:r>
      <w:r w:rsidR="0035178C">
        <w:t>b</w:t>
      </w:r>
      <w:r w:rsidRPr="006F472F">
        <w:t xml:space="preserve">ased </w:t>
      </w:r>
      <w:r w:rsidR="0035178C">
        <w:t>c</w:t>
      </w:r>
      <w:r w:rsidRPr="006F472F">
        <w:t xml:space="preserve">ommissioning’, </w:t>
      </w:r>
      <w:r w:rsidRPr="006F472F">
        <w:rPr>
          <w:i/>
          <w:iCs/>
        </w:rPr>
        <w:t>Journal of Social Policy</w:t>
      </w:r>
      <w:r w:rsidRPr="006F472F">
        <w:t>, pp. 1–20.</w:t>
      </w:r>
    </w:p>
    <w:p w14:paraId="4060A36C" w14:textId="58D5E68B" w:rsidR="006F472F" w:rsidRPr="006F472F" w:rsidRDefault="006F472F" w:rsidP="009739E1">
      <w:pPr>
        <w:pStyle w:val="Reference"/>
      </w:pPr>
      <w:r w:rsidRPr="006F472F">
        <w:t>Faber, M., Bosch, M., Wollersheim, H., Leatherman, S. and Grol, R. 2009, ‘Public reporting in health care: how do consumers use quality</w:t>
      </w:r>
      <w:r w:rsidR="0084192C">
        <w:noBreakHyphen/>
      </w:r>
      <w:r w:rsidRPr="006F472F">
        <w:t>of</w:t>
      </w:r>
      <w:r w:rsidR="0084192C">
        <w:noBreakHyphen/>
      </w:r>
      <w:r w:rsidRPr="006F472F">
        <w:t xml:space="preserve">care information? A systematic review’, </w:t>
      </w:r>
      <w:r w:rsidRPr="006F472F">
        <w:rPr>
          <w:i/>
          <w:iCs/>
        </w:rPr>
        <w:t>Medical Care</w:t>
      </w:r>
      <w:r w:rsidRPr="006F472F">
        <w:t>, vol. 47, no. 1, pp. 1–8.</w:t>
      </w:r>
    </w:p>
    <w:p w14:paraId="566A4E02" w14:textId="5CA6A2B6" w:rsidR="006F472F" w:rsidRPr="006F472F" w:rsidRDefault="006F472F" w:rsidP="009739E1">
      <w:pPr>
        <w:pStyle w:val="Reference"/>
      </w:pPr>
      <w:r w:rsidRPr="006F472F">
        <w:t xml:space="preserve">FMRC (Family Medicine Research Centre) 2016a, </w:t>
      </w:r>
      <w:r w:rsidRPr="0035178C">
        <w:rPr>
          <w:iCs/>
        </w:rPr>
        <w:t>Closur</w:t>
      </w:r>
      <w:r w:rsidR="0035178C">
        <w:rPr>
          <w:iCs/>
        </w:rPr>
        <w:t>e of the BEACH program after 18 </w:t>
      </w:r>
      <w:r w:rsidRPr="0035178C">
        <w:rPr>
          <w:iCs/>
        </w:rPr>
        <w:t>years</w:t>
      </w:r>
      <w:r w:rsidRPr="006F472F">
        <w:t>, Media statement, www.sydney.edu.au/medicine/fmrc/media/BEACH-closure-2016-04.php (accessed 1</w:t>
      </w:r>
      <w:r w:rsidR="0084192C">
        <w:t> </w:t>
      </w:r>
      <w:r w:rsidRPr="006F472F">
        <w:t>December 2016).</w:t>
      </w:r>
    </w:p>
    <w:p w14:paraId="473F9285" w14:textId="7B666758" w:rsidR="006F472F" w:rsidRPr="006F472F" w:rsidRDefault="00756C3A" w:rsidP="009739E1">
      <w:pPr>
        <w:pStyle w:val="Reference"/>
      </w:pPr>
      <w:r>
        <w:t>—— </w:t>
      </w:r>
      <w:r w:rsidR="006F472F" w:rsidRPr="006F472F">
        <w:t xml:space="preserve">2016b, </w:t>
      </w:r>
      <w:r w:rsidR="006F472F" w:rsidRPr="006F472F">
        <w:rPr>
          <w:i/>
          <w:iCs/>
        </w:rPr>
        <w:t>General Practice Activity in Australia 2015</w:t>
      </w:r>
      <w:r w:rsidR="0084192C">
        <w:rPr>
          <w:i/>
          <w:iCs/>
        </w:rPr>
        <w:noBreakHyphen/>
      </w:r>
      <w:r w:rsidR="006F472F" w:rsidRPr="006F472F">
        <w:rPr>
          <w:i/>
          <w:iCs/>
        </w:rPr>
        <w:t>16</w:t>
      </w:r>
      <w:r w:rsidR="006F472F" w:rsidRPr="006F472F">
        <w:t>, September, University of Sydney.</w:t>
      </w:r>
    </w:p>
    <w:p w14:paraId="6CE4D274" w14:textId="28C54836" w:rsidR="006F472F" w:rsidRPr="006F472F" w:rsidRDefault="006F472F" w:rsidP="009739E1">
      <w:pPr>
        <w:pStyle w:val="Reference"/>
      </w:pPr>
      <w:r w:rsidRPr="006F472F">
        <w:t xml:space="preserve">Freed, G. and Allen, A. 2017, ‘Variation in </w:t>
      </w:r>
      <w:r w:rsidR="0035178C">
        <w:t>o</w:t>
      </w:r>
      <w:r w:rsidRPr="006F472F">
        <w:t xml:space="preserve">utpatient </w:t>
      </w:r>
      <w:r w:rsidR="0035178C">
        <w:t>c</w:t>
      </w:r>
      <w:r w:rsidRPr="006F472F">
        <w:t xml:space="preserve">onsultant </w:t>
      </w:r>
      <w:r w:rsidR="0035178C">
        <w:t>p</w:t>
      </w:r>
      <w:r w:rsidRPr="006F472F">
        <w:t xml:space="preserve">hysician </w:t>
      </w:r>
      <w:r w:rsidR="0035178C">
        <w:t>f</w:t>
      </w:r>
      <w:r w:rsidRPr="006F472F">
        <w:t xml:space="preserve">ees in Australia by </w:t>
      </w:r>
      <w:r w:rsidR="0035178C">
        <w:t>s</w:t>
      </w:r>
      <w:r w:rsidRPr="006F472F">
        <w:t xml:space="preserve">pecialty and State and Territory’, </w:t>
      </w:r>
      <w:r w:rsidRPr="006F472F">
        <w:rPr>
          <w:i/>
          <w:iCs/>
        </w:rPr>
        <w:t>Medical Journal of Australia</w:t>
      </w:r>
      <w:r w:rsidRPr="006F472F">
        <w:t>, vol. 206, no. 4.</w:t>
      </w:r>
    </w:p>
    <w:p w14:paraId="216A99B0" w14:textId="11DDD52C" w:rsidR="006F472F" w:rsidRPr="006F472F" w:rsidRDefault="006F472F" w:rsidP="009739E1">
      <w:pPr>
        <w:pStyle w:val="Reference"/>
      </w:pPr>
      <w:r w:rsidRPr="006F472F">
        <w:t xml:space="preserve">Fung, C., Lim, Y., Mattke, S., Damberg, C. and Shekelle, P. 2008, ‘Systematic </w:t>
      </w:r>
      <w:r w:rsidR="0035178C">
        <w:t>r</w:t>
      </w:r>
      <w:r w:rsidRPr="006F472F">
        <w:t xml:space="preserve">eview: The </w:t>
      </w:r>
      <w:r w:rsidR="0035178C">
        <w:t>e</w:t>
      </w:r>
      <w:r w:rsidRPr="006F472F">
        <w:t xml:space="preserve">vidence that </w:t>
      </w:r>
      <w:r w:rsidR="0035178C">
        <w:t>p</w:t>
      </w:r>
      <w:r w:rsidRPr="006F472F">
        <w:t xml:space="preserve">ublishing </w:t>
      </w:r>
      <w:r w:rsidR="0035178C">
        <w:t>p</w:t>
      </w:r>
      <w:r w:rsidRPr="006F472F">
        <w:t xml:space="preserve">atient </w:t>
      </w:r>
      <w:r w:rsidR="0035178C">
        <w:t>c</w:t>
      </w:r>
      <w:r w:rsidRPr="006F472F">
        <w:t xml:space="preserve">are </w:t>
      </w:r>
      <w:r w:rsidR="0035178C">
        <w:t>p</w:t>
      </w:r>
      <w:r w:rsidRPr="006F472F">
        <w:t xml:space="preserve">erformance </w:t>
      </w:r>
      <w:r w:rsidR="0035178C">
        <w:t>d</w:t>
      </w:r>
      <w:r w:rsidRPr="006F472F">
        <w:t xml:space="preserve">ata </w:t>
      </w:r>
      <w:r w:rsidR="0035178C">
        <w:t>i</w:t>
      </w:r>
      <w:r w:rsidRPr="006F472F">
        <w:t xml:space="preserve">mproves </w:t>
      </w:r>
      <w:r w:rsidR="0035178C">
        <w:t>q</w:t>
      </w:r>
      <w:r w:rsidRPr="006F472F">
        <w:t xml:space="preserve">uality of </w:t>
      </w:r>
      <w:r w:rsidR="0035178C">
        <w:t>c</w:t>
      </w:r>
      <w:r w:rsidRPr="006F472F">
        <w:t xml:space="preserve">are’, </w:t>
      </w:r>
      <w:r w:rsidRPr="006F472F">
        <w:rPr>
          <w:i/>
          <w:iCs/>
        </w:rPr>
        <w:t>Annals of Internal Medicine</w:t>
      </w:r>
      <w:r w:rsidRPr="006F472F">
        <w:t>, vol. 148, no. 2, pp. 111–123.</w:t>
      </w:r>
    </w:p>
    <w:p w14:paraId="1196BDFF" w14:textId="086D95AB" w:rsidR="006F472F" w:rsidRPr="006F472F" w:rsidRDefault="006F472F" w:rsidP="009739E1">
      <w:pPr>
        <w:pStyle w:val="Reference"/>
      </w:pPr>
      <w:r w:rsidRPr="006F472F">
        <w:t>Ge</w:t>
      </w:r>
      <w:r w:rsidR="0035178C">
        <w:t xml:space="preserve">e, C. 2016, </w:t>
      </w:r>
      <w:r w:rsidRPr="006F472F">
        <w:t>Pay</w:t>
      </w:r>
      <w:r w:rsidR="0084192C">
        <w:noBreakHyphen/>
      </w:r>
      <w:r w:rsidRPr="006F472F">
        <w:t>for</w:t>
      </w:r>
      <w:r w:rsidR="0084192C">
        <w:noBreakHyphen/>
      </w:r>
      <w:r w:rsidRPr="006F472F">
        <w:t>per</w:t>
      </w:r>
      <w:r w:rsidR="0035178C">
        <w:t>formance: Lessons for Australia</w:t>
      </w:r>
      <w:r w:rsidRPr="006F472F">
        <w:t xml:space="preserve">, presented at the </w:t>
      </w:r>
      <w:r w:rsidRPr="006F472F">
        <w:rPr>
          <w:i/>
          <w:iCs/>
        </w:rPr>
        <w:t>The Royal Australasian College of Medical Administrators Conference, 12</w:t>
      </w:r>
      <w:r w:rsidR="0084192C">
        <w:rPr>
          <w:i/>
          <w:iCs/>
        </w:rPr>
        <w:noBreakHyphen/>
      </w:r>
      <w:r w:rsidRPr="006F472F">
        <w:rPr>
          <w:i/>
          <w:iCs/>
        </w:rPr>
        <w:t>14 October</w:t>
      </w:r>
      <w:r w:rsidRPr="006F472F">
        <w:t>, The Royal Australasian College of Medical Administrators.</w:t>
      </w:r>
    </w:p>
    <w:p w14:paraId="5F0396EF" w14:textId="6EB536CC" w:rsidR="006F472F" w:rsidRPr="006F472F" w:rsidRDefault="006F472F" w:rsidP="009739E1">
      <w:pPr>
        <w:pStyle w:val="Reference"/>
      </w:pPr>
      <w:r w:rsidRPr="006F472F">
        <w:t xml:space="preserve">Harding, A., Sanders, F., Lara, A., van Teijlingen, E., Wood, C., Galpin, D., Baron, S., Crowe, S. and Sharma, S. 2014, ‘Patient choice for older people in English NHS primary care: Theory and practice’, </w:t>
      </w:r>
      <w:r w:rsidRPr="006F472F">
        <w:rPr>
          <w:i/>
          <w:iCs/>
        </w:rPr>
        <w:t>ISRN Family Medicine</w:t>
      </w:r>
      <w:r w:rsidRPr="006F472F">
        <w:t>, vol. 2014.</w:t>
      </w:r>
    </w:p>
    <w:p w14:paraId="27C22A9D" w14:textId="77777777" w:rsidR="006F472F" w:rsidRPr="006F472F" w:rsidRDefault="006F472F" w:rsidP="009739E1">
      <w:pPr>
        <w:pStyle w:val="Reference"/>
      </w:pPr>
      <w:r w:rsidRPr="006F472F">
        <w:t xml:space="preserve">Hativa, N. 2014, </w:t>
      </w:r>
      <w:r w:rsidRPr="006F472F">
        <w:rPr>
          <w:i/>
          <w:iCs/>
        </w:rPr>
        <w:t>Student Ratings of Instruction: Recognizing Effective Teaching</w:t>
      </w:r>
      <w:r w:rsidRPr="006F472F">
        <w:t>, 2nd edn, Oron Publications.</w:t>
      </w:r>
    </w:p>
    <w:p w14:paraId="5EE99011" w14:textId="39041590" w:rsidR="006F472F" w:rsidRPr="006F472F" w:rsidRDefault="006F472F" w:rsidP="009739E1">
      <w:pPr>
        <w:pStyle w:val="Reference"/>
      </w:pPr>
      <w:r w:rsidRPr="006F472F">
        <w:t xml:space="preserve">Haugen, A., Søfteland, E., Almeland, S., Sevdalis, N., Vonen, B., Eide, G., Nortvedt, M. and Harthug, S. 2015, ‘Effect of the World Health Organization </w:t>
      </w:r>
      <w:r w:rsidR="0035178C">
        <w:t>c</w:t>
      </w:r>
      <w:r w:rsidRPr="006F472F">
        <w:t xml:space="preserve">hecklist on </w:t>
      </w:r>
      <w:r w:rsidR="0035178C">
        <w:t>p</w:t>
      </w:r>
      <w:r w:rsidRPr="006F472F">
        <w:t xml:space="preserve">atient </w:t>
      </w:r>
      <w:r w:rsidR="0035178C">
        <w:t>o</w:t>
      </w:r>
      <w:r w:rsidRPr="006F472F">
        <w:t xml:space="preserve">utcomes: A Stepped Wedge Cluster Randomized Controlled Trial’, </w:t>
      </w:r>
      <w:r w:rsidRPr="006F472F">
        <w:rPr>
          <w:i/>
          <w:iCs/>
        </w:rPr>
        <w:t>Annals of Surgery</w:t>
      </w:r>
      <w:r w:rsidRPr="006F472F">
        <w:t>, vol. 261, no. 5.</w:t>
      </w:r>
    </w:p>
    <w:p w14:paraId="4148BD82" w14:textId="38C9E59F" w:rsidR="006F472F" w:rsidRPr="006F472F" w:rsidRDefault="006F472F" w:rsidP="009739E1">
      <w:pPr>
        <w:pStyle w:val="Reference"/>
      </w:pPr>
      <w:r w:rsidRPr="006F472F">
        <w:t xml:space="preserve">Herkes, R. 2016, ‘Developing a set of hospital acquired complications: </w:t>
      </w:r>
      <w:r w:rsidR="0084192C">
        <w:noBreakHyphen/>
      </w:r>
      <w:r w:rsidRPr="006F472F">
        <w:t xml:space="preserve"> what’s that got to do with</w:t>
      </w:r>
      <w:r w:rsidR="0084192C">
        <w:t xml:space="preserve"> </w:t>
      </w:r>
      <w:r w:rsidRPr="006F472F">
        <w:t xml:space="preserve">Activity Based Funding?’, presented at the </w:t>
      </w:r>
      <w:r w:rsidRPr="006F472F">
        <w:rPr>
          <w:i/>
          <w:iCs/>
        </w:rPr>
        <w:t>Developing a List of Hospital Acquired Complications</w:t>
      </w:r>
      <w:r w:rsidRPr="006F472F">
        <w:t>, Brisbane, 9 May.</w:t>
      </w:r>
    </w:p>
    <w:p w14:paraId="1E9AFC32" w14:textId="0E11A8B6" w:rsidR="006F472F" w:rsidRPr="006F472F" w:rsidRDefault="006F472F" w:rsidP="009739E1">
      <w:pPr>
        <w:pStyle w:val="Reference"/>
      </w:pPr>
      <w:r w:rsidRPr="006F472F">
        <w:t xml:space="preserve">Hillis, D., Watters, D.A., Malisano, L., Bailey, N. and Rankin, D. 2017, ‘Variation in the costs of surgery: seeking value’, </w:t>
      </w:r>
      <w:r w:rsidRPr="006F472F">
        <w:rPr>
          <w:i/>
          <w:iCs/>
        </w:rPr>
        <w:t>Medical Journal of Australia</w:t>
      </w:r>
      <w:r w:rsidRPr="006F472F">
        <w:t>, vol. 206, no. 4.</w:t>
      </w:r>
    </w:p>
    <w:p w14:paraId="3AC9C715" w14:textId="744AD04F" w:rsidR="006F472F" w:rsidRPr="006F472F" w:rsidRDefault="006F472F" w:rsidP="009739E1">
      <w:pPr>
        <w:pStyle w:val="Reference"/>
      </w:pPr>
      <w:r w:rsidRPr="006F472F">
        <w:t xml:space="preserve">HQSCNZ (Health Quality and Safety Commission New Zealand) 2016, </w:t>
      </w:r>
      <w:r w:rsidR="00A17A7E">
        <w:rPr>
          <w:i/>
          <w:iCs/>
        </w:rPr>
        <w:t>Position paper on the Transparency of Information Related to Health Care I</w:t>
      </w:r>
      <w:r w:rsidRPr="006F472F">
        <w:rPr>
          <w:i/>
          <w:iCs/>
        </w:rPr>
        <w:t>nterventions</w:t>
      </w:r>
      <w:r w:rsidRPr="006F472F">
        <w:t>, Position paper, March, Wellington, New Zealand.</w:t>
      </w:r>
    </w:p>
    <w:p w14:paraId="69E73DF4" w14:textId="417213D7" w:rsidR="006F472F" w:rsidRPr="006F472F" w:rsidRDefault="006F472F" w:rsidP="009739E1">
      <w:pPr>
        <w:pStyle w:val="Reference"/>
      </w:pPr>
      <w:r w:rsidRPr="006F472F">
        <w:t xml:space="preserve">IHPA (Independent Hospital Pricing Authority) 2016, </w:t>
      </w:r>
      <w:r w:rsidRPr="006F472F">
        <w:rPr>
          <w:i/>
          <w:iCs/>
        </w:rPr>
        <w:t>Consultation Paper on the Pricing Framework for Australian Public Hospital Services 2017</w:t>
      </w:r>
      <w:r w:rsidR="0084192C">
        <w:rPr>
          <w:i/>
          <w:iCs/>
        </w:rPr>
        <w:noBreakHyphen/>
      </w:r>
      <w:r w:rsidRPr="006F472F">
        <w:rPr>
          <w:i/>
          <w:iCs/>
        </w:rPr>
        <w:t>18</w:t>
      </w:r>
      <w:r w:rsidRPr="006F472F">
        <w:t>, September.</w:t>
      </w:r>
    </w:p>
    <w:p w14:paraId="6740A4DC" w14:textId="3FF16A80" w:rsidR="006F472F" w:rsidRPr="006F472F" w:rsidRDefault="006F472F" w:rsidP="009739E1">
      <w:pPr>
        <w:pStyle w:val="Reference"/>
      </w:pPr>
      <w:r w:rsidRPr="006F472F">
        <w:t xml:space="preserve">Ingvarson, L., Kleinhenz, E. and Wilkinson, J. 2007, </w:t>
      </w:r>
      <w:r w:rsidR="00A17A7E">
        <w:rPr>
          <w:i/>
          <w:iCs/>
        </w:rPr>
        <w:t>Research on Performance Pay for T</w:t>
      </w:r>
      <w:r w:rsidRPr="006F472F">
        <w:rPr>
          <w:i/>
          <w:iCs/>
        </w:rPr>
        <w:t>eachers</w:t>
      </w:r>
      <w:r w:rsidRPr="006F472F">
        <w:t>, 3–2007, Teaching and Leadership Research Program, Australian Council for Educational Research.</w:t>
      </w:r>
    </w:p>
    <w:p w14:paraId="3601895A" w14:textId="20786AF2" w:rsidR="006F472F" w:rsidRPr="006F472F" w:rsidRDefault="006F472F" w:rsidP="009739E1">
      <w:pPr>
        <w:pStyle w:val="Reference"/>
      </w:pPr>
      <w:r w:rsidRPr="006F472F">
        <w:t xml:space="preserve">Jensen, B. and Reichl, J. 2011, </w:t>
      </w:r>
      <w:r w:rsidR="00A17A7E">
        <w:rPr>
          <w:i/>
          <w:iCs/>
        </w:rPr>
        <w:t>Better Teacher Appraisal and Feedback: Improving P</w:t>
      </w:r>
      <w:r w:rsidRPr="006F472F">
        <w:rPr>
          <w:i/>
          <w:iCs/>
        </w:rPr>
        <w:t>erformance</w:t>
      </w:r>
      <w:r w:rsidRPr="006F472F">
        <w:t>, Grattan Institute.</w:t>
      </w:r>
    </w:p>
    <w:p w14:paraId="73FF1E14" w14:textId="27941C53" w:rsidR="006F472F" w:rsidRPr="006F472F" w:rsidRDefault="006F472F" w:rsidP="009739E1">
      <w:pPr>
        <w:pStyle w:val="Reference"/>
      </w:pPr>
      <w:r w:rsidRPr="006F472F">
        <w:t xml:space="preserve">Jones, L. and Mays, N. 2009, </w:t>
      </w:r>
      <w:r w:rsidR="00A17A7E">
        <w:rPr>
          <w:i/>
          <w:iCs/>
        </w:rPr>
        <w:t>Systematic Review of the Impact of Patient Choice of P</w:t>
      </w:r>
      <w:r w:rsidRPr="006F472F">
        <w:rPr>
          <w:i/>
          <w:iCs/>
        </w:rPr>
        <w:t>rovider in the English NHS</w:t>
      </w:r>
      <w:r w:rsidRPr="006F472F">
        <w:t>, London School of</w:t>
      </w:r>
      <w:r w:rsidR="0084192C">
        <w:t xml:space="preserve"> </w:t>
      </w:r>
      <w:r w:rsidRPr="006F472F">
        <w:t>Hygiene and Tropical Medicine, United Kingdom.</w:t>
      </w:r>
    </w:p>
    <w:p w14:paraId="1D31E40C" w14:textId="77777777" w:rsidR="006F472F" w:rsidRPr="006F472F" w:rsidRDefault="006F472F" w:rsidP="009739E1">
      <w:pPr>
        <w:pStyle w:val="Reference"/>
      </w:pPr>
      <w:r w:rsidRPr="006F472F">
        <w:t xml:space="preserve">Kelly, M. 2012, </w:t>
      </w:r>
      <w:r w:rsidRPr="006F472F">
        <w:rPr>
          <w:i/>
          <w:iCs/>
        </w:rPr>
        <w:t>Student Evaluations of Teaching Effectiveness: Considerations for Ontario Universities</w:t>
      </w:r>
      <w:r w:rsidRPr="006F472F">
        <w:t>, Wilfrid Laurier University, Waterloo, Ontario.</w:t>
      </w:r>
    </w:p>
    <w:p w14:paraId="1E0660BA" w14:textId="3132C368" w:rsidR="006F472F" w:rsidRPr="006F472F" w:rsidRDefault="006F472F" w:rsidP="009739E1">
      <w:pPr>
        <w:pStyle w:val="Reference"/>
      </w:pPr>
      <w:r w:rsidRPr="006F472F">
        <w:t>Ketelaar, N., Faber, M., Flottorp, S., Rygh, L.</w:t>
      </w:r>
      <w:r w:rsidR="00247AA4">
        <w:t>, Deane, K</w:t>
      </w:r>
      <w:r w:rsidRPr="006F472F">
        <w:t xml:space="preserve">. and Eccles, M. 2011, ‘Public release of performance data in changing the behaviour of healthcare consumers, professionals or organisations’, </w:t>
      </w:r>
      <w:r w:rsidRPr="006F472F">
        <w:rPr>
          <w:i/>
          <w:iCs/>
        </w:rPr>
        <w:t>Cochrane Database of Systematic Reviews</w:t>
      </w:r>
      <w:r w:rsidRPr="006F472F">
        <w:t>, issue 11,</w:t>
      </w:r>
      <w:r w:rsidR="0084192C">
        <w:t xml:space="preserve"> </w:t>
      </w:r>
      <w:r w:rsidRPr="006F472F">
        <w:t>no. CD004538.</w:t>
      </w:r>
    </w:p>
    <w:p w14:paraId="75B9742B" w14:textId="2235DC86" w:rsidR="006F472F" w:rsidRPr="006F472F" w:rsidRDefault="006F472F" w:rsidP="009739E1">
      <w:pPr>
        <w:pStyle w:val="Reference"/>
      </w:pPr>
      <w:r w:rsidRPr="006F472F">
        <w:t xml:space="preserve">Kim, H. and Lalancette, D. 2013, </w:t>
      </w:r>
      <w:r w:rsidRPr="006F472F">
        <w:rPr>
          <w:i/>
          <w:iCs/>
        </w:rPr>
        <w:t>Literature Review on the Value</w:t>
      </w:r>
      <w:r w:rsidR="0084192C">
        <w:rPr>
          <w:i/>
          <w:iCs/>
        </w:rPr>
        <w:noBreakHyphen/>
      </w:r>
      <w:r w:rsidRPr="006F472F">
        <w:rPr>
          <w:i/>
          <w:iCs/>
        </w:rPr>
        <w:t>Added Measurement in Higher Education</w:t>
      </w:r>
      <w:r w:rsidRPr="006F472F">
        <w:t>, Organisation for Economic Co</w:t>
      </w:r>
      <w:r w:rsidR="0084192C">
        <w:noBreakHyphen/>
      </w:r>
      <w:r w:rsidRPr="006F472F">
        <w:t>operation and Development.</w:t>
      </w:r>
    </w:p>
    <w:p w14:paraId="66AA8317" w14:textId="1B1319F4" w:rsidR="006F472F" w:rsidRPr="006F472F" w:rsidRDefault="006F472F" w:rsidP="009739E1">
      <w:pPr>
        <w:pStyle w:val="Reference"/>
      </w:pPr>
      <w:r w:rsidRPr="006F472F">
        <w:t xml:space="preserve">Kornell, N. and Hausman, H. 2016, ‘Do the </w:t>
      </w:r>
      <w:r w:rsidR="00A17A7E">
        <w:t>b</w:t>
      </w:r>
      <w:r w:rsidRPr="006F472F">
        <w:t xml:space="preserve">est </w:t>
      </w:r>
      <w:r w:rsidR="00A17A7E">
        <w:t>t</w:t>
      </w:r>
      <w:r w:rsidRPr="006F472F">
        <w:t xml:space="preserve">eachers </w:t>
      </w:r>
      <w:r w:rsidR="00A17A7E">
        <w:t>g</w:t>
      </w:r>
      <w:r w:rsidRPr="006F472F">
        <w:t xml:space="preserve">et the </w:t>
      </w:r>
      <w:r w:rsidR="00A17A7E">
        <w:t>b</w:t>
      </w:r>
      <w:r w:rsidRPr="006F472F">
        <w:t xml:space="preserve">est </w:t>
      </w:r>
      <w:r w:rsidR="00A17A7E">
        <w:t>r</w:t>
      </w:r>
      <w:r w:rsidRPr="006F472F">
        <w:t xml:space="preserve">atings?’, </w:t>
      </w:r>
      <w:r w:rsidRPr="006F472F">
        <w:rPr>
          <w:i/>
          <w:iCs/>
        </w:rPr>
        <w:t>Frontiers in Psychology</w:t>
      </w:r>
      <w:r w:rsidRPr="006F472F">
        <w:t>, vol. 7.</w:t>
      </w:r>
    </w:p>
    <w:p w14:paraId="3673F1BB" w14:textId="7501BF8C" w:rsidR="006F472F" w:rsidRPr="006F472F" w:rsidRDefault="006F472F" w:rsidP="009739E1">
      <w:pPr>
        <w:pStyle w:val="Reference"/>
      </w:pPr>
      <w:r w:rsidRPr="006F472F">
        <w:t xml:space="preserve">Leigh, A. 2013, ‘The </w:t>
      </w:r>
      <w:r w:rsidR="00A17A7E">
        <w:t>e</w:t>
      </w:r>
      <w:r w:rsidRPr="006F472F">
        <w:t xml:space="preserve">conomics and </w:t>
      </w:r>
      <w:r w:rsidR="00A17A7E">
        <w:t>p</w:t>
      </w:r>
      <w:r w:rsidRPr="006F472F">
        <w:t xml:space="preserve">olitics of </w:t>
      </w:r>
      <w:r w:rsidR="00A17A7E">
        <w:t>t</w:t>
      </w:r>
      <w:r w:rsidRPr="006F472F">
        <w:t xml:space="preserve">eacher </w:t>
      </w:r>
      <w:r w:rsidR="00A17A7E">
        <w:t>m</w:t>
      </w:r>
      <w:r w:rsidRPr="006F472F">
        <w:t xml:space="preserve">erit </w:t>
      </w:r>
      <w:r w:rsidR="00A17A7E">
        <w:t>p</w:t>
      </w:r>
      <w:r w:rsidRPr="006F472F">
        <w:t xml:space="preserve">ay’, </w:t>
      </w:r>
      <w:r w:rsidRPr="006F472F">
        <w:rPr>
          <w:i/>
          <w:iCs/>
        </w:rPr>
        <w:t>CESifo Economic Studies</w:t>
      </w:r>
      <w:r w:rsidRPr="006F472F">
        <w:t>, vol. 59, no. 1, pp. 1–33.</w:t>
      </w:r>
    </w:p>
    <w:p w14:paraId="190D6DC0" w14:textId="19E3A46D" w:rsidR="006F472F" w:rsidRPr="006F472F" w:rsidRDefault="006F472F" w:rsidP="009739E1">
      <w:pPr>
        <w:pStyle w:val="Reference"/>
      </w:pPr>
      <w:r w:rsidRPr="006F472F">
        <w:t xml:space="preserve">Local Government Victoria 2015, </w:t>
      </w:r>
      <w:r w:rsidRPr="006F472F">
        <w:rPr>
          <w:i/>
          <w:iCs/>
        </w:rPr>
        <w:t>About Know Your Council</w:t>
      </w:r>
      <w:r w:rsidRPr="006F472F">
        <w:t>, knowyourcouncil.vic.gov.au/about (accessed 11</w:t>
      </w:r>
      <w:r w:rsidR="0084192C">
        <w:t> </w:t>
      </w:r>
      <w:r w:rsidRPr="006F472F">
        <w:t>January 2017).</w:t>
      </w:r>
    </w:p>
    <w:p w14:paraId="333817EC" w14:textId="77CF13FA" w:rsidR="006F472F" w:rsidRPr="006F472F" w:rsidRDefault="006F472F" w:rsidP="009739E1">
      <w:pPr>
        <w:pStyle w:val="Reference"/>
      </w:pPr>
      <w:r w:rsidRPr="006F472F">
        <w:t xml:space="preserve">Lowes, R. 2015, ‘Individual </w:t>
      </w:r>
      <w:r w:rsidR="00035828">
        <w:t>c</w:t>
      </w:r>
      <w:r w:rsidRPr="006F472F">
        <w:t xml:space="preserve">linicians </w:t>
      </w:r>
      <w:r w:rsidR="00035828">
        <w:t>n</w:t>
      </w:r>
      <w:r w:rsidRPr="006F472F">
        <w:t xml:space="preserve">ow </w:t>
      </w:r>
      <w:r w:rsidR="00035828">
        <w:t>g</w:t>
      </w:r>
      <w:r w:rsidRPr="006F472F">
        <w:t xml:space="preserve">et </w:t>
      </w:r>
      <w:r w:rsidR="00035828">
        <w:t>s</w:t>
      </w:r>
      <w:r w:rsidRPr="006F472F">
        <w:t xml:space="preserve">tars on Physician Compare Site’, </w:t>
      </w:r>
      <w:r w:rsidRPr="006F472F">
        <w:rPr>
          <w:i/>
          <w:iCs/>
        </w:rPr>
        <w:t>Medscape</w:t>
      </w:r>
      <w:r w:rsidRPr="006F472F">
        <w:t>.</w:t>
      </w:r>
    </w:p>
    <w:p w14:paraId="09FA82EB" w14:textId="6C7F097C" w:rsidR="006F472F" w:rsidRPr="006F472F" w:rsidRDefault="006F472F" w:rsidP="009739E1">
      <w:pPr>
        <w:pStyle w:val="Reference"/>
      </w:pPr>
      <w:r w:rsidRPr="006F472F">
        <w:t>Lyons, V. and Popejoy, L. 2014, ‘Meta</w:t>
      </w:r>
      <w:r w:rsidR="0084192C">
        <w:noBreakHyphen/>
      </w:r>
      <w:r w:rsidR="00035828">
        <w:t>a</w:t>
      </w:r>
      <w:r w:rsidRPr="006F472F">
        <w:t xml:space="preserve">nalysis of </w:t>
      </w:r>
      <w:r w:rsidR="00035828">
        <w:t>s</w:t>
      </w:r>
      <w:r w:rsidRPr="006F472F">
        <w:t xml:space="preserve">urgical </w:t>
      </w:r>
      <w:r w:rsidR="00035828">
        <w:t>s</w:t>
      </w:r>
      <w:r w:rsidRPr="006F472F">
        <w:t xml:space="preserve">afety </w:t>
      </w:r>
      <w:r w:rsidR="00035828">
        <w:t>c</w:t>
      </w:r>
      <w:r w:rsidRPr="006F472F">
        <w:t xml:space="preserve">hecklist </w:t>
      </w:r>
      <w:r w:rsidR="00035828">
        <w:t>e</w:t>
      </w:r>
      <w:r w:rsidRPr="006F472F">
        <w:t xml:space="preserve">ffects on </w:t>
      </w:r>
      <w:r w:rsidR="00035828">
        <w:t>t</w:t>
      </w:r>
      <w:r w:rsidRPr="006F472F">
        <w:t xml:space="preserve">eamwork, </w:t>
      </w:r>
      <w:r w:rsidR="00035828">
        <w:t>c</w:t>
      </w:r>
      <w:r w:rsidRPr="006F472F">
        <w:t xml:space="preserve">ommunication, </w:t>
      </w:r>
      <w:r w:rsidR="00035828">
        <w:t>m</w:t>
      </w:r>
      <w:r w:rsidRPr="006F472F">
        <w:t xml:space="preserve">orbidity, </w:t>
      </w:r>
      <w:r w:rsidR="00035828">
        <w:t>m</w:t>
      </w:r>
      <w:r w:rsidRPr="006F472F">
        <w:t xml:space="preserve">ortality, and </w:t>
      </w:r>
      <w:r w:rsidR="00035828">
        <w:t>s</w:t>
      </w:r>
      <w:r w:rsidRPr="006F472F">
        <w:t xml:space="preserve">afety’, </w:t>
      </w:r>
      <w:r w:rsidRPr="006F472F">
        <w:rPr>
          <w:i/>
          <w:iCs/>
        </w:rPr>
        <w:t>Western Journal of Nursing Research</w:t>
      </w:r>
      <w:r w:rsidRPr="006F472F">
        <w:t>, vol. 36, no. 2, pp. 245–261.</w:t>
      </w:r>
    </w:p>
    <w:p w14:paraId="6A7D1E1A" w14:textId="77777777" w:rsidR="006F472F" w:rsidRPr="006F472F" w:rsidRDefault="006F472F" w:rsidP="009739E1">
      <w:pPr>
        <w:pStyle w:val="Reference"/>
      </w:pPr>
      <w:r w:rsidRPr="006F472F">
        <w:t xml:space="preserve">Marsden, D. 2009, </w:t>
      </w:r>
      <w:r w:rsidRPr="006F472F">
        <w:rPr>
          <w:i/>
          <w:iCs/>
        </w:rPr>
        <w:t>The Paradox of Performance Related Pay Systems: ‘Why Do We Keep Adopting Them in the Face of Evidence that they Fail to Motivate?’</w:t>
      </w:r>
      <w:r w:rsidRPr="006F472F">
        <w:t>, August, #946, CEP Discussion Paper, Centre for Economic Performance LSE, United Kingdom.</w:t>
      </w:r>
    </w:p>
    <w:p w14:paraId="5CF8B624" w14:textId="45A2BAEF" w:rsidR="006F472F" w:rsidRPr="006F472F" w:rsidRDefault="00756C3A" w:rsidP="009739E1">
      <w:pPr>
        <w:pStyle w:val="Reference"/>
      </w:pPr>
      <w:r>
        <w:t>—— </w:t>
      </w:r>
      <w:r w:rsidR="006F472F" w:rsidRPr="006F472F">
        <w:t xml:space="preserve">2015, </w:t>
      </w:r>
      <w:r w:rsidR="006F472F" w:rsidRPr="006F472F">
        <w:rPr>
          <w:i/>
          <w:iCs/>
        </w:rPr>
        <w:t>Teachers and Performance Pay in 2014:</w:t>
      </w:r>
      <w:r w:rsidR="0084192C">
        <w:rPr>
          <w:i/>
          <w:iCs/>
        </w:rPr>
        <w:t xml:space="preserve"> </w:t>
      </w:r>
      <w:r w:rsidR="006F472F" w:rsidRPr="006F472F">
        <w:rPr>
          <w:i/>
          <w:iCs/>
        </w:rPr>
        <w:t>First Results of a Survey</w:t>
      </w:r>
      <w:r w:rsidR="006F472F" w:rsidRPr="006F472F">
        <w:t>, February, #1332, CEP Discussion Paper, Centre for Economic Performance LSE, United Kingdom.</w:t>
      </w:r>
    </w:p>
    <w:p w14:paraId="4C707618" w14:textId="77777777" w:rsidR="006F472F" w:rsidRPr="006F472F" w:rsidRDefault="006F472F" w:rsidP="009739E1">
      <w:pPr>
        <w:pStyle w:val="Reference"/>
      </w:pPr>
      <w:r w:rsidRPr="006F472F">
        <w:t xml:space="preserve">—— and Belfield, R. 2006, </w:t>
      </w:r>
      <w:r w:rsidRPr="006F472F">
        <w:rPr>
          <w:i/>
          <w:iCs/>
        </w:rPr>
        <w:t>Pay for Performance Where Output is Hard to Measure: the Case of Performance Pay for School Teachers</w:t>
      </w:r>
      <w:r w:rsidRPr="006F472F">
        <w:t>, August, #747, CEP Discussion Paper, Centre for Economic Performance LSE, United Kingdom.</w:t>
      </w:r>
    </w:p>
    <w:p w14:paraId="116F4998" w14:textId="7DBE9ECE" w:rsidR="006F472F" w:rsidRPr="006F472F" w:rsidRDefault="006F472F" w:rsidP="009739E1">
      <w:pPr>
        <w:pStyle w:val="Reference"/>
      </w:pPr>
      <w:r w:rsidRPr="006F472F">
        <w:t>Marsh, H. and Hau, K. 2003, ‘Big</w:t>
      </w:r>
      <w:r w:rsidR="0084192C">
        <w:noBreakHyphen/>
      </w:r>
      <w:r w:rsidR="0032143D">
        <w:t>f</w:t>
      </w:r>
      <w:r w:rsidRPr="006F472F">
        <w:t>ish</w:t>
      </w:r>
      <w:r w:rsidR="0084192C">
        <w:noBreakHyphen/>
      </w:r>
      <w:r w:rsidR="0032143D">
        <w:t>l</w:t>
      </w:r>
      <w:r w:rsidRPr="006F472F">
        <w:t>ittle</w:t>
      </w:r>
      <w:r w:rsidR="0084192C">
        <w:noBreakHyphen/>
      </w:r>
      <w:r w:rsidR="00946D76">
        <w:t>p</w:t>
      </w:r>
      <w:r w:rsidRPr="006F472F">
        <w:t>ond effect on academic self</w:t>
      </w:r>
      <w:r w:rsidR="0084192C">
        <w:noBreakHyphen/>
      </w:r>
      <w:r w:rsidRPr="006F472F">
        <w:t>concept: A cross</w:t>
      </w:r>
      <w:r w:rsidR="0084192C">
        <w:noBreakHyphen/>
      </w:r>
      <w:r w:rsidRPr="006F472F">
        <w:t xml:space="preserve">cultural (26 country) test of the negative effects of academically selective schools’, </w:t>
      </w:r>
      <w:r w:rsidRPr="006F472F">
        <w:rPr>
          <w:i/>
          <w:iCs/>
        </w:rPr>
        <w:t>American Psychologist</w:t>
      </w:r>
      <w:r w:rsidRPr="006F472F">
        <w:t>, vol. 58, no. 5, pp. 364–376.</w:t>
      </w:r>
    </w:p>
    <w:p w14:paraId="7566FBA5" w14:textId="665B3779" w:rsidR="006F472F" w:rsidRPr="006F472F" w:rsidRDefault="006F472F" w:rsidP="009739E1">
      <w:pPr>
        <w:pStyle w:val="Reference"/>
      </w:pPr>
      <w:r w:rsidRPr="006F472F">
        <w:t xml:space="preserve">—— and Roche, L. 1997, ‘Making students’ evaluations of teaching effectiveness effective: The critical issues of validity, bias, and utility’, </w:t>
      </w:r>
      <w:r w:rsidRPr="006F472F">
        <w:rPr>
          <w:i/>
          <w:iCs/>
        </w:rPr>
        <w:t>American Psychologist</w:t>
      </w:r>
      <w:r w:rsidRPr="006F472F">
        <w:t>, vol. 52, no. 11, pp. 1187–1197.</w:t>
      </w:r>
    </w:p>
    <w:p w14:paraId="0AD0E853" w14:textId="2C5B2CDF" w:rsidR="006F472F" w:rsidRPr="006F472F" w:rsidRDefault="006F472F" w:rsidP="009739E1">
      <w:pPr>
        <w:pStyle w:val="Reference"/>
      </w:pPr>
      <w:r w:rsidRPr="006F472F">
        <w:t xml:space="preserve">McGowan, M., Andrews, D. and Millot, V. 2017, </w:t>
      </w:r>
      <w:r w:rsidRPr="006F472F">
        <w:rPr>
          <w:i/>
          <w:iCs/>
        </w:rPr>
        <w:t>The Walking Dead? Zombie Firms and Productivity Performance in OECD Countries</w:t>
      </w:r>
      <w:r w:rsidRPr="006F472F">
        <w:t>, OECD Publishing.</w:t>
      </w:r>
    </w:p>
    <w:p w14:paraId="0B6D638A" w14:textId="29035642" w:rsidR="006F472F" w:rsidRPr="006F472F" w:rsidRDefault="006F472F" w:rsidP="009739E1">
      <w:pPr>
        <w:pStyle w:val="Reference"/>
      </w:pPr>
      <w:r w:rsidRPr="006F472F">
        <w:t xml:space="preserve">McRae, I. and Gool, K. van 2017, ‘Variation in the fees of medical specialists: problems, causes, solutions’, </w:t>
      </w:r>
      <w:r w:rsidRPr="006F472F">
        <w:rPr>
          <w:i/>
          <w:iCs/>
        </w:rPr>
        <w:t>Medical Journal of Australia</w:t>
      </w:r>
      <w:r w:rsidRPr="006F472F">
        <w:t>, vol. 206, no. 4.</w:t>
      </w:r>
    </w:p>
    <w:p w14:paraId="7E905F20" w14:textId="77777777" w:rsidR="006F472F" w:rsidRPr="006F472F" w:rsidRDefault="006F472F" w:rsidP="009739E1">
      <w:pPr>
        <w:pStyle w:val="Reference"/>
      </w:pPr>
      <w:r w:rsidRPr="006F472F">
        <w:t xml:space="preserve">NHPA (National Health Performance Authority) 2016, </w:t>
      </w:r>
      <w:r w:rsidRPr="006F472F">
        <w:rPr>
          <w:i/>
          <w:iCs/>
        </w:rPr>
        <w:t>Towards public reporting of standardised hospital mortality in Australia</w:t>
      </w:r>
      <w:r w:rsidRPr="006F472F">
        <w:t>, Progress report, February.</w:t>
      </w:r>
    </w:p>
    <w:p w14:paraId="039E3F19" w14:textId="23474496" w:rsidR="006F472F" w:rsidRPr="006F472F" w:rsidRDefault="006F472F" w:rsidP="009739E1">
      <w:pPr>
        <w:pStyle w:val="Reference"/>
      </w:pPr>
      <w:r w:rsidRPr="006F472F">
        <w:t xml:space="preserve">NHS (National Health Service) 2016, </w:t>
      </w:r>
      <w:r w:rsidRPr="006F472F">
        <w:rPr>
          <w:i/>
          <w:iCs/>
        </w:rPr>
        <w:t>NHS Choices</w:t>
      </w:r>
      <w:r w:rsidRPr="006F472F">
        <w:t>, www.nhs.uk (accessed 25</w:t>
      </w:r>
      <w:r w:rsidR="0084192C">
        <w:t> </w:t>
      </w:r>
      <w:r w:rsidRPr="006F472F">
        <w:t>November 2016).</w:t>
      </w:r>
    </w:p>
    <w:p w14:paraId="68E747EB" w14:textId="54F4F4EF" w:rsidR="006F472F" w:rsidRPr="006F472F" w:rsidRDefault="006F472F" w:rsidP="009739E1">
      <w:pPr>
        <w:pStyle w:val="Reference"/>
      </w:pPr>
      <w:r w:rsidRPr="006F472F">
        <w:t xml:space="preserve">NICS (National Institute of Clinical Studies) 2003, </w:t>
      </w:r>
      <w:r w:rsidRPr="006F472F">
        <w:rPr>
          <w:i/>
          <w:iCs/>
        </w:rPr>
        <w:t>Evidence</w:t>
      </w:r>
      <w:r w:rsidR="0084192C">
        <w:rPr>
          <w:i/>
          <w:iCs/>
        </w:rPr>
        <w:noBreakHyphen/>
      </w:r>
      <w:r w:rsidR="0032143D">
        <w:rPr>
          <w:i/>
          <w:iCs/>
        </w:rPr>
        <w:t>P</w:t>
      </w:r>
      <w:r w:rsidRPr="006F472F">
        <w:rPr>
          <w:i/>
          <w:iCs/>
        </w:rPr>
        <w:t xml:space="preserve">ractice </w:t>
      </w:r>
      <w:r w:rsidR="0032143D">
        <w:rPr>
          <w:i/>
          <w:iCs/>
        </w:rPr>
        <w:t>Gaps R</w:t>
      </w:r>
      <w:r w:rsidRPr="006F472F">
        <w:rPr>
          <w:i/>
          <w:iCs/>
        </w:rPr>
        <w:t>eport</w:t>
      </w:r>
      <w:r w:rsidRPr="006F472F">
        <w:t>, 1.</w:t>
      </w:r>
    </w:p>
    <w:p w14:paraId="0BBEF829" w14:textId="194CAE20" w:rsidR="006F472F" w:rsidRPr="006F472F" w:rsidRDefault="00756C3A" w:rsidP="009739E1">
      <w:pPr>
        <w:pStyle w:val="Reference"/>
      </w:pPr>
      <w:r>
        <w:t>—— </w:t>
      </w:r>
      <w:r w:rsidR="006F472F" w:rsidRPr="006F472F">
        <w:t xml:space="preserve">2005, </w:t>
      </w:r>
      <w:r w:rsidR="006F472F" w:rsidRPr="006F472F">
        <w:rPr>
          <w:i/>
          <w:iCs/>
        </w:rPr>
        <w:t>Evidence</w:t>
      </w:r>
      <w:r w:rsidR="0084192C">
        <w:rPr>
          <w:i/>
          <w:iCs/>
        </w:rPr>
        <w:noBreakHyphen/>
      </w:r>
      <w:r w:rsidR="0032143D">
        <w:rPr>
          <w:i/>
          <w:iCs/>
        </w:rPr>
        <w:t>P</w:t>
      </w:r>
      <w:r w:rsidR="006F472F" w:rsidRPr="006F472F">
        <w:rPr>
          <w:i/>
          <w:iCs/>
        </w:rPr>
        <w:t xml:space="preserve">ractice </w:t>
      </w:r>
      <w:r w:rsidR="0032143D">
        <w:rPr>
          <w:i/>
          <w:iCs/>
        </w:rPr>
        <w:t>G</w:t>
      </w:r>
      <w:r w:rsidR="006F472F" w:rsidRPr="006F472F">
        <w:rPr>
          <w:i/>
          <w:iCs/>
        </w:rPr>
        <w:t xml:space="preserve">aps </w:t>
      </w:r>
      <w:r w:rsidR="0032143D">
        <w:rPr>
          <w:i/>
          <w:iCs/>
        </w:rPr>
        <w:t>R</w:t>
      </w:r>
      <w:r w:rsidR="006F472F" w:rsidRPr="006F472F">
        <w:rPr>
          <w:i/>
          <w:iCs/>
        </w:rPr>
        <w:t>eport</w:t>
      </w:r>
      <w:r w:rsidR="006F472F" w:rsidRPr="006F472F">
        <w:t>, 2.</w:t>
      </w:r>
    </w:p>
    <w:p w14:paraId="3843050D" w14:textId="6973F80D" w:rsidR="006F472F" w:rsidRPr="006F472F" w:rsidRDefault="006F472F" w:rsidP="009739E1">
      <w:pPr>
        <w:pStyle w:val="Reference"/>
      </w:pPr>
      <w:r w:rsidRPr="006F472F">
        <w:t xml:space="preserve">NSW BHI (NSW Bureau of Health Information) 2013, </w:t>
      </w:r>
      <w:r w:rsidRPr="006F472F">
        <w:rPr>
          <w:i/>
          <w:iCs/>
        </w:rPr>
        <w:t xml:space="preserve">Spotlight on </w:t>
      </w:r>
      <w:r w:rsidR="00557490">
        <w:rPr>
          <w:i/>
          <w:iCs/>
        </w:rPr>
        <w:t>M</w:t>
      </w:r>
      <w:r w:rsidRPr="006F472F">
        <w:rPr>
          <w:i/>
          <w:iCs/>
        </w:rPr>
        <w:t>easurement: 30</w:t>
      </w:r>
      <w:r w:rsidR="0084192C">
        <w:rPr>
          <w:i/>
          <w:iCs/>
        </w:rPr>
        <w:noBreakHyphen/>
      </w:r>
      <w:r w:rsidRPr="006F472F">
        <w:rPr>
          <w:i/>
          <w:iCs/>
        </w:rPr>
        <w:t xml:space="preserve">day </w:t>
      </w:r>
      <w:r w:rsidR="00557490">
        <w:rPr>
          <w:i/>
          <w:iCs/>
        </w:rPr>
        <w:t>M</w:t>
      </w:r>
      <w:r w:rsidRPr="006F472F">
        <w:rPr>
          <w:i/>
          <w:iCs/>
        </w:rPr>
        <w:t xml:space="preserve">ortality </w:t>
      </w:r>
      <w:r w:rsidR="00557490">
        <w:rPr>
          <w:i/>
          <w:iCs/>
        </w:rPr>
        <w:t>F</w:t>
      </w:r>
      <w:r w:rsidRPr="006F472F">
        <w:rPr>
          <w:i/>
          <w:iCs/>
        </w:rPr>
        <w:t xml:space="preserve">ollowing </w:t>
      </w:r>
      <w:r w:rsidR="00557490">
        <w:rPr>
          <w:i/>
          <w:iCs/>
        </w:rPr>
        <w:t>H</w:t>
      </w:r>
      <w:r w:rsidRPr="006F472F">
        <w:rPr>
          <w:i/>
          <w:iCs/>
        </w:rPr>
        <w:t xml:space="preserve">ospitalisation, </w:t>
      </w:r>
      <w:r w:rsidR="00557490">
        <w:rPr>
          <w:i/>
          <w:iCs/>
        </w:rPr>
        <w:t>F</w:t>
      </w:r>
      <w:r w:rsidRPr="006F472F">
        <w:rPr>
          <w:i/>
          <w:iCs/>
        </w:rPr>
        <w:t xml:space="preserve">ive </w:t>
      </w:r>
      <w:r w:rsidR="00557490">
        <w:rPr>
          <w:i/>
          <w:iCs/>
        </w:rPr>
        <w:t>C</w:t>
      </w:r>
      <w:r w:rsidRPr="006F472F">
        <w:rPr>
          <w:i/>
          <w:iCs/>
        </w:rPr>
        <w:t xml:space="preserve">linical </w:t>
      </w:r>
      <w:r w:rsidR="00557490">
        <w:rPr>
          <w:i/>
          <w:iCs/>
        </w:rPr>
        <w:t>C</w:t>
      </w:r>
      <w:r w:rsidRPr="006F472F">
        <w:rPr>
          <w:i/>
          <w:iCs/>
        </w:rPr>
        <w:t>onditions, NSW, July 2009 – June 2012</w:t>
      </w:r>
      <w:r w:rsidRPr="006F472F">
        <w:t>, December, NSW Government.</w:t>
      </w:r>
    </w:p>
    <w:p w14:paraId="7E259A7C" w14:textId="75D76BF8" w:rsidR="006F472F" w:rsidRPr="006F472F" w:rsidRDefault="006F472F" w:rsidP="009739E1">
      <w:pPr>
        <w:pStyle w:val="Reference"/>
      </w:pPr>
      <w:r w:rsidRPr="006F472F">
        <w:t>OECD (Organisation for Economic Co</w:t>
      </w:r>
      <w:r w:rsidR="0084192C">
        <w:noBreakHyphen/>
      </w:r>
      <w:r w:rsidRPr="006F472F">
        <w:t xml:space="preserve">operation and Development) 2012, </w:t>
      </w:r>
      <w:r w:rsidRPr="006F472F">
        <w:rPr>
          <w:i/>
          <w:iCs/>
        </w:rPr>
        <w:t xml:space="preserve">Does </w:t>
      </w:r>
      <w:r w:rsidR="00557490">
        <w:rPr>
          <w:i/>
          <w:iCs/>
        </w:rPr>
        <w:t>P</w:t>
      </w:r>
      <w:r w:rsidRPr="006F472F">
        <w:rPr>
          <w:i/>
          <w:iCs/>
        </w:rPr>
        <w:t>erformance</w:t>
      </w:r>
      <w:r w:rsidR="0084192C">
        <w:rPr>
          <w:i/>
          <w:iCs/>
        </w:rPr>
        <w:noBreakHyphen/>
      </w:r>
      <w:r w:rsidR="00557490">
        <w:rPr>
          <w:i/>
          <w:iCs/>
        </w:rPr>
        <w:t>b</w:t>
      </w:r>
      <w:r w:rsidRPr="006F472F">
        <w:rPr>
          <w:i/>
          <w:iCs/>
        </w:rPr>
        <w:t xml:space="preserve">ased </w:t>
      </w:r>
      <w:r w:rsidR="00557490">
        <w:rPr>
          <w:i/>
          <w:iCs/>
        </w:rPr>
        <w:t>P</w:t>
      </w:r>
      <w:r w:rsidRPr="006F472F">
        <w:rPr>
          <w:i/>
          <w:iCs/>
        </w:rPr>
        <w:t xml:space="preserve">ay </w:t>
      </w:r>
      <w:r w:rsidR="00557490">
        <w:rPr>
          <w:i/>
          <w:iCs/>
        </w:rPr>
        <w:t>Improve T</w:t>
      </w:r>
      <w:r w:rsidRPr="006F472F">
        <w:rPr>
          <w:i/>
          <w:iCs/>
        </w:rPr>
        <w:t>eaching?</w:t>
      </w:r>
      <w:r w:rsidRPr="006F472F">
        <w:t>, #16, PISA in Focus, Paris.</w:t>
      </w:r>
    </w:p>
    <w:p w14:paraId="03A4944A" w14:textId="4FCCE71A" w:rsidR="006F472F" w:rsidRPr="006F472F" w:rsidRDefault="00756C3A" w:rsidP="009739E1">
      <w:pPr>
        <w:pStyle w:val="Reference"/>
      </w:pPr>
      <w:r>
        <w:t>—— </w:t>
      </w:r>
      <w:r w:rsidR="006F472F" w:rsidRPr="006F472F">
        <w:t xml:space="preserve">2017, </w:t>
      </w:r>
      <w:r w:rsidR="006F472F" w:rsidRPr="006F472F">
        <w:rPr>
          <w:i/>
          <w:iCs/>
        </w:rPr>
        <w:t xml:space="preserve">Ineffective Spending and Waste in </w:t>
      </w:r>
      <w:r w:rsidR="00557490">
        <w:rPr>
          <w:i/>
          <w:iCs/>
        </w:rPr>
        <w:t>H</w:t>
      </w:r>
      <w:r w:rsidR="006F472F" w:rsidRPr="006F472F">
        <w:rPr>
          <w:i/>
          <w:iCs/>
        </w:rPr>
        <w:t>ealth Care Systems: Framework and Findings</w:t>
      </w:r>
      <w:r w:rsidR="006F472F" w:rsidRPr="006F472F">
        <w:t>, Paris.</w:t>
      </w:r>
    </w:p>
    <w:p w14:paraId="5BD99D7E" w14:textId="3FF5BE17" w:rsidR="006F472F" w:rsidRPr="006F472F" w:rsidRDefault="006F472F" w:rsidP="009739E1">
      <w:pPr>
        <w:pStyle w:val="Reference"/>
      </w:pPr>
      <w:r w:rsidRPr="006F472F">
        <w:t>Ogundeji, Y., Bland, J. and Sheldon, T. 2016, ‘The effectiveness of payment for performance in health care: A meta</w:t>
      </w:r>
      <w:r w:rsidR="0084192C">
        <w:noBreakHyphen/>
      </w:r>
      <w:r w:rsidRPr="006F472F">
        <w:t xml:space="preserve">analysis and exploration of variation in outcomes’, </w:t>
      </w:r>
      <w:r w:rsidRPr="006F472F">
        <w:rPr>
          <w:i/>
          <w:iCs/>
        </w:rPr>
        <w:t>Health Policy</w:t>
      </w:r>
      <w:r w:rsidRPr="006F472F">
        <w:t>, vol. 120, no. 10, pp. 1141–1150.</w:t>
      </w:r>
    </w:p>
    <w:p w14:paraId="467BD6F8" w14:textId="4955B423" w:rsidR="006F472F" w:rsidRPr="006F472F" w:rsidRDefault="006F472F" w:rsidP="009739E1">
      <w:pPr>
        <w:pStyle w:val="Reference"/>
      </w:pPr>
      <w:r w:rsidRPr="006F472F">
        <w:t>Oliver</w:t>
      </w:r>
      <w:r w:rsidR="0084192C">
        <w:noBreakHyphen/>
      </w:r>
      <w:r w:rsidRPr="006F472F">
        <w:t xml:space="preserve">Baxter, J., Brown, L., Raven, M. and Bywood, P. 2014, </w:t>
      </w:r>
      <w:r w:rsidRPr="006F472F">
        <w:rPr>
          <w:i/>
          <w:iCs/>
        </w:rPr>
        <w:t xml:space="preserve">Quality </w:t>
      </w:r>
      <w:r w:rsidR="00557490">
        <w:rPr>
          <w:i/>
          <w:iCs/>
        </w:rPr>
        <w:t>I</w:t>
      </w:r>
      <w:r w:rsidRPr="006F472F">
        <w:rPr>
          <w:i/>
          <w:iCs/>
        </w:rPr>
        <w:t xml:space="preserve">mprovement </w:t>
      </w:r>
      <w:r w:rsidR="00557490">
        <w:rPr>
          <w:i/>
          <w:iCs/>
        </w:rPr>
        <w:t>Financial Incentives for General P</w:t>
      </w:r>
      <w:r w:rsidRPr="006F472F">
        <w:rPr>
          <w:i/>
          <w:iCs/>
        </w:rPr>
        <w:t>ractitioners</w:t>
      </w:r>
      <w:r w:rsidRPr="006F472F">
        <w:t>, PHCRIS Policy Issue Review, May, Primary Health Care Research &amp; Information Service (PHCRIS).</w:t>
      </w:r>
    </w:p>
    <w:p w14:paraId="17F2CD06" w14:textId="3A7D1033" w:rsidR="006F472F" w:rsidRPr="006F472F" w:rsidRDefault="006F472F" w:rsidP="009739E1">
      <w:pPr>
        <w:pStyle w:val="Reference"/>
      </w:pPr>
      <w:r w:rsidRPr="006F472F">
        <w:t xml:space="preserve">Ottoboni, K., Boring, A. and Stark, P. 2016, ‘Student </w:t>
      </w:r>
      <w:r w:rsidR="00557490">
        <w:t>e</w:t>
      </w:r>
      <w:r w:rsidRPr="006F472F">
        <w:t xml:space="preserve">valuations of </w:t>
      </w:r>
      <w:r w:rsidR="00557490">
        <w:t>t</w:t>
      </w:r>
      <w:r w:rsidRPr="006F472F">
        <w:t>eaching (</w:t>
      </w:r>
      <w:r w:rsidR="00557490">
        <w:t>m</w:t>
      </w:r>
      <w:r w:rsidRPr="006F472F">
        <w:t xml:space="preserve">ostly) </w:t>
      </w:r>
      <w:r w:rsidR="00557490">
        <w:t>d</w:t>
      </w:r>
      <w:r w:rsidRPr="006F472F">
        <w:t xml:space="preserve">o </w:t>
      </w:r>
      <w:r w:rsidR="00557490">
        <w:t>n</w:t>
      </w:r>
      <w:r w:rsidRPr="006F472F">
        <w:t xml:space="preserve">ot </w:t>
      </w:r>
      <w:r w:rsidR="00557490">
        <w:t>m</w:t>
      </w:r>
      <w:r w:rsidRPr="006F472F">
        <w:t xml:space="preserve">easure </w:t>
      </w:r>
      <w:r w:rsidR="00557490">
        <w:t>t</w:t>
      </w:r>
      <w:r w:rsidRPr="006F472F">
        <w:t xml:space="preserve">eaching </w:t>
      </w:r>
      <w:r w:rsidR="00557490">
        <w:t>e</w:t>
      </w:r>
      <w:r w:rsidRPr="006F472F">
        <w:t xml:space="preserve">ffectiveness’, </w:t>
      </w:r>
      <w:r w:rsidRPr="006F472F">
        <w:rPr>
          <w:i/>
          <w:iCs/>
        </w:rPr>
        <w:t>ScienceOpen Research</w:t>
      </w:r>
      <w:r w:rsidRPr="006F472F">
        <w:t>.</w:t>
      </w:r>
    </w:p>
    <w:p w14:paraId="58B02C5B" w14:textId="2A963ACB" w:rsidR="006F472F" w:rsidRPr="006F472F" w:rsidRDefault="006F472F" w:rsidP="009739E1">
      <w:pPr>
        <w:pStyle w:val="Reference"/>
      </w:pPr>
      <w:r w:rsidRPr="006F472F">
        <w:t>Palmer et al. 2014, ‘Activity</w:t>
      </w:r>
      <w:r w:rsidR="0084192C">
        <w:noBreakHyphen/>
      </w:r>
      <w:r w:rsidR="00557490">
        <w:t>b</w:t>
      </w:r>
      <w:r w:rsidRPr="006F472F">
        <w:t xml:space="preserve">ased </w:t>
      </w:r>
      <w:r w:rsidR="00557490">
        <w:t>f</w:t>
      </w:r>
      <w:r w:rsidRPr="006F472F">
        <w:t xml:space="preserve">unding of </w:t>
      </w:r>
      <w:r w:rsidR="00557490">
        <w:t>h</w:t>
      </w:r>
      <w:r w:rsidRPr="006F472F">
        <w:t xml:space="preserve">ospitals and </w:t>
      </w:r>
      <w:r w:rsidR="00557490">
        <w:t>i</w:t>
      </w:r>
      <w:r w:rsidRPr="006F472F">
        <w:t xml:space="preserve">ts </w:t>
      </w:r>
      <w:r w:rsidR="00557490">
        <w:t>i</w:t>
      </w:r>
      <w:r w:rsidRPr="006F472F">
        <w:t xml:space="preserve">mpact on </w:t>
      </w:r>
      <w:r w:rsidR="00557490">
        <w:t>m</w:t>
      </w:r>
      <w:r w:rsidRPr="006F472F">
        <w:t xml:space="preserve">ortality, </w:t>
      </w:r>
      <w:r w:rsidR="00557490">
        <w:t>r</w:t>
      </w:r>
      <w:r w:rsidRPr="006F472F">
        <w:t xml:space="preserve">eadmission, </w:t>
      </w:r>
      <w:r w:rsidR="00557490">
        <w:t>d</w:t>
      </w:r>
      <w:r w:rsidRPr="006F472F">
        <w:t xml:space="preserve">ischarge </w:t>
      </w:r>
      <w:r w:rsidR="00557490">
        <w:t>d</w:t>
      </w:r>
      <w:r w:rsidRPr="006F472F">
        <w:t xml:space="preserve">estination, </w:t>
      </w:r>
      <w:r w:rsidR="00557490">
        <w:t>s</w:t>
      </w:r>
      <w:r w:rsidRPr="006F472F">
        <w:t xml:space="preserve">everity of </w:t>
      </w:r>
      <w:r w:rsidR="00557490">
        <w:t>i</w:t>
      </w:r>
      <w:r w:rsidRPr="006F472F">
        <w:t>l</w:t>
      </w:r>
      <w:r w:rsidR="00557490">
        <w:t>l</w:t>
      </w:r>
      <w:r w:rsidRPr="006F472F">
        <w:t xml:space="preserve">ness, and </w:t>
      </w:r>
      <w:r w:rsidR="00557490">
        <w:t>v</w:t>
      </w:r>
      <w:r w:rsidRPr="006F472F">
        <w:t xml:space="preserve">olume of </w:t>
      </w:r>
      <w:r w:rsidR="00557490">
        <w:t>c</w:t>
      </w:r>
      <w:r w:rsidRPr="006F472F">
        <w:t xml:space="preserve">are: A </w:t>
      </w:r>
      <w:r w:rsidR="00557490">
        <w:t>s</w:t>
      </w:r>
      <w:r w:rsidRPr="006F472F">
        <w:t xml:space="preserve">ystematic </w:t>
      </w:r>
      <w:r w:rsidR="00557490">
        <w:t>r</w:t>
      </w:r>
      <w:r w:rsidRPr="006F472F">
        <w:t xml:space="preserve">eview and </w:t>
      </w:r>
      <w:r w:rsidR="00557490">
        <w:t>m</w:t>
      </w:r>
      <w:r w:rsidRPr="006F472F">
        <w:t>eta</w:t>
      </w:r>
      <w:r w:rsidR="0084192C">
        <w:noBreakHyphen/>
      </w:r>
      <w:r w:rsidR="00557490">
        <w:t>a</w:t>
      </w:r>
      <w:r w:rsidRPr="006F472F">
        <w:t xml:space="preserve">nalysis’, </w:t>
      </w:r>
      <w:r w:rsidRPr="006F472F">
        <w:rPr>
          <w:i/>
          <w:iCs/>
        </w:rPr>
        <w:t>PLOS ONE</w:t>
      </w:r>
      <w:r w:rsidRPr="006F472F">
        <w:t>, vol. 9, no. 10.</w:t>
      </w:r>
    </w:p>
    <w:p w14:paraId="79A27C57" w14:textId="518A454E" w:rsidR="006F472F" w:rsidRPr="006F472F" w:rsidRDefault="006F472F" w:rsidP="009739E1">
      <w:pPr>
        <w:pStyle w:val="Reference"/>
      </w:pPr>
      <w:r w:rsidRPr="006F472F">
        <w:t xml:space="preserve">Panesar, S., Cleary, K., Sheikh, A. and Donaldson, L. 2009, ‘The WHO checklist: a global tool to prevent errors in surgery’, </w:t>
      </w:r>
      <w:r w:rsidRPr="006F472F">
        <w:rPr>
          <w:i/>
          <w:iCs/>
        </w:rPr>
        <w:t>Patient Safety in Surgery</w:t>
      </w:r>
      <w:r w:rsidRPr="006F472F">
        <w:t>, vol. 3, p. 9.</w:t>
      </w:r>
    </w:p>
    <w:p w14:paraId="69891B46" w14:textId="0A15901B" w:rsidR="006F472F" w:rsidRPr="006F472F" w:rsidRDefault="006F472F" w:rsidP="009739E1">
      <w:pPr>
        <w:pStyle w:val="Reference"/>
      </w:pPr>
      <w:r w:rsidRPr="006F472F">
        <w:t xml:space="preserve">Partel, K. 2014, </w:t>
      </w:r>
      <w:r w:rsidR="003B6FF4">
        <w:rPr>
          <w:i/>
          <w:iCs/>
        </w:rPr>
        <w:t>Can We Improve the Health System with P</w:t>
      </w:r>
      <w:r w:rsidRPr="006F472F">
        <w:rPr>
          <w:i/>
          <w:iCs/>
        </w:rPr>
        <w:t>ay</w:t>
      </w:r>
      <w:r w:rsidR="0084192C">
        <w:rPr>
          <w:i/>
          <w:iCs/>
        </w:rPr>
        <w:noBreakHyphen/>
      </w:r>
      <w:r w:rsidRPr="006F472F">
        <w:rPr>
          <w:i/>
          <w:iCs/>
        </w:rPr>
        <w:t>for</w:t>
      </w:r>
      <w:r w:rsidR="0084192C">
        <w:rPr>
          <w:i/>
          <w:iCs/>
        </w:rPr>
        <w:noBreakHyphen/>
      </w:r>
      <w:r w:rsidRPr="006F472F">
        <w:rPr>
          <w:i/>
          <w:iCs/>
        </w:rPr>
        <w:t>performance?</w:t>
      </w:r>
      <w:r w:rsidRPr="006F472F">
        <w:t>, Deeble Issues Brief, May, 5, Australian Healthcare &amp; Hospitals Association.</w:t>
      </w:r>
    </w:p>
    <w:p w14:paraId="4BE84E6E" w14:textId="784CD9DB" w:rsidR="006F472F" w:rsidRPr="006F472F" w:rsidRDefault="006F472F" w:rsidP="009739E1">
      <w:pPr>
        <w:pStyle w:val="Reference"/>
      </w:pPr>
      <w:r w:rsidRPr="006F472F">
        <w:t xml:space="preserve">PC (Productivity Commission) 2010a, </w:t>
      </w:r>
      <w:r w:rsidRPr="006F472F">
        <w:rPr>
          <w:i/>
          <w:iCs/>
        </w:rPr>
        <w:t>Annual Report 2009</w:t>
      </w:r>
      <w:r w:rsidR="0084192C">
        <w:rPr>
          <w:i/>
          <w:iCs/>
        </w:rPr>
        <w:noBreakHyphen/>
      </w:r>
      <w:r w:rsidRPr="006F472F">
        <w:rPr>
          <w:i/>
          <w:iCs/>
        </w:rPr>
        <w:t>10</w:t>
      </w:r>
      <w:r w:rsidRPr="006F472F">
        <w:t>, Annual Report.</w:t>
      </w:r>
    </w:p>
    <w:p w14:paraId="2A15B16C" w14:textId="30B1E65F" w:rsidR="006F472F" w:rsidRPr="006F472F" w:rsidRDefault="00756C3A" w:rsidP="009739E1">
      <w:pPr>
        <w:pStyle w:val="Reference"/>
      </w:pPr>
      <w:r>
        <w:t>—— </w:t>
      </w:r>
      <w:r w:rsidR="006F472F" w:rsidRPr="006F472F">
        <w:t xml:space="preserve">2010b, </w:t>
      </w:r>
      <w:r w:rsidR="006F472F" w:rsidRPr="006F472F">
        <w:rPr>
          <w:i/>
          <w:iCs/>
        </w:rPr>
        <w:t>Contribution of the Not for Profit Sector</w:t>
      </w:r>
      <w:r w:rsidR="006F472F" w:rsidRPr="006F472F">
        <w:t>, Research Report.</w:t>
      </w:r>
    </w:p>
    <w:p w14:paraId="1D443F73" w14:textId="5F81CA63" w:rsidR="006F472F" w:rsidRPr="006F472F" w:rsidRDefault="00756C3A" w:rsidP="009739E1">
      <w:pPr>
        <w:pStyle w:val="Reference"/>
      </w:pPr>
      <w:r>
        <w:t>—— </w:t>
      </w:r>
      <w:r w:rsidR="006F472F" w:rsidRPr="006F472F">
        <w:t xml:space="preserve">2013, </w:t>
      </w:r>
      <w:r w:rsidR="006F472F" w:rsidRPr="006F472F">
        <w:rPr>
          <w:i/>
          <w:iCs/>
        </w:rPr>
        <w:t>Annual Report 2012</w:t>
      </w:r>
      <w:r w:rsidR="0084192C">
        <w:rPr>
          <w:i/>
          <w:iCs/>
        </w:rPr>
        <w:noBreakHyphen/>
      </w:r>
      <w:r w:rsidR="006F472F" w:rsidRPr="006F472F">
        <w:rPr>
          <w:i/>
          <w:iCs/>
        </w:rPr>
        <w:t>13</w:t>
      </w:r>
      <w:r w:rsidR="006F472F" w:rsidRPr="006F472F">
        <w:t>, Annual Report.</w:t>
      </w:r>
    </w:p>
    <w:p w14:paraId="5E42CFA1" w14:textId="2553DD26" w:rsidR="006F472F" w:rsidRPr="006F472F" w:rsidRDefault="00756C3A" w:rsidP="009739E1">
      <w:pPr>
        <w:pStyle w:val="Reference"/>
      </w:pPr>
      <w:r>
        <w:t>—— </w:t>
      </w:r>
      <w:r w:rsidR="006F472F" w:rsidRPr="006F472F">
        <w:t xml:space="preserve">2015, </w:t>
      </w:r>
      <w:r w:rsidR="006F472F" w:rsidRPr="006F472F">
        <w:rPr>
          <w:i/>
          <w:iCs/>
        </w:rPr>
        <w:t>Efficiency in Health</w:t>
      </w:r>
      <w:r w:rsidR="006F472F" w:rsidRPr="006F472F">
        <w:t>, Research Paper.</w:t>
      </w:r>
    </w:p>
    <w:p w14:paraId="44243DD0" w14:textId="396F9B95" w:rsidR="006F472F" w:rsidRPr="006F472F" w:rsidRDefault="00756C3A" w:rsidP="009739E1">
      <w:pPr>
        <w:pStyle w:val="Reference"/>
      </w:pPr>
      <w:r>
        <w:t>—— </w:t>
      </w:r>
      <w:r w:rsidR="006F472F" w:rsidRPr="006F472F">
        <w:t xml:space="preserve">2016a, </w:t>
      </w:r>
      <w:r w:rsidR="006F472F" w:rsidRPr="006F472F">
        <w:rPr>
          <w:i/>
          <w:iCs/>
        </w:rPr>
        <w:t>Introducing Competition and Informed User Choice into Human Services: Identifying Sectors for Reform</w:t>
      </w:r>
      <w:r w:rsidR="006F472F" w:rsidRPr="006F472F">
        <w:t>, Research Report.</w:t>
      </w:r>
    </w:p>
    <w:p w14:paraId="3D6424BC" w14:textId="35CD0F51" w:rsidR="006F472F" w:rsidRPr="006F472F" w:rsidRDefault="00756C3A" w:rsidP="009739E1">
      <w:pPr>
        <w:pStyle w:val="Reference"/>
      </w:pPr>
      <w:r>
        <w:t>—— </w:t>
      </w:r>
      <w:r w:rsidR="006F472F" w:rsidRPr="006F472F">
        <w:t xml:space="preserve">2016b, </w:t>
      </w:r>
      <w:r w:rsidR="006F472F" w:rsidRPr="006F472F">
        <w:rPr>
          <w:i/>
          <w:iCs/>
        </w:rPr>
        <w:t>National Education Evidence Base</w:t>
      </w:r>
      <w:r w:rsidR="006F472F" w:rsidRPr="006F472F">
        <w:t>, Inquiry Report.</w:t>
      </w:r>
    </w:p>
    <w:p w14:paraId="45E227C6" w14:textId="48459BE0" w:rsidR="006F472F" w:rsidRPr="006F472F" w:rsidRDefault="00756C3A" w:rsidP="009739E1">
      <w:pPr>
        <w:pStyle w:val="Reference"/>
      </w:pPr>
      <w:r>
        <w:t>—— </w:t>
      </w:r>
      <w:r w:rsidR="006F472F" w:rsidRPr="006F472F">
        <w:t xml:space="preserve">2017, </w:t>
      </w:r>
      <w:r w:rsidR="006F472F" w:rsidRPr="006F472F">
        <w:rPr>
          <w:i/>
          <w:iCs/>
        </w:rPr>
        <w:t>Data Availability and Use</w:t>
      </w:r>
      <w:r w:rsidR="006F472F" w:rsidRPr="006F472F">
        <w:t>, Inquiry Report.</w:t>
      </w:r>
    </w:p>
    <w:p w14:paraId="101CAADA" w14:textId="77777777" w:rsidR="006F472F" w:rsidRPr="006F472F" w:rsidRDefault="006F472F" w:rsidP="009739E1">
      <w:pPr>
        <w:pStyle w:val="Reference"/>
      </w:pPr>
      <w:r w:rsidRPr="006F472F">
        <w:t xml:space="preserve">RACS (Royal Australasian College of Surgeons) 2015, </w:t>
      </w:r>
      <w:r w:rsidRPr="006F472F">
        <w:rPr>
          <w:i/>
          <w:iCs/>
        </w:rPr>
        <w:t>Public Reports on Surgical Outcomes and Performance</w:t>
      </w:r>
      <w:r w:rsidRPr="006F472F">
        <w:t>, Position paper, FES-PST-056.</w:t>
      </w:r>
    </w:p>
    <w:p w14:paraId="36D33175" w14:textId="535E826F" w:rsidR="006F472F" w:rsidRPr="006F472F" w:rsidRDefault="00756C3A" w:rsidP="009739E1">
      <w:pPr>
        <w:pStyle w:val="Reference"/>
      </w:pPr>
      <w:r>
        <w:t>—— </w:t>
      </w:r>
      <w:r w:rsidR="006F472F" w:rsidRPr="006F472F">
        <w:t xml:space="preserve">2016, </w:t>
      </w:r>
      <w:r w:rsidR="006F472F" w:rsidRPr="006F472F">
        <w:rPr>
          <w:i/>
          <w:iCs/>
        </w:rPr>
        <w:t xml:space="preserve">Submission to Productivity Commission inquiry into Introducing Competition and Informed User Choice into Human Services: Identifying Sectors for Reform </w:t>
      </w:r>
      <w:r w:rsidR="0084192C">
        <w:rPr>
          <w:i/>
          <w:iCs/>
        </w:rPr>
        <w:noBreakHyphen/>
      </w:r>
      <w:r w:rsidR="006F472F" w:rsidRPr="006F472F">
        <w:rPr>
          <w:i/>
          <w:iCs/>
        </w:rPr>
        <w:t xml:space="preserve"> Preliminary Findings Report</w:t>
      </w:r>
      <w:r w:rsidR="006F472F" w:rsidRPr="006F472F">
        <w:t>, November.</w:t>
      </w:r>
    </w:p>
    <w:p w14:paraId="5F1D1B30" w14:textId="66254C0E" w:rsidR="006F472F" w:rsidRPr="006F472F" w:rsidRDefault="006F472F" w:rsidP="009739E1">
      <w:pPr>
        <w:pStyle w:val="Reference"/>
      </w:pPr>
      <w:r w:rsidRPr="006F472F">
        <w:t xml:space="preserve">Ragusa, P.S., Bitterman, A., Auerbach, B. and Iii, W.A.H. 2016, ‘Effectiveness of </w:t>
      </w:r>
      <w:r w:rsidR="003B6FF4">
        <w:t>s</w:t>
      </w:r>
      <w:r w:rsidRPr="006F472F">
        <w:t xml:space="preserve">urgical </w:t>
      </w:r>
      <w:r w:rsidR="003B6FF4">
        <w:t>s</w:t>
      </w:r>
      <w:r w:rsidRPr="006F472F">
        <w:t xml:space="preserve">afety </w:t>
      </w:r>
      <w:r w:rsidR="003B6FF4">
        <w:t>c</w:t>
      </w:r>
      <w:r w:rsidRPr="006F472F">
        <w:t xml:space="preserve">hecklists in </w:t>
      </w:r>
      <w:r w:rsidR="003B6FF4">
        <w:t>i</w:t>
      </w:r>
      <w:r w:rsidRPr="006F472F">
        <w:t xml:space="preserve">mproving </w:t>
      </w:r>
      <w:r w:rsidR="003B6FF4">
        <w:t>p</w:t>
      </w:r>
      <w:r w:rsidRPr="006F472F">
        <w:t xml:space="preserve">atient </w:t>
      </w:r>
      <w:r w:rsidR="003B6FF4">
        <w:t>s</w:t>
      </w:r>
      <w:r w:rsidRPr="006F472F">
        <w:t xml:space="preserve">afety’, </w:t>
      </w:r>
      <w:r w:rsidRPr="006F472F">
        <w:rPr>
          <w:i/>
          <w:iCs/>
        </w:rPr>
        <w:t>Orthopedics</w:t>
      </w:r>
      <w:r w:rsidRPr="006F472F">
        <w:t>, vol. 39, no. 2, pp. 307–310.</w:t>
      </w:r>
    </w:p>
    <w:p w14:paraId="7AA8D76D" w14:textId="0AFFB048" w:rsidR="006F472F" w:rsidRPr="006F472F" w:rsidRDefault="006F472F" w:rsidP="009739E1">
      <w:pPr>
        <w:pStyle w:val="Reference"/>
      </w:pPr>
      <w:r w:rsidRPr="006F472F">
        <w:t xml:space="preserve">Rajendram, R. 2016, </w:t>
      </w:r>
      <w:r w:rsidRPr="006F472F">
        <w:rPr>
          <w:i/>
          <w:iCs/>
        </w:rPr>
        <w:t xml:space="preserve">Refusing </w:t>
      </w:r>
      <w:r w:rsidR="003B6FF4">
        <w:rPr>
          <w:i/>
          <w:iCs/>
        </w:rPr>
        <w:t>Access to Surgery Recovery A</w:t>
      </w:r>
      <w:r w:rsidRPr="006F472F">
        <w:rPr>
          <w:i/>
          <w:iCs/>
        </w:rPr>
        <w:t xml:space="preserve">rea at a UK </w:t>
      </w:r>
      <w:r w:rsidR="003B6FF4">
        <w:rPr>
          <w:i/>
          <w:iCs/>
        </w:rPr>
        <w:t>H</w:t>
      </w:r>
      <w:r w:rsidRPr="006F472F">
        <w:rPr>
          <w:i/>
          <w:iCs/>
        </w:rPr>
        <w:t xml:space="preserve">ospital </w:t>
      </w:r>
      <w:r w:rsidR="003B6FF4">
        <w:rPr>
          <w:i/>
          <w:iCs/>
        </w:rPr>
        <w:t>U</w:t>
      </w:r>
      <w:r w:rsidRPr="006F472F">
        <w:rPr>
          <w:i/>
          <w:iCs/>
        </w:rPr>
        <w:t xml:space="preserve">nless WHO Safe Surgery Checklist is </w:t>
      </w:r>
      <w:r w:rsidR="003B6FF4">
        <w:rPr>
          <w:i/>
          <w:iCs/>
        </w:rPr>
        <w:t>F</w:t>
      </w:r>
      <w:r w:rsidRPr="006F472F">
        <w:rPr>
          <w:i/>
          <w:iCs/>
        </w:rPr>
        <w:t xml:space="preserve">ully </w:t>
      </w:r>
      <w:r w:rsidR="003B6FF4">
        <w:rPr>
          <w:i/>
          <w:iCs/>
        </w:rPr>
        <w:t>C</w:t>
      </w:r>
      <w:r w:rsidRPr="006F472F">
        <w:rPr>
          <w:i/>
          <w:iCs/>
        </w:rPr>
        <w:t>omplete</w:t>
      </w:r>
      <w:r w:rsidRPr="006F472F">
        <w:t>, May, European Society of Anaesthesiology.</w:t>
      </w:r>
    </w:p>
    <w:p w14:paraId="3A5D6C61" w14:textId="5E0803B3" w:rsidR="006F472F" w:rsidRPr="006F472F" w:rsidRDefault="006F472F" w:rsidP="009739E1">
      <w:pPr>
        <w:pStyle w:val="Reference"/>
      </w:pPr>
      <w:r w:rsidRPr="006F472F">
        <w:t xml:space="preserve">Ringard, Å. and Hagen, T. 2011, ‘Are waiting times for hospital admissions affected by patients’ choices and mobility?’, </w:t>
      </w:r>
      <w:r w:rsidRPr="006F472F">
        <w:rPr>
          <w:i/>
          <w:iCs/>
        </w:rPr>
        <w:t>BMC health services research</w:t>
      </w:r>
      <w:r w:rsidRPr="006F472F">
        <w:t>, vol. 11, p. 170.</w:t>
      </w:r>
    </w:p>
    <w:p w14:paraId="2D13A1C7" w14:textId="5F2694B6" w:rsidR="006F472F" w:rsidRPr="006F472F" w:rsidRDefault="006F472F" w:rsidP="009739E1">
      <w:pPr>
        <w:pStyle w:val="Reference"/>
      </w:pPr>
      <w:r w:rsidRPr="006F472F">
        <w:t xml:space="preserve">——, Saunes, I. and Sagan, A. 2016, ‘The 2015 hospital treatment choice reform in Norway: Continuity or change?’, </w:t>
      </w:r>
      <w:r w:rsidRPr="006F472F">
        <w:rPr>
          <w:i/>
          <w:iCs/>
        </w:rPr>
        <w:t>Health Policy</w:t>
      </w:r>
      <w:r w:rsidRPr="006F472F">
        <w:t>, vol. 120, no. 4, pp. 350–355.</w:t>
      </w:r>
    </w:p>
    <w:p w14:paraId="65320F48" w14:textId="151053A7" w:rsidR="006F472F" w:rsidRPr="006F472F" w:rsidRDefault="006F472F" w:rsidP="009739E1">
      <w:pPr>
        <w:pStyle w:val="Reference"/>
      </w:pPr>
      <w:r w:rsidRPr="006F472F">
        <w:t xml:space="preserve">Runciman, W., Hunt, T., Hannaford, N., Hibbert, P., Westbrook, J., Coiera, E., Day, R., Hindmarsh, D., McGlynn, E. and Braithwaite, J. 2012, ‘CareTrack: assessing the appropriateness of health care delivery in Australia’, </w:t>
      </w:r>
      <w:r w:rsidRPr="006F472F">
        <w:rPr>
          <w:i/>
          <w:iCs/>
        </w:rPr>
        <w:t>Medical Journal of Australia</w:t>
      </w:r>
      <w:r w:rsidRPr="006F472F">
        <w:t>, vol. 197, no. 2, pp. 100–105.</w:t>
      </w:r>
    </w:p>
    <w:p w14:paraId="4C811BA4" w14:textId="6F4CBE36" w:rsidR="006F472F" w:rsidRPr="006F472F" w:rsidRDefault="006F472F" w:rsidP="009739E1">
      <w:pPr>
        <w:pStyle w:val="Reference"/>
      </w:pPr>
      <w:r w:rsidRPr="006F472F">
        <w:t xml:space="preserve">Russell, L. and Doggett, J. 2015, </w:t>
      </w:r>
      <w:r w:rsidRPr="006F472F">
        <w:rPr>
          <w:i/>
          <w:iCs/>
        </w:rPr>
        <w:t xml:space="preserve">Tackling </w:t>
      </w:r>
      <w:r w:rsidR="003B6FF4">
        <w:rPr>
          <w:i/>
          <w:iCs/>
        </w:rPr>
        <w:t>O</w:t>
      </w:r>
      <w:r w:rsidRPr="006F472F">
        <w:rPr>
          <w:i/>
          <w:iCs/>
        </w:rPr>
        <w:t>ut</w:t>
      </w:r>
      <w:r w:rsidR="0084192C">
        <w:rPr>
          <w:i/>
          <w:iCs/>
        </w:rPr>
        <w:noBreakHyphen/>
      </w:r>
      <w:r w:rsidRPr="006F472F">
        <w:rPr>
          <w:i/>
          <w:iCs/>
        </w:rPr>
        <w:t>of</w:t>
      </w:r>
      <w:r w:rsidR="0084192C">
        <w:rPr>
          <w:i/>
          <w:iCs/>
        </w:rPr>
        <w:noBreakHyphen/>
      </w:r>
      <w:r w:rsidRPr="006F472F">
        <w:rPr>
          <w:i/>
          <w:iCs/>
        </w:rPr>
        <w:t xml:space="preserve">pocket </w:t>
      </w:r>
      <w:r w:rsidR="003B6FF4">
        <w:rPr>
          <w:i/>
          <w:iCs/>
        </w:rPr>
        <w:t>H</w:t>
      </w:r>
      <w:r w:rsidRPr="006F472F">
        <w:rPr>
          <w:i/>
          <w:iCs/>
        </w:rPr>
        <w:t xml:space="preserve">eathcare </w:t>
      </w:r>
      <w:r w:rsidR="003B6FF4">
        <w:rPr>
          <w:i/>
          <w:iCs/>
        </w:rPr>
        <w:t>C</w:t>
      </w:r>
      <w:r w:rsidRPr="006F472F">
        <w:rPr>
          <w:i/>
          <w:iCs/>
        </w:rPr>
        <w:t>osts</w:t>
      </w:r>
      <w:r w:rsidRPr="006F472F">
        <w:t>, Discussion Paper, January, Menzies Centre for Health Policy.</w:t>
      </w:r>
    </w:p>
    <w:p w14:paraId="100E3E4B" w14:textId="77777777" w:rsidR="006F472F" w:rsidRPr="006F472F" w:rsidRDefault="006F472F" w:rsidP="009739E1">
      <w:pPr>
        <w:pStyle w:val="Reference"/>
      </w:pPr>
      <w:r w:rsidRPr="006F472F">
        <w:t xml:space="preserve">Schreyer, P. 2010, </w:t>
      </w:r>
      <w:r w:rsidRPr="006F472F">
        <w:rPr>
          <w:i/>
          <w:iCs/>
        </w:rPr>
        <w:t>Towards Measuring the Volume Output of Education and Health Services: A Handbook</w:t>
      </w:r>
      <w:r w:rsidRPr="006F472F">
        <w:t>, OECD Statistics Working Papers, 2010/02, OECD Publishing, Paris.</w:t>
      </w:r>
    </w:p>
    <w:p w14:paraId="0D788350" w14:textId="6B1F45E8" w:rsidR="006F472F" w:rsidRPr="006F472F" w:rsidRDefault="006F472F" w:rsidP="009739E1">
      <w:pPr>
        <w:pStyle w:val="Reference"/>
      </w:pPr>
      <w:r w:rsidRPr="006F472F">
        <w:t xml:space="preserve">Schuster, C. and Perez Brito, C. 2011, </w:t>
      </w:r>
      <w:r w:rsidRPr="006F472F">
        <w:rPr>
          <w:i/>
          <w:iCs/>
        </w:rPr>
        <w:t>Lessons from a Cell Phone</w:t>
      </w:r>
      <w:r w:rsidR="0084192C">
        <w:rPr>
          <w:i/>
          <w:iCs/>
        </w:rPr>
        <w:noBreakHyphen/>
      </w:r>
      <w:r w:rsidRPr="006F472F">
        <w:rPr>
          <w:i/>
          <w:iCs/>
        </w:rPr>
        <w:t>Based</w:t>
      </w:r>
      <w:r w:rsidR="0084192C">
        <w:rPr>
          <w:i/>
          <w:iCs/>
        </w:rPr>
        <w:t xml:space="preserve"> </w:t>
      </w:r>
      <w:r w:rsidRPr="006F472F">
        <w:rPr>
          <w:i/>
          <w:iCs/>
        </w:rPr>
        <w:t>Beneficiary Survey to Strengthen Guatemala’s Conditional Cash Transfer Program</w:t>
      </w:r>
      <w:r w:rsidRPr="006F472F">
        <w:t>, En Breve, February, 166, World Bank.</w:t>
      </w:r>
    </w:p>
    <w:p w14:paraId="63525326" w14:textId="2E65F17B" w:rsidR="006F472F" w:rsidRPr="006F472F" w:rsidRDefault="006F472F" w:rsidP="009739E1">
      <w:pPr>
        <w:pStyle w:val="Reference"/>
      </w:pPr>
      <w:r w:rsidRPr="006F472F">
        <w:t xml:space="preserve">Scott, A. and Connelly, L. 2011, ‘Financial incentives and the health workforce’, </w:t>
      </w:r>
      <w:r w:rsidRPr="006F472F">
        <w:rPr>
          <w:i/>
          <w:iCs/>
        </w:rPr>
        <w:t>Australian Health Review</w:t>
      </w:r>
      <w:r w:rsidRPr="006F472F">
        <w:t>, vol. 35, no. 3, pp. 273–277.</w:t>
      </w:r>
    </w:p>
    <w:p w14:paraId="684CD6C2" w14:textId="77777777" w:rsidR="006F472F" w:rsidRPr="006F472F" w:rsidRDefault="006F472F" w:rsidP="009739E1">
      <w:pPr>
        <w:pStyle w:val="Reference"/>
      </w:pPr>
      <w:r w:rsidRPr="006F472F">
        <w:t xml:space="preserve">SCRGSP (Steering Committee for the Review of Government Service Provision) 2015, </w:t>
      </w:r>
      <w:r w:rsidRPr="006F472F">
        <w:rPr>
          <w:i/>
          <w:iCs/>
        </w:rPr>
        <w:t>Report on Government Services 2015</w:t>
      </w:r>
      <w:r w:rsidRPr="006F472F">
        <w:t>, Productivity Commission.</w:t>
      </w:r>
    </w:p>
    <w:p w14:paraId="66D7B747" w14:textId="4DB14EA5" w:rsidR="006F472F" w:rsidRPr="006F472F" w:rsidRDefault="00756C3A" w:rsidP="009739E1">
      <w:pPr>
        <w:pStyle w:val="Reference"/>
      </w:pPr>
      <w:r>
        <w:t>—— </w:t>
      </w:r>
      <w:r w:rsidR="006F472F" w:rsidRPr="006F472F">
        <w:t xml:space="preserve">2017, </w:t>
      </w:r>
      <w:r w:rsidR="006F472F" w:rsidRPr="006F472F">
        <w:rPr>
          <w:i/>
          <w:iCs/>
        </w:rPr>
        <w:t>Report on Government Services 2017</w:t>
      </w:r>
      <w:r w:rsidR="006F472F" w:rsidRPr="006F472F">
        <w:t>, Productivity Commission.</w:t>
      </w:r>
    </w:p>
    <w:p w14:paraId="7C9F00B9" w14:textId="035C21EC" w:rsidR="006F472F" w:rsidRPr="006F472F" w:rsidRDefault="006F472F" w:rsidP="009739E1">
      <w:pPr>
        <w:pStyle w:val="Reference"/>
      </w:pPr>
      <w:r w:rsidRPr="006F472F">
        <w:t>Sivey, P. 2016,</w:t>
      </w:r>
      <w:r w:rsidRPr="003B6FF4">
        <w:t xml:space="preserve"> </w:t>
      </w:r>
      <w:r w:rsidR="003B6FF4" w:rsidRPr="003B6FF4">
        <w:t>‘</w:t>
      </w:r>
      <w:r w:rsidRPr="003B6FF4">
        <w:rPr>
          <w:iCs/>
        </w:rPr>
        <w:t>How much?! Seeing private specialists often costs more than you bargained for</w:t>
      </w:r>
      <w:r w:rsidR="003B6FF4" w:rsidRPr="003B6FF4">
        <w:rPr>
          <w:iCs/>
        </w:rPr>
        <w:t>’</w:t>
      </w:r>
      <w:r w:rsidRPr="003B6FF4">
        <w:t xml:space="preserve">, </w:t>
      </w:r>
      <w:r w:rsidRPr="003B6FF4">
        <w:rPr>
          <w:i/>
        </w:rPr>
        <w:t>The Conversation</w:t>
      </w:r>
      <w:r w:rsidRPr="006F472F">
        <w:t>, www.theconversation.com/how</w:t>
      </w:r>
      <w:r w:rsidR="0084192C">
        <w:noBreakHyphen/>
      </w:r>
      <w:r w:rsidRPr="006F472F">
        <w:t>much-seeing-private-specialists-often-costs-more-than-you-bargained-for-53445 (accessed 15</w:t>
      </w:r>
      <w:r w:rsidR="0084192C">
        <w:t> </w:t>
      </w:r>
      <w:r w:rsidRPr="006F472F">
        <w:t>March 2017).</w:t>
      </w:r>
    </w:p>
    <w:p w14:paraId="7AEBA28E" w14:textId="6B032BF8" w:rsidR="006F472F" w:rsidRPr="006F472F" w:rsidRDefault="006F472F" w:rsidP="009739E1">
      <w:pPr>
        <w:pStyle w:val="Reference"/>
      </w:pPr>
      <w:r w:rsidRPr="006F472F">
        <w:t xml:space="preserve">Spooren, P., Brockx, B. and Mortelmans, D. 2013, ‘On the </w:t>
      </w:r>
      <w:r w:rsidR="003B6FF4">
        <w:t>v</w:t>
      </w:r>
      <w:r w:rsidRPr="006F472F">
        <w:t xml:space="preserve">alidity of </w:t>
      </w:r>
      <w:r w:rsidR="003B6FF4">
        <w:t>s</w:t>
      </w:r>
      <w:r w:rsidRPr="006F472F">
        <w:t xml:space="preserve">tudent </w:t>
      </w:r>
      <w:r w:rsidR="003B6FF4">
        <w:t>e</w:t>
      </w:r>
      <w:r w:rsidRPr="006F472F">
        <w:t xml:space="preserve">valuation of </w:t>
      </w:r>
      <w:r w:rsidR="003B6FF4">
        <w:t>t</w:t>
      </w:r>
      <w:r w:rsidRPr="006F472F">
        <w:t xml:space="preserve">eaching: The </w:t>
      </w:r>
      <w:r w:rsidR="003B6FF4">
        <w:t>s</w:t>
      </w:r>
      <w:r w:rsidRPr="006F472F">
        <w:t xml:space="preserve">tate of the </w:t>
      </w:r>
      <w:r w:rsidR="003B6FF4">
        <w:t>a</w:t>
      </w:r>
      <w:r w:rsidRPr="006F472F">
        <w:t xml:space="preserve">rt’, </w:t>
      </w:r>
      <w:r w:rsidRPr="006F472F">
        <w:rPr>
          <w:i/>
          <w:iCs/>
        </w:rPr>
        <w:t>Review of Educational Research</w:t>
      </w:r>
      <w:r w:rsidRPr="006F472F">
        <w:t>, vol. 83, no. 4, pp. 598–642.</w:t>
      </w:r>
    </w:p>
    <w:p w14:paraId="3CC80A69" w14:textId="2F25B506" w:rsidR="006F472F" w:rsidRPr="006F472F" w:rsidRDefault="006F472F" w:rsidP="009739E1">
      <w:pPr>
        <w:pStyle w:val="Reference"/>
      </w:pPr>
      <w:r w:rsidRPr="006F472F">
        <w:t xml:space="preserve">SRC (Social Research Centre) 2016, </w:t>
      </w:r>
      <w:r w:rsidRPr="003B6FF4">
        <w:rPr>
          <w:iCs/>
        </w:rPr>
        <w:t xml:space="preserve">About this site </w:t>
      </w:r>
      <w:r w:rsidR="003B6FF4" w:rsidRPr="003B6FF4">
        <w:rPr>
          <w:iCs/>
        </w:rPr>
        <w:t>—</w:t>
      </w:r>
      <w:r w:rsidRPr="003B6FF4">
        <w:rPr>
          <w:iCs/>
        </w:rPr>
        <w:t xml:space="preserve"> </w:t>
      </w:r>
      <w:r w:rsidR="003B6FF4">
        <w:rPr>
          <w:iCs/>
        </w:rPr>
        <w:t>q</w:t>
      </w:r>
      <w:r w:rsidRPr="003B6FF4">
        <w:rPr>
          <w:iCs/>
        </w:rPr>
        <w:t xml:space="preserve">uality </w:t>
      </w:r>
      <w:r w:rsidR="003B6FF4">
        <w:rPr>
          <w:iCs/>
        </w:rPr>
        <w:t>i</w:t>
      </w:r>
      <w:r w:rsidRPr="003B6FF4">
        <w:rPr>
          <w:iCs/>
        </w:rPr>
        <w:t xml:space="preserve">ndicators for </w:t>
      </w:r>
      <w:r w:rsidR="003B6FF4">
        <w:rPr>
          <w:iCs/>
        </w:rPr>
        <w:t>l</w:t>
      </w:r>
      <w:r w:rsidRPr="003B6FF4">
        <w:rPr>
          <w:iCs/>
        </w:rPr>
        <w:t xml:space="preserve">earning and </w:t>
      </w:r>
      <w:r w:rsidR="003B6FF4">
        <w:rPr>
          <w:iCs/>
        </w:rPr>
        <w:t>t</w:t>
      </w:r>
      <w:r w:rsidRPr="003B6FF4">
        <w:rPr>
          <w:iCs/>
        </w:rPr>
        <w:t>eaching</w:t>
      </w:r>
      <w:r w:rsidRPr="006F472F">
        <w:t>, www.qilt.edu.au/about-this-site (accessed 10</w:t>
      </w:r>
      <w:r w:rsidR="0084192C">
        <w:t> </w:t>
      </w:r>
      <w:r w:rsidRPr="006F472F">
        <w:t>January 2017).</w:t>
      </w:r>
    </w:p>
    <w:p w14:paraId="61443C7A" w14:textId="320D2F0D" w:rsidR="006F472F" w:rsidRPr="006F472F" w:rsidRDefault="006F472F" w:rsidP="009739E1">
      <w:pPr>
        <w:pStyle w:val="Reference"/>
      </w:pPr>
      <w:r w:rsidRPr="006F472F">
        <w:t xml:space="preserve">Stark, P. and Freishtat, R. 2014, ‘An </w:t>
      </w:r>
      <w:r w:rsidR="003B6FF4">
        <w:t>e</w:t>
      </w:r>
      <w:r w:rsidRPr="006F472F">
        <w:t xml:space="preserve">valuation of </w:t>
      </w:r>
      <w:r w:rsidR="003B6FF4">
        <w:t>c</w:t>
      </w:r>
      <w:r w:rsidRPr="006F472F">
        <w:t xml:space="preserve">ourse </w:t>
      </w:r>
      <w:r w:rsidR="003B6FF4">
        <w:t>e</w:t>
      </w:r>
      <w:r w:rsidRPr="006F472F">
        <w:t xml:space="preserve">valuations’, </w:t>
      </w:r>
      <w:r w:rsidRPr="006F472F">
        <w:rPr>
          <w:i/>
          <w:iCs/>
        </w:rPr>
        <w:t>ScienceOpen Research</w:t>
      </w:r>
      <w:r w:rsidRPr="006F472F">
        <w:t>.</w:t>
      </w:r>
    </w:p>
    <w:p w14:paraId="11D10876" w14:textId="26C9789E" w:rsidR="006F472F" w:rsidRPr="006F472F" w:rsidRDefault="006F472F" w:rsidP="009739E1">
      <w:pPr>
        <w:pStyle w:val="Reference"/>
      </w:pPr>
      <w:r w:rsidRPr="006F472F">
        <w:t xml:space="preserve">Stroebe, W. 2016, ‘Why </w:t>
      </w:r>
      <w:r w:rsidR="003B6FF4">
        <w:t>g</w:t>
      </w:r>
      <w:r w:rsidRPr="006F472F">
        <w:t xml:space="preserve">ood </w:t>
      </w:r>
      <w:r w:rsidR="003B6FF4">
        <w:t>t</w:t>
      </w:r>
      <w:r w:rsidRPr="006F472F">
        <w:t xml:space="preserve">eaching </w:t>
      </w:r>
      <w:r w:rsidR="003B6FF4">
        <w:t>e</w:t>
      </w:r>
      <w:r w:rsidRPr="006F472F">
        <w:t xml:space="preserve">valuations </w:t>
      </w:r>
      <w:r w:rsidR="003B6FF4">
        <w:t>m</w:t>
      </w:r>
      <w:r w:rsidRPr="006F472F">
        <w:t xml:space="preserve">ay </w:t>
      </w:r>
      <w:r w:rsidR="003B6FF4">
        <w:t>r</w:t>
      </w:r>
      <w:r w:rsidRPr="006F472F">
        <w:t xml:space="preserve">eward </w:t>
      </w:r>
      <w:r w:rsidR="003B6FF4">
        <w:t>b</w:t>
      </w:r>
      <w:r w:rsidRPr="006F472F">
        <w:t xml:space="preserve">ad </w:t>
      </w:r>
      <w:r w:rsidR="003B6FF4">
        <w:t>t</w:t>
      </w:r>
      <w:r w:rsidRPr="006F472F">
        <w:t xml:space="preserve">eaching: On </w:t>
      </w:r>
      <w:r w:rsidR="003B6FF4">
        <w:t>g</w:t>
      </w:r>
      <w:r w:rsidRPr="006F472F">
        <w:t xml:space="preserve">rade </w:t>
      </w:r>
      <w:r w:rsidR="003B6FF4">
        <w:t>i</w:t>
      </w:r>
      <w:r w:rsidRPr="006F472F">
        <w:t xml:space="preserve">nflation and </w:t>
      </w:r>
      <w:r w:rsidR="003B6FF4">
        <w:t>o</w:t>
      </w:r>
      <w:r w:rsidRPr="006F472F">
        <w:t xml:space="preserve">ther </w:t>
      </w:r>
      <w:r w:rsidR="003B6FF4">
        <w:t>u</w:t>
      </w:r>
      <w:r w:rsidRPr="006F472F">
        <w:t xml:space="preserve">nintended </w:t>
      </w:r>
      <w:r w:rsidR="003B6FF4">
        <w:t>c</w:t>
      </w:r>
      <w:r w:rsidRPr="006F472F">
        <w:t xml:space="preserve">onsequences of </w:t>
      </w:r>
      <w:r w:rsidR="003B6FF4">
        <w:t>s</w:t>
      </w:r>
      <w:r w:rsidRPr="006F472F">
        <w:t xml:space="preserve">tudent </w:t>
      </w:r>
      <w:r w:rsidR="003B6FF4">
        <w:t>e</w:t>
      </w:r>
      <w:r w:rsidRPr="006F472F">
        <w:t xml:space="preserve">valuations’, </w:t>
      </w:r>
      <w:r w:rsidRPr="006F472F">
        <w:rPr>
          <w:i/>
          <w:iCs/>
        </w:rPr>
        <w:t>Perspectives on Psychological Science: A Journal of the Association for Psychological Science</w:t>
      </w:r>
      <w:r w:rsidRPr="006F472F">
        <w:t>, vol. 11, no. 6, pp. 800–816.</w:t>
      </w:r>
    </w:p>
    <w:p w14:paraId="1B3E5F2D" w14:textId="4D84A64A" w:rsidR="006F472F" w:rsidRPr="006F472F" w:rsidRDefault="006F472F" w:rsidP="009739E1">
      <w:pPr>
        <w:pStyle w:val="Reference"/>
      </w:pPr>
      <w:r w:rsidRPr="006F472F">
        <w:t xml:space="preserve">Swan, N. 2015, </w:t>
      </w:r>
      <w:r w:rsidRPr="003B6FF4">
        <w:rPr>
          <w:iCs/>
        </w:rPr>
        <w:t>Many Australian surgeons not following international surgical checklist</w:t>
      </w:r>
      <w:r w:rsidRPr="003B6FF4">
        <w:t>,</w:t>
      </w:r>
      <w:r w:rsidR="003B6FF4">
        <w:t xml:space="preserve"> 14 </w:t>
      </w:r>
      <w:r w:rsidRPr="006F472F">
        <w:t>October, Health Report, ABC.</w:t>
      </w:r>
    </w:p>
    <w:p w14:paraId="42D5FFB0" w14:textId="463675FD" w:rsidR="006F472F" w:rsidRPr="006F472F" w:rsidRDefault="006F472F" w:rsidP="009739E1">
      <w:pPr>
        <w:pStyle w:val="Reference"/>
      </w:pPr>
      <w:r w:rsidRPr="006F472F">
        <w:t xml:space="preserve">Taylor, A. 2015, ‘Time to empower patients in healthcare’, </w:t>
      </w:r>
      <w:r w:rsidRPr="006F472F">
        <w:rPr>
          <w:i/>
          <w:iCs/>
        </w:rPr>
        <w:t>The Sydney Morning Herald</w:t>
      </w:r>
      <w:r w:rsidR="003B6FF4">
        <w:t>, 30 </w:t>
      </w:r>
      <w:r w:rsidRPr="006F472F">
        <w:t>October.</w:t>
      </w:r>
    </w:p>
    <w:p w14:paraId="26BEE193" w14:textId="77777777" w:rsidR="006F472F" w:rsidRPr="006F472F" w:rsidRDefault="006F472F" w:rsidP="009739E1">
      <w:pPr>
        <w:pStyle w:val="Reference"/>
      </w:pPr>
      <w:r w:rsidRPr="006F472F">
        <w:t xml:space="preserve">TfNSW (Transport for New South Wales) 2014, </w:t>
      </w:r>
      <w:r w:rsidRPr="006F472F">
        <w:rPr>
          <w:i/>
          <w:iCs/>
        </w:rPr>
        <w:t>Guideline for Construction Contractor Performance Reporting</w:t>
      </w:r>
      <w:r w:rsidRPr="006F472F">
        <w:t>.</w:t>
      </w:r>
    </w:p>
    <w:p w14:paraId="03E087B1" w14:textId="728AD586" w:rsidR="006F472F" w:rsidRPr="006F472F" w:rsidRDefault="006F472F" w:rsidP="009739E1">
      <w:pPr>
        <w:pStyle w:val="Reference"/>
      </w:pPr>
      <w:r w:rsidRPr="006F472F">
        <w:t xml:space="preserve">Totten, A., Wagner, J., Tiwari, A., O’Haire, C., Griffin, J. and Walker, M. 2012, </w:t>
      </w:r>
      <w:r w:rsidRPr="006F472F">
        <w:rPr>
          <w:i/>
          <w:iCs/>
        </w:rPr>
        <w:t>Public Reporting as a Quality Improvement Strategy, Closing the Quality Gap: Revisiting the State of</w:t>
      </w:r>
      <w:r w:rsidR="0084192C">
        <w:rPr>
          <w:i/>
          <w:iCs/>
        </w:rPr>
        <w:t xml:space="preserve"> </w:t>
      </w:r>
      <w:r w:rsidRPr="006F472F">
        <w:rPr>
          <w:i/>
          <w:iCs/>
        </w:rPr>
        <w:t>the Science</w:t>
      </w:r>
      <w:r w:rsidRPr="006F472F">
        <w:t>, Evidence Reports/Technology Assessments, Evidence Report no. 208, Agency for Healthcare Research and Quality, United States.</w:t>
      </w:r>
    </w:p>
    <w:p w14:paraId="57C2491F" w14:textId="3B45A6B1" w:rsidR="006F472F" w:rsidRPr="006F472F" w:rsidRDefault="006F472F" w:rsidP="009739E1">
      <w:pPr>
        <w:pStyle w:val="Reference"/>
      </w:pPr>
      <w:r w:rsidRPr="006F472F">
        <w:t>Uttl, B., White, C. and Gonzalez, D. 201</w:t>
      </w:r>
      <w:r w:rsidR="003B6FF4">
        <w:t>7</w:t>
      </w:r>
      <w:r w:rsidRPr="006F472F">
        <w:t>, ‘Meta</w:t>
      </w:r>
      <w:r w:rsidR="0084192C">
        <w:noBreakHyphen/>
      </w:r>
      <w:r w:rsidRPr="006F472F">
        <w:t xml:space="preserve">analysis of faculty’s teaching effectiveness: Student evaluation of teaching ratings and student learning are not related’, </w:t>
      </w:r>
      <w:r w:rsidRPr="006F472F">
        <w:rPr>
          <w:i/>
          <w:iCs/>
        </w:rPr>
        <w:t>Studies in Educational Evaluation</w:t>
      </w:r>
      <w:r w:rsidR="003B6FF4">
        <w:t>, vol. 54, September, pp. 22</w:t>
      </w:r>
      <w:r w:rsidR="003B6FF4">
        <w:noBreakHyphen/>
        <w:t>42.</w:t>
      </w:r>
    </w:p>
    <w:p w14:paraId="537C1077" w14:textId="77777777" w:rsidR="006F472F" w:rsidRPr="006F472F" w:rsidRDefault="006F472F" w:rsidP="009739E1">
      <w:pPr>
        <w:pStyle w:val="Reference"/>
      </w:pPr>
      <w:r w:rsidRPr="006F472F">
        <w:t xml:space="preserve">Verma, R.K. 2015, </w:t>
      </w:r>
      <w:r w:rsidRPr="006F472F">
        <w:rPr>
          <w:i/>
          <w:iCs/>
        </w:rPr>
        <w:t>Overview: What are PROMS and PREMs?</w:t>
      </w:r>
      <w:r w:rsidRPr="006F472F">
        <w:t>, NSW Agency for Clinical Innovation.</w:t>
      </w:r>
    </w:p>
    <w:p w14:paraId="599075C7" w14:textId="77777777" w:rsidR="006F472F" w:rsidRPr="006F472F" w:rsidRDefault="006F472F" w:rsidP="009739E1">
      <w:pPr>
        <w:pStyle w:val="Reference"/>
      </w:pPr>
      <w:r w:rsidRPr="006F472F">
        <w:t xml:space="preserve">Vrangbaek, K., Østergren, K., Birk, H.O. and Winblad, U. 2007, ‘Patient reactions to hospital choice in Norway, Denmark, and Sweden’, </w:t>
      </w:r>
      <w:r w:rsidRPr="006F472F">
        <w:rPr>
          <w:i/>
          <w:iCs/>
        </w:rPr>
        <w:t>Health Economics, Policy, and Law</w:t>
      </w:r>
      <w:r w:rsidRPr="006F472F">
        <w:t>, vol. 2, no. 2, pp. 125–152.</w:t>
      </w:r>
    </w:p>
    <w:p w14:paraId="16033740" w14:textId="4EB630E1" w:rsidR="006F472F" w:rsidRPr="006F472F" w:rsidRDefault="006F472F" w:rsidP="009739E1">
      <w:pPr>
        <w:pStyle w:val="Reference"/>
      </w:pPr>
      <w:r w:rsidRPr="006F472F">
        <w:t xml:space="preserve">WA DTF (Western Australian Department of Treasury and Finance) 2004, </w:t>
      </w:r>
      <w:r w:rsidRPr="006F472F">
        <w:rPr>
          <w:i/>
          <w:iCs/>
        </w:rPr>
        <w:t xml:space="preserve">Outcome Based Management: Guidelines for </w:t>
      </w:r>
      <w:r w:rsidR="00BC4D70">
        <w:rPr>
          <w:i/>
          <w:iCs/>
        </w:rPr>
        <w:t>U</w:t>
      </w:r>
      <w:r w:rsidRPr="006F472F">
        <w:rPr>
          <w:i/>
          <w:iCs/>
        </w:rPr>
        <w:t>se in the Western Australia Public Sector</w:t>
      </w:r>
      <w:r w:rsidRPr="006F472F">
        <w:t>, November.</w:t>
      </w:r>
    </w:p>
    <w:p w14:paraId="146B5191" w14:textId="7F9682A9" w:rsidR="006F472F" w:rsidRPr="006F472F" w:rsidRDefault="006F472F" w:rsidP="009739E1">
      <w:pPr>
        <w:pStyle w:val="Reference"/>
      </w:pPr>
      <w:r w:rsidRPr="006F472F">
        <w:t xml:space="preserve">Ware, G., Ryan, C., Stevenson, H. and Curran, T. 2014, </w:t>
      </w:r>
      <w:r w:rsidR="00BC4D70" w:rsidRPr="00BC4D70">
        <w:t>‘</w:t>
      </w:r>
      <w:r w:rsidRPr="00BC4D70">
        <w:rPr>
          <w:iCs/>
        </w:rPr>
        <w:t>Teachers remain divided on performance</w:t>
      </w:r>
      <w:r w:rsidR="0084192C" w:rsidRPr="00BC4D70">
        <w:rPr>
          <w:iCs/>
        </w:rPr>
        <w:noBreakHyphen/>
      </w:r>
      <w:r w:rsidRPr="00BC4D70">
        <w:rPr>
          <w:iCs/>
        </w:rPr>
        <w:t>related pay</w:t>
      </w:r>
      <w:r w:rsidR="00BC4D70" w:rsidRPr="00BC4D70">
        <w:rPr>
          <w:iCs/>
        </w:rPr>
        <w:t>’</w:t>
      </w:r>
      <w:r w:rsidRPr="00BC4D70">
        <w:t>,</w:t>
      </w:r>
      <w:r w:rsidRPr="006F472F">
        <w:t xml:space="preserve"> </w:t>
      </w:r>
      <w:r w:rsidRPr="00BC4D70">
        <w:rPr>
          <w:i/>
        </w:rPr>
        <w:t>The Conversation</w:t>
      </w:r>
      <w:r w:rsidRPr="006F472F">
        <w:t>, www.theconversation.com/teachers-remain-divided-on-performance-related-pay-27664 (accessed 22</w:t>
      </w:r>
      <w:r w:rsidR="0084192C">
        <w:t> </w:t>
      </w:r>
      <w:r w:rsidRPr="006F472F">
        <w:t>March 2017).</w:t>
      </w:r>
    </w:p>
    <w:p w14:paraId="7424EDCE" w14:textId="270FB456" w:rsidR="006F472F" w:rsidRPr="006F472F" w:rsidRDefault="006F472F" w:rsidP="009739E1">
      <w:pPr>
        <w:pStyle w:val="Reference"/>
      </w:pPr>
      <w:r w:rsidRPr="006F472F">
        <w:t xml:space="preserve">Waters, T., Daniels, M., Bazzoli, G., Perencevich, E., Dunton, N., Staggs, V., Potter, C., Fareed, N., Liu, M. and Shorr, R.I. 2015, ‘Effect of </w:t>
      </w:r>
      <w:r w:rsidR="00BA760B">
        <w:t>M</w:t>
      </w:r>
      <w:r w:rsidRPr="006F472F">
        <w:t xml:space="preserve">edicare’s </w:t>
      </w:r>
      <w:r w:rsidR="00BC4D70">
        <w:t>n</w:t>
      </w:r>
      <w:r w:rsidRPr="006F472F">
        <w:t xml:space="preserve">onpayment for </w:t>
      </w:r>
      <w:r w:rsidR="00BC4D70">
        <w:t>h</w:t>
      </w:r>
      <w:r w:rsidRPr="006F472F">
        <w:t>ospital</w:t>
      </w:r>
      <w:r w:rsidR="0084192C">
        <w:noBreakHyphen/>
      </w:r>
      <w:r w:rsidR="00BC4D70">
        <w:t>a</w:t>
      </w:r>
      <w:r w:rsidRPr="006F472F">
        <w:t xml:space="preserve">cquired </w:t>
      </w:r>
      <w:r w:rsidR="00BC4D70">
        <w:t>c</w:t>
      </w:r>
      <w:r w:rsidRPr="006F472F">
        <w:t xml:space="preserve">onditions: Lessons for </w:t>
      </w:r>
      <w:r w:rsidR="00BC4D70">
        <w:t>f</w:t>
      </w:r>
      <w:r w:rsidRPr="006F472F">
        <w:t xml:space="preserve">uture </w:t>
      </w:r>
      <w:r w:rsidR="00BC4D70">
        <w:t>p</w:t>
      </w:r>
      <w:r w:rsidRPr="006F472F">
        <w:t xml:space="preserve">olicy’, </w:t>
      </w:r>
      <w:r w:rsidRPr="006F472F">
        <w:rPr>
          <w:i/>
          <w:iCs/>
        </w:rPr>
        <w:t>JAMA Internal Medicine</w:t>
      </w:r>
      <w:r w:rsidRPr="006F472F">
        <w:t>, vol. 175, no. 3, pp. 347–354.</w:t>
      </w:r>
    </w:p>
    <w:p w14:paraId="2A732B8B" w14:textId="15939A0E" w:rsidR="006A354E" w:rsidRPr="00990050" w:rsidRDefault="006F472F" w:rsidP="009739E1">
      <w:pPr>
        <w:pStyle w:val="Reference"/>
      </w:pPr>
      <w:r w:rsidRPr="006F472F">
        <w:t xml:space="preserve">Williams, K., Sansoni, J., Morris, D., Grootemaat, P. and Thompson, C. 2016, </w:t>
      </w:r>
      <w:r w:rsidRPr="006F472F">
        <w:rPr>
          <w:i/>
          <w:iCs/>
        </w:rPr>
        <w:t>Patient</w:t>
      </w:r>
      <w:r w:rsidR="0084192C">
        <w:rPr>
          <w:i/>
          <w:iCs/>
        </w:rPr>
        <w:noBreakHyphen/>
      </w:r>
      <w:r w:rsidR="00BC4D70">
        <w:rPr>
          <w:i/>
          <w:iCs/>
        </w:rPr>
        <w:t>reported Outcome M</w:t>
      </w:r>
      <w:r w:rsidR="00604A79">
        <w:rPr>
          <w:i/>
          <w:iCs/>
        </w:rPr>
        <w:t>easures: Literature R</w:t>
      </w:r>
      <w:r w:rsidRPr="006F472F">
        <w:rPr>
          <w:i/>
          <w:iCs/>
        </w:rPr>
        <w:t>eview</w:t>
      </w:r>
      <w:r w:rsidRPr="006F472F">
        <w:t>, ACSQHC.</w:t>
      </w:r>
    </w:p>
    <w:sectPr w:rsidR="006A354E" w:rsidRPr="00990050" w:rsidSect="00762162">
      <w:headerReference w:type="even" r:id="rId23"/>
      <w:headerReference w:type="default" r:id="rId24"/>
      <w:footerReference w:type="even" r:id="rId25"/>
      <w:footerReference w:type="default" r:id="rId26"/>
      <w:pgSz w:w="11907" w:h="16840" w:code="9"/>
      <w:pgMar w:top="1984"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38A51" w14:textId="77777777" w:rsidR="003C64D1" w:rsidRDefault="003C64D1">
      <w:r>
        <w:separator/>
      </w:r>
    </w:p>
  </w:endnote>
  <w:endnote w:type="continuationSeparator" w:id="0">
    <w:p w14:paraId="62C5F8A5" w14:textId="77777777" w:rsidR="003C64D1" w:rsidRDefault="003C64D1">
      <w:r>
        <w:continuationSeparator/>
      </w:r>
    </w:p>
  </w:endnote>
  <w:endnote w:type="continuationNotice" w:id="1">
    <w:p w14:paraId="492249B7" w14:textId="77777777" w:rsidR="003C64D1" w:rsidRDefault="003C64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C64D1" w14:paraId="6E90C16D" w14:textId="77777777" w:rsidTr="006F472F">
      <w:trPr>
        <w:trHeight w:hRule="exact" w:val="567"/>
      </w:trPr>
      <w:tc>
        <w:tcPr>
          <w:tcW w:w="510" w:type="dxa"/>
        </w:tcPr>
        <w:p w14:paraId="1BC93F48" w14:textId="77777777" w:rsidR="003C64D1" w:rsidRPr="00A24443" w:rsidRDefault="003C64D1" w:rsidP="00D54FF8">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4</w:t>
          </w:r>
          <w:r w:rsidRPr="00A24443">
            <w:rPr>
              <w:rStyle w:val="PageNumber"/>
              <w:caps w:val="0"/>
            </w:rPr>
            <w:fldChar w:fldCharType="end"/>
          </w:r>
        </w:p>
      </w:tc>
      <w:tc>
        <w:tcPr>
          <w:tcW w:w="7767" w:type="dxa"/>
        </w:tcPr>
        <w:p w14:paraId="128D5CF7" w14:textId="77777777" w:rsidR="003C64D1" w:rsidRPr="0013739A" w:rsidRDefault="003C64D1" w:rsidP="00D54FF8">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Pr>
              <w:rFonts w:cs="Arial"/>
            </w:rPr>
            <w:t>Productivity Review</w:t>
          </w:r>
          <w:r w:rsidRPr="00BA5B14">
            <w:rPr>
              <w:rFonts w:cs="Arial"/>
            </w:rPr>
            <w:fldChar w:fldCharType="end"/>
          </w:r>
        </w:p>
      </w:tc>
      <w:tc>
        <w:tcPr>
          <w:tcW w:w="510" w:type="dxa"/>
        </w:tcPr>
        <w:p w14:paraId="54341EDC" w14:textId="77777777" w:rsidR="003C64D1" w:rsidRDefault="003C64D1" w:rsidP="00D54FF8">
          <w:pPr>
            <w:pStyle w:val="Footer"/>
          </w:pPr>
        </w:p>
      </w:tc>
    </w:tr>
  </w:tbl>
  <w:p w14:paraId="425954D4" w14:textId="77777777" w:rsidR="003C64D1" w:rsidRDefault="003C64D1" w:rsidP="00D54FF8">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C64D1" w14:paraId="1DDA3A13" w14:textId="77777777" w:rsidTr="006F472F">
      <w:trPr>
        <w:trHeight w:hRule="exact" w:val="567"/>
      </w:trPr>
      <w:tc>
        <w:tcPr>
          <w:tcW w:w="510" w:type="dxa"/>
        </w:tcPr>
        <w:p w14:paraId="205C6D63" w14:textId="77777777" w:rsidR="003C64D1" w:rsidRDefault="003C64D1" w:rsidP="00D54FF8">
          <w:pPr>
            <w:pStyle w:val="Footer"/>
            <w:ind w:right="360" w:firstLine="360"/>
          </w:pPr>
        </w:p>
      </w:tc>
      <w:tc>
        <w:tcPr>
          <w:tcW w:w="7767" w:type="dxa"/>
        </w:tcPr>
        <w:p w14:paraId="14DD31E1" w14:textId="76A7E84D" w:rsidR="003C64D1" w:rsidRPr="00BA5B14" w:rsidRDefault="003C64D1" w:rsidP="00D54FF8">
          <w:pPr>
            <w:pStyle w:val="Footer"/>
            <w:jc w:val="right"/>
            <w:rPr>
              <w:rFonts w:cs="Arial"/>
            </w:rPr>
          </w:pPr>
          <w:r>
            <w:rPr>
              <w:rFonts w:cs="Arial"/>
            </w:rPr>
            <w:t>sp 3 – comparative performance indicators</w:t>
          </w:r>
        </w:p>
      </w:tc>
      <w:tc>
        <w:tcPr>
          <w:tcW w:w="510" w:type="dxa"/>
        </w:tcPr>
        <w:p w14:paraId="04CF4016" w14:textId="77777777" w:rsidR="003C64D1" w:rsidRPr="00A24443" w:rsidRDefault="003C64D1" w:rsidP="00D54FF8">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12295">
            <w:rPr>
              <w:rStyle w:val="PageNumber"/>
              <w:caps w:val="0"/>
              <w:noProof/>
            </w:rPr>
            <w:t>1</w:t>
          </w:r>
          <w:r w:rsidRPr="00A24443">
            <w:rPr>
              <w:rStyle w:val="PageNumber"/>
              <w:caps w:val="0"/>
            </w:rPr>
            <w:fldChar w:fldCharType="end"/>
          </w:r>
        </w:p>
      </w:tc>
    </w:tr>
  </w:tbl>
  <w:p w14:paraId="57F2B993" w14:textId="77777777" w:rsidR="003C64D1" w:rsidRDefault="003C64D1" w:rsidP="00D54FF8">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C64D1" w14:paraId="32042154" w14:textId="77777777" w:rsidTr="006F472F">
      <w:trPr>
        <w:trHeight w:hRule="exact" w:val="567"/>
      </w:trPr>
      <w:tc>
        <w:tcPr>
          <w:tcW w:w="510" w:type="dxa"/>
        </w:tcPr>
        <w:p w14:paraId="7FCA13CC" w14:textId="77777777" w:rsidR="003C64D1" w:rsidRPr="00A24443" w:rsidRDefault="003C64D1" w:rsidP="00D54FF8">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12295">
            <w:rPr>
              <w:rStyle w:val="PageNumber"/>
              <w:caps w:val="0"/>
              <w:noProof/>
            </w:rPr>
            <w:t>18</w:t>
          </w:r>
          <w:r w:rsidRPr="00A24443">
            <w:rPr>
              <w:rStyle w:val="PageNumber"/>
              <w:caps w:val="0"/>
            </w:rPr>
            <w:fldChar w:fldCharType="end"/>
          </w:r>
        </w:p>
      </w:tc>
      <w:tc>
        <w:tcPr>
          <w:tcW w:w="7767" w:type="dxa"/>
        </w:tcPr>
        <w:p w14:paraId="06667CFD" w14:textId="3C8842A1" w:rsidR="003C64D1" w:rsidRPr="0013739A" w:rsidRDefault="003C64D1" w:rsidP="00D54FF8">
          <w:pPr>
            <w:pStyle w:val="Footer"/>
            <w:rPr>
              <w:rFonts w:cs="Arial"/>
            </w:rPr>
          </w:pPr>
          <w:r>
            <w:rPr>
              <w:rFonts w:cs="Arial"/>
            </w:rPr>
            <w:t>Productivity Review</w:t>
          </w:r>
        </w:p>
      </w:tc>
      <w:tc>
        <w:tcPr>
          <w:tcW w:w="510" w:type="dxa"/>
        </w:tcPr>
        <w:p w14:paraId="24D59D66" w14:textId="77777777" w:rsidR="003C64D1" w:rsidRDefault="003C64D1" w:rsidP="00D54FF8">
          <w:pPr>
            <w:pStyle w:val="Footer"/>
          </w:pPr>
        </w:p>
      </w:tc>
    </w:tr>
  </w:tbl>
  <w:p w14:paraId="637F7419" w14:textId="77777777" w:rsidR="003C64D1" w:rsidRDefault="003C64D1" w:rsidP="00D54FF8">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C64D1" w14:paraId="0D0ECED0" w14:textId="77777777" w:rsidTr="006F472F">
      <w:trPr>
        <w:trHeight w:hRule="exact" w:val="567"/>
      </w:trPr>
      <w:tc>
        <w:tcPr>
          <w:tcW w:w="510" w:type="dxa"/>
        </w:tcPr>
        <w:p w14:paraId="4F9D9162" w14:textId="77777777" w:rsidR="003C64D1" w:rsidRDefault="003C64D1" w:rsidP="00D54FF8">
          <w:pPr>
            <w:pStyle w:val="Footer"/>
            <w:ind w:right="360" w:firstLine="360"/>
          </w:pPr>
        </w:p>
      </w:tc>
      <w:tc>
        <w:tcPr>
          <w:tcW w:w="7767" w:type="dxa"/>
        </w:tcPr>
        <w:p w14:paraId="6ADF2E1F" w14:textId="76A57418" w:rsidR="003C64D1" w:rsidRPr="00BA5B14" w:rsidRDefault="003C64D1" w:rsidP="00D54FF8">
          <w:pPr>
            <w:pStyle w:val="Footer"/>
            <w:jc w:val="right"/>
            <w:rPr>
              <w:rFonts w:cs="Arial"/>
            </w:rPr>
          </w:pPr>
          <w:r>
            <w:rPr>
              <w:rFonts w:cs="Arial"/>
            </w:rPr>
            <w:t>sp 3 – comparative performance indicators</w:t>
          </w:r>
        </w:p>
      </w:tc>
      <w:tc>
        <w:tcPr>
          <w:tcW w:w="510" w:type="dxa"/>
        </w:tcPr>
        <w:p w14:paraId="0EF94D15" w14:textId="77777777" w:rsidR="003C64D1" w:rsidRPr="00A24443" w:rsidRDefault="003C64D1" w:rsidP="00D54FF8">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12295">
            <w:rPr>
              <w:rStyle w:val="PageNumber"/>
              <w:caps w:val="0"/>
              <w:noProof/>
            </w:rPr>
            <w:t>19</w:t>
          </w:r>
          <w:r w:rsidRPr="00A24443">
            <w:rPr>
              <w:rStyle w:val="PageNumber"/>
              <w:caps w:val="0"/>
            </w:rPr>
            <w:fldChar w:fldCharType="end"/>
          </w:r>
        </w:p>
      </w:tc>
    </w:tr>
  </w:tbl>
  <w:p w14:paraId="0C20AD2D" w14:textId="77777777" w:rsidR="003C64D1" w:rsidRDefault="003C64D1" w:rsidP="00D54FF8">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3917E" w14:textId="77777777" w:rsidR="003C64D1" w:rsidRDefault="003C64D1">
      <w:r>
        <w:separator/>
      </w:r>
    </w:p>
  </w:footnote>
  <w:footnote w:type="continuationSeparator" w:id="0">
    <w:p w14:paraId="0FC825C5" w14:textId="77777777" w:rsidR="003C64D1" w:rsidRDefault="003C64D1">
      <w:r>
        <w:continuationSeparator/>
      </w:r>
    </w:p>
  </w:footnote>
  <w:footnote w:type="continuationNotice" w:id="1">
    <w:p w14:paraId="0256A265" w14:textId="77777777" w:rsidR="003C64D1" w:rsidRDefault="003C64D1"/>
  </w:footnote>
  <w:footnote w:id="2">
    <w:p w14:paraId="1E228C74" w14:textId="110B29C1" w:rsidR="003C64D1" w:rsidRDefault="003C64D1">
      <w:pPr>
        <w:pStyle w:val="FootnoteText"/>
      </w:pPr>
      <w:r w:rsidRPr="00441F05">
        <w:rPr>
          <w:rStyle w:val="FootnoteReference"/>
        </w:rPr>
        <w:footnoteRef/>
      </w:r>
      <w:r>
        <w:tab/>
        <w:t>The ABS and the Department of Industry, Innovation and Science have developed a firm level database (BLADE) that will allow such analysis to be undertaken in the future (see chapter 5 in the main report).</w:t>
      </w:r>
    </w:p>
  </w:footnote>
  <w:footnote w:id="3">
    <w:p w14:paraId="128DAF76" w14:textId="6504EA3F" w:rsidR="003C64D1" w:rsidRDefault="003C64D1">
      <w:pPr>
        <w:pStyle w:val="FootnoteText"/>
      </w:pPr>
      <w:r w:rsidRPr="00441F05">
        <w:rPr>
          <w:rStyle w:val="FootnoteReference"/>
        </w:rPr>
        <w:footnoteRef/>
      </w:r>
      <w:r>
        <w:t xml:space="preserve"> </w:t>
      </w:r>
      <w:r>
        <w:tab/>
        <w:t>Of the three industries in the non-market sector, considerably more research and experience on performance indicators has been accumulated in health care than in education or public administration. As such, much of this paper is reliant on insights from the health care industry.</w:t>
      </w:r>
    </w:p>
  </w:footnote>
  <w:footnote w:id="4">
    <w:p w14:paraId="2A0C388B" w14:textId="245E99D4" w:rsidR="003C64D1" w:rsidRDefault="003C64D1">
      <w:pPr>
        <w:pStyle w:val="FootnoteText"/>
      </w:pPr>
      <w:r w:rsidRPr="00441F05">
        <w:rPr>
          <w:rStyle w:val="FootnoteReference"/>
        </w:rPr>
        <w:footnoteRef/>
      </w:r>
      <w:r>
        <w:tab/>
        <w:t>A</w:t>
      </w:r>
      <w:r w:rsidRPr="00F27410">
        <w:t xml:space="preserve">lthough there are indications that </w:t>
      </w:r>
      <w:r>
        <w:t>the market sector</w:t>
      </w:r>
      <w:r w:rsidRPr="00F27410">
        <w:t xml:space="preserve"> diffusion mecha</w:t>
      </w:r>
      <w:r>
        <w:t>nism may have weakened in many OECD countries —</w:t>
      </w:r>
      <w:r w:rsidRPr="00F27410">
        <w:t xml:space="preserve"> see</w:t>
      </w:r>
      <w:r>
        <w:t xml:space="preserve"> </w:t>
      </w:r>
      <w:r w:rsidRPr="002958F6">
        <w:rPr>
          <w:szCs w:val="24"/>
        </w:rPr>
        <w:t>Andrews, Criscuolo and Gal</w:t>
      </w:r>
      <w:r>
        <w:t xml:space="preserve"> </w:t>
      </w:r>
      <w:r w:rsidRPr="005A6E8A">
        <w:t>(2015)</w:t>
      </w:r>
      <w:r>
        <w:t xml:space="preserve"> and </w:t>
      </w:r>
      <w:r w:rsidRPr="002958F6">
        <w:rPr>
          <w:szCs w:val="24"/>
        </w:rPr>
        <w:t>Conway </w:t>
      </w:r>
      <w:r w:rsidRPr="005A6E8A">
        <w:t>(2016)</w:t>
      </w:r>
      <w:r>
        <w:t>.</w:t>
      </w:r>
    </w:p>
  </w:footnote>
  <w:footnote w:id="5">
    <w:p w14:paraId="7F991DAD" w14:textId="744D9C90" w:rsidR="003C64D1" w:rsidRDefault="003C64D1">
      <w:pPr>
        <w:pStyle w:val="FootnoteText"/>
      </w:pPr>
      <w:r w:rsidRPr="00441F05">
        <w:rPr>
          <w:rStyle w:val="FootnoteReference"/>
        </w:rPr>
        <w:footnoteRef/>
      </w:r>
      <w:r>
        <w:tab/>
        <w:t>Moreover, people often need sufficient technical capability (‘literacy’) in a given service area to make use of much of the information provided. For example, as discussed in c</w:t>
      </w:r>
      <w:r w:rsidRPr="00B27A38">
        <w:t>hapter</w:t>
      </w:r>
      <w:r>
        <w:t> 2 of the main report</w:t>
      </w:r>
      <w:r w:rsidRPr="00B27A38">
        <w:t>,</w:t>
      </w:r>
      <w:r>
        <w:t xml:space="preserve"> most Australians have poor health literacy, so may struggle with some measures of health care performance.</w:t>
      </w:r>
    </w:p>
  </w:footnote>
  <w:footnote w:id="6">
    <w:p w14:paraId="082B96A4" w14:textId="77777777" w:rsidR="008052C4" w:rsidRPr="0014517C" w:rsidRDefault="008052C4" w:rsidP="008052C4">
      <w:pPr>
        <w:pStyle w:val="FootnoteText"/>
        <w:spacing w:before="0"/>
      </w:pPr>
      <w:r w:rsidRPr="00441F05">
        <w:rPr>
          <w:rStyle w:val="FootnoteReference"/>
        </w:rPr>
        <w:footnoteRef/>
      </w:r>
      <w:r>
        <w:t xml:space="preserve"> </w:t>
      </w:r>
      <w:r>
        <w:tab/>
        <w:t>See SP 16 on l</w:t>
      </w:r>
      <w:r w:rsidRPr="0014517C">
        <w:t>ocal government</w:t>
      </w:r>
      <w:r>
        <w:t xml:space="preserve"> administration.</w:t>
      </w:r>
    </w:p>
  </w:footnote>
  <w:footnote w:id="7">
    <w:p w14:paraId="3A3F7227" w14:textId="6A9DBCD0" w:rsidR="003C64D1" w:rsidRDefault="003C64D1">
      <w:pPr>
        <w:pStyle w:val="FootnoteText"/>
      </w:pPr>
      <w:r w:rsidRPr="00441F05">
        <w:rPr>
          <w:rStyle w:val="FootnoteReference"/>
        </w:rPr>
        <w:footnoteRef/>
      </w:r>
      <w:r>
        <w:tab/>
        <w:t xml:space="preserve">The </w:t>
      </w:r>
      <w:r w:rsidRPr="004E0274">
        <w:t>literature</w:t>
      </w:r>
      <w:r>
        <w:t xml:space="preserve"> on student evaluations ranges from negative</w:t>
      </w:r>
      <w:r w:rsidRPr="004E0274">
        <w:t xml:space="preserve"> (Stroebe 2016; Uttl, White and Gonzalez 201</w:t>
      </w:r>
      <w:r w:rsidR="003C4998">
        <w:t>7</w:t>
      </w:r>
      <w:r w:rsidRPr="004E0274">
        <w:t xml:space="preserve">), to </w:t>
      </w:r>
      <w:r>
        <w:t>positive</w:t>
      </w:r>
      <w:r w:rsidRPr="004E0274">
        <w:t xml:space="preserve"> (Benton and Ryalls 2016; Hativa 2014; Marsh and Roche 1997)</w:t>
      </w:r>
      <w:r>
        <w:t>,</w:t>
      </w:r>
      <w:r w:rsidRPr="004E0274">
        <w:t xml:space="preserve"> </w:t>
      </w:r>
      <w:r>
        <w:t>with</w:t>
      </w:r>
      <w:r w:rsidRPr="004E0274">
        <w:t xml:space="preserve"> </w:t>
      </w:r>
      <w:r>
        <w:t xml:space="preserve">many in between, depending on context and settings </w:t>
      </w:r>
      <w:r w:rsidRPr="004E0274">
        <w:t>(Kelly 2012; Kornell and Hausman 2016; Ottoboni, Boring and Stark 2016; Spooren, Brockx and Mortelmans 2013; Stark and Freishtat 2014)</w:t>
      </w:r>
      <w:r>
        <w:t>.</w:t>
      </w:r>
    </w:p>
  </w:footnote>
  <w:footnote w:id="8">
    <w:p w14:paraId="2698283B" w14:textId="0AE002A7" w:rsidR="003C64D1" w:rsidRDefault="003C64D1" w:rsidP="00E561EA">
      <w:pPr>
        <w:pStyle w:val="FootnoteText"/>
        <w:spacing w:before="0"/>
      </w:pPr>
      <w:r w:rsidRPr="00441F05">
        <w:rPr>
          <w:rStyle w:val="FootnoteReference"/>
        </w:rPr>
        <w:footnoteRef/>
      </w:r>
      <w:r>
        <w:tab/>
        <w:t>The Australian Medical Association reports that in 2012</w:t>
      </w:r>
      <w:r>
        <w:noBreakHyphen/>
        <w:t>13, while only 18.9 per cent of GP attendances involved an out-of</w:t>
      </w:r>
      <w:r>
        <w:noBreakHyphen/>
        <w:t xml:space="preserve">pocket cost, this was 71.3 per cent for specialist attendances and 90.8 per cent for anaesthesia </w:t>
      </w:r>
      <w:r w:rsidRPr="003A4C87">
        <w:rPr>
          <w:szCs w:val="24"/>
        </w:rPr>
        <w:t>(AMA 2014)</w:t>
      </w:r>
      <w:r>
        <w:t>.</w:t>
      </w:r>
    </w:p>
  </w:footnote>
  <w:footnote w:id="9">
    <w:p w14:paraId="755E4831" w14:textId="6EFBE8B4" w:rsidR="003C64D1" w:rsidRDefault="003C64D1" w:rsidP="00673ADB">
      <w:pPr>
        <w:pStyle w:val="FootnoteText"/>
      </w:pPr>
      <w:r w:rsidRPr="00441F05">
        <w:rPr>
          <w:rStyle w:val="FootnoteReference"/>
        </w:rPr>
        <w:footnoteRef/>
      </w:r>
      <w:r>
        <w:tab/>
        <w:t>However, non-service-users are generally not included in administrative data (for example, the consumers of GP services are probably going to be less healthy than the general population), possibly limiting the usefulness for policy evaluations.</w:t>
      </w:r>
    </w:p>
  </w:footnote>
  <w:footnote w:id="10">
    <w:p w14:paraId="4CF21A15" w14:textId="7ADC2F0A" w:rsidR="003C64D1" w:rsidRDefault="003C64D1" w:rsidP="00F37AD7">
      <w:pPr>
        <w:pStyle w:val="FootnoteText"/>
      </w:pPr>
      <w:r w:rsidRPr="00441F05">
        <w:rPr>
          <w:rStyle w:val="FootnoteReference"/>
        </w:rPr>
        <w:footnoteRef/>
      </w:r>
      <w:r>
        <w:t xml:space="preserve"> </w:t>
      </w:r>
      <w:r>
        <w:tab/>
      </w:r>
      <w:r w:rsidRPr="007E20A8">
        <w:t xml:space="preserve">As discussed below, for example, MBS payments do not necessarily say much about </w:t>
      </w:r>
      <w:r>
        <w:t>the purpose of the visit to the GP.</w:t>
      </w:r>
    </w:p>
  </w:footnote>
  <w:footnote w:id="11">
    <w:p w14:paraId="2F1DA359" w14:textId="20C48B28" w:rsidR="003C64D1" w:rsidRDefault="003C64D1">
      <w:pPr>
        <w:pStyle w:val="FootnoteText"/>
      </w:pPr>
      <w:r w:rsidRPr="00441F05">
        <w:rPr>
          <w:rStyle w:val="FootnoteReference"/>
        </w:rPr>
        <w:footnoteRef/>
      </w:r>
      <w:r>
        <w:tab/>
        <w:t>For an example of how uncontrolled costs could occur, see SP 7 for discussion of performance</w:t>
      </w:r>
      <w:r>
        <w:noBreakHyphen/>
        <w:t>contingent funding for universities.</w:t>
      </w:r>
    </w:p>
  </w:footnote>
  <w:footnote w:id="12">
    <w:p w14:paraId="2D7A3242" w14:textId="215B2832" w:rsidR="003C64D1" w:rsidRDefault="003C64D1" w:rsidP="0023607E">
      <w:pPr>
        <w:pStyle w:val="FootnoteText"/>
      </w:pPr>
      <w:r w:rsidRPr="00441F05">
        <w:rPr>
          <w:rStyle w:val="FootnoteReference"/>
        </w:rPr>
        <w:footnoteRef/>
      </w:r>
      <w:r>
        <w:tab/>
        <w:t>Examples are</w:t>
      </w:r>
      <w:r w:rsidRPr="002A0649">
        <w:t xml:space="preserve"> payments to GPs</w:t>
      </w:r>
      <w:r>
        <w:t xml:space="preserve"> for screening women between 20</w:t>
      </w:r>
      <w:r>
        <w:noBreakHyphen/>
      </w:r>
      <w:r w:rsidRPr="002A0649">
        <w:t>69 years who have not ha</w:t>
      </w:r>
      <w:r>
        <w:t>d a cervical screen within the p</w:t>
      </w:r>
      <w:r w:rsidRPr="002A0649">
        <w:t>ast four years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3C64D1" w14:paraId="5455E768" w14:textId="77777777" w:rsidTr="006F472F">
      <w:tc>
        <w:tcPr>
          <w:tcW w:w="2155" w:type="dxa"/>
          <w:tcBorders>
            <w:top w:val="single" w:sz="24" w:space="0" w:color="auto"/>
          </w:tcBorders>
        </w:tcPr>
        <w:p w14:paraId="6C4B31AD" w14:textId="77777777" w:rsidR="003C64D1" w:rsidRDefault="003C64D1" w:rsidP="00D54FF8">
          <w:pPr>
            <w:pStyle w:val="HeaderEven"/>
          </w:pPr>
        </w:p>
      </w:tc>
      <w:tc>
        <w:tcPr>
          <w:tcW w:w="6634" w:type="dxa"/>
          <w:tcBorders>
            <w:top w:val="single" w:sz="6" w:space="0" w:color="auto"/>
          </w:tcBorders>
        </w:tcPr>
        <w:p w14:paraId="1BBD9DA8" w14:textId="77777777" w:rsidR="003C64D1" w:rsidRDefault="003C64D1" w:rsidP="00D54FF8">
          <w:pPr>
            <w:pStyle w:val="HeaderEven"/>
          </w:pPr>
        </w:p>
      </w:tc>
    </w:tr>
  </w:tbl>
  <w:p w14:paraId="7E9B7584" w14:textId="77777777" w:rsidR="003C64D1" w:rsidRDefault="003C64D1" w:rsidP="00D54FF8">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3C64D1" w14:paraId="4DA99DCA" w14:textId="77777777" w:rsidTr="006F472F">
      <w:tc>
        <w:tcPr>
          <w:tcW w:w="6634" w:type="dxa"/>
          <w:tcBorders>
            <w:top w:val="single" w:sz="6" w:space="0" w:color="auto"/>
          </w:tcBorders>
        </w:tcPr>
        <w:p w14:paraId="39029549" w14:textId="77777777" w:rsidR="003C64D1" w:rsidRDefault="003C64D1" w:rsidP="00D54FF8">
          <w:pPr>
            <w:pStyle w:val="HeaderOdd"/>
          </w:pPr>
        </w:p>
      </w:tc>
      <w:tc>
        <w:tcPr>
          <w:tcW w:w="2155" w:type="dxa"/>
          <w:tcBorders>
            <w:top w:val="single" w:sz="24" w:space="0" w:color="auto"/>
          </w:tcBorders>
        </w:tcPr>
        <w:p w14:paraId="3325D6AE" w14:textId="77777777" w:rsidR="003C64D1" w:rsidRDefault="003C64D1" w:rsidP="00D54FF8">
          <w:pPr>
            <w:pStyle w:val="HeaderOdd"/>
          </w:pPr>
        </w:p>
      </w:tc>
    </w:tr>
  </w:tbl>
  <w:p w14:paraId="7F171A48" w14:textId="77777777" w:rsidR="003C64D1" w:rsidRDefault="003C64D1" w:rsidP="00D54FF8">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DE10E9" w14:paraId="0C5C406D" w14:textId="77777777">
      <w:tc>
        <w:tcPr>
          <w:tcW w:w="2155" w:type="dxa"/>
          <w:tcBorders>
            <w:top w:val="single" w:sz="24" w:space="0" w:color="auto"/>
          </w:tcBorders>
        </w:tcPr>
        <w:p w14:paraId="048AB3BC" w14:textId="77777777" w:rsidR="00DE10E9" w:rsidRDefault="00DE10E9" w:rsidP="0019293B">
          <w:pPr>
            <w:pStyle w:val="HeaderEven"/>
          </w:pPr>
        </w:p>
      </w:tc>
      <w:tc>
        <w:tcPr>
          <w:tcW w:w="6634" w:type="dxa"/>
          <w:tcBorders>
            <w:top w:val="single" w:sz="6" w:space="0" w:color="auto"/>
          </w:tcBorders>
        </w:tcPr>
        <w:p w14:paraId="581DDAB5" w14:textId="77777777" w:rsidR="00DE10E9" w:rsidRDefault="00DE10E9" w:rsidP="0019293B">
          <w:pPr>
            <w:pStyle w:val="HeaderEven"/>
          </w:pPr>
        </w:p>
      </w:tc>
    </w:tr>
  </w:tbl>
  <w:p w14:paraId="4A2053F0" w14:textId="77777777" w:rsidR="00DE10E9" w:rsidRDefault="00DE10E9" w:rsidP="0019293B">
    <w:pPr>
      <w:pStyle w:val="HeaderEnd"/>
    </w:pPr>
  </w:p>
  <w:p w14:paraId="0ECEB302" w14:textId="77777777" w:rsidR="003C64D1" w:rsidRDefault="003C64D1" w:rsidP="00D54FF8">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3C64D1" w14:paraId="47352B29" w14:textId="77777777" w:rsidTr="006F472F">
      <w:tc>
        <w:tcPr>
          <w:tcW w:w="6634" w:type="dxa"/>
          <w:tcBorders>
            <w:top w:val="single" w:sz="6" w:space="0" w:color="auto"/>
          </w:tcBorders>
        </w:tcPr>
        <w:p w14:paraId="56557AF6" w14:textId="77777777" w:rsidR="003C64D1" w:rsidRDefault="003C64D1" w:rsidP="00D54FF8">
          <w:pPr>
            <w:pStyle w:val="HeaderOdd"/>
          </w:pPr>
        </w:p>
      </w:tc>
      <w:tc>
        <w:tcPr>
          <w:tcW w:w="2155" w:type="dxa"/>
          <w:tcBorders>
            <w:top w:val="single" w:sz="24" w:space="0" w:color="auto"/>
          </w:tcBorders>
        </w:tcPr>
        <w:p w14:paraId="285B0756" w14:textId="77777777" w:rsidR="003C64D1" w:rsidRDefault="003C64D1" w:rsidP="00D54FF8">
          <w:pPr>
            <w:pStyle w:val="HeaderOdd"/>
          </w:pPr>
        </w:p>
      </w:tc>
    </w:tr>
  </w:tbl>
  <w:p w14:paraId="5DC59138" w14:textId="77777777" w:rsidR="003C64D1" w:rsidRDefault="003C64D1" w:rsidP="00D54FF8">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C890E9C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AC106502"/>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200E2D8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115672F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AEFC9C0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E"/>
    <w:multiLevelType w:val="singleLevel"/>
    <w:tmpl w:val="FFFFFFFF"/>
    <w:lvl w:ilvl="0">
      <w:numFmt w:val="decimal"/>
      <w:lvlText w:val="*"/>
      <w:lvlJc w:val="left"/>
    </w:lvl>
  </w:abstractNum>
  <w:abstractNum w:abstractNumId="7"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9"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0"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3"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68407D8"/>
    <w:multiLevelType w:val="hybridMultilevel"/>
    <w:tmpl w:val="A3BAC30A"/>
    <w:lvl w:ilvl="0" w:tplc="F9B07DB8">
      <w:start w:val="2"/>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432000"/>
    <w:multiLevelType w:val="hybridMultilevel"/>
    <w:tmpl w:val="2AA8F0A4"/>
    <w:lvl w:ilvl="0" w:tplc="D450C124">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7" w15:restartNumberingAfterBreak="0">
    <w:nsid w:val="26EF4B78"/>
    <w:multiLevelType w:val="hybridMultilevel"/>
    <w:tmpl w:val="CC6E417E"/>
    <w:lvl w:ilvl="0" w:tplc="0B94B05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2C8359A0"/>
    <w:multiLevelType w:val="hybridMultilevel"/>
    <w:tmpl w:val="43E4E924"/>
    <w:lvl w:ilvl="0" w:tplc="43A447A0">
      <w:start w:val="1"/>
      <w:numFmt w:val="decimal"/>
      <w:lvlText w:val="%1"/>
      <w:lvlJc w:val="left"/>
      <w:pPr>
        <w:ind w:left="1272" w:hanging="91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1" w15:restartNumberingAfterBreak="0">
    <w:nsid w:val="3EE33C73"/>
    <w:multiLevelType w:val="hybridMultilevel"/>
    <w:tmpl w:val="016CDC12"/>
    <w:lvl w:ilvl="0" w:tplc="92F2E3A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5F0457"/>
    <w:multiLevelType w:val="hybridMultilevel"/>
    <w:tmpl w:val="33FEEC48"/>
    <w:lvl w:ilvl="0" w:tplc="6D76ABE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5B552618"/>
    <w:multiLevelType w:val="hybridMultilevel"/>
    <w:tmpl w:val="FDA0AF7C"/>
    <w:lvl w:ilvl="0" w:tplc="C0A05E8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1" w15:restartNumberingAfterBreak="0">
    <w:nsid w:val="6C5D6E4F"/>
    <w:multiLevelType w:val="hybridMultilevel"/>
    <w:tmpl w:val="AADEADA4"/>
    <w:lvl w:ilvl="0" w:tplc="C24EC38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3"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20"/>
  </w:num>
  <w:num w:numId="2">
    <w:abstractNumId w:val="7"/>
  </w:num>
  <w:num w:numId="3">
    <w:abstractNumId w:val="24"/>
  </w:num>
  <w:num w:numId="4">
    <w:abstractNumId w:val="8"/>
  </w:num>
  <w:num w:numId="5">
    <w:abstractNumId w:val="30"/>
  </w:num>
  <w:num w:numId="6">
    <w:abstractNumId w:val="26"/>
  </w:num>
  <w:num w:numId="7">
    <w:abstractNumId w:val="12"/>
  </w:num>
  <w:num w:numId="8">
    <w:abstractNumId w:val="25"/>
  </w:num>
  <w:num w:numId="9">
    <w:abstractNumId w:val="11"/>
  </w:num>
  <w:num w:numId="10">
    <w:abstractNumId w:val="10"/>
  </w:num>
  <w:num w:numId="11">
    <w:abstractNumId w:val="16"/>
  </w:num>
  <w:num w:numId="12">
    <w:abstractNumId w:val="18"/>
  </w:num>
  <w:num w:numId="13">
    <w:abstractNumId w:val="9"/>
  </w:num>
  <w:num w:numId="14">
    <w:abstractNumId w:val="27"/>
  </w:num>
  <w:num w:numId="15">
    <w:abstractNumId w:val="32"/>
  </w:num>
  <w:num w:numId="16">
    <w:abstractNumId w:val="23"/>
  </w:num>
  <w:num w:numId="17">
    <w:abstractNumId w:val="33"/>
  </w:num>
  <w:num w:numId="18">
    <w:abstractNumId w:val="3"/>
  </w:num>
  <w:num w:numId="19">
    <w:abstractNumId w:val="6"/>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9"/>
  </w:num>
  <w:num w:numId="21">
    <w:abstractNumId w:val="13"/>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1"/>
  </w:num>
  <w:num w:numId="25">
    <w:abstractNumId w:val="22"/>
  </w:num>
  <w:num w:numId="26">
    <w:abstractNumId w:val="15"/>
  </w:num>
  <w:num w:numId="27">
    <w:abstractNumId w:val="21"/>
  </w:num>
  <w:num w:numId="28">
    <w:abstractNumId w:val="28"/>
  </w:num>
  <w:num w:numId="29">
    <w:abstractNumId w:val="14"/>
  </w:num>
  <w:num w:numId="30">
    <w:abstractNumId w:val="19"/>
  </w:num>
  <w:num w:numId="31">
    <w:abstractNumId w:val="2"/>
  </w:num>
  <w:num w:numId="32">
    <w:abstractNumId w:val="5"/>
  </w:num>
  <w:num w:numId="33">
    <w:abstractNumId w:val="4"/>
  </w:num>
  <w:num w:numId="34">
    <w:abstractNumId w:val="1"/>
  </w:num>
  <w:num w:numId="35">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167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SP 3 - Comparative performance indicators"/>
    <w:docVar w:name="ShortReportTitle" w:val="Productivity Review"/>
  </w:docVars>
  <w:rsids>
    <w:rsidRoot w:val="00647898"/>
    <w:rsid w:val="000003CE"/>
    <w:rsid w:val="00000D7A"/>
    <w:rsid w:val="00002521"/>
    <w:rsid w:val="000026B4"/>
    <w:rsid w:val="00002A47"/>
    <w:rsid w:val="000045F7"/>
    <w:rsid w:val="00005490"/>
    <w:rsid w:val="00005543"/>
    <w:rsid w:val="000062DB"/>
    <w:rsid w:val="000142CD"/>
    <w:rsid w:val="0001744E"/>
    <w:rsid w:val="000227D5"/>
    <w:rsid w:val="0002353A"/>
    <w:rsid w:val="00023955"/>
    <w:rsid w:val="000245AA"/>
    <w:rsid w:val="000245DA"/>
    <w:rsid w:val="00025475"/>
    <w:rsid w:val="00027EEA"/>
    <w:rsid w:val="0003158E"/>
    <w:rsid w:val="00032F52"/>
    <w:rsid w:val="00033A11"/>
    <w:rsid w:val="00033A97"/>
    <w:rsid w:val="000355CC"/>
    <w:rsid w:val="00035828"/>
    <w:rsid w:val="0003664B"/>
    <w:rsid w:val="0004111F"/>
    <w:rsid w:val="00041A5B"/>
    <w:rsid w:val="00041B78"/>
    <w:rsid w:val="0004279C"/>
    <w:rsid w:val="00042B3C"/>
    <w:rsid w:val="00044292"/>
    <w:rsid w:val="00046258"/>
    <w:rsid w:val="000516D9"/>
    <w:rsid w:val="00052117"/>
    <w:rsid w:val="0005484E"/>
    <w:rsid w:val="00055077"/>
    <w:rsid w:val="000558C4"/>
    <w:rsid w:val="00055B54"/>
    <w:rsid w:val="000565B3"/>
    <w:rsid w:val="0005757F"/>
    <w:rsid w:val="000608E7"/>
    <w:rsid w:val="000637F3"/>
    <w:rsid w:val="00065FF5"/>
    <w:rsid w:val="0007107E"/>
    <w:rsid w:val="000714CD"/>
    <w:rsid w:val="0007150B"/>
    <w:rsid w:val="00075029"/>
    <w:rsid w:val="000757E2"/>
    <w:rsid w:val="00075B3F"/>
    <w:rsid w:val="00076467"/>
    <w:rsid w:val="000771BC"/>
    <w:rsid w:val="00077393"/>
    <w:rsid w:val="00080900"/>
    <w:rsid w:val="00083480"/>
    <w:rsid w:val="00084B4A"/>
    <w:rsid w:val="00091235"/>
    <w:rsid w:val="000919EB"/>
    <w:rsid w:val="000928DB"/>
    <w:rsid w:val="000938F5"/>
    <w:rsid w:val="00095663"/>
    <w:rsid w:val="000966D6"/>
    <w:rsid w:val="000968A5"/>
    <w:rsid w:val="00096E55"/>
    <w:rsid w:val="0009783E"/>
    <w:rsid w:val="00097A62"/>
    <w:rsid w:val="000A1921"/>
    <w:rsid w:val="000A1CDF"/>
    <w:rsid w:val="000A3D83"/>
    <w:rsid w:val="000A74DC"/>
    <w:rsid w:val="000B031B"/>
    <w:rsid w:val="000B1022"/>
    <w:rsid w:val="000B390D"/>
    <w:rsid w:val="000B46F8"/>
    <w:rsid w:val="000B5298"/>
    <w:rsid w:val="000B57A8"/>
    <w:rsid w:val="000B601B"/>
    <w:rsid w:val="000B7C4A"/>
    <w:rsid w:val="000C01D8"/>
    <w:rsid w:val="000C1958"/>
    <w:rsid w:val="000C1A75"/>
    <w:rsid w:val="000C207E"/>
    <w:rsid w:val="000C333B"/>
    <w:rsid w:val="000C4427"/>
    <w:rsid w:val="000C6FB9"/>
    <w:rsid w:val="000C73D1"/>
    <w:rsid w:val="000D04F6"/>
    <w:rsid w:val="000D22E6"/>
    <w:rsid w:val="000D41E9"/>
    <w:rsid w:val="000D5233"/>
    <w:rsid w:val="000D73FE"/>
    <w:rsid w:val="000E0C6F"/>
    <w:rsid w:val="000E1A3C"/>
    <w:rsid w:val="000E3E6A"/>
    <w:rsid w:val="000E525F"/>
    <w:rsid w:val="000E5D57"/>
    <w:rsid w:val="000E7092"/>
    <w:rsid w:val="000F0035"/>
    <w:rsid w:val="000F04E7"/>
    <w:rsid w:val="000F060A"/>
    <w:rsid w:val="000F0744"/>
    <w:rsid w:val="000F3094"/>
    <w:rsid w:val="000F420B"/>
    <w:rsid w:val="000F539C"/>
    <w:rsid w:val="000F7D47"/>
    <w:rsid w:val="001010F8"/>
    <w:rsid w:val="00102DDE"/>
    <w:rsid w:val="0010417D"/>
    <w:rsid w:val="00104A4E"/>
    <w:rsid w:val="0010624F"/>
    <w:rsid w:val="00106B68"/>
    <w:rsid w:val="00110116"/>
    <w:rsid w:val="00110941"/>
    <w:rsid w:val="00111AB0"/>
    <w:rsid w:val="00112979"/>
    <w:rsid w:val="00116662"/>
    <w:rsid w:val="001174C8"/>
    <w:rsid w:val="00117600"/>
    <w:rsid w:val="00120072"/>
    <w:rsid w:val="00122309"/>
    <w:rsid w:val="00122D65"/>
    <w:rsid w:val="00126EB8"/>
    <w:rsid w:val="001274D4"/>
    <w:rsid w:val="00127FBA"/>
    <w:rsid w:val="00131165"/>
    <w:rsid w:val="00132ADB"/>
    <w:rsid w:val="00134A01"/>
    <w:rsid w:val="001363AA"/>
    <w:rsid w:val="0013739A"/>
    <w:rsid w:val="00142165"/>
    <w:rsid w:val="00142D5B"/>
    <w:rsid w:val="00143BE1"/>
    <w:rsid w:val="001447CD"/>
    <w:rsid w:val="0014517C"/>
    <w:rsid w:val="001454B9"/>
    <w:rsid w:val="00145CAF"/>
    <w:rsid w:val="00150398"/>
    <w:rsid w:val="00150657"/>
    <w:rsid w:val="001507A8"/>
    <w:rsid w:val="00152368"/>
    <w:rsid w:val="0015464D"/>
    <w:rsid w:val="0016153F"/>
    <w:rsid w:val="00162101"/>
    <w:rsid w:val="00162434"/>
    <w:rsid w:val="00163D73"/>
    <w:rsid w:val="0016636B"/>
    <w:rsid w:val="00170000"/>
    <w:rsid w:val="001700B0"/>
    <w:rsid w:val="00171795"/>
    <w:rsid w:val="00176BD5"/>
    <w:rsid w:val="00177BEE"/>
    <w:rsid w:val="001806A1"/>
    <w:rsid w:val="00180856"/>
    <w:rsid w:val="00183E82"/>
    <w:rsid w:val="001878BB"/>
    <w:rsid w:val="00190552"/>
    <w:rsid w:val="00190721"/>
    <w:rsid w:val="00191AE0"/>
    <w:rsid w:val="0019293B"/>
    <w:rsid w:val="0019426B"/>
    <w:rsid w:val="001A002D"/>
    <w:rsid w:val="001A142B"/>
    <w:rsid w:val="001A238F"/>
    <w:rsid w:val="001A25C5"/>
    <w:rsid w:val="001A3A8B"/>
    <w:rsid w:val="001A6376"/>
    <w:rsid w:val="001A6A4B"/>
    <w:rsid w:val="001A6FDD"/>
    <w:rsid w:val="001A73F9"/>
    <w:rsid w:val="001B1C27"/>
    <w:rsid w:val="001C01BC"/>
    <w:rsid w:val="001C0865"/>
    <w:rsid w:val="001C0AED"/>
    <w:rsid w:val="001C0FAF"/>
    <w:rsid w:val="001C37B2"/>
    <w:rsid w:val="001C3ABA"/>
    <w:rsid w:val="001C5111"/>
    <w:rsid w:val="001C6A96"/>
    <w:rsid w:val="001C6DF5"/>
    <w:rsid w:val="001C7B6C"/>
    <w:rsid w:val="001D06B4"/>
    <w:rsid w:val="001D1833"/>
    <w:rsid w:val="001D4802"/>
    <w:rsid w:val="001E07FA"/>
    <w:rsid w:val="001E096C"/>
    <w:rsid w:val="001E0A59"/>
    <w:rsid w:val="001E3983"/>
    <w:rsid w:val="001E5190"/>
    <w:rsid w:val="001E67D3"/>
    <w:rsid w:val="001E75A2"/>
    <w:rsid w:val="001E7637"/>
    <w:rsid w:val="001E7BE8"/>
    <w:rsid w:val="001F0248"/>
    <w:rsid w:val="001F09C0"/>
    <w:rsid w:val="001F1C6A"/>
    <w:rsid w:val="001F1DBF"/>
    <w:rsid w:val="001F2082"/>
    <w:rsid w:val="001F2133"/>
    <w:rsid w:val="001F3A97"/>
    <w:rsid w:val="001F3EB3"/>
    <w:rsid w:val="001F4548"/>
    <w:rsid w:val="001F4F86"/>
    <w:rsid w:val="001F51C0"/>
    <w:rsid w:val="001F60CD"/>
    <w:rsid w:val="001F75E8"/>
    <w:rsid w:val="001F786C"/>
    <w:rsid w:val="00200966"/>
    <w:rsid w:val="00201888"/>
    <w:rsid w:val="00202C2C"/>
    <w:rsid w:val="00203050"/>
    <w:rsid w:val="002032C5"/>
    <w:rsid w:val="0020783E"/>
    <w:rsid w:val="0021117C"/>
    <w:rsid w:val="002111B4"/>
    <w:rsid w:val="00211689"/>
    <w:rsid w:val="0021271F"/>
    <w:rsid w:val="00213517"/>
    <w:rsid w:val="002135AB"/>
    <w:rsid w:val="002144BE"/>
    <w:rsid w:val="0021579E"/>
    <w:rsid w:val="00217687"/>
    <w:rsid w:val="00220A88"/>
    <w:rsid w:val="002220FC"/>
    <w:rsid w:val="00222E50"/>
    <w:rsid w:val="0022314B"/>
    <w:rsid w:val="0022460E"/>
    <w:rsid w:val="00225A65"/>
    <w:rsid w:val="00226B4A"/>
    <w:rsid w:val="00226C62"/>
    <w:rsid w:val="00227F4F"/>
    <w:rsid w:val="00230079"/>
    <w:rsid w:val="002325C7"/>
    <w:rsid w:val="00233FDC"/>
    <w:rsid w:val="0023607E"/>
    <w:rsid w:val="00237EA2"/>
    <w:rsid w:val="00240BBE"/>
    <w:rsid w:val="00240C90"/>
    <w:rsid w:val="0024130D"/>
    <w:rsid w:val="00242279"/>
    <w:rsid w:val="002428AE"/>
    <w:rsid w:val="00242932"/>
    <w:rsid w:val="00243601"/>
    <w:rsid w:val="00243997"/>
    <w:rsid w:val="0024516C"/>
    <w:rsid w:val="00245C82"/>
    <w:rsid w:val="00247AA4"/>
    <w:rsid w:val="00250B7F"/>
    <w:rsid w:val="00251ACE"/>
    <w:rsid w:val="00251B79"/>
    <w:rsid w:val="00251E53"/>
    <w:rsid w:val="002522A9"/>
    <w:rsid w:val="0025265A"/>
    <w:rsid w:val="00256571"/>
    <w:rsid w:val="002600A6"/>
    <w:rsid w:val="00260C20"/>
    <w:rsid w:val="00262D96"/>
    <w:rsid w:val="00262FD1"/>
    <w:rsid w:val="00263C9B"/>
    <w:rsid w:val="002659EF"/>
    <w:rsid w:val="00267AAF"/>
    <w:rsid w:val="00270D70"/>
    <w:rsid w:val="00270DFB"/>
    <w:rsid w:val="0027220A"/>
    <w:rsid w:val="002724BA"/>
    <w:rsid w:val="00276A6C"/>
    <w:rsid w:val="0027785C"/>
    <w:rsid w:val="00277C92"/>
    <w:rsid w:val="00282D1D"/>
    <w:rsid w:val="0028308A"/>
    <w:rsid w:val="002859B3"/>
    <w:rsid w:val="00285CA3"/>
    <w:rsid w:val="0028667C"/>
    <w:rsid w:val="00290785"/>
    <w:rsid w:val="00291B40"/>
    <w:rsid w:val="00294903"/>
    <w:rsid w:val="002958F6"/>
    <w:rsid w:val="00295991"/>
    <w:rsid w:val="00296CF9"/>
    <w:rsid w:val="002978CB"/>
    <w:rsid w:val="002A0649"/>
    <w:rsid w:val="002A0AD8"/>
    <w:rsid w:val="002A0FA2"/>
    <w:rsid w:val="002A1287"/>
    <w:rsid w:val="002A553D"/>
    <w:rsid w:val="002A56B6"/>
    <w:rsid w:val="002A7282"/>
    <w:rsid w:val="002A7534"/>
    <w:rsid w:val="002B4008"/>
    <w:rsid w:val="002B49A2"/>
    <w:rsid w:val="002C05D4"/>
    <w:rsid w:val="002C439F"/>
    <w:rsid w:val="002C5D8F"/>
    <w:rsid w:val="002C6CE4"/>
    <w:rsid w:val="002D08E7"/>
    <w:rsid w:val="002D0C42"/>
    <w:rsid w:val="002D0E8E"/>
    <w:rsid w:val="002D1E87"/>
    <w:rsid w:val="002D37C7"/>
    <w:rsid w:val="002D52FD"/>
    <w:rsid w:val="002D6556"/>
    <w:rsid w:val="002D7F8A"/>
    <w:rsid w:val="002E546E"/>
    <w:rsid w:val="002F12F8"/>
    <w:rsid w:val="002F2191"/>
    <w:rsid w:val="002F47BF"/>
    <w:rsid w:val="002F5BDD"/>
    <w:rsid w:val="002F6768"/>
    <w:rsid w:val="002F6FFB"/>
    <w:rsid w:val="002F72A1"/>
    <w:rsid w:val="002F79B7"/>
    <w:rsid w:val="00301189"/>
    <w:rsid w:val="00301E4A"/>
    <w:rsid w:val="00302806"/>
    <w:rsid w:val="00302CC9"/>
    <w:rsid w:val="00305DC3"/>
    <w:rsid w:val="00306AD5"/>
    <w:rsid w:val="00311AA6"/>
    <w:rsid w:val="003146EE"/>
    <w:rsid w:val="00314E15"/>
    <w:rsid w:val="003168B8"/>
    <w:rsid w:val="003211DB"/>
    <w:rsid w:val="0032143D"/>
    <w:rsid w:val="003220E9"/>
    <w:rsid w:val="00322C47"/>
    <w:rsid w:val="00322D64"/>
    <w:rsid w:val="00323AE0"/>
    <w:rsid w:val="00323E09"/>
    <w:rsid w:val="003243F7"/>
    <w:rsid w:val="00324DD7"/>
    <w:rsid w:val="00330C1D"/>
    <w:rsid w:val="00330CAA"/>
    <w:rsid w:val="00331FCF"/>
    <w:rsid w:val="0033355B"/>
    <w:rsid w:val="00333932"/>
    <w:rsid w:val="003356C6"/>
    <w:rsid w:val="00335B0C"/>
    <w:rsid w:val="00336C3B"/>
    <w:rsid w:val="00337036"/>
    <w:rsid w:val="00341BA4"/>
    <w:rsid w:val="0034245B"/>
    <w:rsid w:val="0034363C"/>
    <w:rsid w:val="003437A3"/>
    <w:rsid w:val="00344518"/>
    <w:rsid w:val="00346AE5"/>
    <w:rsid w:val="00346BD4"/>
    <w:rsid w:val="00346EE0"/>
    <w:rsid w:val="0034711E"/>
    <w:rsid w:val="00351395"/>
    <w:rsid w:val="00351740"/>
    <w:rsid w:val="0035178C"/>
    <w:rsid w:val="003518AA"/>
    <w:rsid w:val="00352165"/>
    <w:rsid w:val="003530B8"/>
    <w:rsid w:val="00353182"/>
    <w:rsid w:val="00353CE0"/>
    <w:rsid w:val="00356384"/>
    <w:rsid w:val="003565D9"/>
    <w:rsid w:val="0036027F"/>
    <w:rsid w:val="003602E1"/>
    <w:rsid w:val="00360EEA"/>
    <w:rsid w:val="00360EF2"/>
    <w:rsid w:val="00364EF7"/>
    <w:rsid w:val="00370004"/>
    <w:rsid w:val="0037026F"/>
    <w:rsid w:val="003703ED"/>
    <w:rsid w:val="00370C7A"/>
    <w:rsid w:val="00371240"/>
    <w:rsid w:val="003722F8"/>
    <w:rsid w:val="00374731"/>
    <w:rsid w:val="00375B77"/>
    <w:rsid w:val="00375CC6"/>
    <w:rsid w:val="00376E59"/>
    <w:rsid w:val="0037785B"/>
    <w:rsid w:val="00377EC1"/>
    <w:rsid w:val="00380340"/>
    <w:rsid w:val="00380A00"/>
    <w:rsid w:val="00382C48"/>
    <w:rsid w:val="003836DF"/>
    <w:rsid w:val="0038504A"/>
    <w:rsid w:val="003853A8"/>
    <w:rsid w:val="00385D17"/>
    <w:rsid w:val="003901C5"/>
    <w:rsid w:val="003919F9"/>
    <w:rsid w:val="00391E03"/>
    <w:rsid w:val="003920CF"/>
    <w:rsid w:val="00393234"/>
    <w:rsid w:val="0039451B"/>
    <w:rsid w:val="00394C1D"/>
    <w:rsid w:val="00395311"/>
    <w:rsid w:val="00395C3B"/>
    <w:rsid w:val="003A0769"/>
    <w:rsid w:val="003A1AF0"/>
    <w:rsid w:val="003A2913"/>
    <w:rsid w:val="003A4C87"/>
    <w:rsid w:val="003A5976"/>
    <w:rsid w:val="003B0FC6"/>
    <w:rsid w:val="003B23C2"/>
    <w:rsid w:val="003B3626"/>
    <w:rsid w:val="003B6E96"/>
    <w:rsid w:val="003B6FF4"/>
    <w:rsid w:val="003C281F"/>
    <w:rsid w:val="003C3618"/>
    <w:rsid w:val="003C38B5"/>
    <w:rsid w:val="003C4998"/>
    <w:rsid w:val="003C5D99"/>
    <w:rsid w:val="003C64D1"/>
    <w:rsid w:val="003D05E5"/>
    <w:rsid w:val="003D0719"/>
    <w:rsid w:val="003D1087"/>
    <w:rsid w:val="003D5463"/>
    <w:rsid w:val="003D5708"/>
    <w:rsid w:val="003E0F51"/>
    <w:rsid w:val="003E2F59"/>
    <w:rsid w:val="003E6532"/>
    <w:rsid w:val="003E746B"/>
    <w:rsid w:val="003E7B46"/>
    <w:rsid w:val="003E7B63"/>
    <w:rsid w:val="003F0096"/>
    <w:rsid w:val="003F0789"/>
    <w:rsid w:val="003F082A"/>
    <w:rsid w:val="003F144D"/>
    <w:rsid w:val="003F178A"/>
    <w:rsid w:val="003F4A97"/>
    <w:rsid w:val="003F5473"/>
    <w:rsid w:val="003F7045"/>
    <w:rsid w:val="0040026C"/>
    <w:rsid w:val="00401882"/>
    <w:rsid w:val="00404515"/>
    <w:rsid w:val="00405175"/>
    <w:rsid w:val="00406B50"/>
    <w:rsid w:val="004100C8"/>
    <w:rsid w:val="00411DBD"/>
    <w:rsid w:val="0041205A"/>
    <w:rsid w:val="00412ACE"/>
    <w:rsid w:val="00412B9F"/>
    <w:rsid w:val="0041369C"/>
    <w:rsid w:val="0041385B"/>
    <w:rsid w:val="004145D2"/>
    <w:rsid w:val="004152D1"/>
    <w:rsid w:val="00416030"/>
    <w:rsid w:val="00416B1B"/>
    <w:rsid w:val="00423A89"/>
    <w:rsid w:val="00423B46"/>
    <w:rsid w:val="004243AB"/>
    <w:rsid w:val="00426CB4"/>
    <w:rsid w:val="00426EB1"/>
    <w:rsid w:val="00431249"/>
    <w:rsid w:val="00432B95"/>
    <w:rsid w:val="00433540"/>
    <w:rsid w:val="004338AC"/>
    <w:rsid w:val="00433953"/>
    <w:rsid w:val="00434C19"/>
    <w:rsid w:val="00436709"/>
    <w:rsid w:val="00441F05"/>
    <w:rsid w:val="00442EF2"/>
    <w:rsid w:val="00443133"/>
    <w:rsid w:val="00443D44"/>
    <w:rsid w:val="00444510"/>
    <w:rsid w:val="0044473D"/>
    <w:rsid w:val="0044601D"/>
    <w:rsid w:val="00446C46"/>
    <w:rsid w:val="004501B7"/>
    <w:rsid w:val="00450810"/>
    <w:rsid w:val="00451C75"/>
    <w:rsid w:val="00453F7A"/>
    <w:rsid w:val="0045693B"/>
    <w:rsid w:val="004604F5"/>
    <w:rsid w:val="00460F20"/>
    <w:rsid w:val="00462C59"/>
    <w:rsid w:val="004634F2"/>
    <w:rsid w:val="004656D6"/>
    <w:rsid w:val="00465D9C"/>
    <w:rsid w:val="00467448"/>
    <w:rsid w:val="00470737"/>
    <w:rsid w:val="00470ACE"/>
    <w:rsid w:val="00472557"/>
    <w:rsid w:val="004728C5"/>
    <w:rsid w:val="00474080"/>
    <w:rsid w:val="00474C65"/>
    <w:rsid w:val="00476B19"/>
    <w:rsid w:val="00477144"/>
    <w:rsid w:val="00480275"/>
    <w:rsid w:val="00482923"/>
    <w:rsid w:val="004855AF"/>
    <w:rsid w:val="0048649D"/>
    <w:rsid w:val="00486BCD"/>
    <w:rsid w:val="00487316"/>
    <w:rsid w:val="0048765E"/>
    <w:rsid w:val="004900BB"/>
    <w:rsid w:val="00491380"/>
    <w:rsid w:val="00492DA4"/>
    <w:rsid w:val="0049459F"/>
    <w:rsid w:val="00494A5A"/>
    <w:rsid w:val="004A38DD"/>
    <w:rsid w:val="004A3D35"/>
    <w:rsid w:val="004A3DDB"/>
    <w:rsid w:val="004A6D97"/>
    <w:rsid w:val="004A7C89"/>
    <w:rsid w:val="004B21EF"/>
    <w:rsid w:val="004B22F4"/>
    <w:rsid w:val="004B2618"/>
    <w:rsid w:val="004B2906"/>
    <w:rsid w:val="004B2957"/>
    <w:rsid w:val="004B31CA"/>
    <w:rsid w:val="004B3646"/>
    <w:rsid w:val="004B43AE"/>
    <w:rsid w:val="004B5DC6"/>
    <w:rsid w:val="004C01DA"/>
    <w:rsid w:val="004C0A25"/>
    <w:rsid w:val="004C2992"/>
    <w:rsid w:val="004C30ED"/>
    <w:rsid w:val="004C310D"/>
    <w:rsid w:val="004C33B4"/>
    <w:rsid w:val="004C6BAF"/>
    <w:rsid w:val="004D00C0"/>
    <w:rsid w:val="004D0F95"/>
    <w:rsid w:val="004D2561"/>
    <w:rsid w:val="004D25EE"/>
    <w:rsid w:val="004D4AA1"/>
    <w:rsid w:val="004D4D6D"/>
    <w:rsid w:val="004D5675"/>
    <w:rsid w:val="004D6954"/>
    <w:rsid w:val="004E0274"/>
    <w:rsid w:val="004E02B5"/>
    <w:rsid w:val="004E1D8B"/>
    <w:rsid w:val="004E20C8"/>
    <w:rsid w:val="004E2726"/>
    <w:rsid w:val="004E33A8"/>
    <w:rsid w:val="004E50A5"/>
    <w:rsid w:val="004E58E5"/>
    <w:rsid w:val="004F046F"/>
    <w:rsid w:val="004F25E6"/>
    <w:rsid w:val="004F28E0"/>
    <w:rsid w:val="004F2E65"/>
    <w:rsid w:val="004F2F49"/>
    <w:rsid w:val="004F338C"/>
    <w:rsid w:val="004F585C"/>
    <w:rsid w:val="004F588F"/>
    <w:rsid w:val="004F61F3"/>
    <w:rsid w:val="004F7D5A"/>
    <w:rsid w:val="00500A9B"/>
    <w:rsid w:val="00501B0E"/>
    <w:rsid w:val="00502FB5"/>
    <w:rsid w:val="0050583E"/>
    <w:rsid w:val="005060F2"/>
    <w:rsid w:val="0050644B"/>
    <w:rsid w:val="005067DB"/>
    <w:rsid w:val="0050694A"/>
    <w:rsid w:val="00512295"/>
    <w:rsid w:val="00513BAE"/>
    <w:rsid w:val="00516EF3"/>
    <w:rsid w:val="00517795"/>
    <w:rsid w:val="005178CC"/>
    <w:rsid w:val="005179D3"/>
    <w:rsid w:val="00517C4B"/>
    <w:rsid w:val="00520388"/>
    <w:rsid w:val="005209B4"/>
    <w:rsid w:val="00523639"/>
    <w:rsid w:val="00524B24"/>
    <w:rsid w:val="00524FC2"/>
    <w:rsid w:val="005263E6"/>
    <w:rsid w:val="0052673E"/>
    <w:rsid w:val="00531FE5"/>
    <w:rsid w:val="00532292"/>
    <w:rsid w:val="00534C07"/>
    <w:rsid w:val="005360A9"/>
    <w:rsid w:val="00536156"/>
    <w:rsid w:val="00536381"/>
    <w:rsid w:val="00536D67"/>
    <w:rsid w:val="0053755B"/>
    <w:rsid w:val="00537B37"/>
    <w:rsid w:val="005402FA"/>
    <w:rsid w:val="00540769"/>
    <w:rsid w:val="00540DFD"/>
    <w:rsid w:val="00540E0A"/>
    <w:rsid w:val="0054429B"/>
    <w:rsid w:val="005463C9"/>
    <w:rsid w:val="00546FCA"/>
    <w:rsid w:val="00547268"/>
    <w:rsid w:val="0055115C"/>
    <w:rsid w:val="00553EE1"/>
    <w:rsid w:val="00554FA9"/>
    <w:rsid w:val="00556988"/>
    <w:rsid w:val="00557490"/>
    <w:rsid w:val="0056433B"/>
    <w:rsid w:val="00565851"/>
    <w:rsid w:val="0056792D"/>
    <w:rsid w:val="00570AB3"/>
    <w:rsid w:val="00571B66"/>
    <w:rsid w:val="00571F46"/>
    <w:rsid w:val="00572379"/>
    <w:rsid w:val="005729BD"/>
    <w:rsid w:val="00573437"/>
    <w:rsid w:val="005734C6"/>
    <w:rsid w:val="00573BE3"/>
    <w:rsid w:val="00575CA6"/>
    <w:rsid w:val="005774BD"/>
    <w:rsid w:val="00577FCF"/>
    <w:rsid w:val="00580154"/>
    <w:rsid w:val="00581CE8"/>
    <w:rsid w:val="005823B4"/>
    <w:rsid w:val="005838EA"/>
    <w:rsid w:val="00583C39"/>
    <w:rsid w:val="005843B8"/>
    <w:rsid w:val="00584D6A"/>
    <w:rsid w:val="0058578C"/>
    <w:rsid w:val="005865B9"/>
    <w:rsid w:val="00586A90"/>
    <w:rsid w:val="00587C68"/>
    <w:rsid w:val="00587EFB"/>
    <w:rsid w:val="00587F28"/>
    <w:rsid w:val="005909CF"/>
    <w:rsid w:val="0059161D"/>
    <w:rsid w:val="00591E71"/>
    <w:rsid w:val="0059213F"/>
    <w:rsid w:val="005935C8"/>
    <w:rsid w:val="0059443A"/>
    <w:rsid w:val="00595A1E"/>
    <w:rsid w:val="005960FE"/>
    <w:rsid w:val="00596E3C"/>
    <w:rsid w:val="00597A7B"/>
    <w:rsid w:val="005A0D41"/>
    <w:rsid w:val="005A28E9"/>
    <w:rsid w:val="005A45BE"/>
    <w:rsid w:val="005A48F3"/>
    <w:rsid w:val="005A6E8A"/>
    <w:rsid w:val="005A74A7"/>
    <w:rsid w:val="005A77D4"/>
    <w:rsid w:val="005B31C8"/>
    <w:rsid w:val="005B342E"/>
    <w:rsid w:val="005B3522"/>
    <w:rsid w:val="005B42BB"/>
    <w:rsid w:val="005B6A51"/>
    <w:rsid w:val="005C4196"/>
    <w:rsid w:val="005C5F2D"/>
    <w:rsid w:val="005C72C0"/>
    <w:rsid w:val="005D1F4E"/>
    <w:rsid w:val="005D2D54"/>
    <w:rsid w:val="005D329F"/>
    <w:rsid w:val="005D5121"/>
    <w:rsid w:val="005E0517"/>
    <w:rsid w:val="005E31EC"/>
    <w:rsid w:val="005E4286"/>
    <w:rsid w:val="005E655D"/>
    <w:rsid w:val="005F0D17"/>
    <w:rsid w:val="005F3C11"/>
    <w:rsid w:val="005F48ED"/>
    <w:rsid w:val="005F51EA"/>
    <w:rsid w:val="005F6FAE"/>
    <w:rsid w:val="005F7BC6"/>
    <w:rsid w:val="006017F3"/>
    <w:rsid w:val="00601FB5"/>
    <w:rsid w:val="006027C8"/>
    <w:rsid w:val="00602855"/>
    <w:rsid w:val="006036AE"/>
    <w:rsid w:val="00604A79"/>
    <w:rsid w:val="00606E78"/>
    <w:rsid w:val="00607BF1"/>
    <w:rsid w:val="006110DB"/>
    <w:rsid w:val="00612EE2"/>
    <w:rsid w:val="0061449B"/>
    <w:rsid w:val="006152FB"/>
    <w:rsid w:val="0061722C"/>
    <w:rsid w:val="00623016"/>
    <w:rsid w:val="00624280"/>
    <w:rsid w:val="00630D4D"/>
    <w:rsid w:val="00632966"/>
    <w:rsid w:val="00632A74"/>
    <w:rsid w:val="00634DF7"/>
    <w:rsid w:val="006352BB"/>
    <w:rsid w:val="00636D82"/>
    <w:rsid w:val="00640106"/>
    <w:rsid w:val="00641FEF"/>
    <w:rsid w:val="00642430"/>
    <w:rsid w:val="0064396F"/>
    <w:rsid w:val="00644DD2"/>
    <w:rsid w:val="006459D9"/>
    <w:rsid w:val="006465AE"/>
    <w:rsid w:val="00647898"/>
    <w:rsid w:val="00647FA0"/>
    <w:rsid w:val="00650918"/>
    <w:rsid w:val="00650A4B"/>
    <w:rsid w:val="0065178D"/>
    <w:rsid w:val="00654755"/>
    <w:rsid w:val="00654D42"/>
    <w:rsid w:val="0065627B"/>
    <w:rsid w:val="00666AF0"/>
    <w:rsid w:val="00666E02"/>
    <w:rsid w:val="00671B90"/>
    <w:rsid w:val="00673ADB"/>
    <w:rsid w:val="0067697C"/>
    <w:rsid w:val="006770F9"/>
    <w:rsid w:val="00677CB9"/>
    <w:rsid w:val="00680496"/>
    <w:rsid w:val="00681CF6"/>
    <w:rsid w:val="00681E16"/>
    <w:rsid w:val="006824CD"/>
    <w:rsid w:val="00684AD3"/>
    <w:rsid w:val="00684FD0"/>
    <w:rsid w:val="006851EB"/>
    <w:rsid w:val="00685C45"/>
    <w:rsid w:val="00687595"/>
    <w:rsid w:val="00693590"/>
    <w:rsid w:val="0069490F"/>
    <w:rsid w:val="00694CFD"/>
    <w:rsid w:val="00696F27"/>
    <w:rsid w:val="006A090E"/>
    <w:rsid w:val="006A354E"/>
    <w:rsid w:val="006A37D2"/>
    <w:rsid w:val="006A4655"/>
    <w:rsid w:val="006A4728"/>
    <w:rsid w:val="006A4D14"/>
    <w:rsid w:val="006A4DEB"/>
    <w:rsid w:val="006A4F8D"/>
    <w:rsid w:val="006B014D"/>
    <w:rsid w:val="006B0578"/>
    <w:rsid w:val="006B1F44"/>
    <w:rsid w:val="006B2B3C"/>
    <w:rsid w:val="006B356B"/>
    <w:rsid w:val="006B5354"/>
    <w:rsid w:val="006B5C73"/>
    <w:rsid w:val="006B61F9"/>
    <w:rsid w:val="006B6D4C"/>
    <w:rsid w:val="006B74E5"/>
    <w:rsid w:val="006C083E"/>
    <w:rsid w:val="006C0C86"/>
    <w:rsid w:val="006C1D81"/>
    <w:rsid w:val="006C29BF"/>
    <w:rsid w:val="006C4ACB"/>
    <w:rsid w:val="006C7038"/>
    <w:rsid w:val="006C7230"/>
    <w:rsid w:val="006C7BF1"/>
    <w:rsid w:val="006C7C76"/>
    <w:rsid w:val="006D08AF"/>
    <w:rsid w:val="006D1543"/>
    <w:rsid w:val="006D258B"/>
    <w:rsid w:val="006D25EB"/>
    <w:rsid w:val="006D3E53"/>
    <w:rsid w:val="006D64DE"/>
    <w:rsid w:val="006D6990"/>
    <w:rsid w:val="006D7B60"/>
    <w:rsid w:val="006E5F26"/>
    <w:rsid w:val="006E6090"/>
    <w:rsid w:val="006E7044"/>
    <w:rsid w:val="006E73EF"/>
    <w:rsid w:val="006E7CAF"/>
    <w:rsid w:val="006F020B"/>
    <w:rsid w:val="006F0943"/>
    <w:rsid w:val="006F115F"/>
    <w:rsid w:val="006F20FC"/>
    <w:rsid w:val="006F3254"/>
    <w:rsid w:val="006F4615"/>
    <w:rsid w:val="006F472F"/>
    <w:rsid w:val="006F4EB3"/>
    <w:rsid w:val="006F628B"/>
    <w:rsid w:val="00702698"/>
    <w:rsid w:val="00703324"/>
    <w:rsid w:val="0070384E"/>
    <w:rsid w:val="007079C9"/>
    <w:rsid w:val="00712FE5"/>
    <w:rsid w:val="007136BA"/>
    <w:rsid w:val="00714D4D"/>
    <w:rsid w:val="007155AF"/>
    <w:rsid w:val="00716F69"/>
    <w:rsid w:val="00721CD9"/>
    <w:rsid w:val="00723233"/>
    <w:rsid w:val="00723A8F"/>
    <w:rsid w:val="00725076"/>
    <w:rsid w:val="0072612F"/>
    <w:rsid w:val="007266D3"/>
    <w:rsid w:val="007273E2"/>
    <w:rsid w:val="00727505"/>
    <w:rsid w:val="00730317"/>
    <w:rsid w:val="00730A97"/>
    <w:rsid w:val="00732029"/>
    <w:rsid w:val="007332F3"/>
    <w:rsid w:val="007404D3"/>
    <w:rsid w:val="007416F8"/>
    <w:rsid w:val="0074362E"/>
    <w:rsid w:val="0074494C"/>
    <w:rsid w:val="007453BB"/>
    <w:rsid w:val="00745935"/>
    <w:rsid w:val="00747F86"/>
    <w:rsid w:val="007519F1"/>
    <w:rsid w:val="00751B8B"/>
    <w:rsid w:val="00751EB2"/>
    <w:rsid w:val="007557E8"/>
    <w:rsid w:val="00756C3A"/>
    <w:rsid w:val="007604BB"/>
    <w:rsid w:val="007607F4"/>
    <w:rsid w:val="00761B62"/>
    <w:rsid w:val="00762162"/>
    <w:rsid w:val="00762DAF"/>
    <w:rsid w:val="007634EE"/>
    <w:rsid w:val="00765C96"/>
    <w:rsid w:val="00766990"/>
    <w:rsid w:val="00766BD6"/>
    <w:rsid w:val="00766EBB"/>
    <w:rsid w:val="00770415"/>
    <w:rsid w:val="00770645"/>
    <w:rsid w:val="0077070C"/>
    <w:rsid w:val="00771DC1"/>
    <w:rsid w:val="00771DFE"/>
    <w:rsid w:val="00772909"/>
    <w:rsid w:val="0077385E"/>
    <w:rsid w:val="00774455"/>
    <w:rsid w:val="00776805"/>
    <w:rsid w:val="0078209B"/>
    <w:rsid w:val="007825E0"/>
    <w:rsid w:val="007851F9"/>
    <w:rsid w:val="00785232"/>
    <w:rsid w:val="007855F4"/>
    <w:rsid w:val="007910ED"/>
    <w:rsid w:val="00791D00"/>
    <w:rsid w:val="00791F67"/>
    <w:rsid w:val="00792FF1"/>
    <w:rsid w:val="00795D2E"/>
    <w:rsid w:val="00796208"/>
    <w:rsid w:val="0079701E"/>
    <w:rsid w:val="007A21EB"/>
    <w:rsid w:val="007A3C30"/>
    <w:rsid w:val="007A4887"/>
    <w:rsid w:val="007B0C77"/>
    <w:rsid w:val="007B1A93"/>
    <w:rsid w:val="007B4D96"/>
    <w:rsid w:val="007B707B"/>
    <w:rsid w:val="007B7B32"/>
    <w:rsid w:val="007C158D"/>
    <w:rsid w:val="007C1D51"/>
    <w:rsid w:val="007C31B3"/>
    <w:rsid w:val="007C36C9"/>
    <w:rsid w:val="007C3EBC"/>
    <w:rsid w:val="007C42C6"/>
    <w:rsid w:val="007C4B8F"/>
    <w:rsid w:val="007C5468"/>
    <w:rsid w:val="007C6F23"/>
    <w:rsid w:val="007D2892"/>
    <w:rsid w:val="007D609A"/>
    <w:rsid w:val="007D6401"/>
    <w:rsid w:val="007D751D"/>
    <w:rsid w:val="007E01E4"/>
    <w:rsid w:val="007E0458"/>
    <w:rsid w:val="007E0701"/>
    <w:rsid w:val="007E1FBA"/>
    <w:rsid w:val="007E2019"/>
    <w:rsid w:val="007E20A8"/>
    <w:rsid w:val="007E246D"/>
    <w:rsid w:val="007E3C5F"/>
    <w:rsid w:val="007E422C"/>
    <w:rsid w:val="007E48B0"/>
    <w:rsid w:val="007E5AB4"/>
    <w:rsid w:val="007E7A12"/>
    <w:rsid w:val="007F25AA"/>
    <w:rsid w:val="007F2A17"/>
    <w:rsid w:val="007F3654"/>
    <w:rsid w:val="007F3B5D"/>
    <w:rsid w:val="007F4213"/>
    <w:rsid w:val="007F4AA6"/>
    <w:rsid w:val="007F6E7A"/>
    <w:rsid w:val="007F7107"/>
    <w:rsid w:val="007F7A76"/>
    <w:rsid w:val="00800436"/>
    <w:rsid w:val="00800D4C"/>
    <w:rsid w:val="00800F6C"/>
    <w:rsid w:val="00802363"/>
    <w:rsid w:val="00803E40"/>
    <w:rsid w:val="00804CAE"/>
    <w:rsid w:val="008052C4"/>
    <w:rsid w:val="00805C24"/>
    <w:rsid w:val="0081030F"/>
    <w:rsid w:val="00810AC5"/>
    <w:rsid w:val="00810D9C"/>
    <w:rsid w:val="00812F4A"/>
    <w:rsid w:val="00812F55"/>
    <w:rsid w:val="0081492C"/>
    <w:rsid w:val="0081746E"/>
    <w:rsid w:val="0081799C"/>
    <w:rsid w:val="00820251"/>
    <w:rsid w:val="0082087D"/>
    <w:rsid w:val="00823EEE"/>
    <w:rsid w:val="008243AA"/>
    <w:rsid w:val="00825904"/>
    <w:rsid w:val="00825B20"/>
    <w:rsid w:val="00830D85"/>
    <w:rsid w:val="0083115E"/>
    <w:rsid w:val="00831CEE"/>
    <w:rsid w:val="008332CA"/>
    <w:rsid w:val="00835446"/>
    <w:rsid w:val="0083544B"/>
    <w:rsid w:val="00835771"/>
    <w:rsid w:val="00837142"/>
    <w:rsid w:val="0084192C"/>
    <w:rsid w:val="00842933"/>
    <w:rsid w:val="00843022"/>
    <w:rsid w:val="00847C0A"/>
    <w:rsid w:val="00855154"/>
    <w:rsid w:val="00857537"/>
    <w:rsid w:val="0086082C"/>
    <w:rsid w:val="00864ADC"/>
    <w:rsid w:val="008664D0"/>
    <w:rsid w:val="008674C2"/>
    <w:rsid w:val="008677F6"/>
    <w:rsid w:val="00867B0B"/>
    <w:rsid w:val="00870A10"/>
    <w:rsid w:val="00871DA5"/>
    <w:rsid w:val="00876E9F"/>
    <w:rsid w:val="0087780B"/>
    <w:rsid w:val="00880153"/>
    <w:rsid w:val="0088021F"/>
    <w:rsid w:val="00880333"/>
    <w:rsid w:val="00880F97"/>
    <w:rsid w:val="0088118C"/>
    <w:rsid w:val="0088133A"/>
    <w:rsid w:val="008847D9"/>
    <w:rsid w:val="008864E7"/>
    <w:rsid w:val="0089242F"/>
    <w:rsid w:val="0089285E"/>
    <w:rsid w:val="00893A18"/>
    <w:rsid w:val="0089436C"/>
    <w:rsid w:val="00896C86"/>
    <w:rsid w:val="00896CEB"/>
    <w:rsid w:val="008A12D1"/>
    <w:rsid w:val="008A4F02"/>
    <w:rsid w:val="008B0026"/>
    <w:rsid w:val="008B0461"/>
    <w:rsid w:val="008B07E8"/>
    <w:rsid w:val="008B1A4B"/>
    <w:rsid w:val="008B398C"/>
    <w:rsid w:val="008B4CE5"/>
    <w:rsid w:val="008C1460"/>
    <w:rsid w:val="008C28DF"/>
    <w:rsid w:val="008C41F5"/>
    <w:rsid w:val="008C742F"/>
    <w:rsid w:val="008D0B7C"/>
    <w:rsid w:val="008D1295"/>
    <w:rsid w:val="008D23B7"/>
    <w:rsid w:val="008D365C"/>
    <w:rsid w:val="008D48F3"/>
    <w:rsid w:val="008D5E80"/>
    <w:rsid w:val="008D62AA"/>
    <w:rsid w:val="008D6C4D"/>
    <w:rsid w:val="008D6D3E"/>
    <w:rsid w:val="008D7622"/>
    <w:rsid w:val="008D78B7"/>
    <w:rsid w:val="008E0C7B"/>
    <w:rsid w:val="008E101F"/>
    <w:rsid w:val="008E2620"/>
    <w:rsid w:val="008E3A90"/>
    <w:rsid w:val="008E5BE8"/>
    <w:rsid w:val="008F06F7"/>
    <w:rsid w:val="008F3612"/>
    <w:rsid w:val="008F62C3"/>
    <w:rsid w:val="008F71E6"/>
    <w:rsid w:val="00900356"/>
    <w:rsid w:val="00901106"/>
    <w:rsid w:val="00901654"/>
    <w:rsid w:val="00901EEA"/>
    <w:rsid w:val="009021A6"/>
    <w:rsid w:val="009025D2"/>
    <w:rsid w:val="009030BF"/>
    <w:rsid w:val="00903B52"/>
    <w:rsid w:val="009073FB"/>
    <w:rsid w:val="0091032F"/>
    <w:rsid w:val="0091340F"/>
    <w:rsid w:val="00914368"/>
    <w:rsid w:val="0091442C"/>
    <w:rsid w:val="00921927"/>
    <w:rsid w:val="00924046"/>
    <w:rsid w:val="00925768"/>
    <w:rsid w:val="00925C8A"/>
    <w:rsid w:val="009266AB"/>
    <w:rsid w:val="00926E60"/>
    <w:rsid w:val="0092751F"/>
    <w:rsid w:val="00931076"/>
    <w:rsid w:val="009312A1"/>
    <w:rsid w:val="0093457E"/>
    <w:rsid w:val="009345D9"/>
    <w:rsid w:val="00934B15"/>
    <w:rsid w:val="00935AD4"/>
    <w:rsid w:val="0093601B"/>
    <w:rsid w:val="00936DE3"/>
    <w:rsid w:val="00937219"/>
    <w:rsid w:val="00940C87"/>
    <w:rsid w:val="00941102"/>
    <w:rsid w:val="00942B62"/>
    <w:rsid w:val="00944C06"/>
    <w:rsid w:val="00945A5B"/>
    <w:rsid w:val="00946D76"/>
    <w:rsid w:val="00950443"/>
    <w:rsid w:val="0095323B"/>
    <w:rsid w:val="00954376"/>
    <w:rsid w:val="00955A5F"/>
    <w:rsid w:val="00956A0C"/>
    <w:rsid w:val="00956BD9"/>
    <w:rsid w:val="00956D5A"/>
    <w:rsid w:val="009614CB"/>
    <w:rsid w:val="00962489"/>
    <w:rsid w:val="00963CF2"/>
    <w:rsid w:val="00963F69"/>
    <w:rsid w:val="00964CCC"/>
    <w:rsid w:val="00966265"/>
    <w:rsid w:val="00966DF5"/>
    <w:rsid w:val="00967CD3"/>
    <w:rsid w:val="009739E1"/>
    <w:rsid w:val="00973BB8"/>
    <w:rsid w:val="0097604D"/>
    <w:rsid w:val="00977832"/>
    <w:rsid w:val="00977CB5"/>
    <w:rsid w:val="00980F6D"/>
    <w:rsid w:val="00981EA9"/>
    <w:rsid w:val="009830A2"/>
    <w:rsid w:val="009843A3"/>
    <w:rsid w:val="00984B7D"/>
    <w:rsid w:val="0098576E"/>
    <w:rsid w:val="00985B3B"/>
    <w:rsid w:val="00987592"/>
    <w:rsid w:val="00990050"/>
    <w:rsid w:val="00990906"/>
    <w:rsid w:val="00990C2C"/>
    <w:rsid w:val="00993F27"/>
    <w:rsid w:val="009966FC"/>
    <w:rsid w:val="00996A7C"/>
    <w:rsid w:val="009977D3"/>
    <w:rsid w:val="009A08FA"/>
    <w:rsid w:val="009A2D10"/>
    <w:rsid w:val="009A3057"/>
    <w:rsid w:val="009A396F"/>
    <w:rsid w:val="009A5171"/>
    <w:rsid w:val="009A5286"/>
    <w:rsid w:val="009A58CE"/>
    <w:rsid w:val="009A5C55"/>
    <w:rsid w:val="009A6F3B"/>
    <w:rsid w:val="009A7A6F"/>
    <w:rsid w:val="009B0903"/>
    <w:rsid w:val="009B1865"/>
    <w:rsid w:val="009B35B9"/>
    <w:rsid w:val="009B3751"/>
    <w:rsid w:val="009B498D"/>
    <w:rsid w:val="009B582D"/>
    <w:rsid w:val="009C18A9"/>
    <w:rsid w:val="009C2E4B"/>
    <w:rsid w:val="009D0FDD"/>
    <w:rsid w:val="009D1778"/>
    <w:rsid w:val="009D287B"/>
    <w:rsid w:val="009D3537"/>
    <w:rsid w:val="009D3AF5"/>
    <w:rsid w:val="009D3D83"/>
    <w:rsid w:val="009D4D0B"/>
    <w:rsid w:val="009D5649"/>
    <w:rsid w:val="009D7587"/>
    <w:rsid w:val="009E061B"/>
    <w:rsid w:val="009E06DB"/>
    <w:rsid w:val="009E1844"/>
    <w:rsid w:val="009F0D1B"/>
    <w:rsid w:val="009F25A2"/>
    <w:rsid w:val="009F33A6"/>
    <w:rsid w:val="009F3475"/>
    <w:rsid w:val="009F5BBD"/>
    <w:rsid w:val="009F6019"/>
    <w:rsid w:val="009F6453"/>
    <w:rsid w:val="009F696D"/>
    <w:rsid w:val="009F6B1F"/>
    <w:rsid w:val="009F6BC6"/>
    <w:rsid w:val="009F74EF"/>
    <w:rsid w:val="009F7D9F"/>
    <w:rsid w:val="00A01E9F"/>
    <w:rsid w:val="00A02718"/>
    <w:rsid w:val="00A02826"/>
    <w:rsid w:val="00A02E7F"/>
    <w:rsid w:val="00A05DA5"/>
    <w:rsid w:val="00A06449"/>
    <w:rsid w:val="00A064D8"/>
    <w:rsid w:val="00A0701C"/>
    <w:rsid w:val="00A075B1"/>
    <w:rsid w:val="00A07C76"/>
    <w:rsid w:val="00A1001F"/>
    <w:rsid w:val="00A1170C"/>
    <w:rsid w:val="00A11B9A"/>
    <w:rsid w:val="00A12BCA"/>
    <w:rsid w:val="00A13AB6"/>
    <w:rsid w:val="00A1436F"/>
    <w:rsid w:val="00A14517"/>
    <w:rsid w:val="00A15D5A"/>
    <w:rsid w:val="00A16361"/>
    <w:rsid w:val="00A17328"/>
    <w:rsid w:val="00A17A7E"/>
    <w:rsid w:val="00A21BA0"/>
    <w:rsid w:val="00A21DEE"/>
    <w:rsid w:val="00A23A20"/>
    <w:rsid w:val="00A24443"/>
    <w:rsid w:val="00A2468A"/>
    <w:rsid w:val="00A2483D"/>
    <w:rsid w:val="00A25A4C"/>
    <w:rsid w:val="00A268B9"/>
    <w:rsid w:val="00A2698E"/>
    <w:rsid w:val="00A2703A"/>
    <w:rsid w:val="00A273D3"/>
    <w:rsid w:val="00A3007A"/>
    <w:rsid w:val="00A319B0"/>
    <w:rsid w:val="00A33B9F"/>
    <w:rsid w:val="00A33DFF"/>
    <w:rsid w:val="00A34F4E"/>
    <w:rsid w:val="00A35115"/>
    <w:rsid w:val="00A35688"/>
    <w:rsid w:val="00A36D9A"/>
    <w:rsid w:val="00A402A2"/>
    <w:rsid w:val="00A42003"/>
    <w:rsid w:val="00A445CC"/>
    <w:rsid w:val="00A451DC"/>
    <w:rsid w:val="00A456AD"/>
    <w:rsid w:val="00A46D7A"/>
    <w:rsid w:val="00A50821"/>
    <w:rsid w:val="00A5317E"/>
    <w:rsid w:val="00A554AB"/>
    <w:rsid w:val="00A57062"/>
    <w:rsid w:val="00A57281"/>
    <w:rsid w:val="00A61A82"/>
    <w:rsid w:val="00A635BC"/>
    <w:rsid w:val="00A64352"/>
    <w:rsid w:val="00A66A5B"/>
    <w:rsid w:val="00A67781"/>
    <w:rsid w:val="00A70FA4"/>
    <w:rsid w:val="00A711C8"/>
    <w:rsid w:val="00A72E74"/>
    <w:rsid w:val="00A74A18"/>
    <w:rsid w:val="00A75367"/>
    <w:rsid w:val="00A761F9"/>
    <w:rsid w:val="00A766A4"/>
    <w:rsid w:val="00A76FB6"/>
    <w:rsid w:val="00A77EA3"/>
    <w:rsid w:val="00A845F9"/>
    <w:rsid w:val="00A85F68"/>
    <w:rsid w:val="00A8791F"/>
    <w:rsid w:val="00A87BC5"/>
    <w:rsid w:val="00A9037D"/>
    <w:rsid w:val="00A92B53"/>
    <w:rsid w:val="00A93061"/>
    <w:rsid w:val="00A93DF4"/>
    <w:rsid w:val="00A93F5E"/>
    <w:rsid w:val="00A94C1A"/>
    <w:rsid w:val="00A94FA6"/>
    <w:rsid w:val="00A954FA"/>
    <w:rsid w:val="00A96463"/>
    <w:rsid w:val="00AA0063"/>
    <w:rsid w:val="00AA0EBE"/>
    <w:rsid w:val="00AA167F"/>
    <w:rsid w:val="00AA19E2"/>
    <w:rsid w:val="00AA49A0"/>
    <w:rsid w:val="00AA4E16"/>
    <w:rsid w:val="00AA57B5"/>
    <w:rsid w:val="00AA6710"/>
    <w:rsid w:val="00AA7418"/>
    <w:rsid w:val="00AB0681"/>
    <w:rsid w:val="00AB20DF"/>
    <w:rsid w:val="00AB6FE7"/>
    <w:rsid w:val="00AC2C1D"/>
    <w:rsid w:val="00AC2F6D"/>
    <w:rsid w:val="00AC3A15"/>
    <w:rsid w:val="00AC75DC"/>
    <w:rsid w:val="00AD2FB3"/>
    <w:rsid w:val="00AD3834"/>
    <w:rsid w:val="00AD40F9"/>
    <w:rsid w:val="00AD520B"/>
    <w:rsid w:val="00AD6B63"/>
    <w:rsid w:val="00AE0F17"/>
    <w:rsid w:val="00AE1A96"/>
    <w:rsid w:val="00AE1ED7"/>
    <w:rsid w:val="00AE2315"/>
    <w:rsid w:val="00AE2359"/>
    <w:rsid w:val="00AE23A7"/>
    <w:rsid w:val="00AE2809"/>
    <w:rsid w:val="00AE3BCC"/>
    <w:rsid w:val="00AE5FAD"/>
    <w:rsid w:val="00AE6BA6"/>
    <w:rsid w:val="00AE7E1C"/>
    <w:rsid w:val="00AE7FDF"/>
    <w:rsid w:val="00AF0DF0"/>
    <w:rsid w:val="00AF1AC2"/>
    <w:rsid w:val="00AF6AC5"/>
    <w:rsid w:val="00AF6D75"/>
    <w:rsid w:val="00AF6F10"/>
    <w:rsid w:val="00B0213A"/>
    <w:rsid w:val="00B03184"/>
    <w:rsid w:val="00B03A87"/>
    <w:rsid w:val="00B0483E"/>
    <w:rsid w:val="00B056EF"/>
    <w:rsid w:val="00B06675"/>
    <w:rsid w:val="00B0741F"/>
    <w:rsid w:val="00B132F2"/>
    <w:rsid w:val="00B13600"/>
    <w:rsid w:val="00B13EC2"/>
    <w:rsid w:val="00B14C4C"/>
    <w:rsid w:val="00B158BB"/>
    <w:rsid w:val="00B16685"/>
    <w:rsid w:val="00B21533"/>
    <w:rsid w:val="00B23271"/>
    <w:rsid w:val="00B25857"/>
    <w:rsid w:val="00B26D0A"/>
    <w:rsid w:val="00B277C0"/>
    <w:rsid w:val="00B279C9"/>
    <w:rsid w:val="00B27A38"/>
    <w:rsid w:val="00B30437"/>
    <w:rsid w:val="00B307A5"/>
    <w:rsid w:val="00B34469"/>
    <w:rsid w:val="00B36069"/>
    <w:rsid w:val="00B36CDC"/>
    <w:rsid w:val="00B406D2"/>
    <w:rsid w:val="00B41ACF"/>
    <w:rsid w:val="00B425C3"/>
    <w:rsid w:val="00B4373D"/>
    <w:rsid w:val="00B440AD"/>
    <w:rsid w:val="00B46994"/>
    <w:rsid w:val="00B479BB"/>
    <w:rsid w:val="00B504E5"/>
    <w:rsid w:val="00B5064E"/>
    <w:rsid w:val="00B511FA"/>
    <w:rsid w:val="00B52A03"/>
    <w:rsid w:val="00B53B75"/>
    <w:rsid w:val="00B53E7E"/>
    <w:rsid w:val="00B546EF"/>
    <w:rsid w:val="00B55A14"/>
    <w:rsid w:val="00B55ECA"/>
    <w:rsid w:val="00B55F5C"/>
    <w:rsid w:val="00B57671"/>
    <w:rsid w:val="00B619A6"/>
    <w:rsid w:val="00B6342E"/>
    <w:rsid w:val="00B6461F"/>
    <w:rsid w:val="00B6478D"/>
    <w:rsid w:val="00B656C4"/>
    <w:rsid w:val="00B667C6"/>
    <w:rsid w:val="00B7113F"/>
    <w:rsid w:val="00B71B50"/>
    <w:rsid w:val="00B72478"/>
    <w:rsid w:val="00B737B2"/>
    <w:rsid w:val="00B73899"/>
    <w:rsid w:val="00B7500F"/>
    <w:rsid w:val="00B83588"/>
    <w:rsid w:val="00B83C6C"/>
    <w:rsid w:val="00B84A2F"/>
    <w:rsid w:val="00B84C53"/>
    <w:rsid w:val="00B852FD"/>
    <w:rsid w:val="00B86A49"/>
    <w:rsid w:val="00B90A82"/>
    <w:rsid w:val="00B90DD8"/>
    <w:rsid w:val="00B91795"/>
    <w:rsid w:val="00B930E9"/>
    <w:rsid w:val="00B9356A"/>
    <w:rsid w:val="00B94881"/>
    <w:rsid w:val="00B950B9"/>
    <w:rsid w:val="00B96B92"/>
    <w:rsid w:val="00B97ADE"/>
    <w:rsid w:val="00BA2BCF"/>
    <w:rsid w:val="00BA2DA4"/>
    <w:rsid w:val="00BA4619"/>
    <w:rsid w:val="00BA5B14"/>
    <w:rsid w:val="00BA73B6"/>
    <w:rsid w:val="00BA760B"/>
    <w:rsid w:val="00BA7B9D"/>
    <w:rsid w:val="00BA7E27"/>
    <w:rsid w:val="00BB11FD"/>
    <w:rsid w:val="00BB2603"/>
    <w:rsid w:val="00BB32AD"/>
    <w:rsid w:val="00BB4FCD"/>
    <w:rsid w:val="00BB5E2B"/>
    <w:rsid w:val="00BB7761"/>
    <w:rsid w:val="00BC0215"/>
    <w:rsid w:val="00BC04E9"/>
    <w:rsid w:val="00BC1450"/>
    <w:rsid w:val="00BC4D70"/>
    <w:rsid w:val="00BC60D0"/>
    <w:rsid w:val="00BC69C2"/>
    <w:rsid w:val="00BC6A02"/>
    <w:rsid w:val="00BD02FF"/>
    <w:rsid w:val="00BD13EA"/>
    <w:rsid w:val="00BD403F"/>
    <w:rsid w:val="00BD4127"/>
    <w:rsid w:val="00BD6B05"/>
    <w:rsid w:val="00BD722B"/>
    <w:rsid w:val="00BD7E2D"/>
    <w:rsid w:val="00BE2D7E"/>
    <w:rsid w:val="00BE3701"/>
    <w:rsid w:val="00BE3808"/>
    <w:rsid w:val="00BE6DDF"/>
    <w:rsid w:val="00BE7355"/>
    <w:rsid w:val="00BE7426"/>
    <w:rsid w:val="00BE7706"/>
    <w:rsid w:val="00BF10B7"/>
    <w:rsid w:val="00BF1825"/>
    <w:rsid w:val="00BF3437"/>
    <w:rsid w:val="00BF513E"/>
    <w:rsid w:val="00BF5732"/>
    <w:rsid w:val="00BF6824"/>
    <w:rsid w:val="00C00742"/>
    <w:rsid w:val="00C01736"/>
    <w:rsid w:val="00C02A2B"/>
    <w:rsid w:val="00C03B88"/>
    <w:rsid w:val="00C05F83"/>
    <w:rsid w:val="00C062E9"/>
    <w:rsid w:val="00C065A5"/>
    <w:rsid w:val="00C0662B"/>
    <w:rsid w:val="00C07B64"/>
    <w:rsid w:val="00C1023B"/>
    <w:rsid w:val="00C108A5"/>
    <w:rsid w:val="00C11C41"/>
    <w:rsid w:val="00C11D17"/>
    <w:rsid w:val="00C132A8"/>
    <w:rsid w:val="00C135F9"/>
    <w:rsid w:val="00C13721"/>
    <w:rsid w:val="00C13E24"/>
    <w:rsid w:val="00C14F9C"/>
    <w:rsid w:val="00C14FE4"/>
    <w:rsid w:val="00C20756"/>
    <w:rsid w:val="00C2091D"/>
    <w:rsid w:val="00C20DA8"/>
    <w:rsid w:val="00C20FA4"/>
    <w:rsid w:val="00C21ACB"/>
    <w:rsid w:val="00C23AF4"/>
    <w:rsid w:val="00C2776D"/>
    <w:rsid w:val="00C27F30"/>
    <w:rsid w:val="00C3066D"/>
    <w:rsid w:val="00C31C83"/>
    <w:rsid w:val="00C32FAE"/>
    <w:rsid w:val="00C34403"/>
    <w:rsid w:val="00C34A90"/>
    <w:rsid w:val="00C36BF1"/>
    <w:rsid w:val="00C40BA8"/>
    <w:rsid w:val="00C414A3"/>
    <w:rsid w:val="00C44166"/>
    <w:rsid w:val="00C451B2"/>
    <w:rsid w:val="00C45E3C"/>
    <w:rsid w:val="00C50E12"/>
    <w:rsid w:val="00C52416"/>
    <w:rsid w:val="00C53489"/>
    <w:rsid w:val="00C534E1"/>
    <w:rsid w:val="00C53568"/>
    <w:rsid w:val="00C54193"/>
    <w:rsid w:val="00C543F4"/>
    <w:rsid w:val="00C61BD1"/>
    <w:rsid w:val="00C61EAC"/>
    <w:rsid w:val="00C6291C"/>
    <w:rsid w:val="00C633CB"/>
    <w:rsid w:val="00C63AEE"/>
    <w:rsid w:val="00C63C98"/>
    <w:rsid w:val="00C63EBC"/>
    <w:rsid w:val="00C64EC4"/>
    <w:rsid w:val="00C65DC2"/>
    <w:rsid w:val="00C664CD"/>
    <w:rsid w:val="00C70CAD"/>
    <w:rsid w:val="00C71F38"/>
    <w:rsid w:val="00C72037"/>
    <w:rsid w:val="00C7262E"/>
    <w:rsid w:val="00C72850"/>
    <w:rsid w:val="00C73469"/>
    <w:rsid w:val="00C736B7"/>
    <w:rsid w:val="00C73ADE"/>
    <w:rsid w:val="00C73DCD"/>
    <w:rsid w:val="00C7453F"/>
    <w:rsid w:val="00C75651"/>
    <w:rsid w:val="00C769FB"/>
    <w:rsid w:val="00C81827"/>
    <w:rsid w:val="00C81D4A"/>
    <w:rsid w:val="00C84B19"/>
    <w:rsid w:val="00C851C6"/>
    <w:rsid w:val="00C870BD"/>
    <w:rsid w:val="00C8762C"/>
    <w:rsid w:val="00C904E3"/>
    <w:rsid w:val="00C94965"/>
    <w:rsid w:val="00C9541C"/>
    <w:rsid w:val="00CA00F9"/>
    <w:rsid w:val="00CA0DC6"/>
    <w:rsid w:val="00CA2961"/>
    <w:rsid w:val="00CA31FE"/>
    <w:rsid w:val="00CA3774"/>
    <w:rsid w:val="00CA49CF"/>
    <w:rsid w:val="00CA6546"/>
    <w:rsid w:val="00CA74CB"/>
    <w:rsid w:val="00CB2C3B"/>
    <w:rsid w:val="00CB3794"/>
    <w:rsid w:val="00CB50D7"/>
    <w:rsid w:val="00CB63B0"/>
    <w:rsid w:val="00CB7177"/>
    <w:rsid w:val="00CB7CED"/>
    <w:rsid w:val="00CC070F"/>
    <w:rsid w:val="00CC11A8"/>
    <w:rsid w:val="00CC1998"/>
    <w:rsid w:val="00CC2F60"/>
    <w:rsid w:val="00CC4946"/>
    <w:rsid w:val="00CC64A1"/>
    <w:rsid w:val="00CD2756"/>
    <w:rsid w:val="00CD5034"/>
    <w:rsid w:val="00CD56C1"/>
    <w:rsid w:val="00CD5CDD"/>
    <w:rsid w:val="00CD618D"/>
    <w:rsid w:val="00CD7D0C"/>
    <w:rsid w:val="00CE52AE"/>
    <w:rsid w:val="00CF3099"/>
    <w:rsid w:val="00CF3B11"/>
    <w:rsid w:val="00CF3E2A"/>
    <w:rsid w:val="00CF47F6"/>
    <w:rsid w:val="00CF4A88"/>
    <w:rsid w:val="00CF77E3"/>
    <w:rsid w:val="00CF7EF5"/>
    <w:rsid w:val="00D00E58"/>
    <w:rsid w:val="00D01692"/>
    <w:rsid w:val="00D01C36"/>
    <w:rsid w:val="00D05CB0"/>
    <w:rsid w:val="00D11EB4"/>
    <w:rsid w:val="00D15765"/>
    <w:rsid w:val="00D16568"/>
    <w:rsid w:val="00D173F7"/>
    <w:rsid w:val="00D20040"/>
    <w:rsid w:val="00D214ED"/>
    <w:rsid w:val="00D215A0"/>
    <w:rsid w:val="00D2375A"/>
    <w:rsid w:val="00D270A4"/>
    <w:rsid w:val="00D27B67"/>
    <w:rsid w:val="00D31057"/>
    <w:rsid w:val="00D31FE9"/>
    <w:rsid w:val="00D34E1B"/>
    <w:rsid w:val="00D368F4"/>
    <w:rsid w:val="00D376BA"/>
    <w:rsid w:val="00D406F4"/>
    <w:rsid w:val="00D40FA0"/>
    <w:rsid w:val="00D412C9"/>
    <w:rsid w:val="00D41534"/>
    <w:rsid w:val="00D42032"/>
    <w:rsid w:val="00D42C23"/>
    <w:rsid w:val="00D434A0"/>
    <w:rsid w:val="00D43F61"/>
    <w:rsid w:val="00D44CFC"/>
    <w:rsid w:val="00D45634"/>
    <w:rsid w:val="00D469F4"/>
    <w:rsid w:val="00D47004"/>
    <w:rsid w:val="00D47A58"/>
    <w:rsid w:val="00D5171C"/>
    <w:rsid w:val="00D5238F"/>
    <w:rsid w:val="00D5480B"/>
    <w:rsid w:val="00D54FF8"/>
    <w:rsid w:val="00D5568A"/>
    <w:rsid w:val="00D57B50"/>
    <w:rsid w:val="00D60EA3"/>
    <w:rsid w:val="00D6128B"/>
    <w:rsid w:val="00D63295"/>
    <w:rsid w:val="00D63B2C"/>
    <w:rsid w:val="00D63D73"/>
    <w:rsid w:val="00D64452"/>
    <w:rsid w:val="00D64A52"/>
    <w:rsid w:val="00D66E1E"/>
    <w:rsid w:val="00D70696"/>
    <w:rsid w:val="00D71706"/>
    <w:rsid w:val="00D71BBA"/>
    <w:rsid w:val="00D720C6"/>
    <w:rsid w:val="00D7232E"/>
    <w:rsid w:val="00D74544"/>
    <w:rsid w:val="00D74AEB"/>
    <w:rsid w:val="00D75722"/>
    <w:rsid w:val="00D763EE"/>
    <w:rsid w:val="00D80BB1"/>
    <w:rsid w:val="00D80CF5"/>
    <w:rsid w:val="00D811A0"/>
    <w:rsid w:val="00D82CD3"/>
    <w:rsid w:val="00D843BC"/>
    <w:rsid w:val="00D8484D"/>
    <w:rsid w:val="00D87CE5"/>
    <w:rsid w:val="00D91A6F"/>
    <w:rsid w:val="00D92056"/>
    <w:rsid w:val="00D942EE"/>
    <w:rsid w:val="00D9512E"/>
    <w:rsid w:val="00D95ADB"/>
    <w:rsid w:val="00D972C2"/>
    <w:rsid w:val="00D97E24"/>
    <w:rsid w:val="00DA0C1B"/>
    <w:rsid w:val="00DA167A"/>
    <w:rsid w:val="00DA5BBA"/>
    <w:rsid w:val="00DA60EA"/>
    <w:rsid w:val="00DA7686"/>
    <w:rsid w:val="00DA7C19"/>
    <w:rsid w:val="00DB0043"/>
    <w:rsid w:val="00DB052C"/>
    <w:rsid w:val="00DB07FB"/>
    <w:rsid w:val="00DB26D2"/>
    <w:rsid w:val="00DB3718"/>
    <w:rsid w:val="00DB3783"/>
    <w:rsid w:val="00DB67C9"/>
    <w:rsid w:val="00DC00D7"/>
    <w:rsid w:val="00DC0C95"/>
    <w:rsid w:val="00DC103E"/>
    <w:rsid w:val="00DC1F28"/>
    <w:rsid w:val="00DC3837"/>
    <w:rsid w:val="00DC43DF"/>
    <w:rsid w:val="00DC4F0B"/>
    <w:rsid w:val="00DC52AA"/>
    <w:rsid w:val="00DD5C52"/>
    <w:rsid w:val="00DD6580"/>
    <w:rsid w:val="00DD7415"/>
    <w:rsid w:val="00DE10E9"/>
    <w:rsid w:val="00DE161D"/>
    <w:rsid w:val="00DE246B"/>
    <w:rsid w:val="00DE2D4A"/>
    <w:rsid w:val="00DE43FA"/>
    <w:rsid w:val="00DE4F45"/>
    <w:rsid w:val="00DF0446"/>
    <w:rsid w:val="00DF3D6C"/>
    <w:rsid w:val="00DF5A17"/>
    <w:rsid w:val="00DF7456"/>
    <w:rsid w:val="00E017D9"/>
    <w:rsid w:val="00E01D7F"/>
    <w:rsid w:val="00E02669"/>
    <w:rsid w:val="00E05C03"/>
    <w:rsid w:val="00E104AB"/>
    <w:rsid w:val="00E157C2"/>
    <w:rsid w:val="00E162C8"/>
    <w:rsid w:val="00E16D2F"/>
    <w:rsid w:val="00E17C72"/>
    <w:rsid w:val="00E21FC6"/>
    <w:rsid w:val="00E223FB"/>
    <w:rsid w:val="00E26445"/>
    <w:rsid w:val="00E30C1A"/>
    <w:rsid w:val="00E32279"/>
    <w:rsid w:val="00E349E1"/>
    <w:rsid w:val="00E353E1"/>
    <w:rsid w:val="00E36D82"/>
    <w:rsid w:val="00E3705D"/>
    <w:rsid w:val="00E40250"/>
    <w:rsid w:val="00E41F62"/>
    <w:rsid w:val="00E41FAB"/>
    <w:rsid w:val="00E42FFA"/>
    <w:rsid w:val="00E431A9"/>
    <w:rsid w:val="00E44389"/>
    <w:rsid w:val="00E45E8D"/>
    <w:rsid w:val="00E465ED"/>
    <w:rsid w:val="00E53C8B"/>
    <w:rsid w:val="00E561EA"/>
    <w:rsid w:val="00E606AB"/>
    <w:rsid w:val="00E60CFB"/>
    <w:rsid w:val="00E62A34"/>
    <w:rsid w:val="00E62F0F"/>
    <w:rsid w:val="00E669E2"/>
    <w:rsid w:val="00E72DBB"/>
    <w:rsid w:val="00E76135"/>
    <w:rsid w:val="00E77D70"/>
    <w:rsid w:val="00E8084F"/>
    <w:rsid w:val="00E81795"/>
    <w:rsid w:val="00E82B8A"/>
    <w:rsid w:val="00E82F4F"/>
    <w:rsid w:val="00E82F9B"/>
    <w:rsid w:val="00E8468B"/>
    <w:rsid w:val="00E84CCE"/>
    <w:rsid w:val="00E864DF"/>
    <w:rsid w:val="00E9036B"/>
    <w:rsid w:val="00E904BE"/>
    <w:rsid w:val="00E910D7"/>
    <w:rsid w:val="00E957E1"/>
    <w:rsid w:val="00E95C75"/>
    <w:rsid w:val="00E961E3"/>
    <w:rsid w:val="00E97F7B"/>
    <w:rsid w:val="00EA4364"/>
    <w:rsid w:val="00EA4CD9"/>
    <w:rsid w:val="00EA522C"/>
    <w:rsid w:val="00EA6FEF"/>
    <w:rsid w:val="00EA79D7"/>
    <w:rsid w:val="00EB03FE"/>
    <w:rsid w:val="00EB0C98"/>
    <w:rsid w:val="00EB0F70"/>
    <w:rsid w:val="00EB26E8"/>
    <w:rsid w:val="00EB2CC3"/>
    <w:rsid w:val="00EB38DE"/>
    <w:rsid w:val="00EB3A6A"/>
    <w:rsid w:val="00EB4B68"/>
    <w:rsid w:val="00EB7899"/>
    <w:rsid w:val="00EB7A6E"/>
    <w:rsid w:val="00EC2844"/>
    <w:rsid w:val="00EC2935"/>
    <w:rsid w:val="00EC2BAB"/>
    <w:rsid w:val="00EC4E1A"/>
    <w:rsid w:val="00EC5219"/>
    <w:rsid w:val="00EC5500"/>
    <w:rsid w:val="00EC5A73"/>
    <w:rsid w:val="00EC5D11"/>
    <w:rsid w:val="00EC735E"/>
    <w:rsid w:val="00ED0518"/>
    <w:rsid w:val="00ED07CB"/>
    <w:rsid w:val="00ED18F8"/>
    <w:rsid w:val="00ED4EE1"/>
    <w:rsid w:val="00ED5079"/>
    <w:rsid w:val="00ED5765"/>
    <w:rsid w:val="00ED5996"/>
    <w:rsid w:val="00ED620A"/>
    <w:rsid w:val="00ED7CF5"/>
    <w:rsid w:val="00EE0F57"/>
    <w:rsid w:val="00EE2271"/>
    <w:rsid w:val="00EE2956"/>
    <w:rsid w:val="00EE6EDA"/>
    <w:rsid w:val="00EE7259"/>
    <w:rsid w:val="00EE778E"/>
    <w:rsid w:val="00EF0D5F"/>
    <w:rsid w:val="00EF4B59"/>
    <w:rsid w:val="00EF6719"/>
    <w:rsid w:val="00EF6C6C"/>
    <w:rsid w:val="00F01710"/>
    <w:rsid w:val="00F02C31"/>
    <w:rsid w:val="00F03F1E"/>
    <w:rsid w:val="00F04DC0"/>
    <w:rsid w:val="00F056F8"/>
    <w:rsid w:val="00F056FC"/>
    <w:rsid w:val="00F05D89"/>
    <w:rsid w:val="00F0632F"/>
    <w:rsid w:val="00F069AE"/>
    <w:rsid w:val="00F06E26"/>
    <w:rsid w:val="00F070C0"/>
    <w:rsid w:val="00F102C3"/>
    <w:rsid w:val="00F10476"/>
    <w:rsid w:val="00F1075B"/>
    <w:rsid w:val="00F1144E"/>
    <w:rsid w:val="00F135D8"/>
    <w:rsid w:val="00F17986"/>
    <w:rsid w:val="00F17E09"/>
    <w:rsid w:val="00F21691"/>
    <w:rsid w:val="00F30226"/>
    <w:rsid w:val="00F31299"/>
    <w:rsid w:val="00F3280B"/>
    <w:rsid w:val="00F3534A"/>
    <w:rsid w:val="00F35BFB"/>
    <w:rsid w:val="00F36ACC"/>
    <w:rsid w:val="00F37AD7"/>
    <w:rsid w:val="00F40834"/>
    <w:rsid w:val="00F40A8D"/>
    <w:rsid w:val="00F428CA"/>
    <w:rsid w:val="00F440A6"/>
    <w:rsid w:val="00F440C9"/>
    <w:rsid w:val="00F44DE2"/>
    <w:rsid w:val="00F46B9F"/>
    <w:rsid w:val="00F47404"/>
    <w:rsid w:val="00F51609"/>
    <w:rsid w:val="00F5175A"/>
    <w:rsid w:val="00F532C6"/>
    <w:rsid w:val="00F53A80"/>
    <w:rsid w:val="00F5422B"/>
    <w:rsid w:val="00F54297"/>
    <w:rsid w:val="00F55C25"/>
    <w:rsid w:val="00F61E48"/>
    <w:rsid w:val="00F62D1C"/>
    <w:rsid w:val="00F62F63"/>
    <w:rsid w:val="00F65F40"/>
    <w:rsid w:val="00F670FF"/>
    <w:rsid w:val="00F70F09"/>
    <w:rsid w:val="00F70F80"/>
    <w:rsid w:val="00F712A0"/>
    <w:rsid w:val="00F729AC"/>
    <w:rsid w:val="00F73727"/>
    <w:rsid w:val="00F766A7"/>
    <w:rsid w:val="00F80C46"/>
    <w:rsid w:val="00F81006"/>
    <w:rsid w:val="00F81A66"/>
    <w:rsid w:val="00F828A6"/>
    <w:rsid w:val="00F82EA9"/>
    <w:rsid w:val="00F85325"/>
    <w:rsid w:val="00F853DB"/>
    <w:rsid w:val="00F85EE9"/>
    <w:rsid w:val="00F86744"/>
    <w:rsid w:val="00F87B58"/>
    <w:rsid w:val="00F903E0"/>
    <w:rsid w:val="00F90D20"/>
    <w:rsid w:val="00F92A26"/>
    <w:rsid w:val="00F95674"/>
    <w:rsid w:val="00F96089"/>
    <w:rsid w:val="00F96E65"/>
    <w:rsid w:val="00FA0E71"/>
    <w:rsid w:val="00FA2FE3"/>
    <w:rsid w:val="00FA5F4E"/>
    <w:rsid w:val="00FA7058"/>
    <w:rsid w:val="00FA7AE3"/>
    <w:rsid w:val="00FB3ABE"/>
    <w:rsid w:val="00FB5121"/>
    <w:rsid w:val="00FB5306"/>
    <w:rsid w:val="00FB6241"/>
    <w:rsid w:val="00FC007E"/>
    <w:rsid w:val="00FC0D7E"/>
    <w:rsid w:val="00FC3B07"/>
    <w:rsid w:val="00FC4BB8"/>
    <w:rsid w:val="00FC4F7F"/>
    <w:rsid w:val="00FC59A0"/>
    <w:rsid w:val="00FC7AC3"/>
    <w:rsid w:val="00FD1A6D"/>
    <w:rsid w:val="00FD1F90"/>
    <w:rsid w:val="00FD22B1"/>
    <w:rsid w:val="00FD2888"/>
    <w:rsid w:val="00FD3046"/>
    <w:rsid w:val="00FD33F1"/>
    <w:rsid w:val="00FD3566"/>
    <w:rsid w:val="00FD3EFD"/>
    <w:rsid w:val="00FD3F99"/>
    <w:rsid w:val="00FE32D2"/>
    <w:rsid w:val="00FE4465"/>
    <w:rsid w:val="00FE5397"/>
    <w:rsid w:val="00FE74F3"/>
    <w:rsid w:val="00FE782B"/>
    <w:rsid w:val="00FF49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29213600"/>
  <w15:docId w15:val="{363F84DE-2322-4572-A8E6-4DED9F6A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E2271"/>
    <w:rPr>
      <w:sz w:val="24"/>
      <w:szCs w:val="24"/>
    </w:rPr>
  </w:style>
  <w:style w:type="paragraph" w:styleId="Heading1">
    <w:name w:val="heading 1"/>
    <w:basedOn w:val="BodyText"/>
    <w:next w:val="BodyText"/>
    <w:link w:val="Heading1Char"/>
    <w:rsid w:val="00EE227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EE2271"/>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EE2271"/>
    <w:pPr>
      <w:spacing w:before="560" w:line="320" w:lineRule="exact"/>
      <w:ind w:left="0" w:firstLine="0"/>
      <w:outlineLvl w:val="2"/>
    </w:pPr>
    <w:rPr>
      <w:sz w:val="26"/>
    </w:rPr>
  </w:style>
  <w:style w:type="paragraph" w:styleId="Heading4">
    <w:name w:val="heading 4"/>
    <w:basedOn w:val="Heading3"/>
    <w:next w:val="BodyText"/>
    <w:link w:val="Heading4Char"/>
    <w:qFormat/>
    <w:rsid w:val="00EE2271"/>
    <w:pPr>
      <w:spacing w:before="480"/>
      <w:outlineLvl w:val="3"/>
    </w:pPr>
    <w:rPr>
      <w:b w:val="0"/>
      <w:sz w:val="24"/>
    </w:rPr>
  </w:style>
  <w:style w:type="paragraph" w:styleId="Heading5">
    <w:name w:val="heading 5"/>
    <w:basedOn w:val="Heading4"/>
    <w:next w:val="BodyText"/>
    <w:link w:val="Heading5Char"/>
    <w:qFormat/>
    <w:rsid w:val="00EE2271"/>
    <w:pPr>
      <w:outlineLvl w:val="4"/>
    </w:pPr>
    <w:rPr>
      <w:i/>
      <w:sz w:val="22"/>
    </w:rPr>
  </w:style>
  <w:style w:type="paragraph" w:styleId="Heading6">
    <w:name w:val="heading 6"/>
    <w:basedOn w:val="BodyText"/>
    <w:next w:val="BodyText"/>
    <w:link w:val="Heading6Char"/>
    <w:semiHidden/>
    <w:rsid w:val="00EE2271"/>
    <w:pPr>
      <w:spacing w:after="60"/>
      <w:jc w:val="left"/>
      <w:outlineLvl w:val="5"/>
    </w:pPr>
    <w:rPr>
      <w:i/>
      <w:sz w:val="22"/>
    </w:rPr>
  </w:style>
  <w:style w:type="paragraph" w:styleId="Heading7">
    <w:name w:val="heading 7"/>
    <w:basedOn w:val="BodyText"/>
    <w:next w:val="BodyText"/>
    <w:link w:val="Heading7Char"/>
    <w:semiHidden/>
    <w:rsid w:val="00EE2271"/>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EE2271"/>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EE2271"/>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EE22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2271"/>
  </w:style>
  <w:style w:type="paragraph" w:styleId="BodyText">
    <w:name w:val="Body Text"/>
    <w:link w:val="BodyTextChar"/>
    <w:qFormat/>
    <w:rsid w:val="00EE2271"/>
    <w:pPr>
      <w:spacing w:before="240" w:line="300" w:lineRule="atLeast"/>
      <w:jc w:val="both"/>
    </w:pPr>
    <w:rPr>
      <w:sz w:val="24"/>
    </w:rPr>
  </w:style>
  <w:style w:type="paragraph" w:styleId="Footer">
    <w:name w:val="footer"/>
    <w:basedOn w:val="BodyText"/>
    <w:link w:val="FooterChar"/>
    <w:rsid w:val="00EE2271"/>
    <w:pPr>
      <w:spacing w:before="80" w:line="200" w:lineRule="exact"/>
      <w:ind w:right="6"/>
      <w:jc w:val="left"/>
    </w:pPr>
    <w:rPr>
      <w:rFonts w:ascii="Arial" w:hAnsi="Arial"/>
      <w:caps/>
      <w:spacing w:val="-4"/>
      <w:sz w:val="16"/>
    </w:rPr>
  </w:style>
  <w:style w:type="paragraph" w:customStyle="1" w:styleId="FooterEnd">
    <w:name w:val="Footer End"/>
    <w:basedOn w:val="Footer"/>
    <w:rsid w:val="00EE2271"/>
    <w:pPr>
      <w:spacing w:before="0" w:line="20" w:lineRule="exact"/>
    </w:pPr>
  </w:style>
  <w:style w:type="paragraph" w:styleId="Header">
    <w:name w:val="header"/>
    <w:basedOn w:val="BodyText"/>
    <w:link w:val="HeaderChar"/>
    <w:rsid w:val="00EE2271"/>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EE2271"/>
    <w:pPr>
      <w:spacing w:line="20" w:lineRule="exact"/>
    </w:pPr>
    <w:rPr>
      <w:sz w:val="16"/>
    </w:rPr>
  </w:style>
  <w:style w:type="paragraph" w:customStyle="1" w:styleId="HeaderEven">
    <w:name w:val="Header Even"/>
    <w:basedOn w:val="Header"/>
    <w:rsid w:val="00EE2271"/>
  </w:style>
  <w:style w:type="paragraph" w:customStyle="1" w:styleId="HeaderOdd">
    <w:name w:val="Header Odd"/>
    <w:basedOn w:val="Header"/>
    <w:semiHidden/>
    <w:rsid w:val="00EE2271"/>
  </w:style>
  <w:style w:type="character" w:styleId="PageNumber">
    <w:name w:val="page number"/>
    <w:basedOn w:val="DefaultParagraphFont"/>
    <w:rsid w:val="00EE2271"/>
    <w:rPr>
      <w:rFonts w:ascii="Arial" w:hAnsi="Arial"/>
      <w:b/>
      <w:sz w:val="16"/>
    </w:rPr>
  </w:style>
  <w:style w:type="paragraph" w:customStyle="1" w:styleId="Abbreviation">
    <w:name w:val="Abbreviation"/>
    <w:basedOn w:val="BodyText"/>
    <w:rsid w:val="00EE2271"/>
    <w:pPr>
      <w:spacing w:before="120"/>
      <w:ind w:left="2381" w:hanging="2381"/>
      <w:jc w:val="left"/>
    </w:pPr>
  </w:style>
  <w:style w:type="paragraph" w:customStyle="1" w:styleId="Box">
    <w:name w:val="Box"/>
    <w:basedOn w:val="BodyText"/>
    <w:qFormat/>
    <w:rsid w:val="00EE2271"/>
    <w:pPr>
      <w:keepNext/>
      <w:spacing w:before="120" w:line="260" w:lineRule="atLeast"/>
    </w:pPr>
    <w:rPr>
      <w:rFonts w:ascii="Arial" w:hAnsi="Arial"/>
      <w:sz w:val="20"/>
    </w:rPr>
  </w:style>
  <w:style w:type="paragraph" w:customStyle="1" w:styleId="BoxContinued">
    <w:name w:val="Box Continued"/>
    <w:basedOn w:val="BodyText"/>
    <w:next w:val="BodyText"/>
    <w:semiHidden/>
    <w:rsid w:val="00EE2271"/>
    <w:pPr>
      <w:spacing w:before="180" w:line="220" w:lineRule="exact"/>
      <w:jc w:val="right"/>
    </w:pPr>
    <w:rPr>
      <w:rFonts w:ascii="Arial" w:hAnsi="Arial"/>
      <w:sz w:val="18"/>
    </w:rPr>
  </w:style>
  <w:style w:type="paragraph" w:customStyle="1" w:styleId="BoxHeading1">
    <w:name w:val="Box Heading 1"/>
    <w:basedOn w:val="BodyText"/>
    <w:next w:val="Box"/>
    <w:rsid w:val="00EE2271"/>
    <w:pPr>
      <w:keepNext/>
      <w:spacing w:before="200" w:line="280" w:lineRule="atLeast"/>
    </w:pPr>
    <w:rPr>
      <w:rFonts w:ascii="Arial" w:hAnsi="Arial"/>
      <w:b/>
      <w:sz w:val="22"/>
    </w:rPr>
  </w:style>
  <w:style w:type="paragraph" w:customStyle="1" w:styleId="BoxHeading2">
    <w:name w:val="Box Heading 2"/>
    <w:basedOn w:val="BoxHeading1"/>
    <w:next w:val="Normal"/>
    <w:rsid w:val="00EE2271"/>
    <w:rPr>
      <w:b w:val="0"/>
      <w:i/>
    </w:rPr>
  </w:style>
  <w:style w:type="paragraph" w:customStyle="1" w:styleId="BoxListBullet">
    <w:name w:val="Box List Bullet"/>
    <w:basedOn w:val="BodyText"/>
    <w:rsid w:val="00EE2271"/>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EE2271"/>
    <w:pPr>
      <w:numPr>
        <w:numId w:val="13"/>
      </w:numPr>
      <w:ind w:left="568" w:hanging="284"/>
    </w:pPr>
  </w:style>
  <w:style w:type="paragraph" w:customStyle="1" w:styleId="BoxListNumber">
    <w:name w:val="Box List Number"/>
    <w:basedOn w:val="BodyText"/>
    <w:rsid w:val="00EE2271"/>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EE2271"/>
    <w:pPr>
      <w:numPr>
        <w:ilvl w:val="1"/>
      </w:numPr>
      <w:ind w:left="681" w:hanging="397"/>
    </w:pPr>
  </w:style>
  <w:style w:type="paragraph" w:customStyle="1" w:styleId="BoxQuote">
    <w:name w:val="Box Quote"/>
    <w:basedOn w:val="BodyText"/>
    <w:next w:val="Box"/>
    <w:qFormat/>
    <w:rsid w:val="00EE2271"/>
    <w:pPr>
      <w:keepNext/>
      <w:spacing w:before="60" w:line="240" w:lineRule="exact"/>
      <w:ind w:left="284"/>
    </w:pPr>
    <w:rPr>
      <w:rFonts w:ascii="Arial" w:hAnsi="Arial"/>
      <w:sz w:val="18"/>
    </w:rPr>
  </w:style>
  <w:style w:type="paragraph" w:customStyle="1" w:styleId="Note">
    <w:name w:val="Note"/>
    <w:basedOn w:val="BodyText"/>
    <w:next w:val="BodyText"/>
    <w:rsid w:val="00EE2271"/>
    <w:pPr>
      <w:keepLines/>
      <w:spacing w:before="80" w:line="220" w:lineRule="exact"/>
    </w:pPr>
    <w:rPr>
      <w:rFonts w:ascii="Arial" w:hAnsi="Arial"/>
      <w:sz w:val="18"/>
    </w:rPr>
  </w:style>
  <w:style w:type="paragraph" w:customStyle="1" w:styleId="Source">
    <w:name w:val="Source"/>
    <w:basedOn w:val="Normal"/>
    <w:next w:val="BodyText"/>
    <w:rsid w:val="00EE2271"/>
    <w:pPr>
      <w:keepLines/>
      <w:spacing w:before="80" w:line="220" w:lineRule="exact"/>
      <w:jc w:val="both"/>
    </w:pPr>
    <w:rPr>
      <w:rFonts w:ascii="Arial" w:hAnsi="Arial"/>
      <w:sz w:val="18"/>
      <w:szCs w:val="20"/>
    </w:rPr>
  </w:style>
  <w:style w:type="paragraph" w:customStyle="1" w:styleId="BoxSource">
    <w:name w:val="Box Source"/>
    <w:basedOn w:val="Source"/>
    <w:next w:val="BodyText"/>
    <w:rsid w:val="00EE2271"/>
    <w:pPr>
      <w:spacing w:before="120"/>
    </w:pPr>
  </w:style>
  <w:style w:type="paragraph" w:customStyle="1" w:styleId="BoxSpaceAbove">
    <w:name w:val="Box Space Above"/>
    <w:basedOn w:val="BodyText"/>
    <w:rsid w:val="00EE2271"/>
    <w:pPr>
      <w:keepNext/>
      <w:spacing w:before="360" w:line="80" w:lineRule="exact"/>
      <w:jc w:val="left"/>
    </w:pPr>
  </w:style>
  <w:style w:type="paragraph" w:styleId="Caption">
    <w:name w:val="caption"/>
    <w:basedOn w:val="Normal"/>
    <w:next w:val="BodyText"/>
    <w:rsid w:val="00EE2271"/>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EE2271"/>
    <w:pPr>
      <w:spacing w:before="120" w:after="0"/>
    </w:pPr>
  </w:style>
  <w:style w:type="paragraph" w:customStyle="1" w:styleId="BoxSubtitle">
    <w:name w:val="Box Subtitle"/>
    <w:basedOn w:val="BoxTitle"/>
    <w:next w:val="Normal"/>
    <w:rsid w:val="00EE2271"/>
    <w:pPr>
      <w:spacing w:after="80" w:line="200" w:lineRule="exact"/>
      <w:ind w:firstLine="0"/>
    </w:pPr>
    <w:rPr>
      <w:b w:val="0"/>
      <w:sz w:val="20"/>
    </w:rPr>
  </w:style>
  <w:style w:type="paragraph" w:customStyle="1" w:styleId="Chapter">
    <w:name w:val="Chapter"/>
    <w:basedOn w:val="Heading1"/>
    <w:next w:val="BodyText"/>
    <w:semiHidden/>
    <w:rsid w:val="00EE2271"/>
    <w:pPr>
      <w:ind w:left="0" w:firstLine="0"/>
      <w:outlineLvl w:val="9"/>
    </w:pPr>
  </w:style>
  <w:style w:type="paragraph" w:customStyle="1" w:styleId="ChapterSummary">
    <w:name w:val="Chapter Summary"/>
    <w:basedOn w:val="BodyText"/>
    <w:rsid w:val="00EE2271"/>
    <w:pPr>
      <w:spacing w:line="280" w:lineRule="atLeast"/>
      <w:ind w:left="907"/>
    </w:pPr>
    <w:rPr>
      <w:rFonts w:ascii="Arial" w:hAnsi="Arial"/>
      <w:b/>
      <w:sz w:val="20"/>
    </w:rPr>
  </w:style>
  <w:style w:type="character" w:styleId="CommentReference">
    <w:name w:val="annotation reference"/>
    <w:basedOn w:val="DefaultParagraphFont"/>
    <w:semiHidden/>
    <w:rsid w:val="00EE2271"/>
    <w:rPr>
      <w:b/>
      <w:vanish/>
      <w:color w:val="FF00FF"/>
      <w:sz w:val="20"/>
    </w:rPr>
  </w:style>
  <w:style w:type="paragraph" w:styleId="CommentText">
    <w:name w:val="annotation text"/>
    <w:basedOn w:val="Normal"/>
    <w:link w:val="CommentTextChar"/>
    <w:semiHidden/>
    <w:rsid w:val="00EE2271"/>
    <w:pPr>
      <w:spacing w:before="120" w:line="240" w:lineRule="atLeast"/>
      <w:ind w:left="567" w:hanging="567"/>
    </w:pPr>
    <w:rPr>
      <w:sz w:val="20"/>
    </w:rPr>
  </w:style>
  <w:style w:type="paragraph" w:customStyle="1" w:styleId="Continued">
    <w:name w:val="Continued"/>
    <w:basedOn w:val="BoxContinued"/>
    <w:next w:val="BodyText"/>
    <w:rsid w:val="00EE2271"/>
  </w:style>
  <w:style w:type="character" w:customStyle="1" w:styleId="DocumentInfo">
    <w:name w:val="Document Info"/>
    <w:basedOn w:val="DefaultParagraphFont"/>
    <w:semiHidden/>
    <w:rsid w:val="00EE2271"/>
    <w:rPr>
      <w:rFonts w:ascii="Arial" w:hAnsi="Arial"/>
      <w:sz w:val="14"/>
    </w:rPr>
  </w:style>
  <w:style w:type="character" w:customStyle="1" w:styleId="DraftingNote">
    <w:name w:val="Drafting Note"/>
    <w:basedOn w:val="DefaultParagraphFont"/>
    <w:rsid w:val="00EE2271"/>
    <w:rPr>
      <w:b/>
      <w:color w:val="FF0000"/>
      <w:sz w:val="24"/>
      <w:u w:val="dotted"/>
    </w:rPr>
  </w:style>
  <w:style w:type="paragraph" w:customStyle="1" w:styleId="Figure">
    <w:name w:val="Figure"/>
    <w:basedOn w:val="BodyText"/>
    <w:rsid w:val="00EE2271"/>
    <w:pPr>
      <w:keepNext/>
      <w:spacing w:before="120" w:after="120" w:line="240" w:lineRule="atLeast"/>
      <w:jc w:val="center"/>
    </w:pPr>
  </w:style>
  <w:style w:type="paragraph" w:customStyle="1" w:styleId="FigureTitle">
    <w:name w:val="Figure Title"/>
    <w:basedOn w:val="Caption"/>
    <w:next w:val="Subtitle"/>
    <w:rsid w:val="00EE2271"/>
    <w:pPr>
      <w:spacing w:before="120"/>
    </w:pPr>
  </w:style>
  <w:style w:type="paragraph" w:styleId="Subtitle">
    <w:name w:val="Subtitle"/>
    <w:basedOn w:val="Caption"/>
    <w:link w:val="SubtitleChar"/>
    <w:qFormat/>
    <w:rsid w:val="00EE2271"/>
    <w:pPr>
      <w:spacing w:before="0" w:line="200" w:lineRule="exact"/>
      <w:ind w:firstLine="0"/>
    </w:pPr>
    <w:rPr>
      <w:b w:val="0"/>
      <w:sz w:val="20"/>
    </w:rPr>
  </w:style>
  <w:style w:type="paragraph" w:customStyle="1" w:styleId="Finding">
    <w:name w:val="Finding"/>
    <w:basedOn w:val="BodyText"/>
    <w:rsid w:val="00EE2271"/>
    <w:pPr>
      <w:keepLines/>
      <w:spacing w:before="120" w:line="280" w:lineRule="atLeast"/>
    </w:pPr>
    <w:rPr>
      <w:rFonts w:ascii="Arial" w:hAnsi="Arial"/>
      <w:sz w:val="22"/>
    </w:rPr>
  </w:style>
  <w:style w:type="paragraph" w:customStyle="1" w:styleId="FindingBullet">
    <w:name w:val="Finding Bullet"/>
    <w:basedOn w:val="Finding"/>
    <w:rsid w:val="00EE2271"/>
    <w:pPr>
      <w:numPr>
        <w:numId w:val="15"/>
      </w:numPr>
      <w:spacing w:before="80"/>
    </w:pPr>
  </w:style>
  <w:style w:type="paragraph" w:customStyle="1" w:styleId="FindingNoTitle">
    <w:name w:val="Finding NoTitle"/>
    <w:basedOn w:val="Finding"/>
    <w:semiHidden/>
    <w:rsid w:val="00EE2271"/>
    <w:pPr>
      <w:spacing w:before="240"/>
    </w:pPr>
  </w:style>
  <w:style w:type="paragraph" w:customStyle="1" w:styleId="RecTitle">
    <w:name w:val="Rec Title"/>
    <w:basedOn w:val="BodyText"/>
    <w:next w:val="Rec"/>
    <w:qFormat/>
    <w:rsid w:val="00EE2271"/>
    <w:pPr>
      <w:keepNext/>
      <w:keepLines/>
      <w:spacing w:line="280" w:lineRule="atLeast"/>
    </w:pPr>
    <w:rPr>
      <w:rFonts w:ascii="Arial" w:hAnsi="Arial"/>
      <w:caps/>
      <w:sz w:val="18"/>
    </w:rPr>
  </w:style>
  <w:style w:type="paragraph" w:customStyle="1" w:styleId="FindingTitle">
    <w:name w:val="Finding Title"/>
    <w:basedOn w:val="RecTitle"/>
    <w:next w:val="Finding"/>
    <w:rsid w:val="00EE2271"/>
  </w:style>
  <w:style w:type="character" w:styleId="FootnoteReference">
    <w:name w:val="footnote reference"/>
    <w:basedOn w:val="DefaultParagraphFont"/>
    <w:semiHidden/>
    <w:rsid w:val="00EE2271"/>
    <w:rPr>
      <w:rFonts w:ascii="Times New Roman" w:hAnsi="Times New Roman"/>
      <w:position w:val="6"/>
      <w:sz w:val="20"/>
      <w:vertAlign w:val="baseline"/>
    </w:rPr>
  </w:style>
  <w:style w:type="paragraph" w:styleId="FootnoteText">
    <w:name w:val="footnote text"/>
    <w:basedOn w:val="BodyText"/>
    <w:link w:val="FootnoteTextChar"/>
    <w:rsid w:val="00EE2271"/>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EE2271"/>
    <w:rPr>
      <w:i/>
    </w:rPr>
  </w:style>
  <w:style w:type="paragraph" w:customStyle="1" w:styleId="Jurisdictioncommentsbodytext">
    <w:name w:val="Jurisdiction comments body text"/>
    <w:rsid w:val="00EE2271"/>
    <w:pPr>
      <w:spacing w:after="140"/>
      <w:jc w:val="both"/>
    </w:pPr>
    <w:rPr>
      <w:rFonts w:ascii="Arial" w:hAnsi="Arial"/>
      <w:sz w:val="24"/>
      <w:lang w:eastAsia="en-US"/>
    </w:rPr>
  </w:style>
  <w:style w:type="paragraph" w:customStyle="1" w:styleId="Jurisdictioncommentsheading">
    <w:name w:val="Jurisdiction comments heading"/>
    <w:rsid w:val="00EE2271"/>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EE2271"/>
    <w:pPr>
      <w:numPr>
        <w:numId w:val="2"/>
      </w:numPr>
      <w:spacing w:after="140"/>
      <w:jc w:val="both"/>
    </w:pPr>
    <w:rPr>
      <w:rFonts w:ascii="Arial" w:hAnsi="Arial"/>
      <w:sz w:val="24"/>
      <w:lang w:eastAsia="en-US"/>
    </w:rPr>
  </w:style>
  <w:style w:type="paragraph" w:styleId="ListBullet">
    <w:name w:val="List Bullet"/>
    <w:basedOn w:val="BodyText"/>
    <w:rsid w:val="00EE2271"/>
    <w:pPr>
      <w:numPr>
        <w:numId w:val="3"/>
      </w:numPr>
      <w:spacing w:before="120"/>
    </w:pPr>
  </w:style>
  <w:style w:type="paragraph" w:styleId="ListBullet2">
    <w:name w:val="List Bullet 2"/>
    <w:basedOn w:val="BodyText"/>
    <w:rsid w:val="00EE2271"/>
    <w:pPr>
      <w:numPr>
        <w:numId w:val="4"/>
      </w:numPr>
      <w:spacing w:before="120"/>
    </w:pPr>
  </w:style>
  <w:style w:type="paragraph" w:styleId="ListBullet3">
    <w:name w:val="List Bullet 3"/>
    <w:basedOn w:val="BodyText"/>
    <w:rsid w:val="00EE2271"/>
    <w:pPr>
      <w:numPr>
        <w:numId w:val="5"/>
      </w:numPr>
      <w:spacing w:before="120"/>
      <w:ind w:left="1020" w:hanging="340"/>
    </w:pPr>
  </w:style>
  <w:style w:type="paragraph" w:styleId="ListNumber">
    <w:name w:val="List Number"/>
    <w:basedOn w:val="BodyText"/>
    <w:rsid w:val="00EE2271"/>
    <w:pPr>
      <w:numPr>
        <w:numId w:val="9"/>
      </w:numPr>
      <w:spacing w:before="120"/>
    </w:pPr>
  </w:style>
  <w:style w:type="paragraph" w:styleId="ListNumber2">
    <w:name w:val="List Number 2"/>
    <w:basedOn w:val="ListNumber"/>
    <w:rsid w:val="00EE2271"/>
    <w:pPr>
      <w:numPr>
        <w:ilvl w:val="1"/>
      </w:numPr>
    </w:pPr>
  </w:style>
  <w:style w:type="paragraph" w:styleId="ListNumber3">
    <w:name w:val="List Number 3"/>
    <w:basedOn w:val="ListNumber2"/>
    <w:rsid w:val="00EE2271"/>
    <w:pPr>
      <w:numPr>
        <w:ilvl w:val="2"/>
      </w:numPr>
    </w:pPr>
  </w:style>
  <w:style w:type="character" w:customStyle="1" w:styleId="NoteLabel">
    <w:name w:val="Note Label"/>
    <w:basedOn w:val="DefaultParagraphFont"/>
    <w:rsid w:val="00EE2271"/>
    <w:rPr>
      <w:rFonts w:ascii="Arial" w:hAnsi="Arial"/>
      <w:b/>
      <w:position w:val="6"/>
      <w:sz w:val="18"/>
    </w:rPr>
  </w:style>
  <w:style w:type="paragraph" w:customStyle="1" w:styleId="PartDivider">
    <w:name w:val="Part Divider"/>
    <w:basedOn w:val="BodyText"/>
    <w:next w:val="BodyText"/>
    <w:semiHidden/>
    <w:rsid w:val="00EE2271"/>
    <w:pPr>
      <w:spacing w:before="0" w:line="40" w:lineRule="exact"/>
      <w:jc w:val="right"/>
    </w:pPr>
    <w:rPr>
      <w:smallCaps/>
      <w:sz w:val="16"/>
    </w:rPr>
  </w:style>
  <w:style w:type="paragraph" w:customStyle="1" w:styleId="PartNumber">
    <w:name w:val="Part Number"/>
    <w:basedOn w:val="BodyText"/>
    <w:next w:val="BodyText"/>
    <w:semiHidden/>
    <w:rsid w:val="00EE2271"/>
    <w:pPr>
      <w:spacing w:before="4000" w:line="320" w:lineRule="exact"/>
      <w:ind w:left="6634"/>
      <w:jc w:val="right"/>
    </w:pPr>
    <w:rPr>
      <w:smallCaps/>
      <w:spacing w:val="60"/>
      <w:sz w:val="32"/>
    </w:rPr>
  </w:style>
  <w:style w:type="paragraph" w:customStyle="1" w:styleId="PartTitle">
    <w:name w:val="Part Title"/>
    <w:basedOn w:val="BodyText"/>
    <w:semiHidden/>
    <w:rsid w:val="00EE2271"/>
    <w:pPr>
      <w:spacing w:before="160" w:after="1360" w:line="520" w:lineRule="exact"/>
      <w:ind w:right="2381"/>
      <w:jc w:val="right"/>
    </w:pPr>
    <w:rPr>
      <w:smallCaps/>
      <w:sz w:val="52"/>
    </w:rPr>
  </w:style>
  <w:style w:type="paragraph" w:styleId="Quote">
    <w:name w:val="Quote"/>
    <w:basedOn w:val="BodyText"/>
    <w:next w:val="BodyText"/>
    <w:link w:val="QuoteChar"/>
    <w:qFormat/>
    <w:rsid w:val="00EE2271"/>
    <w:pPr>
      <w:spacing w:before="120" w:line="280" w:lineRule="exact"/>
      <w:ind w:left="340"/>
    </w:pPr>
    <w:rPr>
      <w:sz w:val="22"/>
    </w:rPr>
  </w:style>
  <w:style w:type="paragraph" w:customStyle="1" w:styleId="QuoteBullet">
    <w:name w:val="Quote Bullet"/>
    <w:basedOn w:val="Quote"/>
    <w:rsid w:val="00EE2271"/>
    <w:pPr>
      <w:numPr>
        <w:numId w:val="6"/>
      </w:numPr>
    </w:pPr>
  </w:style>
  <w:style w:type="paragraph" w:customStyle="1" w:styleId="Rec">
    <w:name w:val="Rec"/>
    <w:basedOn w:val="BodyText"/>
    <w:qFormat/>
    <w:rsid w:val="00EE2271"/>
    <w:pPr>
      <w:keepLines/>
      <w:spacing w:before="120" w:line="280" w:lineRule="atLeast"/>
    </w:pPr>
    <w:rPr>
      <w:rFonts w:ascii="Arial" w:hAnsi="Arial"/>
      <w:sz w:val="22"/>
    </w:rPr>
  </w:style>
  <w:style w:type="paragraph" w:customStyle="1" w:styleId="RecBullet">
    <w:name w:val="Rec Bullet"/>
    <w:basedOn w:val="Rec"/>
    <w:rsid w:val="00EE2271"/>
    <w:pPr>
      <w:numPr>
        <w:numId w:val="17"/>
      </w:numPr>
      <w:spacing w:before="80"/>
    </w:pPr>
  </w:style>
  <w:style w:type="paragraph" w:customStyle="1" w:styleId="RecB">
    <w:name w:val="RecB"/>
    <w:basedOn w:val="Normal"/>
    <w:rsid w:val="00EE2271"/>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EE2271"/>
    <w:pPr>
      <w:numPr>
        <w:numId w:val="11"/>
      </w:numPr>
      <w:spacing w:before="80"/>
    </w:pPr>
  </w:style>
  <w:style w:type="paragraph" w:customStyle="1" w:styleId="RecBNoTitle">
    <w:name w:val="RecB NoTitle"/>
    <w:basedOn w:val="RecB"/>
    <w:semiHidden/>
    <w:rsid w:val="00EE2271"/>
    <w:pPr>
      <w:spacing w:before="240"/>
    </w:pPr>
  </w:style>
  <w:style w:type="paragraph" w:customStyle="1" w:styleId="Reference">
    <w:name w:val="Reference"/>
    <w:basedOn w:val="BodyText"/>
    <w:rsid w:val="00EE2271"/>
    <w:pPr>
      <w:spacing w:before="120"/>
      <w:ind w:left="340" w:hanging="340"/>
    </w:pPr>
  </w:style>
  <w:style w:type="paragraph" w:customStyle="1" w:styleId="SequenceInfo">
    <w:name w:val="Sequence Info"/>
    <w:basedOn w:val="BodyText"/>
    <w:semiHidden/>
    <w:rsid w:val="00EE2271"/>
    <w:rPr>
      <w:vanish/>
      <w:sz w:val="16"/>
    </w:rPr>
  </w:style>
  <w:style w:type="paragraph" w:customStyle="1" w:styleId="SideNote">
    <w:name w:val="Side Note"/>
    <w:basedOn w:val="BodyText"/>
    <w:next w:val="BodyText"/>
    <w:semiHidden/>
    <w:rsid w:val="00EE2271"/>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EE2271"/>
    <w:pPr>
      <w:framePr w:wrap="around"/>
      <w:numPr>
        <w:numId w:val="7"/>
      </w:numPr>
      <w:tabs>
        <w:tab w:val="left" w:pos="227"/>
      </w:tabs>
    </w:pPr>
  </w:style>
  <w:style w:type="paragraph" w:customStyle="1" w:styleId="SideNoteGraphic">
    <w:name w:val="Side Note Graphic"/>
    <w:basedOn w:val="SideNote"/>
    <w:next w:val="BodyText"/>
    <w:semiHidden/>
    <w:rsid w:val="00EE2271"/>
    <w:pPr>
      <w:framePr w:wrap="around"/>
    </w:pPr>
  </w:style>
  <w:style w:type="paragraph" w:customStyle="1" w:styleId="TableBodyText">
    <w:name w:val="Table Body Text"/>
    <w:basedOn w:val="BodyText"/>
    <w:rsid w:val="00EE2271"/>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EE2271"/>
    <w:pPr>
      <w:numPr>
        <w:numId w:val="8"/>
      </w:numPr>
      <w:jc w:val="left"/>
    </w:pPr>
  </w:style>
  <w:style w:type="paragraph" w:customStyle="1" w:styleId="TableColumnHeading">
    <w:name w:val="Table Column Heading"/>
    <w:basedOn w:val="TableBodyText"/>
    <w:rsid w:val="00EE2271"/>
    <w:pPr>
      <w:spacing w:before="80" w:after="80"/>
    </w:pPr>
    <w:rPr>
      <w:i/>
    </w:rPr>
  </w:style>
  <w:style w:type="paragraph" w:styleId="TOC2">
    <w:name w:val="toc 2"/>
    <w:basedOn w:val="TOC1"/>
    <w:rsid w:val="00EE2271"/>
    <w:pPr>
      <w:ind w:left="1134" w:hanging="624"/>
    </w:pPr>
    <w:rPr>
      <w:b w:val="0"/>
    </w:rPr>
  </w:style>
  <w:style w:type="paragraph" w:styleId="TOC3">
    <w:name w:val="toc 3"/>
    <w:basedOn w:val="TOC2"/>
    <w:rsid w:val="00EE2271"/>
    <w:pPr>
      <w:spacing w:before="60"/>
      <w:ind w:left="1190" w:hanging="680"/>
    </w:pPr>
  </w:style>
  <w:style w:type="paragraph" w:styleId="TableofFigures">
    <w:name w:val="table of figures"/>
    <w:basedOn w:val="TOC3"/>
    <w:next w:val="BodyText"/>
    <w:semiHidden/>
    <w:rsid w:val="00EE2271"/>
    <w:pPr>
      <w:ind w:left="737" w:hanging="737"/>
    </w:pPr>
  </w:style>
  <w:style w:type="paragraph" w:customStyle="1" w:styleId="TableTitle">
    <w:name w:val="Table Title"/>
    <w:basedOn w:val="Caption"/>
    <w:next w:val="Subtitle"/>
    <w:qFormat/>
    <w:rsid w:val="00EE2271"/>
    <w:pPr>
      <w:spacing w:before="120"/>
    </w:pPr>
  </w:style>
  <w:style w:type="paragraph" w:customStyle="1" w:styleId="TableUnitsRow">
    <w:name w:val="Table Units Row"/>
    <w:basedOn w:val="TableBodyText"/>
    <w:rsid w:val="00EE2271"/>
    <w:pPr>
      <w:spacing w:before="40"/>
    </w:pPr>
  </w:style>
  <w:style w:type="paragraph" w:styleId="TOC1">
    <w:name w:val="toc 1"/>
    <w:basedOn w:val="Normal"/>
    <w:next w:val="TOC2"/>
    <w:link w:val="TOC1Char"/>
    <w:rsid w:val="00EE2271"/>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EE2271"/>
    <w:pPr>
      <w:ind w:left="1191" w:firstLine="0"/>
    </w:pPr>
  </w:style>
  <w:style w:type="paragraph" w:customStyle="1" w:styleId="RecBBullet2">
    <w:name w:val="RecB Bullet 2"/>
    <w:basedOn w:val="ListBullet2"/>
    <w:semiHidden/>
    <w:rsid w:val="00EE2271"/>
    <w:pPr>
      <w:pBdr>
        <w:left w:val="single" w:sz="24" w:space="29" w:color="C0C0C0"/>
      </w:pBdr>
    </w:pPr>
    <w:rPr>
      <w:b/>
      <w:i/>
    </w:rPr>
  </w:style>
  <w:style w:type="paragraph" w:styleId="BalloonText">
    <w:name w:val="Balloon Text"/>
    <w:basedOn w:val="Normal"/>
    <w:link w:val="BalloonTextChar"/>
    <w:rsid w:val="00EE2271"/>
    <w:rPr>
      <w:rFonts w:ascii="Tahoma" w:hAnsi="Tahoma" w:cs="Tahoma"/>
      <w:sz w:val="16"/>
      <w:szCs w:val="16"/>
    </w:rPr>
  </w:style>
  <w:style w:type="character" w:customStyle="1" w:styleId="BalloonTextChar">
    <w:name w:val="Balloon Text Char"/>
    <w:basedOn w:val="DefaultParagraphFont"/>
    <w:link w:val="BalloonText"/>
    <w:rsid w:val="00EE2271"/>
    <w:rPr>
      <w:rFonts w:ascii="Tahoma" w:hAnsi="Tahoma" w:cs="Tahoma"/>
      <w:sz w:val="16"/>
      <w:szCs w:val="16"/>
    </w:rPr>
  </w:style>
  <w:style w:type="character" w:customStyle="1" w:styleId="SubtitleChar">
    <w:name w:val="Subtitle Char"/>
    <w:basedOn w:val="DefaultParagraphFont"/>
    <w:link w:val="Subtitle"/>
    <w:rsid w:val="00EE2271"/>
    <w:rPr>
      <w:rFonts w:ascii="Arial" w:hAnsi="Arial"/>
      <w:szCs w:val="24"/>
    </w:rPr>
  </w:style>
  <w:style w:type="paragraph" w:customStyle="1" w:styleId="BoxListBullet3">
    <w:name w:val="Box List Bullet 3"/>
    <w:basedOn w:val="ListBullet3"/>
    <w:rsid w:val="00EE2271"/>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EE2271"/>
    <w:rPr>
      <w:i/>
      <w:iCs/>
    </w:rPr>
  </w:style>
  <w:style w:type="paragraph" w:customStyle="1" w:styleId="BoxQuoteBullet">
    <w:name w:val="Box Quote Bullet"/>
    <w:basedOn w:val="BoxQuote"/>
    <w:next w:val="Box"/>
    <w:rsid w:val="00EE2271"/>
    <w:pPr>
      <w:numPr>
        <w:numId w:val="12"/>
      </w:numPr>
      <w:ind w:left="568" w:hanging="284"/>
    </w:pPr>
  </w:style>
  <w:style w:type="paragraph" w:customStyle="1" w:styleId="InformationRequestBullet">
    <w:name w:val="Information Request Bullet"/>
    <w:basedOn w:val="ListBullet"/>
    <w:next w:val="BodyText"/>
    <w:rsid w:val="00EE2271"/>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EE2271"/>
    <w:pPr>
      <w:keepNext w:val="0"/>
      <w:spacing w:before="60" w:after="60" w:line="80" w:lineRule="exact"/>
    </w:pPr>
    <w:rPr>
      <w:sz w:val="14"/>
    </w:rPr>
  </w:style>
  <w:style w:type="paragraph" w:customStyle="1" w:styleId="KeyPointsListBullet">
    <w:name w:val="Key Points List Bullet"/>
    <w:basedOn w:val="Normal"/>
    <w:qFormat/>
    <w:rsid w:val="00EE2271"/>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EE2271"/>
    <w:pPr>
      <w:numPr>
        <w:numId w:val="21"/>
      </w:numPr>
      <w:ind w:left="568" w:hanging="284"/>
    </w:pPr>
  </w:style>
  <w:style w:type="paragraph" w:customStyle="1" w:styleId="InformationRequestTitle">
    <w:name w:val="Information Request Title"/>
    <w:basedOn w:val="FindingTitle"/>
    <w:next w:val="InformationRequest"/>
    <w:rsid w:val="00EE2271"/>
    <w:rPr>
      <w:i/>
    </w:rPr>
  </w:style>
  <w:style w:type="paragraph" w:customStyle="1" w:styleId="Space">
    <w:name w:val="Space"/>
    <w:basedOn w:val="Normal"/>
    <w:rsid w:val="00EE2271"/>
    <w:pPr>
      <w:keepNext/>
      <w:spacing w:line="120" w:lineRule="exact"/>
      <w:jc w:val="both"/>
    </w:pPr>
    <w:rPr>
      <w:rFonts w:ascii="Arial" w:hAnsi="Arial"/>
      <w:sz w:val="20"/>
      <w:szCs w:val="20"/>
    </w:rPr>
  </w:style>
  <w:style w:type="paragraph" w:customStyle="1" w:styleId="Heading1nochapterno">
    <w:name w:val="Heading 1 (no chapter no.)"/>
    <w:basedOn w:val="Heading1"/>
    <w:rsid w:val="00EE2271"/>
    <w:pPr>
      <w:spacing w:before="0"/>
      <w:ind w:left="0" w:firstLine="0"/>
    </w:pPr>
  </w:style>
  <w:style w:type="paragraph" w:customStyle="1" w:styleId="Heading2nosectionno">
    <w:name w:val="Heading 2 (no section no.)"/>
    <w:basedOn w:val="Heading2"/>
    <w:rsid w:val="00EE2271"/>
    <w:pPr>
      <w:ind w:left="0" w:firstLine="0"/>
    </w:pPr>
  </w:style>
  <w:style w:type="character" w:customStyle="1" w:styleId="Heading5Char">
    <w:name w:val="Heading 5 Char"/>
    <w:basedOn w:val="DefaultParagraphFont"/>
    <w:link w:val="Heading5"/>
    <w:rsid w:val="00EE2271"/>
    <w:rPr>
      <w:rFonts w:ascii="Arial" w:hAnsi="Arial"/>
      <w:i/>
      <w:sz w:val="22"/>
    </w:rPr>
  </w:style>
  <w:style w:type="paragraph" w:customStyle="1" w:styleId="Figurespace">
    <w:name w:val="Figure space"/>
    <w:basedOn w:val="Box"/>
    <w:rsid w:val="00EE2271"/>
    <w:pPr>
      <w:spacing w:before="0" w:line="120" w:lineRule="exact"/>
    </w:pPr>
  </w:style>
  <w:style w:type="paragraph" w:customStyle="1" w:styleId="FooterDraftReport">
    <w:name w:val="FooterDraftReport"/>
    <w:basedOn w:val="Footer"/>
    <w:link w:val="FooterDraftReportChar"/>
    <w:rsid w:val="00EE2271"/>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E2271"/>
    <w:rPr>
      <w:sz w:val="24"/>
    </w:rPr>
  </w:style>
  <w:style w:type="character" w:customStyle="1" w:styleId="FooterChar">
    <w:name w:val="Footer Char"/>
    <w:basedOn w:val="BodyTextChar"/>
    <w:link w:val="Footer"/>
    <w:rsid w:val="00EE2271"/>
    <w:rPr>
      <w:rFonts w:ascii="Arial" w:hAnsi="Arial"/>
      <w:caps/>
      <w:spacing w:val="-4"/>
      <w:sz w:val="16"/>
    </w:rPr>
  </w:style>
  <w:style w:type="character" w:customStyle="1" w:styleId="FooterDraftReportChar">
    <w:name w:val="FooterDraftReport Char"/>
    <w:basedOn w:val="FooterChar"/>
    <w:link w:val="FooterDraftReport"/>
    <w:rsid w:val="00EE2271"/>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EE2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EE2271"/>
    <w:rPr>
      <w:rFonts w:ascii="Arial" w:hAnsi="Arial"/>
      <w:b/>
      <w:sz w:val="26"/>
      <w:szCs w:val="26"/>
      <w:lang w:eastAsia="en-US"/>
    </w:rPr>
  </w:style>
  <w:style w:type="character" w:customStyle="1" w:styleId="Continuedintitle">
    <w:name w:val="Continued (in title)"/>
    <w:basedOn w:val="DefaultParagraphFont"/>
    <w:rsid w:val="00EE2271"/>
    <w:rPr>
      <w:rFonts w:ascii="Arial" w:hAnsi="Arial"/>
      <w:b/>
      <w:sz w:val="18"/>
    </w:rPr>
  </w:style>
  <w:style w:type="character" w:customStyle="1" w:styleId="Heading1Char">
    <w:name w:val="Heading 1 Char"/>
    <w:basedOn w:val="DefaultParagraphFont"/>
    <w:link w:val="Heading1"/>
    <w:rsid w:val="001C6A96"/>
    <w:rPr>
      <w:sz w:val="52"/>
    </w:rPr>
  </w:style>
  <w:style w:type="character" w:customStyle="1" w:styleId="Heading2Char">
    <w:name w:val="Heading 2 Char"/>
    <w:link w:val="Heading2"/>
    <w:rsid w:val="00770645"/>
    <w:rPr>
      <w:rFonts w:ascii="Arial" w:hAnsi="Arial"/>
      <w:b/>
      <w:sz w:val="32"/>
    </w:rPr>
  </w:style>
  <w:style w:type="character" w:customStyle="1" w:styleId="Heading3Char">
    <w:name w:val="Heading 3 Char"/>
    <w:link w:val="Heading3"/>
    <w:rsid w:val="00770645"/>
    <w:rPr>
      <w:rFonts w:ascii="Arial" w:hAnsi="Arial"/>
      <w:b/>
      <w:sz w:val="26"/>
    </w:rPr>
  </w:style>
  <w:style w:type="character" w:customStyle="1" w:styleId="Heading4Char">
    <w:name w:val="Heading 4 Char"/>
    <w:link w:val="Heading4"/>
    <w:rsid w:val="00770645"/>
    <w:rPr>
      <w:rFonts w:ascii="Arial" w:hAnsi="Arial"/>
      <w:sz w:val="24"/>
    </w:rPr>
  </w:style>
  <w:style w:type="character" w:customStyle="1" w:styleId="Heading6Char">
    <w:name w:val="Heading 6 Char"/>
    <w:basedOn w:val="DefaultParagraphFont"/>
    <w:link w:val="Heading6"/>
    <w:semiHidden/>
    <w:rsid w:val="001C6A96"/>
    <w:rPr>
      <w:i/>
      <w:sz w:val="22"/>
    </w:rPr>
  </w:style>
  <w:style w:type="character" w:customStyle="1" w:styleId="Heading7Char">
    <w:name w:val="Heading 7 Char"/>
    <w:basedOn w:val="DefaultParagraphFont"/>
    <w:link w:val="Heading7"/>
    <w:semiHidden/>
    <w:rsid w:val="001C6A96"/>
    <w:rPr>
      <w:rFonts w:ascii="Arial" w:hAnsi="Arial"/>
    </w:rPr>
  </w:style>
  <w:style w:type="character" w:customStyle="1" w:styleId="Heading8Char">
    <w:name w:val="Heading 8 Char"/>
    <w:basedOn w:val="DefaultParagraphFont"/>
    <w:link w:val="Heading8"/>
    <w:semiHidden/>
    <w:rsid w:val="001C6A96"/>
    <w:rPr>
      <w:rFonts w:ascii="Arial" w:hAnsi="Arial"/>
      <w:i/>
    </w:rPr>
  </w:style>
  <w:style w:type="character" w:customStyle="1" w:styleId="Heading9Char">
    <w:name w:val="Heading 9 Char"/>
    <w:basedOn w:val="DefaultParagraphFont"/>
    <w:link w:val="Heading9"/>
    <w:semiHidden/>
    <w:rsid w:val="001C6A96"/>
    <w:rPr>
      <w:rFonts w:ascii="Arial" w:hAnsi="Arial"/>
      <w:b/>
      <w:i/>
      <w:sz w:val="18"/>
    </w:rPr>
  </w:style>
  <w:style w:type="numbering" w:customStyle="1" w:styleId="NoList1">
    <w:name w:val="No List1"/>
    <w:next w:val="NoList"/>
    <w:uiPriority w:val="99"/>
    <w:semiHidden/>
    <w:unhideWhenUsed/>
    <w:rsid w:val="00647898"/>
  </w:style>
  <w:style w:type="character" w:customStyle="1" w:styleId="HeaderChar">
    <w:name w:val="Header Char"/>
    <w:basedOn w:val="DefaultParagraphFont"/>
    <w:link w:val="Header"/>
    <w:rsid w:val="001C6A96"/>
    <w:rPr>
      <w:rFonts w:ascii="Arial" w:hAnsi="Arial"/>
      <w:caps/>
      <w:sz w:val="24"/>
    </w:rPr>
  </w:style>
  <w:style w:type="character" w:customStyle="1" w:styleId="CommentTextChar">
    <w:name w:val="Comment Text Char"/>
    <w:basedOn w:val="DefaultParagraphFont"/>
    <w:link w:val="CommentText"/>
    <w:semiHidden/>
    <w:rsid w:val="001C6A96"/>
    <w:rPr>
      <w:szCs w:val="24"/>
    </w:rPr>
  </w:style>
  <w:style w:type="character" w:customStyle="1" w:styleId="FootnoteTextChar">
    <w:name w:val="Footnote Text Char"/>
    <w:basedOn w:val="DefaultParagraphFont"/>
    <w:link w:val="FootnoteText"/>
    <w:rsid w:val="001C6A96"/>
  </w:style>
  <w:style w:type="character" w:customStyle="1" w:styleId="QuoteChar">
    <w:name w:val="Quote Char"/>
    <w:basedOn w:val="DefaultParagraphFont"/>
    <w:link w:val="Quote"/>
    <w:rsid w:val="00770645"/>
    <w:rPr>
      <w:sz w:val="22"/>
    </w:rPr>
  </w:style>
  <w:style w:type="paragraph" w:styleId="CommentSubject">
    <w:name w:val="annotation subject"/>
    <w:basedOn w:val="CommentText"/>
    <w:next w:val="CommentText"/>
    <w:link w:val="CommentSubjectChar"/>
    <w:rsid w:val="00647898"/>
    <w:pPr>
      <w:spacing w:before="0" w:line="240" w:lineRule="auto"/>
      <w:ind w:left="0" w:firstLine="0"/>
    </w:pPr>
    <w:rPr>
      <w:b/>
      <w:bCs/>
      <w:szCs w:val="20"/>
    </w:rPr>
  </w:style>
  <w:style w:type="character" w:customStyle="1" w:styleId="CommentTextChar1">
    <w:name w:val="Comment Text Char1"/>
    <w:basedOn w:val="DefaultParagraphFont"/>
    <w:semiHidden/>
    <w:rsid w:val="00647898"/>
    <w:rPr>
      <w:szCs w:val="24"/>
    </w:rPr>
  </w:style>
  <w:style w:type="character" w:customStyle="1" w:styleId="CommentSubjectChar">
    <w:name w:val="Comment Subject Char"/>
    <w:basedOn w:val="CommentTextChar1"/>
    <w:link w:val="CommentSubject"/>
    <w:rsid w:val="00647898"/>
    <w:rPr>
      <w:b/>
      <w:bCs/>
      <w:szCs w:val="24"/>
    </w:rPr>
  </w:style>
  <w:style w:type="paragraph" w:styleId="Bibliography">
    <w:name w:val="Bibliography"/>
    <w:basedOn w:val="Normal"/>
    <w:next w:val="Normal"/>
    <w:uiPriority w:val="37"/>
    <w:unhideWhenUsed/>
    <w:rsid w:val="00647898"/>
    <w:pPr>
      <w:spacing w:after="240"/>
      <w:ind w:left="720" w:hanging="720"/>
    </w:pPr>
  </w:style>
  <w:style w:type="paragraph" w:customStyle="1" w:styleId="BoxSpaceAboveElement">
    <w:name w:val="Box Space Above Element"/>
    <w:basedOn w:val="BoxSpaceAbove"/>
    <w:link w:val="BoxSpaceAboveElementChar"/>
    <w:qFormat/>
    <w:rsid w:val="00647898"/>
    <w:pPr>
      <w:spacing w:before="240"/>
    </w:pPr>
    <w:rPr>
      <w:b/>
      <w:vanish/>
      <w:color w:val="FF00FF"/>
      <w:sz w:val="14"/>
    </w:rPr>
  </w:style>
  <w:style w:type="character" w:customStyle="1" w:styleId="BoxSpaceAboveElementChar">
    <w:name w:val="Box Space Above Element Char"/>
    <w:basedOn w:val="DefaultParagraphFont"/>
    <w:link w:val="BoxSpaceAboveElement"/>
    <w:rsid w:val="00647898"/>
    <w:rPr>
      <w:b/>
      <w:vanish/>
      <w:color w:val="FF00FF"/>
      <w:sz w:val="14"/>
    </w:rPr>
  </w:style>
  <w:style w:type="paragraph" w:customStyle="1" w:styleId="Default">
    <w:name w:val="Default"/>
    <w:rsid w:val="00647898"/>
    <w:pPr>
      <w:autoSpaceDE w:val="0"/>
      <w:autoSpaceDN w:val="0"/>
      <w:adjustRightInd w:val="0"/>
    </w:pPr>
    <w:rPr>
      <w:color w:val="000000"/>
      <w:sz w:val="24"/>
      <w:szCs w:val="24"/>
    </w:rPr>
  </w:style>
  <w:style w:type="character" w:customStyle="1" w:styleId="Hyperlink1">
    <w:name w:val="Hyperlink1"/>
    <w:basedOn w:val="DefaultParagraphFont"/>
    <w:rsid w:val="00647898"/>
    <w:rPr>
      <w:color w:val="78A22F"/>
      <w:u w:val="single"/>
    </w:rPr>
  </w:style>
  <w:style w:type="character" w:styleId="EndnoteReference">
    <w:name w:val="endnote reference"/>
    <w:basedOn w:val="DefaultParagraphFont"/>
    <w:rsid w:val="00647898"/>
    <w:rPr>
      <w:vertAlign w:val="superscript"/>
    </w:rPr>
  </w:style>
  <w:style w:type="character" w:customStyle="1" w:styleId="FollowedHyperlink1">
    <w:name w:val="FollowedHyperlink1"/>
    <w:basedOn w:val="DefaultParagraphFont"/>
    <w:rsid w:val="00647898"/>
    <w:rPr>
      <w:color w:val="387DD2"/>
      <w:u w:val="single"/>
    </w:rPr>
  </w:style>
  <w:style w:type="character" w:styleId="Hyperlink">
    <w:name w:val="Hyperlink"/>
    <w:basedOn w:val="DefaultParagraphFont"/>
    <w:uiPriority w:val="99"/>
    <w:unhideWhenUsed/>
    <w:rsid w:val="00647898"/>
    <w:rPr>
      <w:color w:val="78A22F" w:themeColor="hyperlink"/>
      <w:u w:val="single"/>
    </w:rPr>
  </w:style>
  <w:style w:type="character" w:styleId="FollowedHyperlink">
    <w:name w:val="FollowedHyperlink"/>
    <w:basedOn w:val="DefaultParagraphFont"/>
    <w:uiPriority w:val="99"/>
    <w:unhideWhenUsed/>
    <w:rsid w:val="00647898"/>
    <w:rPr>
      <w:color w:val="387DD2" w:themeColor="followedHyperlink"/>
      <w:u w:val="single"/>
    </w:rPr>
  </w:style>
  <w:style w:type="paragraph" w:styleId="Revision">
    <w:name w:val="Revision"/>
    <w:hidden/>
    <w:uiPriority w:val="99"/>
    <w:semiHidden/>
    <w:rsid w:val="006C29BF"/>
    <w:rPr>
      <w:rFonts w:asciiTheme="minorHAnsi" w:eastAsiaTheme="minorHAnsi" w:hAnsiTheme="minorHAnsi" w:cstheme="minorBidi"/>
      <w:sz w:val="22"/>
      <w:szCs w:val="22"/>
      <w:lang w:eastAsia="en-US"/>
    </w:rPr>
  </w:style>
  <w:style w:type="paragraph" w:customStyle="1" w:styleId="Heading1NotTOC">
    <w:name w:val="Heading 1 Not TOC"/>
    <w:basedOn w:val="Heading1"/>
    <w:next w:val="BodyText"/>
    <w:rsid w:val="00E910D7"/>
    <w:rPr>
      <w:kern w:val="28"/>
      <w:szCs w:val="26"/>
      <w:lang w:eastAsia="en-US"/>
    </w:rPr>
  </w:style>
  <w:style w:type="paragraph" w:customStyle="1" w:styleId="Copyrightsubtitle">
    <w:name w:val="Copyright subtitle"/>
    <w:basedOn w:val="BodyText"/>
    <w:rsid w:val="00432B95"/>
    <w:rPr>
      <w:rFonts w:ascii="Arial" w:hAnsi="Arial"/>
      <w:b/>
      <w:sz w:val="22"/>
      <w:szCs w:val="25"/>
    </w:rPr>
  </w:style>
  <w:style w:type="paragraph" w:customStyle="1" w:styleId="Copyrightbodytext">
    <w:name w:val="Copyright bodytext"/>
    <w:basedOn w:val="BodyText"/>
    <w:link w:val="CopyrightbodytextChar"/>
    <w:qFormat/>
    <w:rsid w:val="00432B95"/>
    <w:pPr>
      <w:spacing w:before="60"/>
    </w:pPr>
  </w:style>
  <w:style w:type="character" w:customStyle="1" w:styleId="CopyrightbodytextChar">
    <w:name w:val="Copyright bodytext Char"/>
    <w:basedOn w:val="BodyTextChar"/>
    <w:link w:val="Copyrightbodytext"/>
    <w:rsid w:val="00432B95"/>
    <w:rPr>
      <w:sz w:val="24"/>
    </w:rPr>
  </w:style>
  <w:style w:type="paragraph" w:customStyle="1" w:styleId="TOC10">
    <w:name w:val="TOC1"/>
    <w:basedOn w:val="TOC1"/>
    <w:rsid w:val="005A28E9"/>
    <w:rPr>
      <w:noProof/>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20657">
      <w:bodyDiv w:val="1"/>
      <w:marLeft w:val="0"/>
      <w:marRight w:val="0"/>
      <w:marTop w:val="0"/>
      <w:marBottom w:val="0"/>
      <w:divBdr>
        <w:top w:val="none" w:sz="0" w:space="0" w:color="auto"/>
        <w:left w:val="none" w:sz="0" w:space="0" w:color="auto"/>
        <w:bottom w:val="none" w:sz="0" w:space="0" w:color="auto"/>
        <w:right w:val="none" w:sz="0" w:space="0" w:color="auto"/>
      </w:divBdr>
    </w:div>
    <w:div w:id="368605850">
      <w:bodyDiv w:val="1"/>
      <w:marLeft w:val="0"/>
      <w:marRight w:val="0"/>
      <w:marTop w:val="0"/>
      <w:marBottom w:val="0"/>
      <w:divBdr>
        <w:top w:val="none" w:sz="0" w:space="0" w:color="auto"/>
        <w:left w:val="none" w:sz="0" w:space="0" w:color="auto"/>
        <w:bottom w:val="none" w:sz="0" w:space="0" w:color="auto"/>
        <w:right w:val="none" w:sz="0" w:space="0" w:color="auto"/>
      </w:divBdr>
    </w:div>
    <w:div w:id="402336392">
      <w:bodyDiv w:val="1"/>
      <w:marLeft w:val="0"/>
      <w:marRight w:val="0"/>
      <w:marTop w:val="0"/>
      <w:marBottom w:val="0"/>
      <w:divBdr>
        <w:top w:val="none" w:sz="0" w:space="0" w:color="auto"/>
        <w:left w:val="none" w:sz="0" w:space="0" w:color="auto"/>
        <w:bottom w:val="none" w:sz="0" w:space="0" w:color="auto"/>
        <w:right w:val="none" w:sz="0" w:space="0" w:color="auto"/>
      </w:divBdr>
    </w:div>
    <w:div w:id="456679578">
      <w:bodyDiv w:val="1"/>
      <w:marLeft w:val="0"/>
      <w:marRight w:val="0"/>
      <w:marTop w:val="0"/>
      <w:marBottom w:val="0"/>
      <w:divBdr>
        <w:top w:val="none" w:sz="0" w:space="0" w:color="auto"/>
        <w:left w:val="none" w:sz="0" w:space="0" w:color="auto"/>
        <w:bottom w:val="none" w:sz="0" w:space="0" w:color="auto"/>
        <w:right w:val="none" w:sz="0" w:space="0" w:color="auto"/>
      </w:divBdr>
    </w:div>
    <w:div w:id="1060858612">
      <w:bodyDiv w:val="1"/>
      <w:marLeft w:val="0"/>
      <w:marRight w:val="0"/>
      <w:marTop w:val="0"/>
      <w:marBottom w:val="0"/>
      <w:divBdr>
        <w:top w:val="none" w:sz="0" w:space="0" w:color="auto"/>
        <w:left w:val="none" w:sz="0" w:space="0" w:color="auto"/>
        <w:bottom w:val="none" w:sz="0" w:space="0" w:color="auto"/>
        <w:right w:val="none" w:sz="0" w:space="0" w:color="auto"/>
      </w:divBdr>
    </w:div>
    <w:div w:id="1107316500">
      <w:bodyDiv w:val="1"/>
      <w:marLeft w:val="0"/>
      <w:marRight w:val="0"/>
      <w:marTop w:val="0"/>
      <w:marBottom w:val="0"/>
      <w:divBdr>
        <w:top w:val="none" w:sz="0" w:space="0" w:color="auto"/>
        <w:left w:val="none" w:sz="0" w:space="0" w:color="auto"/>
        <w:bottom w:val="none" w:sz="0" w:space="0" w:color="auto"/>
        <w:right w:val="none" w:sz="0" w:space="0" w:color="auto"/>
      </w:divBdr>
    </w:div>
    <w:div w:id="1517617982">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201445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pc.gov.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maps@pc.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hart" Target="charts/chart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168814814814815"/>
          <c:y val="4.8506944444444443E-2"/>
          <c:w val="0.72067055555555559"/>
          <c:h val="0.81205763888888893"/>
        </c:manualLayout>
      </c:layout>
      <c:barChart>
        <c:barDir val="bar"/>
        <c:grouping val="clustered"/>
        <c:varyColors val="0"/>
        <c:ser>
          <c:idx val="0"/>
          <c:order val="0"/>
          <c:tx>
            <c:strRef>
              <c:f>Sheet1!$J$6</c:f>
              <c:strCache>
                <c:ptCount val="1"/>
                <c:pt idx="0">
                  <c:v>Ratio 90th to 10th</c:v>
                </c:pt>
              </c:strCache>
            </c:strRef>
          </c:tx>
          <c:spPr>
            <a:solidFill>
              <a:srgbClr val="78A22F"/>
            </a:solidFill>
            <a:ln>
              <a:solidFill>
                <a:srgbClr val="78A22F"/>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Sheet1!$A$7:$A$17</c:f>
              <c:strCache>
                <c:ptCount val="11"/>
                <c:pt idx="0">
                  <c:v>Cardiology</c:v>
                </c:pt>
                <c:pt idx="1">
                  <c:v>Endocrinology</c:v>
                </c:pt>
                <c:pt idx="2">
                  <c:v>Gastroenterology</c:v>
                </c:pt>
                <c:pt idx="3">
                  <c:v>Geriatric medicine</c:v>
                </c:pt>
                <c:pt idx="4">
                  <c:v>Haematology</c:v>
                </c:pt>
                <c:pt idx="5">
                  <c:v>Immunology/allergy</c:v>
                </c:pt>
                <c:pt idx="6">
                  <c:v>Medical oncology</c:v>
                </c:pt>
                <c:pt idx="7">
                  <c:v>Nephrology</c:v>
                </c:pt>
                <c:pt idx="8">
                  <c:v>Neurology</c:v>
                </c:pt>
                <c:pt idx="9">
                  <c:v>Respiratory medicine</c:v>
                </c:pt>
                <c:pt idx="10">
                  <c:v>Rheumatology</c:v>
                </c:pt>
              </c:strCache>
            </c:strRef>
          </c:cat>
          <c:val>
            <c:numRef>
              <c:f>Sheet1!$J$7:$J$17</c:f>
              <c:numCache>
                <c:formatCode>0.0</c:formatCode>
                <c:ptCount val="11"/>
                <c:pt idx="0">
                  <c:v>5.6061946902654869</c:v>
                </c:pt>
                <c:pt idx="1">
                  <c:v>5.4164037854889591</c:v>
                </c:pt>
                <c:pt idx="2">
                  <c:v>4.1545741324921135</c:v>
                </c:pt>
                <c:pt idx="3">
                  <c:v>3.7654867256637163</c:v>
                </c:pt>
                <c:pt idx="4">
                  <c:v>6.9336283185840699</c:v>
                </c:pt>
                <c:pt idx="5">
                  <c:v>3.4177949709864599</c:v>
                </c:pt>
                <c:pt idx="6">
                  <c:v>4.9424778761061949</c:v>
                </c:pt>
                <c:pt idx="7">
                  <c:v>4.9424778761061949</c:v>
                </c:pt>
                <c:pt idx="8">
                  <c:v>9.3259911894273131</c:v>
                </c:pt>
                <c:pt idx="9">
                  <c:v>4.4700315457413247</c:v>
                </c:pt>
                <c:pt idx="10">
                  <c:v>3.6766595289079222</c:v>
                </c:pt>
              </c:numCache>
            </c:numRef>
          </c:val>
        </c:ser>
        <c:dLbls>
          <c:showLegendKey val="0"/>
          <c:showVal val="0"/>
          <c:showCatName val="0"/>
          <c:showSerName val="0"/>
          <c:showPercent val="0"/>
          <c:showBubbleSize val="0"/>
        </c:dLbls>
        <c:gapWidth val="25"/>
        <c:axId val="386137160"/>
        <c:axId val="386134808"/>
      </c:barChart>
      <c:catAx>
        <c:axId val="386137160"/>
        <c:scaling>
          <c:orientation val="minMax"/>
        </c:scaling>
        <c:delete val="0"/>
        <c:axPos val="l"/>
        <c:numFmt formatCode="General" sourceLinked="1"/>
        <c:majorTickMark val="out"/>
        <c:minorTickMark val="none"/>
        <c:tickLblPos val="nextTo"/>
        <c:spPr>
          <a:ln>
            <a:solidFill>
              <a:srgbClr val="BFBFBF"/>
            </a:solidFill>
          </a:ln>
        </c:spPr>
        <c:crossAx val="386134808"/>
        <c:crosses val="autoZero"/>
        <c:auto val="1"/>
        <c:lblAlgn val="ctr"/>
        <c:lblOffset val="100"/>
        <c:noMultiLvlLbl val="0"/>
      </c:catAx>
      <c:valAx>
        <c:axId val="386134808"/>
        <c:scaling>
          <c:orientation val="minMax"/>
        </c:scaling>
        <c:delete val="0"/>
        <c:axPos val="b"/>
        <c:majorGridlines>
          <c:spPr>
            <a:ln>
              <a:noFill/>
            </a:ln>
          </c:spPr>
        </c:majorGridlines>
        <c:title>
          <c:tx>
            <c:rich>
              <a:bodyPr/>
              <a:lstStyle/>
              <a:p>
                <a:pPr>
                  <a:defRPr/>
                </a:pPr>
                <a:r>
                  <a:rPr lang="en-AU"/>
                  <a:t>Ratio of 90th to 10th percentile</a:t>
                </a:r>
              </a:p>
            </c:rich>
          </c:tx>
          <c:overlay val="0"/>
        </c:title>
        <c:numFmt formatCode="0" sourceLinked="0"/>
        <c:majorTickMark val="out"/>
        <c:minorTickMark val="none"/>
        <c:tickLblPos val="nextTo"/>
        <c:spPr>
          <a:ln>
            <a:solidFill>
              <a:srgbClr val="BFBFBF"/>
            </a:solidFill>
          </a:ln>
        </c:spPr>
        <c:crossAx val="386137160"/>
        <c:crosses val="autoZero"/>
        <c:crossBetween val="between"/>
        <c:majorUnit val="2"/>
      </c:valAx>
      <c:spPr>
        <a:noFill/>
        <a:ln>
          <a:noFill/>
        </a:ln>
      </c:spPr>
    </c:plotArea>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Reports" ma:contentTypeID="0x0101007916246811615643A710C6FEAFF56A871104006E3BDAB9F67AF64BB2EC3946D13B8675" ma:contentTypeVersion="15" ma:contentTypeDescription="" ma:contentTypeScope="" ma:versionID="db48918a113756321c78c81870ea9f1f">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b18e4d98b20a7a670c4a06565f8bc84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2:Draft_x0020_Report_x0020_Status"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609e2780-d171-4fcc-ba6e-ba515af27ffb"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raft_x0020_Report_x0020_Status" ma:index="17" nillable="true" ma:displayName="Draft Report Status" ma:default="In initial draft state" ma:internalName="Draft_x0020_Report_x0020_Status" ma:requiredMultiChoice="true">
      <xsd:complexType>
        <xsd:complexContent>
          <xsd:extension base="dms:MultiChoice">
            <xsd:sequence>
              <xsd:element name="Value" maxOccurs="unbounded" minOccurs="0" nillable="true">
                <xsd:simpleType>
                  <xsd:restriction base="dms:Choice">
                    <xsd:enumeration value="In initial draft state"/>
                    <xsd:enumeration value="1st Circ to A/Comm"/>
                    <xsd:enumeration value="1st Circ to Comms"/>
                    <xsd:enumeration value="1st Circ comments back"/>
                    <xsd:enumeration value="2nd Circ to A/Comm"/>
                    <xsd:enumeration value="2nd Circ to Comms"/>
                    <xsd:enumeration value="2nd Circ comments back"/>
                    <xsd:enumeration value="3rd Circ to A/Comm"/>
                    <xsd:enumeration value="3rd Circ to Comms"/>
                    <xsd:enumeration value="3rd Circ comments back"/>
                    <xsd:enumeration value="Ready for final proof"/>
                    <xsd:enumeration value="Out to proof"/>
                    <xsd:enumeration value="1st proof complete"/>
                    <xsd:enumeration value="2nd proof complete"/>
                    <xsd:enumeration value="3rd proof complete"/>
                    <xsd:enumeration value="Style checker run"/>
                    <xsd:enumeration value="Global style OK"/>
                    <xsd:enumeration value="Cross refs OK"/>
                    <xsd:enumeration value="Recs etc OK"/>
                    <xsd:enumeration value="Chart format OK"/>
                    <xsd:enumeration value="Charts tagged"/>
                    <xsd:enumeration value="Direct quotes OK"/>
                    <xsd:enumeration value="Sub nums OK"/>
                    <xsd:enumeration value="Alt text done"/>
                    <xsd:enumeration value="Ready to compile"/>
                    <xsd:enumeration value="Compiled"/>
                    <xsd:enumeration value="Post compile edits in"/>
                    <xsd:enumeration value="As publishe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0da5c63-8548-4ac8-9616-83b0f373280e" ContentTypeId="0x0101007916246811615643A710C6FEAFF56A871104" PreviousValue="false"/>
</file>

<file path=customXml/item6.xml><?xml version="1.0" encoding="utf-8"?>
<p:properties xmlns:p="http://schemas.microsoft.com/office/2006/metadata/properties" xmlns:xsi="http://www.w3.org/2001/XMLSchema-instance" xmlns:pc="http://schemas.microsoft.com/office/infopath/2007/PartnerControls">
  <documentManagement>
    <Draft_x0020_Report_x0020_Status xmlns="3f4bcce7-ac1a-4c9d-aa3e-7e77695652db">
      <Value>In initial draft state</Value>
    </Draft_x0020_Report_x0020_Status>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Final Report</TermName>
          <TermId xmlns="http://schemas.microsoft.com/office/infopath/2007/PartnerControls">2ba7de50-4c1d-4453-9bfb-2c08018fad73</TermId>
        </TermInfo>
      </Terms>
    </p7a0baa8c88445a78b6f55906390ba17>
    <TaxCatchAll xmlns="3f4bcce7-ac1a-4c9d-aa3e-7e77695652db">
      <Value>270</Value>
    </TaxCatchAl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839E2-BA11-4A16-BB59-76C7F1FD5E91}">
  <ds:schemaRefs>
    <ds:schemaRef ds:uri="http://schemas.microsoft.com/office/2006/metadata/customXsn"/>
  </ds:schemaRefs>
</ds:datastoreItem>
</file>

<file path=customXml/itemProps2.xml><?xml version="1.0" encoding="utf-8"?>
<ds:datastoreItem xmlns:ds="http://schemas.openxmlformats.org/officeDocument/2006/customXml" ds:itemID="{EBD7918A-E556-41A4-902A-5449DCA42C6D}">
  <ds:schemaRefs>
    <ds:schemaRef ds:uri="http://schemas.microsoft.com/sharepoint/events"/>
  </ds:schemaRefs>
</ds:datastoreItem>
</file>

<file path=customXml/itemProps3.xml><?xml version="1.0" encoding="utf-8"?>
<ds:datastoreItem xmlns:ds="http://schemas.openxmlformats.org/officeDocument/2006/customXml" ds:itemID="{25D8AF5B-457D-4733-BF28-0F30C498A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D0009C-BCDE-4C48-8C29-C620378A4E16}">
  <ds:schemaRefs>
    <ds:schemaRef ds:uri="http://schemas.microsoft.com/sharepoint/v3/contenttype/forms"/>
  </ds:schemaRefs>
</ds:datastoreItem>
</file>

<file path=customXml/itemProps5.xml><?xml version="1.0" encoding="utf-8"?>
<ds:datastoreItem xmlns:ds="http://schemas.openxmlformats.org/officeDocument/2006/customXml" ds:itemID="{8115A9FE-EFCA-4870-AD85-CA4F09F7DC59}">
  <ds:schemaRefs>
    <ds:schemaRef ds:uri="Microsoft.SharePoint.Taxonomy.ContentTypeSync"/>
  </ds:schemaRefs>
</ds:datastoreItem>
</file>

<file path=customXml/itemProps6.xml><?xml version="1.0" encoding="utf-8"?>
<ds:datastoreItem xmlns:ds="http://schemas.openxmlformats.org/officeDocument/2006/customXml" ds:itemID="{CCF6B9B2-BFB7-4474-896E-C44639F2990C}">
  <ds:schemaRefs>
    <ds:schemaRef ds:uri="http://purl.org/dc/dcmitype/"/>
    <ds:schemaRef ds:uri="http://schemas.microsoft.com/sharepoint/v3"/>
    <ds:schemaRef ds:uri="http://purl.org/dc/elements/1.1/"/>
    <ds:schemaRef ds:uri="http://schemas.microsoft.com/office/2006/metadata/properties"/>
    <ds:schemaRef ds:uri="http://schemas.microsoft.com/office/2006/documentManagement/types"/>
    <ds:schemaRef ds:uri="http://purl.org/dc/terms/"/>
    <ds:schemaRef ds:uri="3f4bcce7-ac1a-4c9d-aa3e-7e77695652db"/>
    <ds:schemaRef ds:uri="http://schemas.microsoft.com/office/infopath/2007/PartnerControls"/>
    <ds:schemaRef ds:uri="http://schemas.openxmlformats.org/package/2006/metadata/core-properties"/>
    <ds:schemaRef ds:uri="http://www.w3.org/XML/1998/namespace"/>
  </ds:schemaRefs>
</ds:datastoreItem>
</file>

<file path=customXml/itemProps7.xml><?xml version="1.0" encoding="utf-8"?>
<ds:datastoreItem xmlns:ds="http://schemas.openxmlformats.org/officeDocument/2006/customXml" ds:itemID="{8645FCF5-D09A-4B72-8D31-4F942C805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TotalTime>
  <Pages>42</Pages>
  <Words>15902</Words>
  <Characters>90643</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Supporting paper 3: Comparative performance indicators - Productivity Review</vt:lpstr>
    </vt:vector>
  </TitlesOfParts>
  <Company>Productivity Commission</Company>
  <LinksUpToDate>false</LinksUpToDate>
  <CharactersWithSpaces>106333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paper 3: Comparative performance indicators - Productivity Review</dc:title>
  <dc:subject/>
  <dc:creator>Productivity Commission</dc:creator>
  <cp:keywords/>
  <dc:description/>
  <cp:lastModifiedBy>Productivity Commission</cp:lastModifiedBy>
  <cp:revision>2</cp:revision>
  <dcterms:created xsi:type="dcterms:W3CDTF">2017-08-01T08:34:00Z</dcterms:created>
  <dcterms:modified xsi:type="dcterms:W3CDTF">2017-10-04T22:44:00Z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0x0101007916246811615643A710C6FEAFF56A871104006E3BDAB9F67AF64BB2EC3946D13B8675</vt:lpwstr>
  </property>
  <property fmtid="{D5CDD505-2E9C-101B-9397-08002B2CF9AE}" pid="3" name="Record Tag">
    <vt:lpwstr>270;#Final Report|2ba7de50-4c1d-4453-9bfb-2c08018fad73</vt:lpwstr>
  </property>
  <property fmtid="{D5CDD505-2E9C-101B-9397-08002B2CF9AE}" pid="4" name="TaxKeyword">
    <vt:lpwstr/>
  </property>
</Properties>
</file>