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FDC42" w14:textId="77777777" w:rsidR="00FD1417" w:rsidRDefault="00FD1417" w:rsidP="009A1211">
      <w:pPr>
        <w:pStyle w:val="Heading1"/>
        <w:spacing w:before="0"/>
        <w:sectPr w:rsidR="00FD1417" w:rsidSect="008A57F3">
          <w:pgSz w:w="11907" w:h="16840" w:code="9"/>
          <w:pgMar w:top="1985" w:right="1304" w:bottom="1247" w:left="1814" w:header="1701" w:footer="397" w:gutter="0"/>
          <w:pgNumType w:start="1" w:chapSep="period"/>
          <w:cols w:space="720"/>
        </w:sectPr>
      </w:pPr>
      <w:bookmarkStart w:id="0" w:name="_Toc489002889"/>
      <w:bookmarkStart w:id="1" w:name="_Toc489356400"/>
      <w:bookmarkStart w:id="2" w:name="_Toc489363160"/>
      <w:bookmarkStart w:id="3" w:name="ChapterNumber"/>
      <w:bookmarkStart w:id="4" w:name="_GoBack"/>
      <w:bookmarkEnd w:id="4"/>
      <w:r>
        <w:rPr>
          <w:noProof/>
          <w:color w:val="FFFFFF" w:themeColor="background1"/>
        </w:rPr>
        <w:drawing>
          <wp:anchor distT="0" distB="0" distL="114300" distR="114300" simplePos="0" relativeHeight="251658240" behindDoc="0" locked="0" layoutInCell="1" allowOverlap="1" wp14:anchorId="38FFDF9F" wp14:editId="2A2F653C">
            <wp:simplePos x="0" y="0"/>
            <wp:positionH relativeFrom="page">
              <wp:align>center</wp:align>
            </wp:positionH>
            <wp:positionV relativeFrom="page">
              <wp:align>center</wp:align>
            </wp:positionV>
            <wp:extent cx="7558767" cy="10691998"/>
            <wp:effectExtent l="0" t="0" r="4445" b="0"/>
            <wp:wrapNone/>
            <wp:docPr id="1" name="Picture 1" descr="Cover of Supporting paper 6: Impacts of health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rod-review-supporting-papers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38FFDC43" w14:textId="77777777" w:rsidR="00FE6D27" w:rsidRDefault="00FE6D27" w:rsidP="00FE6D27">
      <w:pPr>
        <w:pStyle w:val="Copyrightsubtitle"/>
        <w:spacing w:before="0"/>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38FFDC44" w14:textId="77777777" w:rsidR="00FE6D27" w:rsidRPr="007809B8" w:rsidRDefault="00FE6D27" w:rsidP="00FE6D27">
      <w:pPr>
        <w:pStyle w:val="BodyText"/>
        <w:tabs>
          <w:tab w:val="left" w:pos="851"/>
        </w:tabs>
        <w:spacing w:before="80" w:after="80"/>
        <w:jc w:val="left"/>
        <w:rPr>
          <w:b/>
        </w:rPr>
      </w:pPr>
      <w:r>
        <w:rPr>
          <w:b/>
        </w:rPr>
        <w:t>ISBN</w:t>
      </w:r>
      <w:r>
        <w:rPr>
          <w:b/>
        </w:rPr>
        <w:tab/>
      </w:r>
      <w:r w:rsidRPr="00A03BCE">
        <w:rPr>
          <w:b/>
        </w:rPr>
        <w:t>978-1-74037-634-1</w:t>
      </w:r>
      <w:r>
        <w:rPr>
          <w:b/>
        </w:rPr>
        <w:t xml:space="preserve"> (PDF)</w:t>
      </w:r>
    </w:p>
    <w:p w14:paraId="38FFDC45" w14:textId="77777777" w:rsidR="00FE6D27" w:rsidRDefault="00FE6D27" w:rsidP="00FE6D27">
      <w:pPr>
        <w:pStyle w:val="BodyText"/>
        <w:spacing w:before="120" w:after="120"/>
      </w:pPr>
      <w:r w:rsidRPr="00862D8F">
        <w:rPr>
          <w:noProof/>
          <w:sz w:val="22"/>
          <w:szCs w:val="22"/>
        </w:rPr>
        <w:drawing>
          <wp:inline distT="0" distB="0" distL="0" distR="0" wp14:anchorId="38FFDFA1" wp14:editId="38FFDFA2">
            <wp:extent cx="843280" cy="295043"/>
            <wp:effectExtent l="0" t="0" r="0" b="0"/>
            <wp:docPr id="7" name="Picture 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8FFDC46" w14:textId="77777777" w:rsidR="00FE6D27" w:rsidRPr="008A3857" w:rsidRDefault="00FE6D27" w:rsidP="00FE6D27">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http://creativecommons.org/licenses/by/3.0/au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38FFDC47" w14:textId="77777777" w:rsidR="00FE6D27" w:rsidRPr="008A3857" w:rsidRDefault="00FE6D27" w:rsidP="00FE6D27">
      <w:pPr>
        <w:pStyle w:val="Copyrightsubtitle"/>
        <w:spacing w:before="160"/>
      </w:pPr>
      <w:r w:rsidRPr="008A3857">
        <w:t>Use of the Commonwealth Coat of Arms</w:t>
      </w:r>
    </w:p>
    <w:p w14:paraId="38FFDC48" w14:textId="77777777" w:rsidR="00FE6D27" w:rsidRPr="008A3857" w:rsidRDefault="00FE6D27" w:rsidP="00FE6D27">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14:paraId="38FFDC49" w14:textId="77777777" w:rsidR="00FE6D27" w:rsidRPr="008A3857" w:rsidRDefault="00FE6D27" w:rsidP="00FE6D27">
      <w:pPr>
        <w:pStyle w:val="Copyrightsubtitle"/>
        <w:spacing w:before="160"/>
      </w:pPr>
      <w:r w:rsidRPr="008A3857">
        <w:t>Third party copyright</w:t>
      </w:r>
    </w:p>
    <w:p w14:paraId="38FFDC4A" w14:textId="77777777" w:rsidR="00FE6D27" w:rsidRPr="008A3857" w:rsidRDefault="00FE6D27" w:rsidP="00FE6D27">
      <w:pPr>
        <w:pStyle w:val="Copyrightbodytext"/>
      </w:pPr>
      <w:r w:rsidRPr="008A3857">
        <w:t>Wherever a third party holds copyright in this material, the copyright remains with that party. Their permission may be required to use the material, please contact them directly.</w:t>
      </w:r>
    </w:p>
    <w:p w14:paraId="38FFDC4B" w14:textId="77777777" w:rsidR="00FE6D27" w:rsidRPr="008A3857" w:rsidRDefault="00FE6D27" w:rsidP="00FE6D27">
      <w:pPr>
        <w:pStyle w:val="Copyrightsubtitle"/>
        <w:spacing w:before="200"/>
      </w:pPr>
      <w:r w:rsidRPr="008A3857">
        <w:t>Attribution</w:t>
      </w:r>
    </w:p>
    <w:p w14:paraId="38FFDC4C" w14:textId="595FDEA4" w:rsidR="00FE6D27" w:rsidRPr="008A3857" w:rsidRDefault="00FE6D27" w:rsidP="00FE6D27">
      <w:pPr>
        <w:pStyle w:val="Copyrightbodytext"/>
      </w:pPr>
      <w:r w:rsidRPr="008A3857">
        <w:t xml:space="preserve">This work should be attributed as follows, </w:t>
      </w:r>
      <w:r>
        <w:rPr>
          <w:i/>
        </w:rPr>
        <w:t>So</w:t>
      </w:r>
      <w:r w:rsidR="00263850">
        <w:rPr>
          <w:i/>
        </w:rPr>
        <w:t>urce: Productivity Commission, Impacts of Health R</w:t>
      </w:r>
      <w:r w:rsidRPr="00DB28ED">
        <w:rPr>
          <w:i/>
        </w:rPr>
        <w:t>ecommendations</w:t>
      </w:r>
      <w:r>
        <w:rPr>
          <w:i/>
        </w:rPr>
        <w:t>, Shifting the Dial: 5 year Productivity Review</w:t>
      </w:r>
      <w:r w:rsidR="00263850">
        <w:t xml:space="preserve">, </w:t>
      </w:r>
      <w:r>
        <w:rPr>
          <w:i/>
        </w:rPr>
        <w:t xml:space="preserve">Supporting Paper No. </w:t>
      </w:r>
      <w:r w:rsidR="00A72E03">
        <w:rPr>
          <w:i/>
        </w:rPr>
        <w:t>6</w:t>
      </w:r>
      <w:r>
        <w:rPr>
          <w:i/>
        </w:rPr>
        <w:t>.</w:t>
      </w:r>
    </w:p>
    <w:p w14:paraId="38FFDC4D" w14:textId="40B561DA" w:rsidR="00FE6D27" w:rsidRPr="008A3857" w:rsidRDefault="00FE6D27" w:rsidP="00FE6D27">
      <w:pPr>
        <w:pStyle w:val="Copyrightbodytext"/>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00263850">
        <w:rPr>
          <w:i/>
        </w:rPr>
        <w:t>Impacts of Health R</w:t>
      </w:r>
      <w:r w:rsidRPr="00DB28ED">
        <w:rPr>
          <w:i/>
        </w:rPr>
        <w:t>ecommendations</w:t>
      </w:r>
      <w:r>
        <w:rPr>
          <w:i/>
        </w:rPr>
        <w:t>, Shifting the Dial: 5 year Productivity Review</w:t>
      </w:r>
      <w:r w:rsidR="00263850">
        <w:t xml:space="preserve">, </w:t>
      </w:r>
      <w:r>
        <w:rPr>
          <w:i/>
        </w:rPr>
        <w:t xml:space="preserve">Supporting Paper No. </w:t>
      </w:r>
      <w:r w:rsidR="00A72E03">
        <w:rPr>
          <w:i/>
        </w:rPr>
        <w:t>6</w:t>
      </w:r>
      <w:r>
        <w:rPr>
          <w:i/>
        </w:rPr>
        <w:t>.</w:t>
      </w:r>
    </w:p>
    <w:p w14:paraId="38FFDC4E" w14:textId="77777777" w:rsidR="00FE6D27" w:rsidRPr="008A3857" w:rsidRDefault="00FE6D27" w:rsidP="00FE6D27">
      <w:pPr>
        <w:pStyle w:val="Copyrightsubtitle"/>
        <w:spacing w:before="160"/>
      </w:pPr>
      <w:r w:rsidRPr="008A3857">
        <w:t xml:space="preserve">An appropriate </w:t>
      </w:r>
      <w:r>
        <w:t>reference</w:t>
      </w:r>
      <w:r w:rsidRPr="008A3857">
        <w:t xml:space="preserve"> for this publication is:</w:t>
      </w:r>
    </w:p>
    <w:p w14:paraId="38FFDC4F" w14:textId="4E47551D" w:rsidR="00FE6D27" w:rsidRDefault="00FE6D27" w:rsidP="00FE6D27">
      <w:pPr>
        <w:pStyle w:val="Copyrightbodytext"/>
        <w:rPr>
          <w:b/>
        </w:rPr>
      </w:pPr>
      <w:r>
        <w:t xml:space="preserve">Productivity Commission 2017, </w:t>
      </w:r>
      <w:r w:rsidRPr="00DB28ED">
        <w:rPr>
          <w:i/>
        </w:rPr>
        <w:t xml:space="preserve">Impacts of </w:t>
      </w:r>
      <w:r w:rsidR="00263850">
        <w:rPr>
          <w:i/>
        </w:rPr>
        <w:t>H</w:t>
      </w:r>
      <w:r w:rsidRPr="00DB28ED">
        <w:rPr>
          <w:i/>
        </w:rPr>
        <w:t xml:space="preserve">ealth </w:t>
      </w:r>
      <w:r w:rsidR="00263850">
        <w:rPr>
          <w:i/>
        </w:rPr>
        <w:t>R</w:t>
      </w:r>
      <w:r w:rsidRPr="00DB28ED">
        <w:rPr>
          <w:i/>
        </w:rPr>
        <w:t>ecommendations</w:t>
      </w:r>
      <w:r>
        <w:rPr>
          <w:i/>
        </w:rPr>
        <w:t xml:space="preserve">, </w:t>
      </w:r>
      <w:r w:rsidR="00C17A5C">
        <w:t>Shifting the Dial: 5 </w:t>
      </w:r>
      <w:r>
        <w:t xml:space="preserve">year </w:t>
      </w:r>
      <w:r w:rsidRPr="00713D24">
        <w:t>Productivity Review</w:t>
      </w:r>
      <w:r w:rsidR="00263850">
        <w:t xml:space="preserve">, </w:t>
      </w:r>
      <w:r w:rsidRPr="00713D24">
        <w:t xml:space="preserve">Supporting Paper No. </w:t>
      </w:r>
      <w:r w:rsidR="00A72E03">
        <w:t>6</w:t>
      </w:r>
      <w:r w:rsidRPr="00713D24">
        <w:t>, Canberra.</w:t>
      </w:r>
    </w:p>
    <w:p w14:paraId="38FFDC50" w14:textId="77777777" w:rsidR="00FE6D27" w:rsidRPr="008A3857" w:rsidRDefault="00FE6D27" w:rsidP="00FE6D27">
      <w:pPr>
        <w:pStyle w:val="Copyrightsubtitle"/>
        <w:spacing w:before="160"/>
      </w:pPr>
      <w:r w:rsidRPr="008A3857">
        <w:t>Publications enquiries</w:t>
      </w:r>
    </w:p>
    <w:p w14:paraId="38FFDC51" w14:textId="77777777" w:rsidR="00FE6D27" w:rsidRDefault="00FE6D27" w:rsidP="00FE6D27">
      <w:pPr>
        <w:pStyle w:val="Copyrightbodytext"/>
        <w:rPr>
          <w:szCs w:val="24"/>
        </w:rPr>
      </w:pPr>
      <w:r w:rsidRPr="008A3857">
        <w:t xml:space="preserve">Media and Publications, </w:t>
      </w:r>
      <w:r>
        <w:rPr>
          <w:szCs w:val="24"/>
        </w:rPr>
        <w:t>phone:</w:t>
      </w:r>
      <w:r w:rsidRPr="00BB5DCF">
        <w:rPr>
          <w:szCs w:val="24"/>
        </w:rPr>
        <w:t xml:space="preserve"> (03) 9653 2244 or email: </w:t>
      </w:r>
      <w:r w:rsidRPr="00174FEC">
        <w:rPr>
          <w:szCs w:val="24"/>
        </w:rPr>
        <w:t>maps@pc.gov.au</w:t>
      </w:r>
    </w:p>
    <w:p w14:paraId="38FFDC52" w14:textId="77777777" w:rsidR="00FE6D27" w:rsidRDefault="00FE6D27" w:rsidP="00FE6D27">
      <w:pPr>
        <w:pStyle w:val="BoxSpaceAbove"/>
        <w:spacing w:before="80"/>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FE6D27" w14:paraId="38FFDC54" w14:textId="77777777" w:rsidTr="00032125">
        <w:tc>
          <w:tcPr>
            <w:tcW w:w="8771" w:type="dxa"/>
            <w:tcBorders>
              <w:top w:val="single" w:sz="6" w:space="0" w:color="78A22F"/>
              <w:left w:val="nil"/>
              <w:bottom w:val="nil"/>
              <w:right w:val="nil"/>
            </w:tcBorders>
            <w:shd w:val="clear" w:color="auto" w:fill="F2F2F2" w:themeFill="background1" w:themeFillShade="F2"/>
          </w:tcPr>
          <w:p w14:paraId="38FFDC53" w14:textId="77777777" w:rsidR="00FE6D27" w:rsidRPr="008A3857" w:rsidRDefault="00FE6D27" w:rsidP="00803B56">
            <w:pPr>
              <w:pStyle w:val="BoxTitle"/>
              <w:rPr>
                <w:sz w:val="22"/>
                <w:szCs w:val="22"/>
              </w:rPr>
            </w:pPr>
            <w:r w:rsidRPr="008A3857">
              <w:rPr>
                <w:sz w:val="22"/>
                <w:szCs w:val="22"/>
              </w:rPr>
              <w:t>The Productivity Commission</w:t>
            </w:r>
          </w:p>
        </w:tc>
      </w:tr>
      <w:tr w:rsidR="00FE6D27" w14:paraId="38FFDC58" w14:textId="77777777" w:rsidTr="00032125">
        <w:tc>
          <w:tcPr>
            <w:tcW w:w="8771" w:type="dxa"/>
            <w:tcBorders>
              <w:top w:val="nil"/>
              <w:left w:val="nil"/>
              <w:bottom w:val="nil"/>
              <w:right w:val="nil"/>
            </w:tcBorders>
            <w:shd w:val="clear" w:color="auto" w:fill="F2F2F2" w:themeFill="background1" w:themeFillShade="F2"/>
          </w:tcPr>
          <w:p w14:paraId="38FFDC55" w14:textId="77777777" w:rsidR="00FE6D27" w:rsidRDefault="00FE6D27" w:rsidP="00803B56">
            <w:pPr>
              <w:pStyle w:val="Box"/>
              <w:spacing w:before="60"/>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w:t>
            </w:r>
            <w:r w:rsidR="005A7155">
              <w:noBreakHyphen/>
            </w:r>
            <w:r w:rsidRPr="00BB5DCF">
              <w:t>term interest of the Australian community.</w:t>
            </w:r>
          </w:p>
          <w:p w14:paraId="38FFDC56" w14:textId="77777777" w:rsidR="00FE6D27" w:rsidRDefault="00FE6D27" w:rsidP="00803B56">
            <w:pPr>
              <w:pStyle w:val="Box"/>
              <w:spacing w:before="60"/>
            </w:pPr>
            <w:r w:rsidRPr="00BB5DCF">
              <w:t>The Commission’s independence is underpinned by an Act of Parliament. Its processes and outputs are open to public scrutiny and are driven by concern for the wellbeing of the community as a whole.</w:t>
            </w:r>
          </w:p>
          <w:p w14:paraId="38FFDC57" w14:textId="77777777" w:rsidR="00FE6D27" w:rsidRDefault="00FE6D27" w:rsidP="00803B56">
            <w:pPr>
              <w:pStyle w:val="Box"/>
              <w:spacing w:before="60"/>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FE6D27" w14:paraId="38FFDC5A" w14:textId="77777777" w:rsidTr="00032125">
        <w:tc>
          <w:tcPr>
            <w:tcW w:w="8771" w:type="dxa"/>
            <w:tcBorders>
              <w:top w:val="nil"/>
              <w:left w:val="nil"/>
              <w:bottom w:val="single" w:sz="6" w:space="0" w:color="78A22F"/>
              <w:right w:val="nil"/>
            </w:tcBorders>
            <w:shd w:val="clear" w:color="auto" w:fill="F2F2F2" w:themeFill="background1" w:themeFillShade="F2"/>
          </w:tcPr>
          <w:p w14:paraId="38FFDC59" w14:textId="77777777" w:rsidR="00FE6D27" w:rsidRDefault="00FE6D27" w:rsidP="00803B56">
            <w:pPr>
              <w:pStyle w:val="Box"/>
              <w:spacing w:before="0" w:line="120" w:lineRule="exact"/>
            </w:pPr>
          </w:p>
        </w:tc>
      </w:tr>
    </w:tbl>
    <w:p w14:paraId="38FFDC5B" w14:textId="77777777" w:rsidR="00032125" w:rsidRDefault="00032125" w:rsidP="00032125">
      <w:pPr>
        <w:pStyle w:val="BodyText"/>
      </w:pPr>
    </w:p>
    <w:p w14:paraId="38FFDC5C" w14:textId="77777777" w:rsidR="00032125" w:rsidRDefault="00032125" w:rsidP="00032125">
      <w:pPr>
        <w:pStyle w:val="BodyText"/>
        <w:sectPr w:rsidR="00032125" w:rsidSect="0029029A">
          <w:type w:val="evenPage"/>
          <w:pgSz w:w="11907" w:h="16840" w:code="9"/>
          <w:pgMar w:top="1985" w:right="1304" w:bottom="1247" w:left="1814" w:header="1701" w:footer="397" w:gutter="0"/>
          <w:pgNumType w:start="1" w:chapSep="period"/>
          <w:cols w:space="720"/>
        </w:sectPr>
      </w:pPr>
    </w:p>
    <w:p w14:paraId="38FFDC5D" w14:textId="77777777" w:rsidR="00BE43A6" w:rsidRDefault="00BE43A6" w:rsidP="00BE43A6">
      <w:pPr>
        <w:pStyle w:val="Chapter"/>
      </w:pPr>
      <w:bookmarkStart w:id="5" w:name="_Toc489002890"/>
      <w:bookmarkStart w:id="6" w:name="_Toc489363161"/>
      <w:bookmarkEnd w:id="3"/>
      <w:r>
        <w:lastRenderedPageBreak/>
        <w:t>Contents</w:t>
      </w:r>
      <w:bookmarkEnd w:id="5"/>
      <w:bookmarkEnd w:id="6"/>
    </w:p>
    <w:p w14:paraId="38FFDC5E" w14:textId="77777777" w:rsidR="00032125" w:rsidRDefault="00032125" w:rsidP="00032125">
      <w:pPr>
        <w:pStyle w:val="TOC1"/>
        <w:rPr>
          <w:rFonts w:asciiTheme="minorHAnsi" w:eastAsiaTheme="minorEastAsia" w:hAnsiTheme="minorHAnsi" w:cstheme="minorBidi"/>
          <w:b w:val="0"/>
          <w:noProof/>
          <w:sz w:val="22"/>
          <w:szCs w:val="22"/>
          <w:lang w:eastAsia="en-AU"/>
        </w:rPr>
      </w:pPr>
      <w:r>
        <w:rPr>
          <w:noProof/>
        </w:rPr>
        <w:t>Impacts of health recommendations</w:t>
      </w:r>
      <w:r>
        <w:rPr>
          <w:noProof/>
        </w:rPr>
        <w:tab/>
        <w:t>2</w:t>
      </w:r>
    </w:p>
    <w:p w14:paraId="38FFDC5F" w14:textId="77777777" w:rsidR="00032125" w:rsidRDefault="00032125" w:rsidP="00032125">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Introduction</w:t>
      </w:r>
      <w:r>
        <w:rPr>
          <w:noProof/>
        </w:rPr>
        <w:tab/>
        <w:t>2</w:t>
      </w:r>
    </w:p>
    <w:p w14:paraId="38FFDC60" w14:textId="77777777" w:rsidR="00032125" w:rsidRDefault="00032125" w:rsidP="00032125">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The quadruple aim: a framework for measuring impacts</w:t>
      </w:r>
      <w:r>
        <w:rPr>
          <w:noProof/>
        </w:rPr>
        <w:tab/>
        <w:t>2</w:t>
      </w:r>
    </w:p>
    <w:p w14:paraId="38FFDC61" w14:textId="77777777" w:rsidR="00032125" w:rsidRDefault="00032125" w:rsidP="00032125">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Possible impacts under the Productivity Commission’s package of health policy initiatives</w:t>
      </w:r>
      <w:r>
        <w:rPr>
          <w:noProof/>
        </w:rPr>
        <w:tab/>
        <w:t>3</w:t>
      </w:r>
    </w:p>
    <w:p w14:paraId="38FFDC62" w14:textId="77777777" w:rsidR="00032125" w:rsidRPr="00032125" w:rsidRDefault="00032125" w:rsidP="00032125">
      <w:pPr>
        <w:pStyle w:val="TOC1"/>
        <w:spacing w:before="360"/>
        <w:rPr>
          <w:rFonts w:asciiTheme="minorHAnsi" w:eastAsiaTheme="minorEastAsia" w:hAnsiTheme="minorHAnsi" w:cstheme="minorBidi"/>
          <w:noProof/>
          <w:sz w:val="22"/>
          <w:szCs w:val="22"/>
          <w:lang w:eastAsia="en-AU"/>
        </w:rPr>
      </w:pPr>
      <w:r>
        <w:rPr>
          <w:noProof/>
        </w:rPr>
        <w:t>References</w:t>
      </w:r>
      <w:r>
        <w:rPr>
          <w:noProof/>
        </w:rPr>
        <w:tab/>
        <w:t>21</w:t>
      </w:r>
    </w:p>
    <w:p w14:paraId="38FFDC63" w14:textId="77777777" w:rsidR="00BE43A6" w:rsidRDefault="00BE43A6" w:rsidP="00032125">
      <w:pPr>
        <w:pStyle w:val="TOC1"/>
        <w:spacing w:after="120"/>
      </w:pPr>
    </w:p>
    <w:p w14:paraId="72B1330C" w14:textId="77777777" w:rsidR="0040013C" w:rsidRDefault="0040013C" w:rsidP="00F21354">
      <w:pPr>
        <w:pStyle w:val="BodyText"/>
        <w:sectPr w:rsidR="0040013C" w:rsidSect="00032125">
          <w:headerReference w:type="even" r:id="rId16"/>
          <w:headerReference w:type="default" r:id="rId17"/>
          <w:footerReference w:type="even" r:id="rId18"/>
          <w:footerReference w:type="default" r:id="rId19"/>
          <w:pgSz w:w="11907" w:h="16840" w:code="9"/>
          <w:pgMar w:top="1985" w:right="1304" w:bottom="1247" w:left="1814" w:header="1701" w:footer="397" w:gutter="0"/>
          <w:pgNumType w:start="1" w:chapSep="period"/>
          <w:cols w:space="720"/>
        </w:sectPr>
      </w:pPr>
    </w:p>
    <w:p w14:paraId="38FFDC65" w14:textId="77777777" w:rsidR="00681AF8" w:rsidRDefault="00575D6B" w:rsidP="00BE43A6">
      <w:pPr>
        <w:pStyle w:val="Heading2"/>
        <w:spacing w:before="0"/>
      </w:pPr>
      <w:bookmarkStart w:id="7" w:name="_Toc489363162"/>
      <w:r>
        <w:lastRenderedPageBreak/>
        <w:t>1</w:t>
      </w:r>
      <w:r>
        <w:tab/>
        <w:t>Introduction</w:t>
      </w:r>
      <w:bookmarkEnd w:id="7"/>
    </w:p>
    <w:p w14:paraId="38FFDC66" w14:textId="77777777" w:rsidR="0040437E" w:rsidRDefault="00BC710D" w:rsidP="00681AF8">
      <w:pPr>
        <w:pStyle w:val="BodyText"/>
      </w:pPr>
      <w:r>
        <w:t xml:space="preserve">The </w:t>
      </w:r>
      <w:r w:rsidR="00A321BD">
        <w:t xml:space="preserve">Productivity </w:t>
      </w:r>
      <w:r>
        <w:t xml:space="preserve">Commission’s </w:t>
      </w:r>
      <w:r w:rsidR="00145B9F">
        <w:t xml:space="preserve">health policy </w:t>
      </w:r>
      <w:r>
        <w:t xml:space="preserve">recommendations are intended to improve the quality and quantity of life of Australians through reform of the health sector. </w:t>
      </w:r>
    </w:p>
    <w:p w14:paraId="38FFDC67" w14:textId="0BD8ACAF" w:rsidR="009D76C1" w:rsidRDefault="000F24C3" w:rsidP="000F24C3">
      <w:pPr>
        <w:pStyle w:val="BodyText"/>
      </w:pPr>
      <w:r>
        <w:t xml:space="preserve">Based on what has already been achieved within Australia and more broadly, the </w:t>
      </w:r>
      <w:r w:rsidR="00A321BD">
        <w:t xml:space="preserve">Productivity </w:t>
      </w:r>
      <w:r>
        <w:t xml:space="preserve">Commission </w:t>
      </w:r>
      <w:r w:rsidR="00145B9F">
        <w:t xml:space="preserve">has indicated </w:t>
      </w:r>
      <w:r w:rsidR="00EB6813">
        <w:t>the</w:t>
      </w:r>
      <w:r w:rsidR="002646A5">
        <w:t xml:space="preserve"> </w:t>
      </w:r>
      <w:r w:rsidR="00145B9F">
        <w:t xml:space="preserve">nature and quantum of </w:t>
      </w:r>
      <w:r w:rsidR="00EB6813">
        <w:t>impacts that the recommended</w:t>
      </w:r>
      <w:r>
        <w:t xml:space="preserve"> reforms </w:t>
      </w:r>
      <w:r w:rsidR="00EB6813">
        <w:t>may</w:t>
      </w:r>
      <w:r>
        <w:t xml:space="preserve"> </w:t>
      </w:r>
      <w:r w:rsidR="00EB6813">
        <w:t>have</w:t>
      </w:r>
      <w:r w:rsidR="00145B9F">
        <w:t xml:space="preserve"> (chapter </w:t>
      </w:r>
      <w:r w:rsidR="00A72E03">
        <w:t xml:space="preserve">2 </w:t>
      </w:r>
      <w:r w:rsidR="00145B9F">
        <w:t xml:space="preserve">of the inquiry report). </w:t>
      </w:r>
      <w:r>
        <w:t xml:space="preserve">In this paper the Commission explains </w:t>
      </w:r>
      <w:r w:rsidR="009D76C1">
        <w:t xml:space="preserve">how these impacts are estimated. </w:t>
      </w:r>
    </w:p>
    <w:p w14:paraId="38FFDC68" w14:textId="77777777" w:rsidR="0098110D" w:rsidRDefault="008956C0" w:rsidP="000F24C3">
      <w:pPr>
        <w:pStyle w:val="BodyText"/>
      </w:pPr>
      <w:r>
        <w:t>In this exercise, t</w:t>
      </w:r>
      <w:r w:rsidR="00EB6813">
        <w:t xml:space="preserve">he </w:t>
      </w:r>
      <w:r w:rsidR="00A321BD">
        <w:t xml:space="preserve">Productivity </w:t>
      </w:r>
      <w:r w:rsidR="00EB6813">
        <w:t xml:space="preserve">Commission </w:t>
      </w:r>
      <w:r>
        <w:t xml:space="preserve">stresses that the numbers are </w:t>
      </w:r>
      <w:r w:rsidR="00660BA0">
        <w:t xml:space="preserve">only indicative. </w:t>
      </w:r>
      <w:r w:rsidR="002646A5">
        <w:t>It</w:t>
      </w:r>
      <w:r w:rsidR="00660BA0">
        <w:t xml:space="preserve"> is not possible to </w:t>
      </w:r>
      <w:r w:rsidR="00F1663B">
        <w:t>assess and measure</w:t>
      </w:r>
      <w:r w:rsidR="00660BA0">
        <w:t xml:space="preserve"> all </w:t>
      </w:r>
      <w:r w:rsidR="002646A5">
        <w:t xml:space="preserve">the </w:t>
      </w:r>
      <w:r w:rsidR="00660BA0">
        <w:t>factors that will have a significant impact on future developments</w:t>
      </w:r>
      <w:r w:rsidR="00344E4F">
        <w:t>. Further, for the sake of simplicity</w:t>
      </w:r>
      <w:r w:rsidR="006B5B96">
        <w:t xml:space="preserve"> or due to lack of data</w:t>
      </w:r>
      <w:r w:rsidR="00344E4F">
        <w:t xml:space="preserve">, the Commission has excluded some factors that </w:t>
      </w:r>
      <w:r w:rsidR="00145B9F">
        <w:t xml:space="preserve">are likely to </w:t>
      </w:r>
      <w:r w:rsidR="00344E4F">
        <w:t>be significant in the future</w:t>
      </w:r>
      <w:r w:rsidR="00F1663B">
        <w:t>. F</w:t>
      </w:r>
      <w:r w:rsidR="00344E4F">
        <w:t>or example, the ageing of Australia’s population</w:t>
      </w:r>
      <w:r w:rsidR="00F765FA">
        <w:t xml:space="preserve"> and any dynamic effects of integrated care on the development of new technologies</w:t>
      </w:r>
      <w:r w:rsidR="006B5B96">
        <w:t xml:space="preserve"> </w:t>
      </w:r>
      <w:r w:rsidR="00560EDC">
        <w:t>are not incorporated</w:t>
      </w:r>
      <w:r w:rsidR="00660BA0">
        <w:t>.</w:t>
      </w:r>
      <w:r w:rsidR="00F765FA" w:rsidRPr="002F6D96">
        <w:rPr>
          <w:rStyle w:val="FootnoteReference"/>
        </w:rPr>
        <w:footnoteReference w:id="2"/>
      </w:r>
      <w:r w:rsidR="00660BA0">
        <w:t xml:space="preserve"> </w:t>
      </w:r>
      <w:r w:rsidR="0098110D">
        <w:t>Other</w:t>
      </w:r>
      <w:r w:rsidR="00716531">
        <w:t xml:space="preserve"> </w:t>
      </w:r>
      <w:r w:rsidR="0098110D">
        <w:t xml:space="preserve">dynamic </w:t>
      </w:r>
      <w:r w:rsidR="00716531">
        <w:t xml:space="preserve">factors </w:t>
      </w:r>
      <w:r w:rsidR="00560EDC">
        <w:t xml:space="preserve">that are </w:t>
      </w:r>
      <w:r w:rsidR="00716531">
        <w:t>excluded from the calculations are</w:t>
      </w:r>
      <w:r w:rsidR="0098110D">
        <w:t>:</w:t>
      </w:r>
      <w:r w:rsidR="00716531">
        <w:t xml:space="preserve"> </w:t>
      </w:r>
    </w:p>
    <w:p w14:paraId="38FFDC69" w14:textId="77777777" w:rsidR="0098110D" w:rsidRDefault="0098110D" w:rsidP="008257E2">
      <w:pPr>
        <w:pStyle w:val="ListBullet"/>
      </w:pPr>
      <w:r>
        <w:t>any</w:t>
      </w:r>
      <w:r w:rsidR="00716531">
        <w:t xml:space="preserve"> impact</w:t>
      </w:r>
      <w:r>
        <w:t>s</w:t>
      </w:r>
      <w:r w:rsidR="00716531">
        <w:t xml:space="preserve"> </w:t>
      </w:r>
      <w:r>
        <w:t>from</w:t>
      </w:r>
      <w:r w:rsidR="00716531">
        <w:t xml:space="preserve"> investment in prevention </w:t>
      </w:r>
      <w:r w:rsidR="00512C42">
        <w:t>that</w:t>
      </w:r>
      <w:r w:rsidR="00716531">
        <w:t xml:space="preserve"> </w:t>
      </w:r>
      <w:r>
        <w:t>could</w:t>
      </w:r>
      <w:r w:rsidR="00716531">
        <w:t xml:space="preserve"> potentially </w:t>
      </w:r>
      <w:r>
        <w:t>substantially increase the estimated net benefit</w:t>
      </w:r>
      <w:r w:rsidRPr="002F6D96">
        <w:rPr>
          <w:rStyle w:val="FootnoteReference"/>
        </w:rPr>
        <w:footnoteReference w:id="3"/>
      </w:r>
    </w:p>
    <w:p w14:paraId="38FFDC6A" w14:textId="77777777" w:rsidR="0098110D" w:rsidRDefault="0098110D" w:rsidP="008257E2">
      <w:pPr>
        <w:pStyle w:val="ListBullet"/>
      </w:pPr>
      <w:r>
        <w:t xml:space="preserve">the impacts from increasing the longevity of Australians, including the higher cost of </w:t>
      </w:r>
      <w:r w:rsidR="00F1663B">
        <w:t>providing services to</w:t>
      </w:r>
      <w:r>
        <w:t xml:space="preserve"> older Australians and the </w:t>
      </w:r>
      <w:r w:rsidR="00F1663B">
        <w:t>benefits to</w:t>
      </w:r>
      <w:r>
        <w:t xml:space="preserve"> Australians from living longer.</w:t>
      </w:r>
    </w:p>
    <w:p w14:paraId="38FFDC6B" w14:textId="77777777" w:rsidR="000F24C3" w:rsidRDefault="00660BA0" w:rsidP="000F24C3">
      <w:pPr>
        <w:pStyle w:val="BodyText"/>
      </w:pPr>
      <w:r>
        <w:t xml:space="preserve">The numbers should therefore be understood as a guide to </w:t>
      </w:r>
      <w:r w:rsidR="006B5B96">
        <w:t>some</w:t>
      </w:r>
      <w:r>
        <w:t xml:space="preserve"> of </w:t>
      </w:r>
      <w:r w:rsidR="006B5B96">
        <w:t xml:space="preserve">the </w:t>
      </w:r>
      <w:r>
        <w:t xml:space="preserve">impacts that </w:t>
      </w:r>
      <w:r w:rsidR="00F765FA">
        <w:t>could eventuate</w:t>
      </w:r>
      <w:r w:rsidR="00344E4F">
        <w:t xml:space="preserve"> and as a rough indication </w:t>
      </w:r>
      <w:r w:rsidR="00145B9F">
        <w:t>of</w:t>
      </w:r>
      <w:r w:rsidR="00344E4F">
        <w:t xml:space="preserve"> the</w:t>
      </w:r>
      <w:r>
        <w:t xml:space="preserve"> relative size of </w:t>
      </w:r>
      <w:r w:rsidR="00145B9F">
        <w:t xml:space="preserve">those </w:t>
      </w:r>
      <w:r w:rsidR="006B5B96">
        <w:t xml:space="preserve">particular </w:t>
      </w:r>
      <w:r>
        <w:t>impacts.</w:t>
      </w:r>
      <w:r w:rsidR="00344E4F">
        <w:t xml:space="preserve"> </w:t>
      </w:r>
    </w:p>
    <w:p w14:paraId="38FFDC6C" w14:textId="77777777" w:rsidR="00575D6B" w:rsidRDefault="00575D6B" w:rsidP="00575D6B">
      <w:pPr>
        <w:pStyle w:val="Heading2"/>
      </w:pPr>
      <w:bookmarkStart w:id="8" w:name="_Toc489363163"/>
      <w:r>
        <w:t>2</w:t>
      </w:r>
      <w:r>
        <w:tab/>
        <w:t>The quadruple aim: a framework for measuring impacts</w:t>
      </w:r>
      <w:bookmarkEnd w:id="8"/>
    </w:p>
    <w:p w14:paraId="38FFDC6D" w14:textId="77777777" w:rsidR="00396849" w:rsidRDefault="00BA7356" w:rsidP="00681AF8">
      <w:pPr>
        <w:pStyle w:val="BodyText"/>
      </w:pPr>
      <w:r>
        <w:t>Understand</w:t>
      </w:r>
      <w:r w:rsidR="0005498D">
        <w:t xml:space="preserve">ing </w:t>
      </w:r>
      <w:r w:rsidR="002646A5">
        <w:t xml:space="preserve">the impacts of </w:t>
      </w:r>
      <w:r w:rsidR="0005498D">
        <w:t xml:space="preserve">health </w:t>
      </w:r>
      <w:r w:rsidR="002646A5">
        <w:t>reform</w:t>
      </w:r>
      <w:r w:rsidR="0005498D">
        <w:t xml:space="preserve"> is </w:t>
      </w:r>
      <w:r w:rsidR="002646A5">
        <w:t>much more than</w:t>
      </w:r>
      <w:r w:rsidR="0005498D">
        <w:t xml:space="preserve"> counting the costs. </w:t>
      </w:r>
      <w:r>
        <w:t>I</w:t>
      </w:r>
      <w:r w:rsidR="00396849">
        <w:t>t</w:t>
      </w:r>
      <w:r w:rsidR="00081863">
        <w:t xml:space="preserve"> is</w:t>
      </w:r>
      <w:r w:rsidR="00396849">
        <w:t xml:space="preserve"> about the quantity and quality of good health that is achieved for a given health </w:t>
      </w:r>
      <w:r w:rsidR="002646A5">
        <w:t xml:space="preserve">expenditure. </w:t>
      </w:r>
      <w:r w:rsidR="006B5B96">
        <w:t xml:space="preserve">This is aptly expressed in the </w:t>
      </w:r>
      <w:r w:rsidR="008257E2">
        <w:t xml:space="preserve">integrated health care </w:t>
      </w:r>
      <w:r w:rsidR="006B5B96">
        <w:t>literature in terms of four aims of health policy: improving population health, enhancing the patient’s experience of care, lowering health care costs and supporting the wellbeing of health care providers</w:t>
      </w:r>
      <w:r w:rsidR="006B5202">
        <w:t xml:space="preserve"> (whose decisions can profoundly shape the future health of patients and whose wellbeing </w:t>
      </w:r>
      <w:r w:rsidR="006B5202">
        <w:lastRenderedPageBreak/>
        <w:t>can therefore be closely interlinked with the wellbeing of patients).</w:t>
      </w:r>
      <w:r w:rsidR="006B5202" w:rsidRPr="002F6D96">
        <w:rPr>
          <w:rStyle w:val="FootnoteReference"/>
        </w:rPr>
        <w:footnoteReference w:id="4"/>
      </w:r>
      <w:r w:rsidR="006B5B96">
        <w:t xml:space="preserve"> The </w:t>
      </w:r>
      <w:r w:rsidR="00A321BD">
        <w:t xml:space="preserve">Productivity </w:t>
      </w:r>
      <w:r w:rsidR="006B5B96">
        <w:t>Commission’s estimates include elements of eac</w:t>
      </w:r>
      <w:r w:rsidR="001F4629">
        <w:t>h of these four aims as follows.</w:t>
      </w:r>
      <w:r w:rsidR="006B5B96">
        <w:t xml:space="preserve"> </w:t>
      </w:r>
    </w:p>
    <w:p w14:paraId="38FFDC6E" w14:textId="77777777" w:rsidR="00C45D6E" w:rsidRDefault="001F4629" w:rsidP="00CB189C">
      <w:pPr>
        <w:pStyle w:val="ListBullet"/>
      </w:pPr>
      <w:r>
        <w:t>I</w:t>
      </w:r>
      <w:r w:rsidR="00C45D6E">
        <w:t xml:space="preserve">mproving </w:t>
      </w:r>
      <w:r w:rsidR="000C79F6">
        <w:t>population health</w:t>
      </w:r>
      <w:r w:rsidR="006B5B96">
        <w:t xml:space="preserve"> is</w:t>
      </w:r>
      <w:r w:rsidR="002646A5">
        <w:t xml:space="preserve"> </w:t>
      </w:r>
      <w:r w:rsidR="003C2B5F">
        <w:t xml:space="preserve">estimated </w:t>
      </w:r>
      <w:r w:rsidR="006B5B96">
        <w:t xml:space="preserve">broadly </w:t>
      </w:r>
      <w:r w:rsidR="003C2B5F">
        <w:t>in terms of a percentage improvement in the health of those who would otherwise be in poor or fair health</w:t>
      </w:r>
      <w:r>
        <w:t>.</w:t>
      </w:r>
    </w:p>
    <w:p w14:paraId="38FFDC6F" w14:textId="77777777" w:rsidR="00C45D6E" w:rsidRDefault="001F4629" w:rsidP="00CB189C">
      <w:pPr>
        <w:pStyle w:val="ListBullet"/>
      </w:pPr>
      <w:r>
        <w:t>E</w:t>
      </w:r>
      <w:r w:rsidR="00C45D6E">
        <w:t xml:space="preserve">nhancing the </w:t>
      </w:r>
      <w:r w:rsidR="000C79F6">
        <w:t xml:space="preserve">experience of </w:t>
      </w:r>
      <w:r w:rsidR="00C45D6E">
        <w:t>patient</w:t>
      </w:r>
      <w:r w:rsidR="000C79F6">
        <w:t>s</w:t>
      </w:r>
      <w:r w:rsidR="006B5202">
        <w:t xml:space="preserve"> is</w:t>
      </w:r>
      <w:r w:rsidR="002646A5">
        <w:t xml:space="preserve"> </w:t>
      </w:r>
      <w:r w:rsidR="00EA6BA6">
        <w:t>partially</w:t>
      </w:r>
      <w:r w:rsidR="00300A1C">
        <w:t xml:space="preserve"> represented</w:t>
      </w:r>
      <w:r w:rsidR="002646A5">
        <w:t xml:space="preserve"> </w:t>
      </w:r>
      <w:r w:rsidR="00300A1C">
        <w:t xml:space="preserve">by </w:t>
      </w:r>
      <w:r w:rsidR="00EA6BA6">
        <w:t xml:space="preserve">estimating </w:t>
      </w:r>
      <w:r w:rsidR="006B5202">
        <w:t xml:space="preserve">the </w:t>
      </w:r>
      <w:r w:rsidR="00EA6BA6">
        <w:t xml:space="preserve">value of the reduction in the </w:t>
      </w:r>
      <w:r w:rsidR="002646A5">
        <w:t xml:space="preserve">time </w:t>
      </w:r>
      <w:r w:rsidR="00EA6BA6">
        <w:t>that</w:t>
      </w:r>
      <w:r w:rsidR="00300A1C">
        <w:t xml:space="preserve"> patients </w:t>
      </w:r>
      <w:r w:rsidR="00EA6BA6">
        <w:t>spend</w:t>
      </w:r>
      <w:r w:rsidR="006B5202">
        <w:t xml:space="preserve"> </w:t>
      </w:r>
      <w:r w:rsidR="002646A5">
        <w:t xml:space="preserve">waiting </w:t>
      </w:r>
      <w:r w:rsidR="006B5202">
        <w:t xml:space="preserve">in waiting rooms </w:t>
      </w:r>
      <w:r w:rsidR="002646A5">
        <w:t>for a medical appointment</w:t>
      </w:r>
      <w:r>
        <w:t>.</w:t>
      </w:r>
      <w:r w:rsidR="00BC4ACF" w:rsidRPr="002F6D96">
        <w:rPr>
          <w:rStyle w:val="FootnoteReference"/>
        </w:rPr>
        <w:footnoteReference w:id="5"/>
      </w:r>
    </w:p>
    <w:p w14:paraId="38FFDC70" w14:textId="77777777" w:rsidR="00575D6B" w:rsidRDefault="001F4629" w:rsidP="00CB189C">
      <w:pPr>
        <w:pStyle w:val="ListBullet"/>
      </w:pPr>
      <w:r>
        <w:t>L</w:t>
      </w:r>
      <w:r w:rsidR="00C45D6E">
        <w:t xml:space="preserve">owering </w:t>
      </w:r>
      <w:r w:rsidR="000C79F6">
        <w:t xml:space="preserve">health care </w:t>
      </w:r>
      <w:r w:rsidR="00C45D6E">
        <w:t>cost</w:t>
      </w:r>
      <w:r w:rsidR="000C79F6">
        <w:t>s</w:t>
      </w:r>
      <w:r w:rsidR="00C45D6E">
        <w:t xml:space="preserve"> </w:t>
      </w:r>
      <w:r w:rsidR="00BA7356">
        <w:t>(</w:t>
      </w:r>
      <w:r w:rsidR="00BC4ACF">
        <w:t>without compromising</w:t>
      </w:r>
      <w:r w:rsidR="00C45D6E">
        <w:t xml:space="preserve"> health </w:t>
      </w:r>
      <w:r w:rsidR="00652504">
        <w:t>or</w:t>
      </w:r>
      <w:r w:rsidR="005A6401">
        <w:t xml:space="preserve"> the quality of </w:t>
      </w:r>
      <w:r w:rsidR="00C20323">
        <w:t>service</w:t>
      </w:r>
      <w:r w:rsidR="00BA7356">
        <w:t>)</w:t>
      </w:r>
      <w:r w:rsidR="002646A5">
        <w:t xml:space="preserve"> </w:t>
      </w:r>
      <w:r w:rsidR="006B5202">
        <w:t>is estimated in terms of the</w:t>
      </w:r>
      <w:r w:rsidR="00300A1C">
        <w:t xml:space="preserve"> impacts on </w:t>
      </w:r>
      <w:r w:rsidR="006B5202">
        <w:t xml:space="preserve">total </w:t>
      </w:r>
      <w:r w:rsidR="00300A1C">
        <w:t xml:space="preserve">health care expenditure, irrespective of </w:t>
      </w:r>
      <w:r w:rsidR="006B5202">
        <w:t>who is paying and therefore includes savings to patients, to providers, to insurers and to governments</w:t>
      </w:r>
      <w:r>
        <w:t>.</w:t>
      </w:r>
    </w:p>
    <w:p w14:paraId="38FFDC71" w14:textId="77777777" w:rsidR="00420787" w:rsidRDefault="001F4629" w:rsidP="00CB189C">
      <w:pPr>
        <w:pStyle w:val="ListBullet"/>
      </w:pPr>
      <w:r>
        <w:t>S</w:t>
      </w:r>
      <w:r w:rsidR="003B3C98">
        <w:t>upporting</w:t>
      </w:r>
      <w:r w:rsidR="00C45D6E">
        <w:t xml:space="preserve"> the </w:t>
      </w:r>
      <w:r w:rsidR="003B3C98">
        <w:t>wellbeing</w:t>
      </w:r>
      <w:r w:rsidR="00C45D6E">
        <w:t xml:space="preserve"> of </w:t>
      </w:r>
      <w:r w:rsidR="00794B63">
        <w:t xml:space="preserve">people providing </w:t>
      </w:r>
      <w:r w:rsidR="00C45D6E">
        <w:t xml:space="preserve">health care </w:t>
      </w:r>
      <w:r w:rsidR="00EA6BA6">
        <w:t xml:space="preserve">is </w:t>
      </w:r>
      <w:r w:rsidR="00794B63">
        <w:t>partly considered</w:t>
      </w:r>
      <w:r w:rsidR="006B5202">
        <w:t>.</w:t>
      </w:r>
      <w:r w:rsidR="002646A5">
        <w:t xml:space="preserve"> </w:t>
      </w:r>
      <w:r w:rsidR="00940CB7">
        <w:t xml:space="preserve">The Productivity Commission has limited its considerations to people providing health care without pay, whose caring responsibilities are reduced if patient health improves. </w:t>
      </w:r>
      <w:r w:rsidR="00CB189C">
        <w:t xml:space="preserve">This </w:t>
      </w:r>
      <w:r w:rsidR="00794B63">
        <w:t>goes beyond the concerns about paid professionals, which was the focus of</w:t>
      </w:r>
      <w:r w:rsidR="00CB189C">
        <w:t xml:space="preserve"> Bodenheimer and Sinsky </w:t>
      </w:r>
      <w:r w:rsidR="00CB189C" w:rsidRPr="00300A1C">
        <w:t>(2014)</w:t>
      </w:r>
      <w:r w:rsidR="00CB189C">
        <w:t xml:space="preserve">. </w:t>
      </w:r>
    </w:p>
    <w:p w14:paraId="38FFDC72" w14:textId="77777777" w:rsidR="00DE7169" w:rsidRDefault="00791657" w:rsidP="00DE7169">
      <w:pPr>
        <w:pStyle w:val="Heading2"/>
      </w:pPr>
      <w:bookmarkStart w:id="9" w:name="_Toc489363164"/>
      <w:r>
        <w:t>3</w:t>
      </w:r>
      <w:r w:rsidR="00DE7169">
        <w:tab/>
      </w:r>
      <w:r w:rsidR="008D0D74">
        <w:t xml:space="preserve">Possible impacts under </w:t>
      </w:r>
      <w:r w:rsidR="00FE3326">
        <w:t xml:space="preserve">the </w:t>
      </w:r>
      <w:r w:rsidR="00A321BD">
        <w:t xml:space="preserve">Productivity </w:t>
      </w:r>
      <w:r w:rsidR="008D0D74">
        <w:t xml:space="preserve">Commission’s package of health policy </w:t>
      </w:r>
      <w:r w:rsidR="00161C31">
        <w:t>initiatives</w:t>
      </w:r>
      <w:bookmarkEnd w:id="9"/>
    </w:p>
    <w:p w14:paraId="38FFDC73" w14:textId="77777777" w:rsidR="0085673F" w:rsidRDefault="0066656D" w:rsidP="00681AF8">
      <w:pPr>
        <w:pStyle w:val="BodyText"/>
      </w:pPr>
      <w:r>
        <w:t>M</w:t>
      </w:r>
      <w:r w:rsidR="005A338F">
        <w:t>any</w:t>
      </w:r>
      <w:r w:rsidR="00A053C9">
        <w:t xml:space="preserve"> of </w:t>
      </w:r>
      <w:r>
        <w:t xml:space="preserve">the </w:t>
      </w:r>
      <w:r w:rsidR="00A321BD">
        <w:t xml:space="preserve">Productivity </w:t>
      </w:r>
      <w:r>
        <w:t>Commission’s</w:t>
      </w:r>
      <w:r w:rsidR="00A053C9">
        <w:t xml:space="preserve"> recommendations </w:t>
      </w:r>
      <w:r w:rsidR="005A338F">
        <w:t>are interdependent</w:t>
      </w:r>
      <w:r>
        <w:t xml:space="preserve"> and</w:t>
      </w:r>
      <w:r w:rsidR="0085673F">
        <w:t xml:space="preserve"> this </w:t>
      </w:r>
      <w:r>
        <w:t>affects</w:t>
      </w:r>
      <w:r w:rsidR="0085673F">
        <w:t xml:space="preserve"> the </w:t>
      </w:r>
      <w:r>
        <w:t>estimates of the possible</w:t>
      </w:r>
      <w:r w:rsidR="0085673F">
        <w:t xml:space="preserve"> impacts</w:t>
      </w:r>
      <w:r w:rsidR="00A675BF">
        <w:t> (</w:t>
      </w:r>
      <w:r w:rsidR="00E910EF">
        <w:t>table </w:t>
      </w:r>
      <w:r w:rsidR="0085673F">
        <w:t>1</w:t>
      </w:r>
      <w:r w:rsidR="00A675BF">
        <w:t>)</w:t>
      </w:r>
      <w:r w:rsidR="0085673F">
        <w:t>. Briefly, s</w:t>
      </w:r>
      <w:r w:rsidR="00A053C9">
        <w:t xml:space="preserve">everal reforms are needed to </w:t>
      </w:r>
      <w:r w:rsidR="006B5202">
        <w:t>free up innovative Local Hospital Networks (LHNs) and Primary Health Networks (PHNs)</w:t>
      </w:r>
      <w:r w:rsidR="005A338F">
        <w:t xml:space="preserve"> in the health sector </w:t>
      </w:r>
      <w:r w:rsidR="00A053C9">
        <w:t>and allow them to</w:t>
      </w:r>
      <w:r w:rsidR="005A338F">
        <w:t xml:space="preserve"> invest in health care improvements. </w:t>
      </w:r>
      <w:r w:rsidR="00560EDC">
        <w:t>Conditional</w:t>
      </w:r>
      <w:r w:rsidR="00A053C9">
        <w:t xml:space="preserve"> on those</w:t>
      </w:r>
      <w:r w:rsidR="006B5202">
        <w:t xml:space="preserve"> reforms</w:t>
      </w:r>
      <w:r w:rsidR="005A338F">
        <w:t xml:space="preserve">, </w:t>
      </w:r>
      <w:r w:rsidR="00560EDC">
        <w:t>further</w:t>
      </w:r>
      <w:r w:rsidR="00A053C9">
        <w:t xml:space="preserve"> </w:t>
      </w:r>
      <w:r w:rsidR="006B5202">
        <w:t>measures</w:t>
      </w:r>
      <w:r w:rsidR="00A053C9">
        <w:t xml:space="preserve"> </w:t>
      </w:r>
      <w:r w:rsidR="00CB189C">
        <w:t>are required</w:t>
      </w:r>
      <w:r w:rsidR="00A053C9">
        <w:t xml:space="preserve"> to </w:t>
      </w:r>
      <w:r w:rsidR="0005614E">
        <w:t>provide</w:t>
      </w:r>
      <w:r w:rsidR="006B5202">
        <w:t xml:space="preserve"> </w:t>
      </w:r>
      <w:r w:rsidR="00CB189C">
        <w:t xml:space="preserve">all </w:t>
      </w:r>
      <w:r w:rsidR="006B5202">
        <w:t>other LHNs and PHNs</w:t>
      </w:r>
      <w:r w:rsidR="00A053C9">
        <w:t xml:space="preserve"> </w:t>
      </w:r>
      <w:r w:rsidR="0005614E">
        <w:t xml:space="preserve">with incentives </w:t>
      </w:r>
      <w:r w:rsidR="00A053C9">
        <w:t xml:space="preserve">to </w:t>
      </w:r>
      <w:r w:rsidR="00257B64">
        <w:t>adopt best practice</w:t>
      </w:r>
      <w:r w:rsidR="0005614E">
        <w:t xml:space="preserve"> integrated care</w:t>
      </w:r>
      <w:r w:rsidR="00A053C9">
        <w:t xml:space="preserve">. </w:t>
      </w:r>
      <w:r w:rsidR="00560EDC">
        <w:t>Related to these are</w:t>
      </w:r>
      <w:r w:rsidR="00A053C9">
        <w:t xml:space="preserve"> </w:t>
      </w:r>
      <w:r w:rsidR="00AC625A">
        <w:t xml:space="preserve">a number of reforms </w:t>
      </w:r>
      <w:r w:rsidR="00560EDC">
        <w:t>to</w:t>
      </w:r>
      <w:r w:rsidR="00AC625A">
        <w:t xml:space="preserve"> ensur</w:t>
      </w:r>
      <w:r w:rsidR="00560EDC">
        <w:t>e</w:t>
      </w:r>
      <w:r w:rsidR="00AC625A">
        <w:t xml:space="preserve"> the patient is at the centre of the health care system. </w:t>
      </w:r>
      <w:r w:rsidR="00560EDC">
        <w:t xml:space="preserve">Building on all of these reforms </w:t>
      </w:r>
      <w:r w:rsidR="00AC625A">
        <w:t xml:space="preserve">are </w:t>
      </w:r>
      <w:r w:rsidR="00560EDC">
        <w:t>a number of</w:t>
      </w:r>
      <w:r w:rsidR="00AC625A">
        <w:t xml:space="preserve"> steps towards providing PHNs and LHNs with</w:t>
      </w:r>
      <w:r w:rsidR="0005614E">
        <w:t xml:space="preserve"> the capacity to</w:t>
      </w:r>
      <w:r w:rsidR="00A053C9">
        <w:t xml:space="preserve"> pursue greater </w:t>
      </w:r>
      <w:r w:rsidR="00257B64">
        <w:t xml:space="preserve">efficiency </w:t>
      </w:r>
      <w:r w:rsidR="00A675BF">
        <w:t>gains</w:t>
      </w:r>
      <w:r w:rsidR="00A053C9">
        <w:t xml:space="preserve"> </w:t>
      </w:r>
      <w:r w:rsidR="00257B64">
        <w:t>across</w:t>
      </w:r>
      <w:r w:rsidR="00A053C9">
        <w:t xml:space="preserve"> the </w:t>
      </w:r>
      <w:r w:rsidR="00AC625A">
        <w:t>broader</w:t>
      </w:r>
      <w:r w:rsidR="00A053C9">
        <w:t xml:space="preserve"> health budget.</w:t>
      </w:r>
    </w:p>
    <w:p w14:paraId="38FFDC74" w14:textId="77777777" w:rsidR="00575D6B" w:rsidRDefault="004A5B93" w:rsidP="00681AF8">
      <w:pPr>
        <w:pStyle w:val="BodyText"/>
      </w:pPr>
      <w:r>
        <w:t>Some</w:t>
      </w:r>
      <w:r w:rsidR="00E27546">
        <w:t xml:space="preserve"> </w:t>
      </w:r>
      <w:r w:rsidR="00A053C9">
        <w:t xml:space="preserve">reforms can be implemented </w:t>
      </w:r>
      <w:r>
        <w:t xml:space="preserve">independently of </w:t>
      </w:r>
      <w:r w:rsidR="0085673F">
        <w:t xml:space="preserve">other reforms. These include the removal of the private health insurance rebate on ancillaries, </w:t>
      </w:r>
      <w:r w:rsidR="00D32CB1">
        <w:t>and a number of other reforms that have not been quantified in this exercise</w:t>
      </w:r>
      <w:r w:rsidR="006A369E">
        <w:t>,</w:t>
      </w:r>
      <w:r w:rsidR="00D32CB1">
        <w:t xml:space="preserve"> such as </w:t>
      </w:r>
      <w:r w:rsidR="004C149C">
        <w:t>reform</w:t>
      </w:r>
      <w:r w:rsidR="00D32CB1">
        <w:t xml:space="preserve"> of alcohol taxation</w:t>
      </w:r>
      <w:r w:rsidR="0085673F">
        <w:t>.</w:t>
      </w:r>
    </w:p>
    <w:p w14:paraId="38FFDC75" w14:textId="77777777" w:rsidR="005A338F" w:rsidRDefault="005A338F" w:rsidP="00A053C9">
      <w:pPr>
        <w:pStyle w:val="BoxSpaceAbove"/>
      </w:pPr>
      <w:bookmarkStart w:id="10" w:name="begin"/>
      <w:bookmarkEnd w:id="10"/>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5A338F" w14:paraId="38FFDC77" w14:textId="77777777" w:rsidTr="00A053C9">
        <w:tc>
          <w:tcPr>
            <w:tcW w:w="5000" w:type="pct"/>
            <w:tcBorders>
              <w:top w:val="single" w:sz="6" w:space="0" w:color="78A22F"/>
              <w:left w:val="nil"/>
              <w:bottom w:val="nil"/>
              <w:right w:val="nil"/>
            </w:tcBorders>
            <w:shd w:val="clear" w:color="auto" w:fill="auto"/>
          </w:tcPr>
          <w:p w14:paraId="38FFDC76" w14:textId="77777777" w:rsidR="005A338F" w:rsidRPr="00784A05" w:rsidRDefault="005A338F" w:rsidP="007C52E2">
            <w:pPr>
              <w:pStyle w:val="TableTitle"/>
            </w:pPr>
            <w:r>
              <w:rPr>
                <w:b w:val="0"/>
              </w:rPr>
              <w:t xml:space="preserve">Table </w:t>
            </w:r>
            <w:r w:rsidR="00803B56">
              <w:rPr>
                <w:b w:val="0"/>
                <w:noProof/>
              </w:rPr>
              <w:t>1</w:t>
            </w:r>
            <w:r>
              <w:tab/>
              <w:t xml:space="preserve">The relationship between the </w:t>
            </w:r>
            <w:r w:rsidR="00A321BD">
              <w:t xml:space="preserve">Productivity </w:t>
            </w:r>
            <w:r>
              <w:t xml:space="preserve">Commission’s recommendations and </w:t>
            </w:r>
            <w:r w:rsidR="00A053C9">
              <w:t>the estimated impacts</w:t>
            </w:r>
          </w:p>
        </w:tc>
      </w:tr>
      <w:tr w:rsidR="005A338F" w14:paraId="38FFDCA1" w14:textId="77777777" w:rsidTr="00A053C9">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28"/>
              <w:gridCol w:w="2623"/>
              <w:gridCol w:w="4199"/>
              <w:gridCol w:w="39"/>
            </w:tblGrid>
            <w:tr w:rsidR="00871B81" w14:paraId="38FFDC7C" w14:textId="77777777" w:rsidTr="00871B81">
              <w:trPr>
                <w:tblHeader/>
              </w:trPr>
              <w:tc>
                <w:tcPr>
                  <w:tcW w:w="1097" w:type="pct"/>
                  <w:tcBorders>
                    <w:top w:val="single" w:sz="6" w:space="0" w:color="BFBFBF"/>
                    <w:bottom w:val="single" w:sz="6" w:space="0" w:color="BFBFBF"/>
                  </w:tcBorders>
                  <w:shd w:val="clear" w:color="auto" w:fill="auto"/>
                  <w:tcMar>
                    <w:top w:w="28" w:type="dxa"/>
                  </w:tcMar>
                </w:tcPr>
                <w:p w14:paraId="38FFDC78" w14:textId="77777777" w:rsidR="00871B81" w:rsidRDefault="00871B81" w:rsidP="001E0FE8">
                  <w:pPr>
                    <w:pStyle w:val="TableColumnHeading"/>
                    <w:jc w:val="left"/>
                  </w:pPr>
                  <w:r>
                    <w:t>Description</w:t>
                  </w:r>
                </w:p>
              </w:tc>
              <w:tc>
                <w:tcPr>
                  <w:tcW w:w="1492" w:type="pct"/>
                  <w:tcBorders>
                    <w:top w:val="single" w:sz="6" w:space="0" w:color="BFBFBF"/>
                    <w:bottom w:val="single" w:sz="6" w:space="0" w:color="BFBFBF"/>
                  </w:tcBorders>
                </w:tcPr>
                <w:p w14:paraId="38FFDC79" w14:textId="77777777" w:rsidR="00871B81" w:rsidRDefault="00871B81" w:rsidP="00B23C00">
                  <w:pPr>
                    <w:pStyle w:val="TableColumnHeading"/>
                    <w:jc w:val="left"/>
                  </w:pPr>
                  <w:r>
                    <w:t>Recommendations</w:t>
                  </w:r>
                </w:p>
              </w:tc>
              <w:tc>
                <w:tcPr>
                  <w:tcW w:w="2389" w:type="pct"/>
                  <w:tcBorders>
                    <w:top w:val="single" w:sz="6" w:space="0" w:color="BFBFBF"/>
                    <w:bottom w:val="single" w:sz="6" w:space="0" w:color="BFBFBF"/>
                  </w:tcBorders>
                  <w:shd w:val="clear" w:color="auto" w:fill="auto"/>
                  <w:tcMar>
                    <w:top w:w="28" w:type="dxa"/>
                  </w:tcMar>
                </w:tcPr>
                <w:p w14:paraId="38FFDC7A" w14:textId="77777777" w:rsidR="00871B81" w:rsidRDefault="00871B81" w:rsidP="001E0FE8">
                  <w:pPr>
                    <w:pStyle w:val="TableColumnHeading"/>
                    <w:jc w:val="left"/>
                  </w:pPr>
                  <w:r>
                    <w:t>How the Commission quantifies the impacts</w:t>
                  </w:r>
                </w:p>
              </w:tc>
              <w:tc>
                <w:tcPr>
                  <w:tcW w:w="22" w:type="pct"/>
                  <w:tcBorders>
                    <w:top w:val="single" w:sz="6" w:space="0" w:color="BFBFBF"/>
                    <w:bottom w:val="single" w:sz="6" w:space="0" w:color="BFBFBF"/>
                  </w:tcBorders>
                  <w:shd w:val="clear" w:color="auto" w:fill="auto"/>
                  <w:tcMar>
                    <w:top w:w="28" w:type="dxa"/>
                  </w:tcMar>
                </w:tcPr>
                <w:p w14:paraId="38FFDC7B" w14:textId="77777777" w:rsidR="00871B81" w:rsidRDefault="00871B81" w:rsidP="00A053C9">
                  <w:pPr>
                    <w:pStyle w:val="TableColumnHeading"/>
                    <w:ind w:right="28"/>
                  </w:pPr>
                </w:p>
              </w:tc>
            </w:tr>
            <w:tr w:rsidR="00871B81" w14:paraId="38FFDC81" w14:textId="77777777" w:rsidTr="00871B81">
              <w:tc>
                <w:tcPr>
                  <w:tcW w:w="1097" w:type="pct"/>
                  <w:tcBorders>
                    <w:top w:val="single" w:sz="6" w:space="0" w:color="BFBFBF"/>
                  </w:tcBorders>
                </w:tcPr>
                <w:p w14:paraId="38FFDC7D" w14:textId="77777777" w:rsidR="00871B81" w:rsidRDefault="00871B81" w:rsidP="00B23C00">
                  <w:pPr>
                    <w:pStyle w:val="TableBodyText"/>
                    <w:jc w:val="left"/>
                  </w:pPr>
                  <w:r>
                    <w:t>Free up innovators</w:t>
                  </w:r>
                </w:p>
              </w:tc>
              <w:tc>
                <w:tcPr>
                  <w:tcW w:w="1492" w:type="pct"/>
                  <w:tcBorders>
                    <w:top w:val="single" w:sz="6" w:space="0" w:color="BFBFBF"/>
                  </w:tcBorders>
                </w:tcPr>
                <w:p w14:paraId="38FFDC7E" w14:textId="4426132B" w:rsidR="00871B81" w:rsidRDefault="00871B81" w:rsidP="00757536">
                  <w:pPr>
                    <w:pStyle w:val="TableBodyText"/>
                    <w:jc w:val="left"/>
                  </w:pPr>
                  <w:r>
                    <w:t xml:space="preserve">Recommendation </w:t>
                  </w:r>
                  <w:r w:rsidR="00757536">
                    <w:t>2</w:t>
                  </w:r>
                  <w:r>
                    <w:t>.1: greater autonomy at regional level including funding flexibility</w:t>
                  </w:r>
                </w:p>
              </w:tc>
              <w:tc>
                <w:tcPr>
                  <w:tcW w:w="2389" w:type="pct"/>
                  <w:tcBorders>
                    <w:top w:val="single" w:sz="6" w:space="0" w:color="BFBFBF"/>
                  </w:tcBorders>
                </w:tcPr>
                <w:p w14:paraId="38FFDC7F" w14:textId="77777777" w:rsidR="00871B81" w:rsidRDefault="00871B81" w:rsidP="001E0FE8">
                  <w:pPr>
                    <w:pStyle w:val="TableBodyText"/>
                    <w:jc w:val="left"/>
                  </w:pPr>
                  <w:r>
                    <w:t>Impacts on the health and personal welfare of those in poor or fair health</w:t>
                  </w:r>
                  <w:r w:rsidR="002A6505">
                    <w:t>;</w:t>
                  </w:r>
                  <w:r>
                    <w:t xml:space="preserve"> impacts on hospital costs and impacts on the Australian workforce that can be associated with the first five per cent of Local Hospital Networks who implement an integrated approach</w:t>
                  </w:r>
                </w:p>
              </w:tc>
              <w:tc>
                <w:tcPr>
                  <w:tcW w:w="22" w:type="pct"/>
                  <w:tcBorders>
                    <w:top w:val="single" w:sz="6" w:space="0" w:color="BFBFBF"/>
                  </w:tcBorders>
                </w:tcPr>
                <w:p w14:paraId="38FFDC80" w14:textId="77777777" w:rsidR="00871B81" w:rsidRDefault="00871B81" w:rsidP="00A053C9">
                  <w:pPr>
                    <w:pStyle w:val="TableUnitsRow"/>
                    <w:ind w:right="28"/>
                  </w:pPr>
                </w:p>
              </w:tc>
            </w:tr>
            <w:tr w:rsidR="00871B81" w14:paraId="38FFDC89" w14:textId="77777777" w:rsidTr="00871B81">
              <w:tc>
                <w:tcPr>
                  <w:tcW w:w="1097" w:type="pct"/>
                </w:tcPr>
                <w:p w14:paraId="38FFDC82" w14:textId="77777777" w:rsidR="00871B81" w:rsidRDefault="00871B81" w:rsidP="00B23C00">
                  <w:pPr>
                    <w:pStyle w:val="TableBodyText"/>
                    <w:jc w:val="left"/>
                  </w:pPr>
                  <w:r>
                    <w:t>Disseminate best practice, including in integrated care</w:t>
                  </w:r>
                </w:p>
              </w:tc>
              <w:tc>
                <w:tcPr>
                  <w:tcW w:w="1492" w:type="pct"/>
                </w:tcPr>
                <w:p w14:paraId="38FFDC83" w14:textId="327C608F" w:rsidR="00871B81" w:rsidRDefault="00871B81" w:rsidP="00B23C00">
                  <w:pPr>
                    <w:pStyle w:val="TableBodyText"/>
                    <w:jc w:val="left"/>
                  </w:pPr>
                  <w:r>
                    <w:t xml:space="preserve">Recommendation </w:t>
                  </w:r>
                  <w:r w:rsidR="00757536">
                    <w:t>2</w:t>
                  </w:r>
                  <w:r>
                    <w:t>.1: disseminate lessons learnt by innovative regions</w:t>
                  </w:r>
                </w:p>
                <w:p w14:paraId="38FFDC84" w14:textId="5E414B55" w:rsidR="00871B81" w:rsidRDefault="00871B81" w:rsidP="00B23C00">
                  <w:pPr>
                    <w:pStyle w:val="TableBodyText"/>
                    <w:jc w:val="left"/>
                  </w:pPr>
                  <w:r>
                    <w:t xml:space="preserve">Recommendation </w:t>
                  </w:r>
                  <w:r w:rsidR="00757536">
                    <w:t>2</w:t>
                  </w:r>
                  <w:r>
                    <w:t>.2: reduce low</w:t>
                  </w:r>
                  <w:r>
                    <w:noBreakHyphen/>
                    <w:t>value health interventions</w:t>
                  </w:r>
                </w:p>
                <w:p w14:paraId="38FFDC85" w14:textId="27DCB879" w:rsidR="00871B81" w:rsidRDefault="00871B81" w:rsidP="00B23C00">
                  <w:pPr>
                    <w:pStyle w:val="TableBodyText"/>
                    <w:jc w:val="left"/>
                  </w:pPr>
                  <w:r>
                    <w:t xml:space="preserve">Recommendation </w:t>
                  </w:r>
                  <w:r w:rsidR="00757536">
                    <w:t>2</w:t>
                  </w:r>
                  <w:r>
                    <w:t>.3: publish results so all can see how the system is working</w:t>
                  </w:r>
                </w:p>
                <w:p w14:paraId="38FFDC86" w14:textId="59D45F0D" w:rsidR="00871B81" w:rsidRDefault="00871B81" w:rsidP="00757536">
                  <w:pPr>
                    <w:pStyle w:val="TableBodyText"/>
                    <w:jc w:val="left"/>
                  </w:pPr>
                  <w:r w:rsidRPr="001C7AAA">
                    <w:t xml:space="preserve">Recommendations </w:t>
                  </w:r>
                  <w:r w:rsidR="00757536">
                    <w:t>2</w:t>
                  </w:r>
                  <w:r>
                    <w:t>.4</w:t>
                  </w:r>
                  <w:r w:rsidRPr="001C7AAA">
                    <w:t xml:space="preserve">: </w:t>
                  </w:r>
                  <w:r>
                    <w:t>use information better, including ‘Champions Program’</w:t>
                  </w:r>
                </w:p>
              </w:tc>
              <w:tc>
                <w:tcPr>
                  <w:tcW w:w="2389" w:type="pct"/>
                </w:tcPr>
                <w:p w14:paraId="38FFDC87" w14:textId="77777777" w:rsidR="00871B81" w:rsidRDefault="00871B81" w:rsidP="00B23C00">
                  <w:pPr>
                    <w:pStyle w:val="TableBodyText"/>
                    <w:jc w:val="left"/>
                  </w:pPr>
                  <w:r>
                    <w:t>Impacts on the health and personal welfare of those in poor or fair health</w:t>
                  </w:r>
                  <w:r w:rsidR="002A6505">
                    <w:t>;</w:t>
                  </w:r>
                  <w:r>
                    <w:t xml:space="preserve"> impacts on hospital costs and impacts on the Australian workforce that can be associated with the remaining Local Hospital Networks</w:t>
                  </w:r>
                </w:p>
              </w:tc>
              <w:tc>
                <w:tcPr>
                  <w:tcW w:w="22" w:type="pct"/>
                </w:tcPr>
                <w:p w14:paraId="38FFDC88" w14:textId="77777777" w:rsidR="00871B81" w:rsidRDefault="00871B81" w:rsidP="00A053C9">
                  <w:pPr>
                    <w:pStyle w:val="TableBodyText"/>
                    <w:ind w:right="28"/>
                  </w:pPr>
                </w:p>
              </w:tc>
            </w:tr>
            <w:tr w:rsidR="00871B81" w14:paraId="38FFDC8F" w14:textId="77777777" w:rsidTr="00871B81">
              <w:tc>
                <w:tcPr>
                  <w:tcW w:w="1097" w:type="pct"/>
                </w:tcPr>
                <w:p w14:paraId="38FFDC8A" w14:textId="44783D5E" w:rsidR="00871B81" w:rsidRPr="00AC625A" w:rsidRDefault="002C1EF6" w:rsidP="002C1EF6">
                  <w:pPr>
                    <w:pStyle w:val="TableBodyText"/>
                    <w:jc w:val="left"/>
                  </w:pPr>
                  <w:r w:rsidRPr="00AC625A">
                    <w:t>Patient</w:t>
                  </w:r>
                  <w:r>
                    <w:noBreakHyphen/>
                  </w:r>
                  <w:r w:rsidR="00871B81" w:rsidRPr="00AC625A">
                    <w:t>centred approach to care</w:t>
                  </w:r>
                </w:p>
              </w:tc>
              <w:tc>
                <w:tcPr>
                  <w:tcW w:w="1492" w:type="pct"/>
                </w:tcPr>
                <w:p w14:paraId="38FFDC8B" w14:textId="128E2834" w:rsidR="00871B81" w:rsidRDefault="00871B81" w:rsidP="00B23C00">
                  <w:pPr>
                    <w:pStyle w:val="TableBodyText"/>
                    <w:jc w:val="left"/>
                  </w:pPr>
                  <w:r>
                    <w:t xml:space="preserve">Recommendation </w:t>
                  </w:r>
                  <w:r w:rsidR="00757536">
                    <w:t>2</w:t>
                  </w:r>
                  <w:r>
                    <w:t>.3: make the patient the centre of care</w:t>
                  </w:r>
                </w:p>
                <w:p w14:paraId="38FFDC8C" w14:textId="77777777" w:rsidR="00871B81" w:rsidRPr="00AC625A" w:rsidRDefault="00871B81" w:rsidP="00B23C00">
                  <w:pPr>
                    <w:pStyle w:val="TableBodyText"/>
                    <w:jc w:val="left"/>
                  </w:pPr>
                </w:p>
              </w:tc>
              <w:tc>
                <w:tcPr>
                  <w:tcW w:w="2389" w:type="pct"/>
                </w:tcPr>
                <w:p w14:paraId="38FFDC8D" w14:textId="77777777" w:rsidR="00871B81" w:rsidRPr="00AC625A" w:rsidRDefault="00871B81" w:rsidP="00CF04C9">
                  <w:pPr>
                    <w:pStyle w:val="TableBodyText"/>
                    <w:jc w:val="left"/>
                  </w:pPr>
                  <w:r w:rsidRPr="00AC625A">
                    <w:t xml:space="preserve">Impacts on the time patients spend waiting in the waiting rooms of </w:t>
                  </w:r>
                  <w:r w:rsidR="00CF04C9">
                    <w:t>GPs</w:t>
                  </w:r>
                  <w:r w:rsidRPr="00AC625A">
                    <w:t xml:space="preserve"> and specialist clinics</w:t>
                  </w:r>
                </w:p>
              </w:tc>
              <w:tc>
                <w:tcPr>
                  <w:tcW w:w="22" w:type="pct"/>
                </w:tcPr>
                <w:p w14:paraId="38FFDC8E" w14:textId="77777777" w:rsidR="00871B81" w:rsidRDefault="00871B81" w:rsidP="00A053C9">
                  <w:pPr>
                    <w:pStyle w:val="TableBodyText"/>
                    <w:ind w:right="28"/>
                  </w:pPr>
                </w:p>
              </w:tc>
            </w:tr>
            <w:tr w:rsidR="00871B81" w14:paraId="38FFDC95" w14:textId="77777777" w:rsidTr="00871B81">
              <w:tc>
                <w:tcPr>
                  <w:tcW w:w="1097" w:type="pct"/>
                </w:tcPr>
                <w:p w14:paraId="38FFDC90" w14:textId="77777777" w:rsidR="00871B81" w:rsidRDefault="00871B81" w:rsidP="00B23C00">
                  <w:pPr>
                    <w:pStyle w:val="TableBodyText"/>
                    <w:jc w:val="left"/>
                  </w:pPr>
                  <w:r>
                    <w:t>Empowering PHNs and LHNs to pursue efficiency in broader health budget</w:t>
                  </w:r>
                </w:p>
              </w:tc>
              <w:tc>
                <w:tcPr>
                  <w:tcW w:w="1492" w:type="pct"/>
                </w:tcPr>
                <w:p w14:paraId="38FFDC91" w14:textId="5A4AE1B8" w:rsidR="00871B81" w:rsidRDefault="00871B81" w:rsidP="00B23C00">
                  <w:pPr>
                    <w:pStyle w:val="TableBodyText"/>
                    <w:jc w:val="left"/>
                  </w:pPr>
                  <w:r>
                    <w:t xml:space="preserve">Recommendation </w:t>
                  </w:r>
                  <w:r w:rsidR="00757536">
                    <w:t>2</w:t>
                  </w:r>
                  <w:r>
                    <w:t>.1: formal collaboration at regional level and resourcing PHNs</w:t>
                  </w:r>
                </w:p>
                <w:p w14:paraId="38FFDC92" w14:textId="77777777" w:rsidR="00871B81" w:rsidRDefault="00871B81" w:rsidP="00B23C00">
                  <w:pPr>
                    <w:pStyle w:val="TableBodyText"/>
                    <w:jc w:val="left"/>
                  </w:pPr>
                </w:p>
              </w:tc>
              <w:tc>
                <w:tcPr>
                  <w:tcW w:w="2389" w:type="pct"/>
                </w:tcPr>
                <w:p w14:paraId="38FFDC93" w14:textId="77777777" w:rsidR="00871B81" w:rsidRDefault="00871B81" w:rsidP="00B23C00">
                  <w:pPr>
                    <w:pStyle w:val="TableBodyText"/>
                    <w:jc w:val="left"/>
                  </w:pPr>
                  <w:r>
                    <w:t>Impacts on health costs outside of the hospital sector from reducing low value care</w:t>
                  </w:r>
                </w:p>
              </w:tc>
              <w:tc>
                <w:tcPr>
                  <w:tcW w:w="22" w:type="pct"/>
                </w:tcPr>
                <w:p w14:paraId="38FFDC94" w14:textId="77777777" w:rsidR="00871B81" w:rsidRDefault="00871B81" w:rsidP="00A053C9">
                  <w:pPr>
                    <w:pStyle w:val="TableBodyText"/>
                    <w:ind w:right="28"/>
                  </w:pPr>
                </w:p>
              </w:tc>
            </w:tr>
            <w:tr w:rsidR="00871B81" w14:paraId="38FFDC9A" w14:textId="77777777" w:rsidTr="00871B81">
              <w:tc>
                <w:tcPr>
                  <w:tcW w:w="1097" w:type="pct"/>
                </w:tcPr>
                <w:p w14:paraId="38FFDC96" w14:textId="77777777" w:rsidR="00871B81" w:rsidRDefault="00871B81" w:rsidP="00B23C00">
                  <w:pPr>
                    <w:pStyle w:val="TableBodyText"/>
                    <w:jc w:val="left"/>
                  </w:pPr>
                  <w:r>
                    <w:t>Remove the tax rebate on the private insurance of health ancillaries</w:t>
                  </w:r>
                </w:p>
              </w:tc>
              <w:tc>
                <w:tcPr>
                  <w:tcW w:w="1492" w:type="pct"/>
                </w:tcPr>
                <w:p w14:paraId="38FFDC97" w14:textId="22928E2C" w:rsidR="00871B81" w:rsidRDefault="00871B81" w:rsidP="00B23C00">
                  <w:pPr>
                    <w:pStyle w:val="TableBodyText"/>
                    <w:jc w:val="left"/>
                  </w:pPr>
                  <w:r>
                    <w:t xml:space="preserve">Part of recommendation </w:t>
                  </w:r>
                  <w:r w:rsidR="00757536">
                    <w:t>2</w:t>
                  </w:r>
                  <w:r>
                    <w:t>.2</w:t>
                  </w:r>
                </w:p>
              </w:tc>
              <w:tc>
                <w:tcPr>
                  <w:tcW w:w="2389" w:type="pct"/>
                </w:tcPr>
                <w:p w14:paraId="38FFDC98" w14:textId="77777777" w:rsidR="00871B81" w:rsidRDefault="00871B81" w:rsidP="00B23C00">
                  <w:pPr>
                    <w:pStyle w:val="TableBodyText"/>
                    <w:jc w:val="left"/>
                  </w:pPr>
                  <w:r>
                    <w:t>Budget impact of removing tax rebate</w:t>
                  </w:r>
                </w:p>
              </w:tc>
              <w:tc>
                <w:tcPr>
                  <w:tcW w:w="22" w:type="pct"/>
                </w:tcPr>
                <w:p w14:paraId="38FFDC99" w14:textId="77777777" w:rsidR="00871B81" w:rsidRDefault="00871B81" w:rsidP="00A053C9">
                  <w:pPr>
                    <w:pStyle w:val="TableBodyText"/>
                    <w:ind w:right="28"/>
                  </w:pPr>
                </w:p>
              </w:tc>
            </w:tr>
            <w:tr w:rsidR="00871B81" w14:paraId="38FFDC9F" w14:textId="77777777" w:rsidTr="00871B81">
              <w:tc>
                <w:tcPr>
                  <w:tcW w:w="1097" w:type="pct"/>
                  <w:tcBorders>
                    <w:bottom w:val="single" w:sz="6" w:space="0" w:color="BFBFBF"/>
                  </w:tcBorders>
                  <w:shd w:val="clear" w:color="auto" w:fill="auto"/>
                </w:tcPr>
                <w:p w14:paraId="38FFDC9B" w14:textId="77777777" w:rsidR="00871B81" w:rsidRDefault="00871B81" w:rsidP="00B23C00">
                  <w:pPr>
                    <w:pStyle w:val="TableBodyText"/>
                    <w:jc w:val="left"/>
                  </w:pPr>
                  <w:r>
                    <w:t>Other recommendations</w:t>
                  </w:r>
                </w:p>
              </w:tc>
              <w:tc>
                <w:tcPr>
                  <w:tcW w:w="1492" w:type="pct"/>
                  <w:tcBorders>
                    <w:bottom w:val="single" w:sz="6" w:space="0" w:color="BFBFBF"/>
                  </w:tcBorders>
                </w:tcPr>
                <w:p w14:paraId="38FFDC9C" w14:textId="035632D9" w:rsidR="00871B81" w:rsidRDefault="00871B81" w:rsidP="00757536">
                  <w:pPr>
                    <w:pStyle w:val="TableBodyText"/>
                    <w:jc w:val="left"/>
                  </w:pPr>
                  <w:r>
                    <w:t>Recommendation </w:t>
                  </w:r>
                  <w:r w:rsidR="00757536">
                    <w:t>2</w:t>
                  </w:r>
                  <w:r>
                    <w:t>.5: better use of technology in pharmacy Recommendation </w:t>
                  </w:r>
                  <w:r w:rsidR="00757536">
                    <w:t>2</w:t>
                  </w:r>
                  <w:r>
                    <w:t>.6: amend alcohol taxation arrangements</w:t>
                  </w:r>
                </w:p>
              </w:tc>
              <w:tc>
                <w:tcPr>
                  <w:tcW w:w="2389" w:type="pct"/>
                  <w:tcBorders>
                    <w:bottom w:val="single" w:sz="6" w:space="0" w:color="BFBFBF"/>
                  </w:tcBorders>
                  <w:shd w:val="clear" w:color="auto" w:fill="auto"/>
                </w:tcPr>
                <w:p w14:paraId="38FFDC9D" w14:textId="77777777" w:rsidR="00871B81" w:rsidRDefault="00560EDC" w:rsidP="00B23C00">
                  <w:pPr>
                    <w:pStyle w:val="TableBodyText"/>
                    <w:jc w:val="left"/>
                  </w:pPr>
                  <w:r>
                    <w:t>Impacts not quantified</w:t>
                  </w:r>
                </w:p>
              </w:tc>
              <w:tc>
                <w:tcPr>
                  <w:tcW w:w="22" w:type="pct"/>
                  <w:tcBorders>
                    <w:bottom w:val="single" w:sz="6" w:space="0" w:color="BFBFBF"/>
                  </w:tcBorders>
                  <w:shd w:val="clear" w:color="auto" w:fill="auto"/>
                </w:tcPr>
                <w:p w14:paraId="38FFDC9E" w14:textId="77777777" w:rsidR="00871B81" w:rsidRDefault="00871B81" w:rsidP="00A053C9">
                  <w:pPr>
                    <w:pStyle w:val="TableBodyText"/>
                    <w:ind w:right="28"/>
                  </w:pPr>
                </w:p>
              </w:tc>
            </w:tr>
          </w:tbl>
          <w:p w14:paraId="38FFDCA0" w14:textId="77777777" w:rsidR="005A338F" w:rsidRDefault="005A338F" w:rsidP="00A053C9">
            <w:pPr>
              <w:pStyle w:val="Box"/>
            </w:pPr>
          </w:p>
        </w:tc>
      </w:tr>
      <w:tr w:rsidR="005A338F" w14:paraId="38FFDCA3" w14:textId="77777777" w:rsidTr="00A053C9">
        <w:tc>
          <w:tcPr>
            <w:tcW w:w="5000" w:type="pct"/>
            <w:tcBorders>
              <w:top w:val="nil"/>
              <w:left w:val="nil"/>
              <w:bottom w:val="single" w:sz="6" w:space="0" w:color="78A22F"/>
              <w:right w:val="nil"/>
            </w:tcBorders>
            <w:shd w:val="clear" w:color="auto" w:fill="auto"/>
          </w:tcPr>
          <w:p w14:paraId="38FFDCA2" w14:textId="77777777" w:rsidR="005A338F" w:rsidRDefault="005A338F" w:rsidP="00A053C9">
            <w:pPr>
              <w:pStyle w:val="Box"/>
              <w:spacing w:before="0" w:line="120" w:lineRule="exact"/>
            </w:pPr>
          </w:p>
        </w:tc>
      </w:tr>
      <w:tr w:rsidR="005A338F" w:rsidRPr="000863A5" w14:paraId="38FFDCA5" w14:textId="77777777" w:rsidTr="00A053C9">
        <w:tc>
          <w:tcPr>
            <w:tcW w:w="5000" w:type="pct"/>
            <w:tcBorders>
              <w:top w:val="single" w:sz="6" w:space="0" w:color="78A22F"/>
              <w:left w:val="nil"/>
              <w:bottom w:val="nil"/>
              <w:right w:val="nil"/>
            </w:tcBorders>
          </w:tcPr>
          <w:p w14:paraId="38FFDCA4" w14:textId="77777777" w:rsidR="005A338F" w:rsidRPr="00626D32" w:rsidRDefault="005A338F" w:rsidP="00A053C9">
            <w:pPr>
              <w:pStyle w:val="BoxSpaceBelow"/>
            </w:pPr>
          </w:p>
        </w:tc>
      </w:tr>
    </w:tbl>
    <w:p w14:paraId="38FFDCA6" w14:textId="157D1618" w:rsidR="00CC6A2C" w:rsidRDefault="00E27546" w:rsidP="00120072">
      <w:pPr>
        <w:pStyle w:val="BodyText"/>
      </w:pPr>
      <w:r>
        <w:t>T</w:t>
      </w:r>
      <w:r w:rsidR="00CC6A2C">
        <w:t xml:space="preserve">he </w:t>
      </w:r>
      <w:r w:rsidR="00512694">
        <w:t xml:space="preserve">net present value of the future stream of economic impacts over </w:t>
      </w:r>
      <w:r w:rsidR="00AA130C">
        <w:t>twenty</w:t>
      </w:r>
      <w:r w:rsidR="00512694">
        <w:t xml:space="preserve"> years is estimated</w:t>
      </w:r>
      <w:r w:rsidR="00CC6A2C">
        <w:t xml:space="preserve"> </w:t>
      </w:r>
      <w:r w:rsidR="00512694">
        <w:t xml:space="preserve">at </w:t>
      </w:r>
      <w:r w:rsidR="00940CB7">
        <w:t>about</w:t>
      </w:r>
      <w:r w:rsidR="00AC625A">
        <w:t xml:space="preserve"> $1</w:t>
      </w:r>
      <w:r w:rsidR="00757536">
        <w:t>4</w:t>
      </w:r>
      <w:r w:rsidR="00AC625A">
        <w:t>0</w:t>
      </w:r>
      <w:r w:rsidR="004E1596">
        <w:t xml:space="preserve"> billion (in 2016 </w:t>
      </w:r>
      <w:r w:rsidR="00512694">
        <w:t>prices</w:t>
      </w:r>
      <w:r w:rsidR="004E1596">
        <w:t xml:space="preserve">). </w:t>
      </w:r>
      <w:r w:rsidR="00FE1E35">
        <w:t xml:space="preserve">This presupposes that </w:t>
      </w:r>
      <w:r w:rsidR="00803B56">
        <w:t xml:space="preserve">2020 is the first year </w:t>
      </w:r>
      <w:r w:rsidR="00512C42">
        <w:t>that</w:t>
      </w:r>
      <w:r w:rsidR="00803B56">
        <w:t xml:space="preserve"> LHNs and PHNs implement integrated care and that </w:t>
      </w:r>
      <w:r w:rsidR="00AA130C">
        <w:t xml:space="preserve">it takes </w:t>
      </w:r>
      <w:r w:rsidR="00803B56">
        <w:t xml:space="preserve">a further </w:t>
      </w:r>
      <w:r w:rsidR="00AA130C">
        <w:t xml:space="preserve">twenty years for all </w:t>
      </w:r>
      <w:r w:rsidR="00FE1E35">
        <w:t xml:space="preserve">LHNs </w:t>
      </w:r>
      <w:r w:rsidR="00AA130C">
        <w:t xml:space="preserve">and PHNs </w:t>
      </w:r>
      <w:r w:rsidR="00FE1E35">
        <w:t>to adopt integrated care</w:t>
      </w:r>
      <w:r w:rsidR="00AC625A">
        <w:t xml:space="preserve">. </w:t>
      </w:r>
      <w:r w:rsidR="00FE1E35">
        <w:t xml:space="preserve">Were Australian governments to achieve </w:t>
      </w:r>
      <w:r w:rsidR="00371B2F">
        <w:t>the</w:t>
      </w:r>
      <w:r w:rsidR="00FE1E35">
        <w:t xml:space="preserve"> uptake of integrated care by </w:t>
      </w:r>
      <w:r w:rsidR="00371B2F">
        <w:t xml:space="preserve">all </w:t>
      </w:r>
      <w:r w:rsidR="00FE1E35">
        <w:t>LHNs</w:t>
      </w:r>
      <w:r w:rsidR="00371B2F">
        <w:t xml:space="preserve"> </w:t>
      </w:r>
      <w:r w:rsidR="00AA130C">
        <w:t xml:space="preserve">and PHNs </w:t>
      </w:r>
      <w:r w:rsidR="00371B2F">
        <w:t xml:space="preserve">within ten years </w:t>
      </w:r>
      <w:r w:rsidR="00560EDC">
        <w:t>(</w:t>
      </w:r>
      <w:r w:rsidR="00371B2F">
        <w:t>instead of within twenty years</w:t>
      </w:r>
      <w:r w:rsidR="00560EDC">
        <w:t>)</w:t>
      </w:r>
      <w:r w:rsidR="00397581">
        <w:t xml:space="preserve"> and if the effectiveness of LHNs and PHNs was to range from 30 per cent to 45 per cent (instead of from 17 per cent to 45 per cent), then the </w:t>
      </w:r>
      <w:r w:rsidR="002A6505">
        <w:t xml:space="preserve">stream of </w:t>
      </w:r>
      <w:r w:rsidR="00397581">
        <w:t>net economic benefit</w:t>
      </w:r>
      <w:r w:rsidR="002A6505">
        <w:t>s</w:t>
      </w:r>
      <w:r w:rsidR="00397581">
        <w:t xml:space="preserve"> could </w:t>
      </w:r>
      <w:r w:rsidR="00803B56">
        <w:t xml:space="preserve">be </w:t>
      </w:r>
      <w:r w:rsidR="00757536">
        <w:t xml:space="preserve">over </w:t>
      </w:r>
      <w:r w:rsidR="00397581">
        <w:t xml:space="preserve">$200 billion. </w:t>
      </w:r>
    </w:p>
    <w:p w14:paraId="38FFDCA7" w14:textId="77777777" w:rsidR="00AA130C" w:rsidRDefault="00803B56" w:rsidP="00120072">
      <w:pPr>
        <w:pStyle w:val="BodyText"/>
      </w:pPr>
      <w:r>
        <w:t>Over ninety per cent</w:t>
      </w:r>
      <w:r w:rsidR="00CC6A2C">
        <w:t xml:space="preserve"> of these measured gains </w:t>
      </w:r>
      <w:r w:rsidR="00560EDC">
        <w:t>are conditional</w:t>
      </w:r>
      <w:r w:rsidR="00CC6A2C">
        <w:t xml:space="preserve"> on </w:t>
      </w:r>
      <w:r w:rsidR="00560EDC">
        <w:t>first freeing up innovative and effective</w:t>
      </w:r>
      <w:r w:rsidR="004C1B2F">
        <w:t xml:space="preserve"> </w:t>
      </w:r>
      <w:r w:rsidR="00614C78">
        <w:t>LHNs</w:t>
      </w:r>
      <w:r w:rsidR="002475AB">
        <w:t xml:space="preserve"> and </w:t>
      </w:r>
      <w:r w:rsidR="00614C78">
        <w:t>PHNs</w:t>
      </w:r>
      <w:r w:rsidR="002475AB">
        <w:t xml:space="preserve"> to </w:t>
      </w:r>
      <w:r w:rsidR="004C1B2F">
        <w:t>implement</w:t>
      </w:r>
      <w:r w:rsidR="00CC6A2C">
        <w:t xml:space="preserve"> an integrated system of care</w:t>
      </w:r>
      <w:r w:rsidR="004C1B2F">
        <w:t> (table 2)</w:t>
      </w:r>
      <w:r w:rsidR="00CC6A2C">
        <w:t>.</w:t>
      </w:r>
    </w:p>
    <w:p w14:paraId="38FFDCA8" w14:textId="77777777" w:rsidR="00AA130C" w:rsidRDefault="00AA130C" w:rsidP="00581EA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AA130C" w14:paraId="38FFDCAB" w14:textId="77777777" w:rsidTr="00581EA1">
        <w:tc>
          <w:tcPr>
            <w:tcW w:w="5000" w:type="pct"/>
            <w:tcBorders>
              <w:top w:val="single" w:sz="6" w:space="0" w:color="78A22F"/>
              <w:left w:val="nil"/>
              <w:bottom w:val="nil"/>
              <w:right w:val="nil"/>
            </w:tcBorders>
            <w:shd w:val="clear" w:color="auto" w:fill="auto"/>
          </w:tcPr>
          <w:p w14:paraId="38FFDCA9" w14:textId="77777777" w:rsidR="00AA130C" w:rsidRDefault="00AA130C" w:rsidP="00581EA1">
            <w:pPr>
              <w:pStyle w:val="TableTitle"/>
            </w:pPr>
            <w:r>
              <w:rPr>
                <w:b w:val="0"/>
              </w:rPr>
              <w:t xml:space="preserve">Table </w:t>
            </w:r>
            <w:r w:rsidR="00D77F61">
              <w:rPr>
                <w:b w:val="0"/>
              </w:rPr>
              <w:t>2</w:t>
            </w:r>
            <w:r>
              <w:tab/>
              <w:t>Estimated stream of impacts of recommendations</w:t>
            </w:r>
          </w:p>
          <w:p w14:paraId="38FFDCAA" w14:textId="77777777" w:rsidR="00AA130C" w:rsidRPr="00784A05" w:rsidRDefault="004C1B2F" w:rsidP="004C1B2F">
            <w:pPr>
              <w:pStyle w:val="Subtitle"/>
            </w:pPr>
            <w:r>
              <w:t>2016 prices</w:t>
            </w:r>
          </w:p>
        </w:tc>
      </w:tr>
      <w:tr w:rsidR="00AA130C" w14:paraId="38FFDCC5" w14:textId="77777777" w:rsidTr="00581EA1">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263"/>
              <w:gridCol w:w="3526"/>
            </w:tblGrid>
            <w:tr w:rsidR="004C1B2F" w14:paraId="38FFDCAE" w14:textId="77777777" w:rsidTr="004C1B2F">
              <w:trPr>
                <w:tblHeader/>
              </w:trPr>
              <w:tc>
                <w:tcPr>
                  <w:tcW w:w="2994" w:type="pct"/>
                  <w:tcBorders>
                    <w:top w:val="single" w:sz="6" w:space="0" w:color="BFBFBF"/>
                    <w:bottom w:val="single" w:sz="6" w:space="0" w:color="BFBFBF"/>
                  </w:tcBorders>
                  <w:shd w:val="clear" w:color="auto" w:fill="auto"/>
                  <w:tcMar>
                    <w:top w:w="28" w:type="dxa"/>
                  </w:tcMar>
                </w:tcPr>
                <w:p w14:paraId="38FFDCAC" w14:textId="77777777" w:rsidR="004C1B2F" w:rsidRDefault="004C1B2F" w:rsidP="00581EA1">
                  <w:pPr>
                    <w:pStyle w:val="TableColumnHeading"/>
                    <w:jc w:val="left"/>
                  </w:pPr>
                </w:p>
              </w:tc>
              <w:tc>
                <w:tcPr>
                  <w:tcW w:w="2006" w:type="pct"/>
                  <w:tcBorders>
                    <w:top w:val="single" w:sz="6" w:space="0" w:color="BFBFBF"/>
                    <w:bottom w:val="single" w:sz="6" w:space="0" w:color="BFBFBF"/>
                  </w:tcBorders>
                </w:tcPr>
                <w:p w14:paraId="38FFDCAD" w14:textId="77777777" w:rsidR="004C1B2F" w:rsidRDefault="004C1B2F" w:rsidP="004C1B2F">
                  <w:pPr>
                    <w:pStyle w:val="TableColumnHeading"/>
                  </w:pPr>
                  <w:r>
                    <w:t>Net present value over twenty years</w:t>
                  </w:r>
                </w:p>
              </w:tc>
            </w:tr>
            <w:tr w:rsidR="004C1B2F" w14:paraId="38FFDCB1" w14:textId="77777777" w:rsidTr="004C1B2F">
              <w:tc>
                <w:tcPr>
                  <w:tcW w:w="2994" w:type="pct"/>
                </w:tcPr>
                <w:p w14:paraId="38FFDCAF" w14:textId="7AC55429" w:rsidR="004C1B2F" w:rsidRDefault="004C1B2F" w:rsidP="003B561E">
                  <w:pPr>
                    <w:pStyle w:val="TableUnitsRow"/>
                    <w:jc w:val="left"/>
                  </w:pPr>
                </w:p>
              </w:tc>
              <w:tc>
                <w:tcPr>
                  <w:tcW w:w="2006" w:type="pct"/>
                </w:tcPr>
                <w:p w14:paraId="38FFDCB0" w14:textId="77777777" w:rsidR="004C1B2F" w:rsidRDefault="004C1B2F" w:rsidP="004C1B2F">
                  <w:pPr>
                    <w:pStyle w:val="TableUnitsRow"/>
                  </w:pPr>
                  <w:r>
                    <w:t>$m</w:t>
                  </w:r>
                </w:p>
              </w:tc>
            </w:tr>
            <w:tr w:rsidR="004C1B2F" w14:paraId="38FFDCB4" w14:textId="77777777" w:rsidTr="004C1B2F">
              <w:tc>
                <w:tcPr>
                  <w:tcW w:w="2994" w:type="pct"/>
                </w:tcPr>
                <w:p w14:paraId="38FFDCB2" w14:textId="77777777" w:rsidR="004C1B2F" w:rsidRDefault="004C1B2F" w:rsidP="00581EA1">
                  <w:pPr>
                    <w:pStyle w:val="TableBodyText"/>
                    <w:jc w:val="left"/>
                  </w:pPr>
                  <w:r w:rsidRPr="00D77F61">
                    <w:t>Free up innovators</w:t>
                  </w:r>
                </w:p>
              </w:tc>
              <w:tc>
                <w:tcPr>
                  <w:tcW w:w="2006" w:type="pct"/>
                </w:tcPr>
                <w:p w14:paraId="38FFDCB3" w14:textId="1D11921B" w:rsidR="004C1B2F" w:rsidRDefault="004C1B2F" w:rsidP="00581EA1">
                  <w:pPr>
                    <w:pStyle w:val="TableBodyText"/>
                  </w:pPr>
                  <w:r>
                    <w:t>1</w:t>
                  </w:r>
                  <w:r w:rsidR="00757536">
                    <w:t>7</w:t>
                  </w:r>
                  <w:r>
                    <w:t> 000</w:t>
                  </w:r>
                </w:p>
              </w:tc>
            </w:tr>
            <w:tr w:rsidR="004C1B2F" w14:paraId="38FFDCB7" w14:textId="77777777" w:rsidTr="004C1B2F">
              <w:tc>
                <w:tcPr>
                  <w:tcW w:w="2994" w:type="pct"/>
                </w:tcPr>
                <w:p w14:paraId="38FFDCB5" w14:textId="77777777" w:rsidR="004C1B2F" w:rsidRDefault="004C1B2F" w:rsidP="00581EA1">
                  <w:pPr>
                    <w:pStyle w:val="TableBodyText"/>
                    <w:jc w:val="left"/>
                  </w:pPr>
                  <w:r>
                    <w:t>Disseminate best practice</w:t>
                  </w:r>
                </w:p>
              </w:tc>
              <w:tc>
                <w:tcPr>
                  <w:tcW w:w="2006" w:type="pct"/>
                </w:tcPr>
                <w:p w14:paraId="38FFDCB6" w14:textId="2D9EB6CC" w:rsidR="004C1B2F" w:rsidRDefault="00757536" w:rsidP="00E74C58">
                  <w:pPr>
                    <w:pStyle w:val="TableBodyText"/>
                  </w:pPr>
                  <w:r>
                    <w:t>91</w:t>
                  </w:r>
                  <w:r w:rsidR="004C1B2F">
                    <w:t> 000</w:t>
                  </w:r>
                </w:p>
              </w:tc>
            </w:tr>
            <w:tr w:rsidR="004C1B2F" w14:paraId="38FFDCBA" w14:textId="77777777" w:rsidTr="004C1B2F">
              <w:tc>
                <w:tcPr>
                  <w:tcW w:w="2994" w:type="pct"/>
                </w:tcPr>
                <w:p w14:paraId="38FFDCB8" w14:textId="77777777" w:rsidR="004C1B2F" w:rsidRDefault="004C1B2F" w:rsidP="00581EA1">
                  <w:pPr>
                    <w:pStyle w:val="TableBodyText"/>
                    <w:jc w:val="left"/>
                  </w:pPr>
                  <w:r>
                    <w:t>Patient</w:t>
                  </w:r>
                  <w:r>
                    <w:noBreakHyphen/>
                    <w:t>centred</w:t>
                  </w:r>
                </w:p>
              </w:tc>
              <w:tc>
                <w:tcPr>
                  <w:tcW w:w="2006" w:type="pct"/>
                </w:tcPr>
                <w:p w14:paraId="38FFDCB9" w14:textId="77777777" w:rsidR="004C1B2F" w:rsidRDefault="004C1B2F" w:rsidP="00581EA1">
                  <w:pPr>
                    <w:pStyle w:val="TableBodyText"/>
                  </w:pPr>
                  <w:r>
                    <w:t>2 000</w:t>
                  </w:r>
                </w:p>
              </w:tc>
            </w:tr>
            <w:tr w:rsidR="004C1B2F" w14:paraId="38FFDCBD" w14:textId="77777777" w:rsidTr="004C1B2F">
              <w:tc>
                <w:tcPr>
                  <w:tcW w:w="2994" w:type="pct"/>
                </w:tcPr>
                <w:p w14:paraId="38FFDCBB" w14:textId="77777777" w:rsidR="004C1B2F" w:rsidRDefault="004C1B2F" w:rsidP="00D77F61">
                  <w:pPr>
                    <w:pStyle w:val="TableBodyText"/>
                    <w:jc w:val="left"/>
                  </w:pPr>
                  <w:r>
                    <w:t>Improving efficiency across broader health system</w:t>
                  </w:r>
                </w:p>
              </w:tc>
              <w:tc>
                <w:tcPr>
                  <w:tcW w:w="2006" w:type="pct"/>
                </w:tcPr>
                <w:p w14:paraId="38FFDCBC" w14:textId="30C584BC" w:rsidR="004C1B2F" w:rsidRDefault="00757536" w:rsidP="00581EA1">
                  <w:pPr>
                    <w:pStyle w:val="TableBodyText"/>
                  </w:pPr>
                  <w:r>
                    <w:t>23</w:t>
                  </w:r>
                  <w:r w:rsidR="004C1B2F">
                    <w:t> 000</w:t>
                  </w:r>
                </w:p>
              </w:tc>
            </w:tr>
            <w:tr w:rsidR="004C1B2F" w14:paraId="38FFDCC0" w14:textId="77777777" w:rsidTr="004C1B2F">
              <w:tc>
                <w:tcPr>
                  <w:tcW w:w="2994" w:type="pct"/>
                </w:tcPr>
                <w:p w14:paraId="38FFDCBE" w14:textId="77777777" w:rsidR="004C1B2F" w:rsidRDefault="004C1B2F" w:rsidP="00D77F61">
                  <w:pPr>
                    <w:pStyle w:val="TableBodyText"/>
                    <w:jc w:val="left"/>
                  </w:pPr>
                  <w:r>
                    <w:t>Remove tax rebate on Private Health Insurance</w:t>
                  </w:r>
                  <w:r w:rsidRPr="00D77F61">
                    <w:t xml:space="preserve"> ancillaries</w:t>
                  </w:r>
                </w:p>
              </w:tc>
              <w:tc>
                <w:tcPr>
                  <w:tcW w:w="2006" w:type="pct"/>
                </w:tcPr>
                <w:p w14:paraId="38FFDCBF" w14:textId="5505A203" w:rsidR="004C1B2F" w:rsidRDefault="000128D6" w:rsidP="00757536">
                  <w:pPr>
                    <w:pStyle w:val="TableBodyText"/>
                  </w:pPr>
                  <w:r>
                    <w:t>1</w:t>
                  </w:r>
                  <w:r w:rsidR="00757536">
                    <w:t>0</w:t>
                  </w:r>
                  <w:r w:rsidR="004C1B2F">
                    <w:t> 000</w:t>
                  </w:r>
                </w:p>
              </w:tc>
            </w:tr>
            <w:tr w:rsidR="004C1B2F" w14:paraId="38FFDCC3" w14:textId="77777777" w:rsidTr="004C1B2F">
              <w:tc>
                <w:tcPr>
                  <w:tcW w:w="2994" w:type="pct"/>
                  <w:tcBorders>
                    <w:bottom w:val="single" w:sz="6" w:space="0" w:color="BFBFBF"/>
                  </w:tcBorders>
                  <w:shd w:val="clear" w:color="auto" w:fill="auto"/>
                </w:tcPr>
                <w:p w14:paraId="38FFDCC1" w14:textId="77777777" w:rsidR="004C1B2F" w:rsidRDefault="004C1B2F" w:rsidP="00D77F61">
                  <w:pPr>
                    <w:pStyle w:val="TableBodyText"/>
                    <w:jc w:val="left"/>
                  </w:pPr>
                  <w:r>
                    <w:t>Total</w:t>
                  </w:r>
                </w:p>
              </w:tc>
              <w:tc>
                <w:tcPr>
                  <w:tcW w:w="2006" w:type="pct"/>
                  <w:tcBorders>
                    <w:bottom w:val="single" w:sz="6" w:space="0" w:color="BFBFBF"/>
                  </w:tcBorders>
                </w:tcPr>
                <w:p w14:paraId="38FFDCC2" w14:textId="4BB0353B" w:rsidR="004C1B2F" w:rsidRDefault="004C1B2F" w:rsidP="00D77F61">
                  <w:pPr>
                    <w:pStyle w:val="TableBodyText"/>
                  </w:pPr>
                  <w:r>
                    <w:t>1</w:t>
                  </w:r>
                  <w:r w:rsidR="00757536">
                    <w:t>44</w:t>
                  </w:r>
                  <w:r>
                    <w:t> 000</w:t>
                  </w:r>
                </w:p>
              </w:tc>
            </w:tr>
          </w:tbl>
          <w:p w14:paraId="38FFDCC4" w14:textId="77777777" w:rsidR="00AA130C" w:rsidRDefault="00AA130C" w:rsidP="00581EA1">
            <w:pPr>
              <w:pStyle w:val="Box"/>
            </w:pPr>
          </w:p>
        </w:tc>
      </w:tr>
      <w:tr w:rsidR="00AA130C" w14:paraId="38FFDCC7" w14:textId="77777777" w:rsidTr="00581EA1">
        <w:tc>
          <w:tcPr>
            <w:tcW w:w="5000" w:type="pct"/>
            <w:tcBorders>
              <w:top w:val="nil"/>
              <w:left w:val="nil"/>
              <w:bottom w:val="nil"/>
              <w:right w:val="nil"/>
            </w:tcBorders>
            <w:shd w:val="clear" w:color="auto" w:fill="auto"/>
          </w:tcPr>
          <w:p w14:paraId="38FFDCC6" w14:textId="77777777" w:rsidR="00AA130C" w:rsidRDefault="00AA130C" w:rsidP="00D77F61">
            <w:pPr>
              <w:pStyle w:val="Source"/>
            </w:pPr>
            <w:r>
              <w:rPr>
                <w:i/>
              </w:rPr>
              <w:t>Source</w:t>
            </w:r>
            <w:r w:rsidRPr="00167F06">
              <w:t xml:space="preserve">: </w:t>
            </w:r>
            <w:r w:rsidR="00A321BD">
              <w:t xml:space="preserve">Productivity </w:t>
            </w:r>
            <w:r w:rsidR="00D77F61">
              <w:t>Commission estimates, explained below</w:t>
            </w:r>
            <w:r>
              <w:t>.</w:t>
            </w:r>
          </w:p>
        </w:tc>
      </w:tr>
      <w:tr w:rsidR="00AA130C" w14:paraId="38FFDCC9" w14:textId="77777777" w:rsidTr="00581EA1">
        <w:tc>
          <w:tcPr>
            <w:tcW w:w="5000" w:type="pct"/>
            <w:tcBorders>
              <w:top w:val="nil"/>
              <w:left w:val="nil"/>
              <w:bottom w:val="single" w:sz="6" w:space="0" w:color="78A22F"/>
              <w:right w:val="nil"/>
            </w:tcBorders>
            <w:shd w:val="clear" w:color="auto" w:fill="auto"/>
          </w:tcPr>
          <w:p w14:paraId="38FFDCC8" w14:textId="77777777" w:rsidR="00AA130C" w:rsidRDefault="00AA130C" w:rsidP="00581EA1">
            <w:pPr>
              <w:pStyle w:val="Box"/>
              <w:spacing w:before="0" w:line="120" w:lineRule="exact"/>
            </w:pPr>
          </w:p>
        </w:tc>
      </w:tr>
      <w:tr w:rsidR="00AA130C" w:rsidRPr="000863A5" w14:paraId="38FFDCCB" w14:textId="77777777" w:rsidTr="00581EA1">
        <w:tc>
          <w:tcPr>
            <w:tcW w:w="5000" w:type="pct"/>
            <w:tcBorders>
              <w:top w:val="single" w:sz="6" w:space="0" w:color="78A22F"/>
              <w:left w:val="nil"/>
              <w:bottom w:val="nil"/>
              <w:right w:val="nil"/>
            </w:tcBorders>
          </w:tcPr>
          <w:p w14:paraId="38FFDCCA" w14:textId="77777777" w:rsidR="00AA130C" w:rsidRPr="00626D32" w:rsidRDefault="00AA130C" w:rsidP="00581EA1">
            <w:pPr>
              <w:pStyle w:val="BoxSpaceBelow"/>
            </w:pPr>
          </w:p>
        </w:tc>
      </w:tr>
    </w:tbl>
    <w:p w14:paraId="38FFDCCC" w14:textId="77777777" w:rsidR="00EA6BA6" w:rsidRDefault="003B561E" w:rsidP="00A40D8D">
      <w:pPr>
        <w:pStyle w:val="BodyText"/>
      </w:pPr>
      <w:r>
        <w:t>The nature of impacts estimated include the direct health impacts, personal welfare gains, broader workforce impacts</w:t>
      </w:r>
      <w:r w:rsidR="00A23E2F">
        <w:t xml:space="preserve"> and</w:t>
      </w:r>
      <w:r>
        <w:t xml:space="preserve"> </w:t>
      </w:r>
      <w:r w:rsidR="00A23E2F">
        <w:t>the health expenditure dividend</w:t>
      </w:r>
      <w:r>
        <w:t> (</w:t>
      </w:r>
      <w:r w:rsidR="00E910EF">
        <w:t>table </w:t>
      </w:r>
      <w:r>
        <w:t>3)</w:t>
      </w:r>
      <w:r w:rsidR="00EA6BA6">
        <w:t>.</w:t>
      </w:r>
    </w:p>
    <w:p w14:paraId="38FFDCCD" w14:textId="77777777" w:rsidR="00EA6BA6" w:rsidRDefault="00EA6BA6" w:rsidP="00EA6BA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EA6BA6" w14:paraId="38FFDCD0" w14:textId="77777777" w:rsidTr="00646801">
        <w:tc>
          <w:tcPr>
            <w:tcW w:w="5000" w:type="pct"/>
            <w:tcBorders>
              <w:top w:val="single" w:sz="6" w:space="0" w:color="78A22F"/>
              <w:left w:val="nil"/>
              <w:bottom w:val="nil"/>
              <w:right w:val="nil"/>
            </w:tcBorders>
            <w:shd w:val="clear" w:color="auto" w:fill="auto"/>
          </w:tcPr>
          <w:p w14:paraId="38FFDCCE" w14:textId="77777777" w:rsidR="00EA6BA6" w:rsidRDefault="00EA6BA6" w:rsidP="00646801">
            <w:pPr>
              <w:pStyle w:val="TableTitle"/>
            </w:pPr>
            <w:r>
              <w:rPr>
                <w:b w:val="0"/>
              </w:rPr>
              <w:t xml:space="preserve">Table </w:t>
            </w:r>
            <w:r w:rsidR="003B561E">
              <w:rPr>
                <w:b w:val="0"/>
              </w:rPr>
              <w:t>3</w:t>
            </w:r>
            <w:r>
              <w:tab/>
            </w:r>
            <w:r w:rsidR="00AA130C">
              <w:t>Estimated</w:t>
            </w:r>
            <w:r>
              <w:t xml:space="preserve"> </w:t>
            </w:r>
            <w:r w:rsidR="00803B56">
              <w:t xml:space="preserve">net </w:t>
            </w:r>
            <w:r w:rsidR="00AA130C">
              <w:t xml:space="preserve">annual </w:t>
            </w:r>
            <w:r>
              <w:t>impacts of recommendations</w:t>
            </w:r>
          </w:p>
          <w:p w14:paraId="38FFDCCF" w14:textId="77777777" w:rsidR="00EA6BA6" w:rsidRPr="00784A05" w:rsidRDefault="00EA6BA6" w:rsidP="00646801">
            <w:pPr>
              <w:pStyle w:val="Subtitle"/>
            </w:pPr>
            <w:r>
              <w:t>2016 prices</w:t>
            </w:r>
          </w:p>
        </w:tc>
      </w:tr>
      <w:tr w:rsidR="00EA6BA6" w14:paraId="38FFDCFC" w14:textId="77777777" w:rsidTr="00646801">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340"/>
              <w:gridCol w:w="668"/>
              <w:gridCol w:w="717"/>
              <w:gridCol w:w="717"/>
              <w:gridCol w:w="610"/>
              <w:gridCol w:w="737"/>
            </w:tblGrid>
            <w:tr w:rsidR="00EA6BA6" w14:paraId="38FFDCD7" w14:textId="77777777" w:rsidTr="00646801">
              <w:trPr>
                <w:tblHeader/>
              </w:trPr>
              <w:tc>
                <w:tcPr>
                  <w:tcW w:w="3038" w:type="pct"/>
                  <w:tcBorders>
                    <w:top w:val="single" w:sz="6" w:space="0" w:color="BFBFBF"/>
                    <w:bottom w:val="single" w:sz="6" w:space="0" w:color="BFBFBF"/>
                  </w:tcBorders>
                  <w:shd w:val="clear" w:color="auto" w:fill="auto"/>
                  <w:tcMar>
                    <w:top w:w="28" w:type="dxa"/>
                  </w:tcMar>
                </w:tcPr>
                <w:p w14:paraId="38FFDCD1" w14:textId="77777777" w:rsidR="00EA6BA6" w:rsidRDefault="00EA6BA6" w:rsidP="00646801">
                  <w:pPr>
                    <w:pStyle w:val="TableColumnHeading"/>
                    <w:jc w:val="left"/>
                  </w:pPr>
                </w:p>
              </w:tc>
              <w:tc>
                <w:tcPr>
                  <w:tcW w:w="380" w:type="pct"/>
                  <w:tcBorders>
                    <w:top w:val="single" w:sz="6" w:space="0" w:color="BFBFBF"/>
                    <w:bottom w:val="single" w:sz="6" w:space="0" w:color="BFBFBF"/>
                  </w:tcBorders>
                </w:tcPr>
                <w:p w14:paraId="38FFDCD2" w14:textId="77777777" w:rsidR="00EA6BA6" w:rsidRDefault="00EA6BA6" w:rsidP="00646801">
                  <w:pPr>
                    <w:pStyle w:val="TableColumnHeading"/>
                  </w:pPr>
                  <w:r>
                    <w:t>Units</w:t>
                  </w:r>
                </w:p>
              </w:tc>
              <w:tc>
                <w:tcPr>
                  <w:tcW w:w="408" w:type="pct"/>
                  <w:tcBorders>
                    <w:top w:val="single" w:sz="6" w:space="0" w:color="BFBFBF"/>
                    <w:bottom w:val="single" w:sz="6" w:space="0" w:color="BFBFBF"/>
                  </w:tcBorders>
                </w:tcPr>
                <w:p w14:paraId="38FFDCD3" w14:textId="77777777" w:rsidR="00EA6BA6" w:rsidRDefault="00EA6BA6" w:rsidP="00646801">
                  <w:pPr>
                    <w:pStyle w:val="TableColumnHeading"/>
                  </w:pPr>
                  <w:r>
                    <w:t>2020</w:t>
                  </w:r>
                </w:p>
              </w:tc>
              <w:tc>
                <w:tcPr>
                  <w:tcW w:w="408" w:type="pct"/>
                  <w:tcBorders>
                    <w:top w:val="single" w:sz="6" w:space="0" w:color="BFBFBF"/>
                    <w:bottom w:val="single" w:sz="6" w:space="0" w:color="BFBFBF"/>
                  </w:tcBorders>
                  <w:shd w:val="clear" w:color="auto" w:fill="auto"/>
                  <w:tcMar>
                    <w:top w:w="28" w:type="dxa"/>
                  </w:tcMar>
                </w:tcPr>
                <w:p w14:paraId="38FFDCD4" w14:textId="77777777" w:rsidR="00EA6BA6" w:rsidRDefault="00EA6BA6" w:rsidP="00646801">
                  <w:pPr>
                    <w:pStyle w:val="TableColumnHeading"/>
                  </w:pPr>
                  <w:r>
                    <w:t>2025</w:t>
                  </w:r>
                </w:p>
              </w:tc>
              <w:tc>
                <w:tcPr>
                  <w:tcW w:w="347" w:type="pct"/>
                  <w:tcBorders>
                    <w:top w:val="single" w:sz="6" w:space="0" w:color="BFBFBF"/>
                    <w:bottom w:val="single" w:sz="6" w:space="0" w:color="BFBFBF"/>
                  </w:tcBorders>
                </w:tcPr>
                <w:p w14:paraId="38FFDCD5" w14:textId="77777777" w:rsidR="00EA6BA6" w:rsidRDefault="00EA6BA6" w:rsidP="00646801">
                  <w:pPr>
                    <w:pStyle w:val="TableColumnHeading"/>
                    <w:ind w:right="28"/>
                  </w:pPr>
                  <w:r>
                    <w:t>2030</w:t>
                  </w:r>
                </w:p>
              </w:tc>
              <w:tc>
                <w:tcPr>
                  <w:tcW w:w="419" w:type="pct"/>
                  <w:tcBorders>
                    <w:top w:val="single" w:sz="6" w:space="0" w:color="BFBFBF"/>
                    <w:bottom w:val="single" w:sz="6" w:space="0" w:color="BFBFBF"/>
                  </w:tcBorders>
                  <w:shd w:val="clear" w:color="auto" w:fill="auto"/>
                  <w:tcMar>
                    <w:top w:w="28" w:type="dxa"/>
                  </w:tcMar>
                </w:tcPr>
                <w:p w14:paraId="38FFDCD6" w14:textId="77777777" w:rsidR="00EA6BA6" w:rsidRDefault="00EA6BA6" w:rsidP="00646801">
                  <w:pPr>
                    <w:pStyle w:val="TableColumnHeading"/>
                    <w:ind w:right="28"/>
                  </w:pPr>
                  <w:r>
                    <w:t>2040</w:t>
                  </w:r>
                </w:p>
              </w:tc>
            </w:tr>
            <w:tr w:rsidR="00EA6BA6" w14:paraId="38FFDCDE" w14:textId="77777777" w:rsidTr="00A23E2F">
              <w:tc>
                <w:tcPr>
                  <w:tcW w:w="3038" w:type="pct"/>
                  <w:tcBorders>
                    <w:top w:val="single" w:sz="6" w:space="0" w:color="BFBFBF"/>
                  </w:tcBorders>
                  <w:vAlign w:val="bottom"/>
                </w:tcPr>
                <w:p w14:paraId="38FFDCD8" w14:textId="77777777" w:rsidR="00EA6BA6" w:rsidRPr="00894A39" w:rsidRDefault="00EA6BA6" w:rsidP="00A23E2F">
                  <w:pPr>
                    <w:pStyle w:val="TableBodyText"/>
                    <w:jc w:val="left"/>
                  </w:pPr>
                  <w:r w:rsidRPr="00894A39">
                    <w:t>Improvement in health of those in poor or fair health</w:t>
                  </w:r>
                </w:p>
              </w:tc>
              <w:tc>
                <w:tcPr>
                  <w:tcW w:w="380" w:type="pct"/>
                  <w:tcBorders>
                    <w:top w:val="single" w:sz="6" w:space="0" w:color="BFBFBF"/>
                  </w:tcBorders>
                  <w:vAlign w:val="bottom"/>
                </w:tcPr>
                <w:p w14:paraId="38FFDCD9" w14:textId="77777777" w:rsidR="00EA6BA6" w:rsidRPr="00894A39" w:rsidRDefault="00EA6BA6" w:rsidP="00A23E2F">
                  <w:pPr>
                    <w:pStyle w:val="TableBodyText"/>
                  </w:pPr>
                  <w:r>
                    <w:t>%</w:t>
                  </w:r>
                </w:p>
              </w:tc>
              <w:tc>
                <w:tcPr>
                  <w:tcW w:w="408" w:type="pct"/>
                  <w:tcBorders>
                    <w:top w:val="single" w:sz="6" w:space="0" w:color="BFBFBF"/>
                  </w:tcBorders>
                  <w:vAlign w:val="bottom"/>
                </w:tcPr>
                <w:p w14:paraId="38FFDCDA" w14:textId="77777777" w:rsidR="00EA6BA6" w:rsidRPr="00894A39" w:rsidRDefault="00EA6BA6" w:rsidP="00A23E2F">
                  <w:pPr>
                    <w:pStyle w:val="TableBodyText"/>
                  </w:pPr>
                  <w:r>
                    <w:t>2</w:t>
                  </w:r>
                </w:p>
              </w:tc>
              <w:tc>
                <w:tcPr>
                  <w:tcW w:w="408" w:type="pct"/>
                  <w:tcBorders>
                    <w:top w:val="single" w:sz="6" w:space="0" w:color="BFBFBF"/>
                  </w:tcBorders>
                  <w:vAlign w:val="bottom"/>
                </w:tcPr>
                <w:p w14:paraId="38FFDCDB" w14:textId="77777777" w:rsidR="00EA6BA6" w:rsidRPr="00894A39" w:rsidRDefault="00EA6BA6" w:rsidP="00A23E2F">
                  <w:pPr>
                    <w:pStyle w:val="TableBodyText"/>
                  </w:pPr>
                  <w:r>
                    <w:t>11</w:t>
                  </w:r>
                </w:p>
              </w:tc>
              <w:tc>
                <w:tcPr>
                  <w:tcW w:w="347" w:type="pct"/>
                  <w:tcBorders>
                    <w:top w:val="single" w:sz="6" w:space="0" w:color="BFBFBF"/>
                  </w:tcBorders>
                  <w:vAlign w:val="bottom"/>
                </w:tcPr>
                <w:p w14:paraId="38FFDCDC" w14:textId="77777777" w:rsidR="00EA6BA6" w:rsidRPr="00894A39" w:rsidRDefault="00EA6BA6" w:rsidP="00A23E2F">
                  <w:pPr>
                    <w:pStyle w:val="TableBodyText"/>
                  </w:pPr>
                  <w:r>
                    <w:t>19</w:t>
                  </w:r>
                </w:p>
              </w:tc>
              <w:tc>
                <w:tcPr>
                  <w:tcW w:w="419" w:type="pct"/>
                  <w:tcBorders>
                    <w:top w:val="single" w:sz="6" w:space="0" w:color="BFBFBF"/>
                  </w:tcBorders>
                  <w:vAlign w:val="bottom"/>
                </w:tcPr>
                <w:p w14:paraId="38FFDCDD" w14:textId="77777777" w:rsidR="00EA6BA6" w:rsidRPr="00894A39" w:rsidRDefault="00EA6BA6" w:rsidP="00A23E2F">
                  <w:pPr>
                    <w:pStyle w:val="TableBodyText"/>
                  </w:pPr>
                  <w:r w:rsidRPr="00894A39">
                    <w:t>30</w:t>
                  </w:r>
                </w:p>
              </w:tc>
            </w:tr>
            <w:tr w:rsidR="00EA6BA6" w14:paraId="38FFDCE5" w14:textId="77777777" w:rsidTr="00A23E2F">
              <w:tc>
                <w:tcPr>
                  <w:tcW w:w="3038" w:type="pct"/>
                  <w:vAlign w:val="bottom"/>
                </w:tcPr>
                <w:p w14:paraId="38FFDCDF" w14:textId="77777777" w:rsidR="00EA6BA6" w:rsidRDefault="00EA6BA6" w:rsidP="00560EDC">
                  <w:pPr>
                    <w:pStyle w:val="TableBodyText"/>
                    <w:jc w:val="left"/>
                  </w:pPr>
                  <w:r>
                    <w:t xml:space="preserve">Personal welfare gains from </w:t>
                  </w:r>
                  <w:r w:rsidR="00560EDC">
                    <w:t>better</w:t>
                  </w:r>
                  <w:r>
                    <w:t xml:space="preserve"> health</w:t>
                  </w:r>
                </w:p>
              </w:tc>
              <w:tc>
                <w:tcPr>
                  <w:tcW w:w="380" w:type="pct"/>
                  <w:vAlign w:val="bottom"/>
                </w:tcPr>
                <w:p w14:paraId="38FFDCE0" w14:textId="77777777" w:rsidR="00EA6BA6" w:rsidRDefault="00EA6BA6" w:rsidP="00A23E2F">
                  <w:pPr>
                    <w:pStyle w:val="TableBodyText"/>
                  </w:pPr>
                  <w:r>
                    <w:t>$m</w:t>
                  </w:r>
                </w:p>
              </w:tc>
              <w:tc>
                <w:tcPr>
                  <w:tcW w:w="408" w:type="pct"/>
                  <w:vAlign w:val="bottom"/>
                </w:tcPr>
                <w:p w14:paraId="38FFDCE1" w14:textId="77777777" w:rsidR="00EA6BA6" w:rsidRDefault="00EA6BA6" w:rsidP="00A23E2F">
                  <w:pPr>
                    <w:pStyle w:val="TableBodyText"/>
                  </w:pPr>
                  <w:r>
                    <w:t>14</w:t>
                  </w:r>
                </w:p>
              </w:tc>
              <w:tc>
                <w:tcPr>
                  <w:tcW w:w="408" w:type="pct"/>
                  <w:vAlign w:val="bottom"/>
                </w:tcPr>
                <w:p w14:paraId="38FFDCE2" w14:textId="77777777" w:rsidR="00EA6BA6" w:rsidRDefault="00EA6BA6" w:rsidP="00A23E2F">
                  <w:pPr>
                    <w:pStyle w:val="TableBodyText"/>
                  </w:pPr>
                  <w:r>
                    <w:t>76</w:t>
                  </w:r>
                </w:p>
              </w:tc>
              <w:tc>
                <w:tcPr>
                  <w:tcW w:w="347" w:type="pct"/>
                  <w:vAlign w:val="bottom"/>
                </w:tcPr>
                <w:p w14:paraId="38FFDCE3" w14:textId="77777777" w:rsidR="00EA6BA6" w:rsidRDefault="00345AA3" w:rsidP="00A23E2F">
                  <w:pPr>
                    <w:pStyle w:val="TableBodyText"/>
                  </w:pPr>
                  <w:r>
                    <w:t>141</w:t>
                  </w:r>
                </w:p>
              </w:tc>
              <w:tc>
                <w:tcPr>
                  <w:tcW w:w="419" w:type="pct"/>
                  <w:vAlign w:val="bottom"/>
                </w:tcPr>
                <w:p w14:paraId="38FFDCE4" w14:textId="723439D6" w:rsidR="00EA6BA6" w:rsidRDefault="00EA6BA6" w:rsidP="00345AA3">
                  <w:pPr>
                    <w:pStyle w:val="TableBodyText"/>
                  </w:pPr>
                  <w:r>
                    <w:t>27</w:t>
                  </w:r>
                  <w:r w:rsidR="00757536">
                    <w:t>4</w:t>
                  </w:r>
                </w:p>
              </w:tc>
            </w:tr>
            <w:tr w:rsidR="00EA6BA6" w14:paraId="38FFDCEC" w14:textId="77777777" w:rsidTr="00A23E2F">
              <w:tc>
                <w:tcPr>
                  <w:tcW w:w="3038" w:type="pct"/>
                  <w:vAlign w:val="bottom"/>
                </w:tcPr>
                <w:p w14:paraId="38FFDCE6" w14:textId="77777777" w:rsidR="00EA6BA6" w:rsidRPr="00894A39" w:rsidRDefault="00EA6BA6" w:rsidP="00A23E2F">
                  <w:pPr>
                    <w:pStyle w:val="TableBodyText"/>
                    <w:jc w:val="left"/>
                  </w:pPr>
                  <w:r>
                    <w:t>Personal welfare gains from less waiting</w:t>
                  </w:r>
                </w:p>
              </w:tc>
              <w:tc>
                <w:tcPr>
                  <w:tcW w:w="380" w:type="pct"/>
                  <w:vAlign w:val="bottom"/>
                </w:tcPr>
                <w:p w14:paraId="38FFDCE7" w14:textId="77777777" w:rsidR="00EA6BA6" w:rsidRDefault="00EA6BA6" w:rsidP="00A23E2F">
                  <w:pPr>
                    <w:pStyle w:val="TableBodyText"/>
                  </w:pPr>
                  <w:r>
                    <w:t>$m</w:t>
                  </w:r>
                </w:p>
              </w:tc>
              <w:tc>
                <w:tcPr>
                  <w:tcW w:w="408" w:type="pct"/>
                  <w:vAlign w:val="bottom"/>
                </w:tcPr>
                <w:p w14:paraId="38FFDCE8" w14:textId="77777777" w:rsidR="00EA6BA6" w:rsidRDefault="0016543F" w:rsidP="00A23E2F">
                  <w:pPr>
                    <w:pStyle w:val="TableBodyText"/>
                  </w:pPr>
                  <w:r>
                    <w:t>28</w:t>
                  </w:r>
                </w:p>
              </w:tc>
              <w:tc>
                <w:tcPr>
                  <w:tcW w:w="408" w:type="pct"/>
                  <w:vAlign w:val="bottom"/>
                </w:tcPr>
                <w:p w14:paraId="38FFDCE9" w14:textId="7FB19064" w:rsidR="00EA6BA6" w:rsidRDefault="0016543F" w:rsidP="00A23E2F">
                  <w:pPr>
                    <w:pStyle w:val="TableBodyText"/>
                  </w:pPr>
                  <w:r>
                    <w:t>1</w:t>
                  </w:r>
                  <w:r w:rsidR="00757536">
                    <w:t>62</w:t>
                  </w:r>
                </w:p>
              </w:tc>
              <w:tc>
                <w:tcPr>
                  <w:tcW w:w="347" w:type="pct"/>
                  <w:vAlign w:val="bottom"/>
                </w:tcPr>
                <w:p w14:paraId="38FFDCEA" w14:textId="0E26B3E4" w:rsidR="00EA6BA6" w:rsidRDefault="00757536" w:rsidP="00A23E2F">
                  <w:pPr>
                    <w:pStyle w:val="TableBodyText"/>
                  </w:pPr>
                  <w:r>
                    <w:t>300</w:t>
                  </w:r>
                </w:p>
              </w:tc>
              <w:tc>
                <w:tcPr>
                  <w:tcW w:w="419" w:type="pct"/>
                  <w:vAlign w:val="bottom"/>
                </w:tcPr>
                <w:p w14:paraId="38FFDCEB" w14:textId="5F7039BC" w:rsidR="00EA6BA6" w:rsidRPr="00894A39" w:rsidRDefault="00757536" w:rsidP="00A23E2F">
                  <w:pPr>
                    <w:pStyle w:val="TableBodyText"/>
                  </w:pPr>
                  <w:r>
                    <w:t>584</w:t>
                  </w:r>
                </w:p>
              </w:tc>
            </w:tr>
            <w:tr w:rsidR="00A23E2F" w14:paraId="38FFDCF3" w14:textId="77777777" w:rsidTr="00A23E2F">
              <w:tc>
                <w:tcPr>
                  <w:tcW w:w="3038" w:type="pct"/>
                </w:tcPr>
                <w:p w14:paraId="38FFDCED" w14:textId="77777777" w:rsidR="00A23E2F" w:rsidRPr="00894A39" w:rsidRDefault="00A23E2F" w:rsidP="00A23E2F">
                  <w:pPr>
                    <w:pStyle w:val="TableBodyText"/>
                    <w:jc w:val="left"/>
                  </w:pPr>
                  <w:r w:rsidRPr="009E1EBA">
                    <w:t>Workforce impact on GDP</w:t>
                  </w:r>
                </w:p>
              </w:tc>
              <w:tc>
                <w:tcPr>
                  <w:tcW w:w="380" w:type="pct"/>
                </w:tcPr>
                <w:p w14:paraId="38FFDCEE" w14:textId="77777777" w:rsidR="00A23E2F" w:rsidRDefault="00A23E2F" w:rsidP="00A23E2F">
                  <w:pPr>
                    <w:pStyle w:val="TableBodyText"/>
                  </w:pPr>
                  <w:r w:rsidRPr="009E1EBA">
                    <w:t>$m</w:t>
                  </w:r>
                </w:p>
              </w:tc>
              <w:tc>
                <w:tcPr>
                  <w:tcW w:w="408" w:type="pct"/>
                </w:tcPr>
                <w:p w14:paraId="38FFDCEF" w14:textId="3F607D29" w:rsidR="00A23E2F" w:rsidRDefault="00A23E2F" w:rsidP="00A23E2F">
                  <w:pPr>
                    <w:pStyle w:val="TableBodyText"/>
                  </w:pPr>
                  <w:r w:rsidRPr="009E1EBA">
                    <w:t>1</w:t>
                  </w:r>
                  <w:r w:rsidR="00757536">
                    <w:t>6</w:t>
                  </w:r>
                </w:p>
              </w:tc>
              <w:tc>
                <w:tcPr>
                  <w:tcW w:w="408" w:type="pct"/>
                </w:tcPr>
                <w:p w14:paraId="38FFDCF0" w14:textId="0FB23B29" w:rsidR="00A23E2F" w:rsidRDefault="00757536" w:rsidP="00A23E2F">
                  <w:pPr>
                    <w:pStyle w:val="TableBodyText"/>
                  </w:pPr>
                  <w:r>
                    <w:t>397</w:t>
                  </w:r>
                </w:p>
              </w:tc>
              <w:tc>
                <w:tcPr>
                  <w:tcW w:w="347" w:type="pct"/>
                </w:tcPr>
                <w:p w14:paraId="38FFDCF1" w14:textId="6DCF32BF" w:rsidR="00A23E2F" w:rsidRDefault="00757536" w:rsidP="00A23E2F">
                  <w:pPr>
                    <w:pStyle w:val="TableBodyText"/>
                  </w:pPr>
                  <w:r w:rsidRPr="009E1EBA">
                    <w:t>1</w:t>
                  </w:r>
                  <w:r>
                    <w:t> 455</w:t>
                  </w:r>
                </w:p>
              </w:tc>
              <w:tc>
                <w:tcPr>
                  <w:tcW w:w="419" w:type="pct"/>
                </w:tcPr>
                <w:p w14:paraId="38FFDCF2" w14:textId="32CD43C1" w:rsidR="00A23E2F" w:rsidRDefault="00757536" w:rsidP="00A23E2F">
                  <w:pPr>
                    <w:pStyle w:val="TableBodyText"/>
                  </w:pPr>
                  <w:r>
                    <w:t>4</w:t>
                  </w:r>
                  <w:r w:rsidR="00A23E2F">
                    <w:t> </w:t>
                  </w:r>
                  <w:r>
                    <w:t>170</w:t>
                  </w:r>
                </w:p>
              </w:tc>
            </w:tr>
            <w:tr w:rsidR="00EA6BA6" w14:paraId="38FFDCFA" w14:textId="77777777" w:rsidTr="00646801">
              <w:tc>
                <w:tcPr>
                  <w:tcW w:w="3038" w:type="pct"/>
                  <w:tcBorders>
                    <w:bottom w:val="single" w:sz="6" w:space="0" w:color="BFBFBF"/>
                  </w:tcBorders>
                  <w:shd w:val="clear" w:color="auto" w:fill="auto"/>
                  <w:vAlign w:val="bottom"/>
                </w:tcPr>
                <w:p w14:paraId="38FFDCF4" w14:textId="77777777" w:rsidR="00EA6BA6" w:rsidRDefault="00A23E2F" w:rsidP="00646801">
                  <w:pPr>
                    <w:pStyle w:val="TableBodyText"/>
                    <w:jc w:val="left"/>
                  </w:pPr>
                  <w:r w:rsidRPr="00A23E2F">
                    <w:rPr>
                      <w:rFonts w:cs="Arial"/>
                      <w:color w:val="000000"/>
                      <w:szCs w:val="18"/>
                    </w:rPr>
                    <w:t>Health expenditure dividend</w:t>
                  </w:r>
                </w:p>
              </w:tc>
              <w:tc>
                <w:tcPr>
                  <w:tcW w:w="380" w:type="pct"/>
                  <w:tcBorders>
                    <w:bottom w:val="single" w:sz="6" w:space="0" w:color="BFBFBF"/>
                  </w:tcBorders>
                  <w:vAlign w:val="bottom"/>
                </w:tcPr>
                <w:p w14:paraId="38FFDCF5" w14:textId="77777777" w:rsidR="00EA6BA6" w:rsidRDefault="00EA6BA6" w:rsidP="00646801">
                  <w:pPr>
                    <w:pStyle w:val="TableBodyText"/>
                  </w:pPr>
                  <w:r>
                    <w:rPr>
                      <w:rFonts w:cs="Arial"/>
                      <w:color w:val="000000"/>
                      <w:szCs w:val="18"/>
                    </w:rPr>
                    <w:t>$m</w:t>
                  </w:r>
                </w:p>
              </w:tc>
              <w:tc>
                <w:tcPr>
                  <w:tcW w:w="408" w:type="pct"/>
                  <w:tcBorders>
                    <w:bottom w:val="single" w:sz="6" w:space="0" w:color="BFBFBF"/>
                  </w:tcBorders>
                  <w:vAlign w:val="bottom"/>
                </w:tcPr>
                <w:p w14:paraId="38FFDCF6" w14:textId="4E1585B5" w:rsidR="00EA6BA6" w:rsidRDefault="00803B56" w:rsidP="00803B56">
                  <w:pPr>
                    <w:pStyle w:val="TableBodyText"/>
                  </w:pPr>
                  <w:r>
                    <w:rPr>
                      <w:rFonts w:cs="Arial"/>
                      <w:color w:val="000000"/>
                      <w:szCs w:val="18"/>
                    </w:rPr>
                    <w:t>1</w:t>
                  </w:r>
                  <w:r w:rsidR="00A23E2F">
                    <w:rPr>
                      <w:rFonts w:cs="Arial"/>
                      <w:color w:val="000000"/>
                      <w:szCs w:val="18"/>
                    </w:rPr>
                    <w:t> </w:t>
                  </w:r>
                  <w:r w:rsidR="00757536">
                    <w:rPr>
                      <w:rFonts w:cs="Arial"/>
                      <w:color w:val="000000"/>
                      <w:szCs w:val="18"/>
                    </w:rPr>
                    <w:t>825</w:t>
                  </w:r>
                </w:p>
              </w:tc>
              <w:tc>
                <w:tcPr>
                  <w:tcW w:w="408" w:type="pct"/>
                  <w:tcBorders>
                    <w:bottom w:val="single" w:sz="6" w:space="0" w:color="BFBFBF"/>
                  </w:tcBorders>
                  <w:shd w:val="clear" w:color="auto" w:fill="auto"/>
                  <w:vAlign w:val="bottom"/>
                </w:tcPr>
                <w:p w14:paraId="38FFDCF7" w14:textId="641BB987" w:rsidR="00EA6BA6" w:rsidRDefault="00757536" w:rsidP="00A23E2F">
                  <w:pPr>
                    <w:pStyle w:val="TableBodyText"/>
                  </w:pPr>
                  <w:r>
                    <w:rPr>
                      <w:rFonts w:cs="Arial"/>
                      <w:color w:val="000000"/>
                      <w:szCs w:val="18"/>
                    </w:rPr>
                    <w:t>7 909</w:t>
                  </w:r>
                </w:p>
              </w:tc>
              <w:tc>
                <w:tcPr>
                  <w:tcW w:w="347" w:type="pct"/>
                  <w:tcBorders>
                    <w:bottom w:val="single" w:sz="6" w:space="0" w:color="BFBFBF"/>
                  </w:tcBorders>
                  <w:vAlign w:val="bottom"/>
                </w:tcPr>
                <w:p w14:paraId="38FFDCF8" w14:textId="5C5ADC31" w:rsidR="00EA6BA6" w:rsidRDefault="00A23E2F" w:rsidP="006661E1">
                  <w:pPr>
                    <w:pStyle w:val="TableBodyText"/>
                    <w:ind w:right="28"/>
                  </w:pPr>
                  <w:r w:rsidRPr="00A23E2F">
                    <w:rPr>
                      <w:rFonts w:cs="Arial"/>
                      <w:color w:val="000000"/>
                      <w:szCs w:val="18"/>
                    </w:rPr>
                    <w:t>1</w:t>
                  </w:r>
                  <w:r w:rsidR="00757536">
                    <w:rPr>
                      <w:rFonts w:cs="Arial"/>
                      <w:color w:val="000000"/>
                      <w:szCs w:val="18"/>
                    </w:rPr>
                    <w:t>5</w:t>
                  </w:r>
                  <w:r>
                    <w:rPr>
                      <w:rFonts w:cs="Arial"/>
                      <w:color w:val="000000"/>
                      <w:szCs w:val="18"/>
                    </w:rPr>
                    <w:t> </w:t>
                  </w:r>
                  <w:r w:rsidR="00757536">
                    <w:rPr>
                      <w:rFonts w:cs="Arial"/>
                      <w:color w:val="000000"/>
                      <w:szCs w:val="18"/>
                    </w:rPr>
                    <w:t>134</w:t>
                  </w:r>
                </w:p>
              </w:tc>
              <w:tc>
                <w:tcPr>
                  <w:tcW w:w="419" w:type="pct"/>
                  <w:tcBorders>
                    <w:bottom w:val="single" w:sz="6" w:space="0" w:color="BFBFBF"/>
                  </w:tcBorders>
                  <w:shd w:val="clear" w:color="auto" w:fill="auto"/>
                  <w:vAlign w:val="bottom"/>
                </w:tcPr>
                <w:p w14:paraId="38FFDCF9" w14:textId="3A07037F" w:rsidR="00EA6BA6" w:rsidRPr="00EB6A0E" w:rsidRDefault="00757536" w:rsidP="006661E1">
                  <w:pPr>
                    <w:pStyle w:val="TableBodyText"/>
                  </w:pPr>
                  <w:r>
                    <w:t>33</w:t>
                  </w:r>
                  <w:r w:rsidRPr="00EB6A0E">
                    <w:t> </w:t>
                  </w:r>
                  <w:r>
                    <w:t>441</w:t>
                  </w:r>
                </w:p>
              </w:tc>
            </w:tr>
          </w:tbl>
          <w:p w14:paraId="38FFDCFB" w14:textId="77777777" w:rsidR="00EA6BA6" w:rsidRDefault="00EA6BA6" w:rsidP="00646801">
            <w:pPr>
              <w:pStyle w:val="Box"/>
            </w:pPr>
          </w:p>
        </w:tc>
      </w:tr>
      <w:tr w:rsidR="00EA6BA6" w14:paraId="38FFDCFE" w14:textId="77777777" w:rsidTr="00646801">
        <w:tc>
          <w:tcPr>
            <w:tcW w:w="5000" w:type="pct"/>
            <w:tcBorders>
              <w:top w:val="nil"/>
              <w:left w:val="nil"/>
              <w:bottom w:val="nil"/>
              <w:right w:val="nil"/>
            </w:tcBorders>
            <w:shd w:val="clear" w:color="auto" w:fill="auto"/>
          </w:tcPr>
          <w:p w14:paraId="38FFDCFD" w14:textId="77777777" w:rsidR="00EA6BA6" w:rsidRDefault="00EA6BA6" w:rsidP="00E910EF">
            <w:pPr>
              <w:pStyle w:val="Source"/>
            </w:pPr>
            <w:r>
              <w:rPr>
                <w:i/>
              </w:rPr>
              <w:t>Source</w:t>
            </w:r>
            <w:r w:rsidRPr="00167F06">
              <w:t xml:space="preserve">: </w:t>
            </w:r>
            <w:r w:rsidR="00A321BD">
              <w:t xml:space="preserve">Productivity </w:t>
            </w:r>
            <w:r>
              <w:t>Commission estimates, explained</w:t>
            </w:r>
            <w:r w:rsidRPr="00145B9F">
              <w:t xml:space="preserve"> below</w:t>
            </w:r>
            <w:r>
              <w:t>.</w:t>
            </w:r>
          </w:p>
        </w:tc>
      </w:tr>
      <w:tr w:rsidR="00EA6BA6" w14:paraId="38FFDD00" w14:textId="77777777" w:rsidTr="00646801">
        <w:tc>
          <w:tcPr>
            <w:tcW w:w="5000" w:type="pct"/>
            <w:tcBorders>
              <w:top w:val="nil"/>
              <w:left w:val="nil"/>
              <w:bottom w:val="single" w:sz="6" w:space="0" w:color="78A22F"/>
              <w:right w:val="nil"/>
            </w:tcBorders>
            <w:shd w:val="clear" w:color="auto" w:fill="auto"/>
          </w:tcPr>
          <w:p w14:paraId="38FFDCFF" w14:textId="77777777" w:rsidR="00EA6BA6" w:rsidRDefault="00EA6BA6" w:rsidP="00646801">
            <w:pPr>
              <w:pStyle w:val="Box"/>
              <w:spacing w:before="0" w:line="120" w:lineRule="exact"/>
            </w:pPr>
          </w:p>
        </w:tc>
      </w:tr>
      <w:tr w:rsidR="00EA6BA6" w:rsidRPr="000863A5" w14:paraId="38FFDD02" w14:textId="77777777" w:rsidTr="00646801">
        <w:tc>
          <w:tcPr>
            <w:tcW w:w="5000" w:type="pct"/>
            <w:tcBorders>
              <w:top w:val="single" w:sz="6" w:space="0" w:color="78A22F"/>
              <w:left w:val="nil"/>
              <w:bottom w:val="nil"/>
              <w:right w:val="nil"/>
            </w:tcBorders>
          </w:tcPr>
          <w:p w14:paraId="38FFDD01" w14:textId="77777777" w:rsidR="00EA6BA6" w:rsidRPr="00626D32" w:rsidRDefault="00EA6BA6" w:rsidP="00646801">
            <w:pPr>
              <w:pStyle w:val="BoxSpaceBelow"/>
            </w:pPr>
          </w:p>
        </w:tc>
      </w:tr>
    </w:tbl>
    <w:p w14:paraId="38FFDD03" w14:textId="77777777" w:rsidR="00A40D8D" w:rsidRDefault="00EA6BA6" w:rsidP="00A40D8D">
      <w:pPr>
        <w:pStyle w:val="BodyText"/>
      </w:pPr>
      <w:r>
        <w:t>T</w:t>
      </w:r>
      <w:r w:rsidR="00A40D8D">
        <w:t xml:space="preserve">he health of Australians in poor or fair health is ultimately estimated to improve by up to 30 per cent. In practical terms, this could be understood as a </w:t>
      </w:r>
      <w:r w:rsidR="006B2C83">
        <w:t>marked</w:t>
      </w:r>
      <w:r w:rsidR="00A40D8D">
        <w:t xml:space="preserve"> im</w:t>
      </w:r>
      <w:r w:rsidR="006B2C83">
        <w:t xml:space="preserve">provement in blood sugar levels, </w:t>
      </w:r>
      <w:r w:rsidR="00A40D8D">
        <w:t>blood pressure</w:t>
      </w:r>
      <w:r w:rsidR="006B2C83">
        <w:t xml:space="preserve"> </w:t>
      </w:r>
      <w:r w:rsidR="002A6505">
        <w:t>and other measures of the health of people,</w:t>
      </w:r>
      <w:r w:rsidR="006B2C83">
        <w:t xml:space="preserve"> so as to reduce the average patient’s reliance on health services by up to 30 per cent</w:t>
      </w:r>
      <w:r w:rsidR="00A40D8D">
        <w:t xml:space="preserve">. </w:t>
      </w:r>
    </w:p>
    <w:p w14:paraId="38FFDD04" w14:textId="77777777" w:rsidR="006F2A19" w:rsidRDefault="006F2A19" w:rsidP="00A40D8D">
      <w:pPr>
        <w:pStyle w:val="BodyText"/>
      </w:pPr>
      <w:r>
        <w:t xml:space="preserve">As a result of better health, Australians in poor or fair health will be able to spend more time at work, in </w:t>
      </w:r>
      <w:r w:rsidR="002A6505">
        <w:t>home</w:t>
      </w:r>
      <w:r w:rsidR="002A6505">
        <w:noBreakHyphen/>
      </w:r>
      <w:r>
        <w:t xml:space="preserve">based production and in leisure. It is estimated the value of these personal gains could amount to </w:t>
      </w:r>
      <w:r w:rsidR="00982E64">
        <w:t>close to</w:t>
      </w:r>
      <w:r w:rsidR="006C38B4">
        <w:t xml:space="preserve"> </w:t>
      </w:r>
      <w:r>
        <w:t>$300 million</w:t>
      </w:r>
      <w:r w:rsidR="00C87F44">
        <w:t xml:space="preserve"> a year</w:t>
      </w:r>
      <w:r>
        <w:t xml:space="preserve">. </w:t>
      </w:r>
    </w:p>
    <w:p w14:paraId="38FFDD05" w14:textId="428AC790" w:rsidR="006F2A19" w:rsidRDefault="006F2A19" w:rsidP="00A40D8D">
      <w:pPr>
        <w:pStyle w:val="BodyText"/>
      </w:pPr>
      <w:r>
        <w:t xml:space="preserve">Integrating care around the patient will benefit all Australian patients. For example, by giving greater weight to the time of patients, an integrated system of care will reduce the time that patients spend waiting in the waiting rooms of GPs and specialists. It is estimated that implementing the </w:t>
      </w:r>
      <w:r w:rsidR="009D5A34">
        <w:t xml:space="preserve">Productivity </w:t>
      </w:r>
      <w:r>
        <w:t xml:space="preserve">Commission’s recommendations could benefit Australian patients by </w:t>
      </w:r>
      <w:r w:rsidR="00982E64">
        <w:t>about</w:t>
      </w:r>
      <w:r>
        <w:t xml:space="preserve"> $</w:t>
      </w:r>
      <w:r w:rsidR="00757536">
        <w:t>6</w:t>
      </w:r>
      <w:r>
        <w:t xml:space="preserve">00 million </w:t>
      </w:r>
      <w:r w:rsidR="00C87F44">
        <w:t xml:space="preserve">each year </w:t>
      </w:r>
      <w:r>
        <w:t xml:space="preserve">by reducing the time they spend waiting for GP and specialist appointments. </w:t>
      </w:r>
    </w:p>
    <w:p w14:paraId="38FFDD06" w14:textId="2E983FCA" w:rsidR="007A09D4" w:rsidRDefault="007A09D4" w:rsidP="007A09D4">
      <w:pPr>
        <w:pStyle w:val="BodyText"/>
      </w:pPr>
      <w:r>
        <w:t xml:space="preserve">More broadly, the level of Australia’s GDP will also be enhanced by the greater participation of those whose health is improved and by the greater participation of their voluntary carers. The </w:t>
      </w:r>
      <w:r w:rsidR="009D5A34">
        <w:t xml:space="preserve">Productivity </w:t>
      </w:r>
      <w:r>
        <w:t xml:space="preserve">Commission estimates this GDP effect could rise to </w:t>
      </w:r>
      <w:r w:rsidR="00757536">
        <w:t xml:space="preserve">over </w:t>
      </w:r>
      <w:r>
        <w:t>$</w:t>
      </w:r>
      <w:r w:rsidR="00757536">
        <w:t>4 </w:t>
      </w:r>
      <w:r>
        <w:t>billion a year.</w:t>
      </w:r>
    </w:p>
    <w:p w14:paraId="38FFDD07" w14:textId="69EE330C" w:rsidR="00A40D8D" w:rsidRDefault="00A40D8D" w:rsidP="00A40D8D">
      <w:pPr>
        <w:pStyle w:val="BodyText"/>
      </w:pPr>
      <w:r>
        <w:t xml:space="preserve">The </w:t>
      </w:r>
      <w:r w:rsidR="009D5A34">
        <w:t xml:space="preserve">Productivity </w:t>
      </w:r>
      <w:r>
        <w:t xml:space="preserve">Commission estimates the health spending dividend </w:t>
      </w:r>
      <w:r w:rsidR="009F47AC">
        <w:t xml:space="preserve">(irrespective of source) </w:t>
      </w:r>
      <w:r>
        <w:t xml:space="preserve">from </w:t>
      </w:r>
      <w:r w:rsidR="006F2A19">
        <w:t>the package of reforms</w:t>
      </w:r>
      <w:r>
        <w:t xml:space="preserve"> could rise to 6</w:t>
      </w:r>
      <w:r w:rsidR="00757536">
        <w:t>.5</w:t>
      </w:r>
      <w:r>
        <w:t xml:space="preserve"> per cent of total </w:t>
      </w:r>
      <w:r w:rsidR="00C87F44">
        <w:t xml:space="preserve">annual </w:t>
      </w:r>
      <w:r>
        <w:t xml:space="preserve">health spending once rolled out across Australia. This would amount to </w:t>
      </w:r>
      <w:r w:rsidR="00B27E64">
        <w:t xml:space="preserve">over </w:t>
      </w:r>
      <w:r>
        <w:t>$</w:t>
      </w:r>
      <w:r w:rsidR="00757536">
        <w:t>33</w:t>
      </w:r>
      <w:r>
        <w:t> billion</w:t>
      </w:r>
      <w:r w:rsidR="00C87F44">
        <w:t xml:space="preserve"> </w:t>
      </w:r>
      <w:r>
        <w:t>(in 2016 prices) if real health expenditure were to grow by 4.7 per cent a year, that being the historical rate of growth in total health spending in the ten years to 2014</w:t>
      </w:r>
      <w:r>
        <w:noBreakHyphen/>
        <w:t>15 </w:t>
      </w:r>
      <w:r w:rsidR="007B194B" w:rsidRPr="007B194B">
        <w:rPr>
          <w:szCs w:val="24"/>
        </w:rPr>
        <w:t>(AIHW 2016b)</w:t>
      </w:r>
      <w:r>
        <w:t>.</w:t>
      </w:r>
      <w:r w:rsidRPr="002F6D96">
        <w:rPr>
          <w:rStyle w:val="FootnoteReference"/>
        </w:rPr>
        <w:footnoteReference w:id="6"/>
      </w:r>
      <w:r>
        <w:t xml:space="preserve"> </w:t>
      </w:r>
    </w:p>
    <w:p w14:paraId="38FFDD08" w14:textId="77777777" w:rsidR="006E126F" w:rsidRDefault="006E126F" w:rsidP="006E126F">
      <w:pPr>
        <w:pStyle w:val="Heading3"/>
      </w:pPr>
      <w:r>
        <w:t>Behind the numbers</w:t>
      </w:r>
    </w:p>
    <w:p w14:paraId="38FFDD09" w14:textId="77777777" w:rsidR="007D7166" w:rsidRDefault="008017D2" w:rsidP="0066656D">
      <w:pPr>
        <w:pStyle w:val="BodyText"/>
      </w:pPr>
      <w:r>
        <w:t xml:space="preserve">The estimates of the direct health improvements and the subsequent economic impacts are based on a number of assumptions, drawing on Australian data and Australian studies. </w:t>
      </w:r>
      <w:r w:rsidR="007D7166">
        <w:t>How the</w:t>
      </w:r>
      <w:r>
        <w:t>se estimates</w:t>
      </w:r>
      <w:r w:rsidR="007D7166">
        <w:t xml:space="preserve"> are </w:t>
      </w:r>
      <w:r>
        <w:t>derived</w:t>
      </w:r>
      <w:r w:rsidR="007D7166">
        <w:t xml:space="preserve"> is explained in this section. </w:t>
      </w:r>
    </w:p>
    <w:p w14:paraId="38FFDD0A" w14:textId="77777777" w:rsidR="00612342" w:rsidRDefault="00612342" w:rsidP="00612342">
      <w:pPr>
        <w:pStyle w:val="BodyText"/>
      </w:pPr>
      <w:r>
        <w:t>For the reader’s convenience, a summary of t</w:t>
      </w:r>
      <w:r w:rsidR="007C52E2">
        <w:t>he key calculations is in box </w:t>
      </w:r>
      <w:r>
        <w:t xml:space="preserve">1 and a summary </w:t>
      </w:r>
      <w:r w:rsidR="007C52E2">
        <w:t>of the key assumptions in box </w:t>
      </w:r>
      <w:r>
        <w:t xml:space="preserve">2. The </w:t>
      </w:r>
      <w:r w:rsidR="00B254F9">
        <w:t>workings</w:t>
      </w:r>
      <w:r>
        <w:t xml:space="preserve"> </w:t>
      </w:r>
      <w:r w:rsidR="007A09D4">
        <w:t>are</w:t>
      </w:r>
      <w:r>
        <w:t xml:space="preserve"> provided </w:t>
      </w:r>
      <w:r w:rsidR="00560EDC">
        <w:t xml:space="preserve">on the </w:t>
      </w:r>
      <w:r w:rsidR="009D5A34">
        <w:t xml:space="preserve">Productivity </w:t>
      </w:r>
      <w:r w:rsidR="00560EDC">
        <w:t xml:space="preserve">Commission’s website </w:t>
      </w:r>
      <w:r>
        <w:t xml:space="preserve">as a separate </w:t>
      </w:r>
      <w:r w:rsidR="007A09D4">
        <w:t xml:space="preserve">excel file, </w:t>
      </w:r>
      <w:r w:rsidR="00560EDC">
        <w:t>en</w:t>
      </w:r>
      <w:r w:rsidR="007A09D4">
        <w:t>t</w:t>
      </w:r>
      <w:r w:rsidR="00560EDC">
        <w:t>itled ‘Health impacts workbook’</w:t>
      </w:r>
      <w:r>
        <w:t>.</w:t>
      </w:r>
    </w:p>
    <w:p w14:paraId="38FFDD0B" w14:textId="77777777" w:rsidR="008017D2" w:rsidRDefault="008017D2" w:rsidP="008017D2">
      <w:pPr>
        <w:pStyle w:val="Heading4"/>
      </w:pPr>
      <w:r>
        <w:t>Estimating the impact on health</w:t>
      </w:r>
    </w:p>
    <w:p w14:paraId="38FFDD0C" w14:textId="77777777" w:rsidR="008017D2" w:rsidRDefault="008017D2" w:rsidP="008017D2">
      <w:pPr>
        <w:pStyle w:val="BodyText"/>
      </w:pPr>
      <w:r>
        <w:t xml:space="preserve">The </w:t>
      </w:r>
      <w:r w:rsidRPr="00B94858">
        <w:t>national</w:t>
      </w:r>
      <w:r>
        <w:t xml:space="preserve"> rate of improvement in </w:t>
      </w:r>
      <w:r w:rsidRPr="00B94858">
        <w:t xml:space="preserve">the health of those </w:t>
      </w:r>
      <w:r w:rsidR="00560EDC">
        <w:t>(</w:t>
      </w:r>
      <w:r w:rsidRPr="00B94858">
        <w:t>otherwise</w:t>
      </w:r>
      <w:r w:rsidR="00560EDC">
        <w:t>)</w:t>
      </w:r>
      <w:r w:rsidRPr="00B94858">
        <w:t xml:space="preserve"> in poor or fair health</w:t>
      </w:r>
      <w:r>
        <w:t xml:space="preserve"> is </w:t>
      </w:r>
      <w:r w:rsidRPr="00B94858">
        <w:t xml:space="preserve">assumed to </w:t>
      </w:r>
      <w:r>
        <w:t>be the same as</w:t>
      </w:r>
      <w:r w:rsidRPr="00B94858">
        <w:t xml:space="preserve"> the national average rate of effectiveness of </w:t>
      </w:r>
      <w:r>
        <w:t xml:space="preserve">integrated care, which in turn depends on the rate </w:t>
      </w:r>
      <w:r w:rsidR="00512C42">
        <w:t>that</w:t>
      </w:r>
      <w:r>
        <w:t xml:space="preserve"> integrated care is adopted and the effectiveness of PHNs and LHNs in implementing integrated care (table 4).</w:t>
      </w:r>
    </w:p>
    <w:p w14:paraId="38FFDD0D" w14:textId="77777777" w:rsidR="008017D2" w:rsidRDefault="008017D2" w:rsidP="0003212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8017D2" w14:paraId="38FFDD0F" w14:textId="77777777" w:rsidTr="008017D2">
        <w:tc>
          <w:tcPr>
            <w:tcW w:w="5000" w:type="pct"/>
            <w:tcBorders>
              <w:top w:val="single" w:sz="6" w:space="0" w:color="78A22F"/>
              <w:left w:val="nil"/>
              <w:bottom w:val="nil"/>
              <w:right w:val="nil"/>
            </w:tcBorders>
            <w:shd w:val="clear" w:color="auto" w:fill="auto"/>
          </w:tcPr>
          <w:p w14:paraId="38FFDD0E" w14:textId="77777777" w:rsidR="008017D2" w:rsidRPr="00784A05" w:rsidRDefault="008017D2" w:rsidP="008017D2">
            <w:pPr>
              <w:pStyle w:val="TableTitle"/>
            </w:pPr>
            <w:r>
              <w:rPr>
                <w:b w:val="0"/>
              </w:rPr>
              <w:t>Table 4</w:t>
            </w:r>
            <w:r>
              <w:tab/>
              <w:t>Deriving the impact of integrated care on health</w:t>
            </w:r>
          </w:p>
        </w:tc>
      </w:tr>
      <w:tr w:rsidR="008017D2" w14:paraId="38FFDD34" w14:textId="77777777" w:rsidTr="008017D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739"/>
              <w:gridCol w:w="587"/>
              <w:gridCol w:w="733"/>
              <w:gridCol w:w="533"/>
              <w:gridCol w:w="606"/>
              <w:gridCol w:w="591"/>
            </w:tblGrid>
            <w:tr w:rsidR="008017D2" w14:paraId="38FFDD16" w14:textId="77777777" w:rsidTr="008017D2">
              <w:trPr>
                <w:tblHeader/>
              </w:trPr>
              <w:tc>
                <w:tcPr>
                  <w:tcW w:w="3265" w:type="pct"/>
                  <w:tcBorders>
                    <w:top w:val="single" w:sz="6" w:space="0" w:color="BFBFBF"/>
                    <w:bottom w:val="single" w:sz="6" w:space="0" w:color="BFBFBF"/>
                  </w:tcBorders>
                  <w:shd w:val="clear" w:color="auto" w:fill="auto"/>
                  <w:tcMar>
                    <w:top w:w="28" w:type="dxa"/>
                  </w:tcMar>
                </w:tcPr>
                <w:p w14:paraId="38FFDD10" w14:textId="77777777" w:rsidR="008017D2" w:rsidRDefault="008017D2" w:rsidP="008017D2">
                  <w:pPr>
                    <w:pStyle w:val="TableColumnHeading"/>
                    <w:jc w:val="left"/>
                  </w:pPr>
                </w:p>
              </w:tc>
              <w:tc>
                <w:tcPr>
                  <w:tcW w:w="334" w:type="pct"/>
                  <w:tcBorders>
                    <w:top w:val="single" w:sz="6" w:space="0" w:color="BFBFBF"/>
                    <w:bottom w:val="single" w:sz="6" w:space="0" w:color="BFBFBF"/>
                  </w:tcBorders>
                </w:tcPr>
                <w:p w14:paraId="38FFDD11" w14:textId="77777777" w:rsidR="008017D2" w:rsidRDefault="008017D2" w:rsidP="008017D2">
                  <w:pPr>
                    <w:pStyle w:val="TableColumnHeading"/>
                  </w:pPr>
                  <w:r>
                    <w:t>Unit</w:t>
                  </w:r>
                </w:p>
              </w:tc>
              <w:tc>
                <w:tcPr>
                  <w:tcW w:w="417" w:type="pct"/>
                  <w:tcBorders>
                    <w:top w:val="single" w:sz="6" w:space="0" w:color="BFBFBF"/>
                    <w:bottom w:val="single" w:sz="6" w:space="0" w:color="BFBFBF"/>
                  </w:tcBorders>
                  <w:shd w:val="clear" w:color="auto" w:fill="auto"/>
                  <w:tcMar>
                    <w:top w:w="28" w:type="dxa"/>
                  </w:tcMar>
                </w:tcPr>
                <w:p w14:paraId="38FFDD12" w14:textId="77777777" w:rsidR="008017D2" w:rsidRDefault="008017D2" w:rsidP="008017D2">
                  <w:pPr>
                    <w:pStyle w:val="TableColumnHeading"/>
                  </w:pPr>
                  <w:r>
                    <w:t>2020</w:t>
                  </w:r>
                </w:p>
              </w:tc>
              <w:tc>
                <w:tcPr>
                  <w:tcW w:w="303" w:type="pct"/>
                  <w:tcBorders>
                    <w:top w:val="single" w:sz="6" w:space="0" w:color="BFBFBF"/>
                    <w:bottom w:val="single" w:sz="6" w:space="0" w:color="BFBFBF"/>
                  </w:tcBorders>
                </w:tcPr>
                <w:p w14:paraId="38FFDD13" w14:textId="77777777" w:rsidR="008017D2" w:rsidRDefault="008017D2" w:rsidP="008017D2">
                  <w:pPr>
                    <w:pStyle w:val="TableColumnHeading"/>
                    <w:ind w:right="28"/>
                  </w:pPr>
                  <w:r>
                    <w:t>2025</w:t>
                  </w:r>
                </w:p>
              </w:tc>
              <w:tc>
                <w:tcPr>
                  <w:tcW w:w="345" w:type="pct"/>
                  <w:tcBorders>
                    <w:top w:val="single" w:sz="6" w:space="0" w:color="BFBFBF"/>
                    <w:bottom w:val="single" w:sz="6" w:space="0" w:color="BFBFBF"/>
                  </w:tcBorders>
                </w:tcPr>
                <w:p w14:paraId="38FFDD14" w14:textId="77777777" w:rsidR="008017D2" w:rsidRDefault="008017D2" w:rsidP="008017D2">
                  <w:pPr>
                    <w:pStyle w:val="TableColumnHeading"/>
                    <w:ind w:right="28"/>
                  </w:pPr>
                  <w:r>
                    <w:t>2030</w:t>
                  </w:r>
                </w:p>
              </w:tc>
              <w:tc>
                <w:tcPr>
                  <w:tcW w:w="336" w:type="pct"/>
                  <w:tcBorders>
                    <w:top w:val="single" w:sz="6" w:space="0" w:color="BFBFBF"/>
                    <w:bottom w:val="single" w:sz="6" w:space="0" w:color="BFBFBF"/>
                  </w:tcBorders>
                  <w:shd w:val="clear" w:color="auto" w:fill="auto"/>
                  <w:tcMar>
                    <w:top w:w="28" w:type="dxa"/>
                  </w:tcMar>
                </w:tcPr>
                <w:p w14:paraId="38FFDD15" w14:textId="77777777" w:rsidR="008017D2" w:rsidRDefault="008017D2" w:rsidP="008017D2">
                  <w:pPr>
                    <w:pStyle w:val="TableColumnHeading"/>
                    <w:ind w:right="28"/>
                  </w:pPr>
                  <w:r>
                    <w:t>2040</w:t>
                  </w:r>
                </w:p>
              </w:tc>
            </w:tr>
            <w:tr w:rsidR="008017D2" w14:paraId="38FFDD1D" w14:textId="77777777" w:rsidTr="008017D2">
              <w:tc>
                <w:tcPr>
                  <w:tcW w:w="3265" w:type="pct"/>
                  <w:tcBorders>
                    <w:top w:val="single" w:sz="6" w:space="0" w:color="BFBFBF"/>
                  </w:tcBorders>
                </w:tcPr>
                <w:p w14:paraId="38FFDD17" w14:textId="77777777" w:rsidR="008017D2" w:rsidRDefault="008017D2" w:rsidP="00560EDC">
                  <w:pPr>
                    <w:pStyle w:val="TableBodyText"/>
                    <w:jc w:val="left"/>
                  </w:pPr>
                  <w:r>
                    <w:t>National rate of improvement in health of those in poor or fair health</w:t>
                  </w:r>
                </w:p>
              </w:tc>
              <w:tc>
                <w:tcPr>
                  <w:tcW w:w="334" w:type="pct"/>
                  <w:tcBorders>
                    <w:top w:val="single" w:sz="6" w:space="0" w:color="BFBFBF"/>
                  </w:tcBorders>
                </w:tcPr>
                <w:p w14:paraId="38FFDD18" w14:textId="77777777" w:rsidR="008017D2" w:rsidRDefault="008017D2" w:rsidP="008017D2">
                  <w:pPr>
                    <w:pStyle w:val="TableBodyText"/>
                  </w:pPr>
                  <w:r>
                    <w:t>%</w:t>
                  </w:r>
                </w:p>
              </w:tc>
              <w:tc>
                <w:tcPr>
                  <w:tcW w:w="417" w:type="pct"/>
                  <w:tcBorders>
                    <w:top w:val="single" w:sz="6" w:space="0" w:color="BFBFBF"/>
                  </w:tcBorders>
                  <w:vAlign w:val="bottom"/>
                </w:tcPr>
                <w:p w14:paraId="38FFDD19" w14:textId="77777777" w:rsidR="008017D2" w:rsidRPr="00910372" w:rsidRDefault="008017D2" w:rsidP="008017D2">
                  <w:pPr>
                    <w:pStyle w:val="TableBodyText"/>
                  </w:pPr>
                  <w:r w:rsidRPr="00910372">
                    <w:t>2</w:t>
                  </w:r>
                </w:p>
              </w:tc>
              <w:tc>
                <w:tcPr>
                  <w:tcW w:w="303" w:type="pct"/>
                  <w:tcBorders>
                    <w:top w:val="single" w:sz="6" w:space="0" w:color="BFBFBF"/>
                  </w:tcBorders>
                  <w:vAlign w:val="bottom"/>
                </w:tcPr>
                <w:p w14:paraId="38FFDD1A" w14:textId="77777777" w:rsidR="008017D2" w:rsidRPr="00910372" w:rsidRDefault="008017D2" w:rsidP="008017D2">
                  <w:pPr>
                    <w:pStyle w:val="TableBodyText"/>
                  </w:pPr>
                  <w:r>
                    <w:t>11</w:t>
                  </w:r>
                </w:p>
              </w:tc>
              <w:tc>
                <w:tcPr>
                  <w:tcW w:w="345" w:type="pct"/>
                  <w:tcBorders>
                    <w:top w:val="single" w:sz="6" w:space="0" w:color="BFBFBF"/>
                  </w:tcBorders>
                  <w:vAlign w:val="bottom"/>
                </w:tcPr>
                <w:p w14:paraId="38FFDD1B" w14:textId="77777777" w:rsidR="008017D2" w:rsidRPr="00910372" w:rsidRDefault="008017D2" w:rsidP="008017D2">
                  <w:pPr>
                    <w:pStyle w:val="TableBodyText"/>
                  </w:pPr>
                  <w:r>
                    <w:t>19</w:t>
                  </w:r>
                </w:p>
              </w:tc>
              <w:tc>
                <w:tcPr>
                  <w:tcW w:w="336" w:type="pct"/>
                  <w:tcBorders>
                    <w:top w:val="single" w:sz="6" w:space="0" w:color="BFBFBF"/>
                  </w:tcBorders>
                  <w:vAlign w:val="bottom"/>
                </w:tcPr>
                <w:p w14:paraId="38FFDD1C" w14:textId="77777777" w:rsidR="008017D2" w:rsidRPr="00910372" w:rsidRDefault="008017D2" w:rsidP="008017D2">
                  <w:pPr>
                    <w:pStyle w:val="TableBodyText"/>
                  </w:pPr>
                  <w:r w:rsidRPr="00910372">
                    <w:t>30</w:t>
                  </w:r>
                </w:p>
              </w:tc>
            </w:tr>
            <w:tr w:rsidR="008017D2" w14:paraId="38FFDD24" w14:textId="77777777" w:rsidTr="008017D2">
              <w:tc>
                <w:tcPr>
                  <w:tcW w:w="3265" w:type="pct"/>
                </w:tcPr>
                <w:p w14:paraId="38FFDD1E" w14:textId="77777777" w:rsidR="008017D2" w:rsidRDefault="008017D2" w:rsidP="008017D2">
                  <w:pPr>
                    <w:pStyle w:val="TableBodyText"/>
                    <w:jc w:val="left"/>
                  </w:pPr>
                  <w:r>
                    <w:t>National average rate of effectiveness of integrated care</w:t>
                  </w:r>
                </w:p>
              </w:tc>
              <w:tc>
                <w:tcPr>
                  <w:tcW w:w="334" w:type="pct"/>
                </w:tcPr>
                <w:p w14:paraId="38FFDD1F" w14:textId="77777777" w:rsidR="008017D2" w:rsidRDefault="008017D2" w:rsidP="008017D2">
                  <w:pPr>
                    <w:pStyle w:val="TableBodyText"/>
                  </w:pPr>
                  <w:r>
                    <w:t>%</w:t>
                  </w:r>
                </w:p>
              </w:tc>
              <w:tc>
                <w:tcPr>
                  <w:tcW w:w="417" w:type="pct"/>
                  <w:vAlign w:val="bottom"/>
                </w:tcPr>
                <w:p w14:paraId="38FFDD20" w14:textId="77777777" w:rsidR="008017D2" w:rsidRPr="00910372" w:rsidRDefault="008017D2" w:rsidP="008017D2">
                  <w:pPr>
                    <w:pStyle w:val="TableBodyText"/>
                  </w:pPr>
                  <w:r w:rsidRPr="00910372">
                    <w:t>2</w:t>
                  </w:r>
                </w:p>
              </w:tc>
              <w:tc>
                <w:tcPr>
                  <w:tcW w:w="303" w:type="pct"/>
                  <w:vAlign w:val="bottom"/>
                </w:tcPr>
                <w:p w14:paraId="38FFDD21" w14:textId="77777777" w:rsidR="008017D2" w:rsidRPr="00910372" w:rsidRDefault="008017D2" w:rsidP="008017D2">
                  <w:pPr>
                    <w:pStyle w:val="TableBodyText"/>
                  </w:pPr>
                  <w:r>
                    <w:t>11</w:t>
                  </w:r>
                </w:p>
              </w:tc>
              <w:tc>
                <w:tcPr>
                  <w:tcW w:w="345" w:type="pct"/>
                  <w:vAlign w:val="bottom"/>
                </w:tcPr>
                <w:p w14:paraId="38FFDD22" w14:textId="77777777" w:rsidR="008017D2" w:rsidRPr="00910372" w:rsidRDefault="008017D2" w:rsidP="008017D2">
                  <w:pPr>
                    <w:pStyle w:val="TableBodyText"/>
                  </w:pPr>
                  <w:r>
                    <w:t>19</w:t>
                  </w:r>
                </w:p>
              </w:tc>
              <w:tc>
                <w:tcPr>
                  <w:tcW w:w="336" w:type="pct"/>
                  <w:vAlign w:val="bottom"/>
                </w:tcPr>
                <w:p w14:paraId="38FFDD23" w14:textId="77777777" w:rsidR="008017D2" w:rsidRPr="00910372" w:rsidRDefault="008017D2" w:rsidP="008017D2">
                  <w:pPr>
                    <w:pStyle w:val="TableBodyText"/>
                  </w:pPr>
                  <w:r w:rsidRPr="00910372">
                    <w:t>30</w:t>
                  </w:r>
                </w:p>
              </w:tc>
            </w:tr>
            <w:tr w:rsidR="008017D2" w14:paraId="38FFDD2B" w14:textId="77777777" w:rsidTr="008017D2">
              <w:tc>
                <w:tcPr>
                  <w:tcW w:w="3265" w:type="pct"/>
                </w:tcPr>
                <w:p w14:paraId="38FFDD25" w14:textId="77777777" w:rsidR="008017D2" w:rsidRDefault="008017D2" w:rsidP="008017D2">
                  <w:pPr>
                    <w:pStyle w:val="TableBodyText"/>
                    <w:jc w:val="left"/>
                  </w:pPr>
                  <w:r>
                    <w:t xml:space="preserve"> National rate of adoption of integrated care (as a share of LHNs)</w:t>
                  </w:r>
                </w:p>
              </w:tc>
              <w:tc>
                <w:tcPr>
                  <w:tcW w:w="334" w:type="pct"/>
                </w:tcPr>
                <w:p w14:paraId="38FFDD26" w14:textId="77777777" w:rsidR="008017D2" w:rsidRDefault="008017D2" w:rsidP="008017D2">
                  <w:pPr>
                    <w:pStyle w:val="TableBodyText"/>
                  </w:pPr>
                  <w:r>
                    <w:t>%</w:t>
                  </w:r>
                </w:p>
              </w:tc>
              <w:tc>
                <w:tcPr>
                  <w:tcW w:w="417" w:type="pct"/>
                </w:tcPr>
                <w:p w14:paraId="38FFDD27" w14:textId="77777777" w:rsidR="008017D2" w:rsidRPr="00910372" w:rsidRDefault="008017D2" w:rsidP="008017D2">
                  <w:pPr>
                    <w:pStyle w:val="TableBodyText"/>
                  </w:pPr>
                  <w:r w:rsidRPr="00910372">
                    <w:t>5</w:t>
                  </w:r>
                </w:p>
              </w:tc>
              <w:tc>
                <w:tcPr>
                  <w:tcW w:w="303" w:type="pct"/>
                </w:tcPr>
                <w:p w14:paraId="38FFDD28" w14:textId="77777777" w:rsidR="008017D2" w:rsidRPr="00910372" w:rsidRDefault="008017D2" w:rsidP="008017D2">
                  <w:pPr>
                    <w:pStyle w:val="TableBodyText"/>
                  </w:pPr>
                  <w:r>
                    <w:t>30</w:t>
                  </w:r>
                </w:p>
              </w:tc>
              <w:tc>
                <w:tcPr>
                  <w:tcW w:w="345" w:type="pct"/>
                </w:tcPr>
                <w:p w14:paraId="38FFDD29" w14:textId="77777777" w:rsidR="008017D2" w:rsidRPr="00910372" w:rsidRDefault="008017D2" w:rsidP="008017D2">
                  <w:pPr>
                    <w:pStyle w:val="TableBodyText"/>
                  </w:pPr>
                  <w:r>
                    <w:t>55</w:t>
                  </w:r>
                </w:p>
              </w:tc>
              <w:tc>
                <w:tcPr>
                  <w:tcW w:w="336" w:type="pct"/>
                </w:tcPr>
                <w:p w14:paraId="38FFDD2A" w14:textId="77777777" w:rsidR="008017D2" w:rsidRPr="00910372" w:rsidRDefault="008017D2" w:rsidP="008017D2">
                  <w:pPr>
                    <w:pStyle w:val="TableBodyText"/>
                  </w:pPr>
                  <w:r w:rsidRPr="00910372">
                    <w:t>100</w:t>
                  </w:r>
                </w:p>
              </w:tc>
            </w:tr>
            <w:tr w:rsidR="008017D2" w14:paraId="38FFDD32" w14:textId="77777777" w:rsidTr="008017D2">
              <w:tc>
                <w:tcPr>
                  <w:tcW w:w="3265" w:type="pct"/>
                  <w:tcBorders>
                    <w:bottom w:val="single" w:sz="6" w:space="0" w:color="BFBFBF"/>
                  </w:tcBorders>
                  <w:shd w:val="clear" w:color="auto" w:fill="auto"/>
                </w:tcPr>
                <w:p w14:paraId="38FFDD2C" w14:textId="72294626" w:rsidR="008017D2" w:rsidRDefault="007A0937" w:rsidP="003A6A15">
                  <w:pPr>
                    <w:pStyle w:val="TableBodyText"/>
                    <w:jc w:val="left"/>
                  </w:pPr>
                  <w:r>
                    <w:t xml:space="preserve"> Effectiveness of LHN</w:t>
                  </w:r>
                  <w:r>
                    <w:noBreakHyphen/>
                    <w:t>PHN</w:t>
                  </w:r>
                  <w:r w:rsidR="008017D2">
                    <w:t xml:space="preserve"> </w:t>
                  </w:r>
                  <w:r>
                    <w:t>partnerships</w:t>
                  </w:r>
                </w:p>
              </w:tc>
              <w:tc>
                <w:tcPr>
                  <w:tcW w:w="334" w:type="pct"/>
                  <w:tcBorders>
                    <w:bottom w:val="single" w:sz="6" w:space="0" w:color="BFBFBF"/>
                  </w:tcBorders>
                </w:tcPr>
                <w:p w14:paraId="38FFDD2D" w14:textId="77777777" w:rsidR="008017D2" w:rsidRDefault="008017D2" w:rsidP="008017D2">
                  <w:pPr>
                    <w:pStyle w:val="TableBodyText"/>
                  </w:pPr>
                  <w:r>
                    <w:t>%</w:t>
                  </w:r>
                </w:p>
              </w:tc>
              <w:tc>
                <w:tcPr>
                  <w:tcW w:w="417" w:type="pct"/>
                  <w:tcBorders>
                    <w:bottom w:val="single" w:sz="6" w:space="0" w:color="BFBFBF"/>
                  </w:tcBorders>
                  <w:shd w:val="clear" w:color="auto" w:fill="auto"/>
                </w:tcPr>
                <w:p w14:paraId="38FFDD2E" w14:textId="77777777" w:rsidR="008017D2" w:rsidRPr="00910372" w:rsidRDefault="008017D2" w:rsidP="008017D2">
                  <w:pPr>
                    <w:pStyle w:val="TableBodyText"/>
                  </w:pPr>
                  <w:r w:rsidRPr="00910372">
                    <w:t>45</w:t>
                  </w:r>
                </w:p>
              </w:tc>
              <w:tc>
                <w:tcPr>
                  <w:tcW w:w="303" w:type="pct"/>
                  <w:tcBorders>
                    <w:bottom w:val="single" w:sz="6" w:space="0" w:color="BFBFBF"/>
                  </w:tcBorders>
                </w:tcPr>
                <w:p w14:paraId="38FFDD2F" w14:textId="77777777" w:rsidR="008017D2" w:rsidRPr="00910372" w:rsidRDefault="008017D2" w:rsidP="008017D2">
                  <w:pPr>
                    <w:pStyle w:val="TableBodyText"/>
                  </w:pPr>
                  <w:r>
                    <w:t>38</w:t>
                  </w:r>
                </w:p>
              </w:tc>
              <w:tc>
                <w:tcPr>
                  <w:tcW w:w="345" w:type="pct"/>
                  <w:tcBorders>
                    <w:bottom w:val="single" w:sz="6" w:space="0" w:color="BFBFBF"/>
                  </w:tcBorders>
                </w:tcPr>
                <w:p w14:paraId="38FFDD30" w14:textId="77777777" w:rsidR="008017D2" w:rsidRPr="00910372" w:rsidRDefault="008017D2" w:rsidP="008017D2">
                  <w:pPr>
                    <w:pStyle w:val="TableBodyText"/>
                  </w:pPr>
                  <w:r w:rsidRPr="00910372">
                    <w:t>3</w:t>
                  </w:r>
                  <w:r>
                    <w:t>4</w:t>
                  </w:r>
                </w:p>
              </w:tc>
              <w:tc>
                <w:tcPr>
                  <w:tcW w:w="336" w:type="pct"/>
                  <w:tcBorders>
                    <w:bottom w:val="single" w:sz="6" w:space="0" w:color="BFBFBF"/>
                  </w:tcBorders>
                  <w:shd w:val="clear" w:color="auto" w:fill="auto"/>
                </w:tcPr>
                <w:p w14:paraId="38FFDD31" w14:textId="77777777" w:rsidR="008017D2" w:rsidRPr="00910372" w:rsidRDefault="008017D2" w:rsidP="008017D2">
                  <w:pPr>
                    <w:pStyle w:val="TableBodyText"/>
                  </w:pPr>
                  <w:r w:rsidRPr="00910372">
                    <w:t>30</w:t>
                  </w:r>
                </w:p>
              </w:tc>
            </w:tr>
          </w:tbl>
          <w:p w14:paraId="38FFDD33" w14:textId="77777777" w:rsidR="008017D2" w:rsidRDefault="008017D2" w:rsidP="008017D2">
            <w:pPr>
              <w:pStyle w:val="Box"/>
            </w:pPr>
          </w:p>
        </w:tc>
      </w:tr>
      <w:tr w:rsidR="008017D2" w14:paraId="38FFDD36" w14:textId="77777777" w:rsidTr="008017D2">
        <w:tc>
          <w:tcPr>
            <w:tcW w:w="5000" w:type="pct"/>
            <w:tcBorders>
              <w:top w:val="nil"/>
              <w:left w:val="nil"/>
              <w:bottom w:val="nil"/>
              <w:right w:val="nil"/>
            </w:tcBorders>
            <w:shd w:val="clear" w:color="auto" w:fill="auto"/>
          </w:tcPr>
          <w:p w14:paraId="38FFDD35" w14:textId="77777777" w:rsidR="008017D2" w:rsidRDefault="008017D2" w:rsidP="008017D2">
            <w:pPr>
              <w:pStyle w:val="Source"/>
            </w:pPr>
            <w:r>
              <w:rPr>
                <w:i/>
              </w:rPr>
              <w:t>Source</w:t>
            </w:r>
            <w:r w:rsidRPr="00167F06">
              <w:t xml:space="preserve">: </w:t>
            </w:r>
            <w:r w:rsidR="00A321BD">
              <w:t xml:space="preserve">Productivity </w:t>
            </w:r>
            <w:r>
              <w:t>Commission estimates.</w:t>
            </w:r>
          </w:p>
        </w:tc>
      </w:tr>
      <w:tr w:rsidR="008017D2" w14:paraId="38FFDD38" w14:textId="77777777" w:rsidTr="008017D2">
        <w:tc>
          <w:tcPr>
            <w:tcW w:w="5000" w:type="pct"/>
            <w:tcBorders>
              <w:top w:val="nil"/>
              <w:left w:val="nil"/>
              <w:bottom w:val="single" w:sz="6" w:space="0" w:color="78A22F"/>
              <w:right w:val="nil"/>
            </w:tcBorders>
            <w:shd w:val="clear" w:color="auto" w:fill="auto"/>
          </w:tcPr>
          <w:p w14:paraId="38FFDD37" w14:textId="77777777" w:rsidR="008017D2" w:rsidRDefault="008017D2" w:rsidP="008017D2">
            <w:pPr>
              <w:pStyle w:val="Box"/>
              <w:spacing w:before="0" w:line="120" w:lineRule="exact"/>
            </w:pPr>
          </w:p>
        </w:tc>
      </w:tr>
      <w:tr w:rsidR="008017D2" w:rsidRPr="000863A5" w14:paraId="38FFDD3A" w14:textId="77777777" w:rsidTr="008017D2">
        <w:tc>
          <w:tcPr>
            <w:tcW w:w="5000" w:type="pct"/>
            <w:tcBorders>
              <w:top w:val="single" w:sz="6" w:space="0" w:color="78A22F"/>
              <w:left w:val="nil"/>
              <w:bottom w:val="nil"/>
              <w:right w:val="nil"/>
            </w:tcBorders>
          </w:tcPr>
          <w:p w14:paraId="38FFDD39" w14:textId="77777777" w:rsidR="008017D2" w:rsidRPr="00626D32" w:rsidRDefault="008017D2" w:rsidP="008017D2">
            <w:pPr>
              <w:pStyle w:val="BoxSpaceBelow"/>
            </w:pPr>
          </w:p>
        </w:tc>
      </w:tr>
    </w:tbl>
    <w:p w14:paraId="38FFDD3B" w14:textId="77777777" w:rsidR="00B254F9" w:rsidRDefault="00B254F9" w:rsidP="00B254F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B254F9" w14:paraId="38FFDD3D" w14:textId="77777777" w:rsidTr="005B524E">
        <w:tc>
          <w:tcPr>
            <w:tcW w:w="5000" w:type="pct"/>
            <w:tcBorders>
              <w:top w:val="single" w:sz="6" w:space="0" w:color="78A22F"/>
              <w:left w:val="nil"/>
              <w:bottom w:val="nil"/>
              <w:right w:val="nil"/>
            </w:tcBorders>
            <w:shd w:val="clear" w:color="auto" w:fill="F2F2F2"/>
          </w:tcPr>
          <w:p w14:paraId="38FFDD3C" w14:textId="77777777" w:rsidR="00B254F9" w:rsidRDefault="00B254F9" w:rsidP="007C52E2">
            <w:pPr>
              <w:pStyle w:val="BoxTitle"/>
            </w:pPr>
            <w:r>
              <w:rPr>
                <w:b w:val="0"/>
              </w:rPr>
              <w:t xml:space="preserve">Box </w:t>
            </w:r>
            <w:r w:rsidR="007C52E2">
              <w:rPr>
                <w:b w:val="0"/>
              </w:rPr>
              <w:t>1</w:t>
            </w:r>
            <w:r>
              <w:tab/>
              <w:t>The calculations behind the numbers: A summary</w:t>
            </w:r>
          </w:p>
        </w:tc>
      </w:tr>
      <w:tr w:rsidR="00B254F9" w14:paraId="38FFDD50" w14:textId="77777777" w:rsidTr="005B524E">
        <w:tc>
          <w:tcPr>
            <w:tcW w:w="5000" w:type="pct"/>
            <w:tcBorders>
              <w:top w:val="nil"/>
              <w:left w:val="nil"/>
              <w:bottom w:val="nil"/>
              <w:right w:val="nil"/>
            </w:tcBorders>
            <w:shd w:val="clear" w:color="auto" w:fill="F2F2F2"/>
          </w:tcPr>
          <w:p w14:paraId="38FFDD3E" w14:textId="77777777" w:rsidR="00B254F9" w:rsidRPr="00C92F58" w:rsidRDefault="00B254F9" w:rsidP="005B524E">
            <w:pPr>
              <w:pStyle w:val="Box"/>
              <w:rPr>
                <w:i/>
              </w:rPr>
            </w:pPr>
            <w:r w:rsidRPr="00C92F58">
              <w:rPr>
                <w:i/>
              </w:rPr>
              <w:t xml:space="preserve">National rate of improvement in the health of those in poor or fair health = National average rate of effectiveness of </w:t>
            </w:r>
            <w:r w:rsidR="00E25C25" w:rsidRPr="00C92F58">
              <w:rPr>
                <w:i/>
              </w:rPr>
              <w:t>integrated care</w:t>
            </w:r>
          </w:p>
          <w:p w14:paraId="38FFDD3F" w14:textId="77777777" w:rsidR="00B254F9" w:rsidRPr="00C92F58" w:rsidRDefault="00B254F9" w:rsidP="005B524E">
            <w:pPr>
              <w:pStyle w:val="Box"/>
              <w:rPr>
                <w:i/>
              </w:rPr>
            </w:pPr>
            <w:r w:rsidRPr="00C92F58">
              <w:rPr>
                <w:i/>
              </w:rPr>
              <w:t xml:space="preserve">National average rate of effectiveness of </w:t>
            </w:r>
            <w:r w:rsidR="00E25C25" w:rsidRPr="00C92F58">
              <w:rPr>
                <w:i/>
              </w:rPr>
              <w:t>integrated care</w:t>
            </w:r>
            <w:r w:rsidRPr="00C92F58">
              <w:rPr>
                <w:i/>
              </w:rPr>
              <w:t xml:space="preserve"> = Effectiveness of LHN</w:t>
            </w:r>
            <w:r w:rsidRPr="00C92F58">
              <w:rPr>
                <w:i/>
              </w:rPr>
              <w:noBreakHyphen/>
              <w:t>PHN</w:t>
            </w:r>
            <w:r w:rsidR="00C92F58">
              <w:rPr>
                <w:i/>
              </w:rPr>
              <w:t xml:space="preserve"> partnerships</w:t>
            </w:r>
            <w:r w:rsidRPr="00C92F58">
              <w:rPr>
                <w:i/>
              </w:rPr>
              <w:t xml:space="preserve"> * Assumed national rate of adoption of integrated care</w:t>
            </w:r>
          </w:p>
          <w:p w14:paraId="38FFDD40" w14:textId="1DD87858" w:rsidR="00B254F9" w:rsidRPr="00C92F58" w:rsidRDefault="00B254F9" w:rsidP="005B524E">
            <w:pPr>
              <w:pStyle w:val="Box"/>
              <w:rPr>
                <w:i/>
              </w:rPr>
            </w:pPr>
            <w:r w:rsidRPr="00C92F58">
              <w:rPr>
                <w:i/>
              </w:rPr>
              <w:t>Effectiveness of LHN</w:t>
            </w:r>
            <w:r w:rsidRPr="00C92F58">
              <w:rPr>
                <w:i/>
              </w:rPr>
              <w:noBreakHyphen/>
              <w:t xml:space="preserve">PHN </w:t>
            </w:r>
            <w:r w:rsidR="00C92F58">
              <w:rPr>
                <w:i/>
              </w:rPr>
              <w:t>partnerships</w:t>
            </w:r>
            <w:r w:rsidR="00C92F58" w:rsidRPr="00C92F58">
              <w:rPr>
                <w:i/>
              </w:rPr>
              <w:t xml:space="preserve"> </w:t>
            </w:r>
            <w:r w:rsidRPr="00C92F58">
              <w:rPr>
                <w:i/>
              </w:rPr>
              <w:t>= Weighted sum of the assumed effectiveness of the various LHN</w:t>
            </w:r>
            <w:r w:rsidR="003E1EFD" w:rsidRPr="00C92F58">
              <w:rPr>
                <w:i/>
              </w:rPr>
              <w:t>s</w:t>
            </w:r>
            <w:r w:rsidR="00B53B29">
              <w:rPr>
                <w:i/>
              </w:rPr>
              <w:noBreakHyphen/>
            </w:r>
            <w:r w:rsidRPr="00C92F58">
              <w:rPr>
                <w:i/>
              </w:rPr>
              <w:t>PHN</w:t>
            </w:r>
            <w:r w:rsidR="003E1EFD" w:rsidRPr="00C92F58">
              <w:rPr>
                <w:i/>
              </w:rPr>
              <w:t>s</w:t>
            </w:r>
            <w:r w:rsidRPr="00C92F58">
              <w:rPr>
                <w:i/>
              </w:rPr>
              <w:t xml:space="preserve"> that have adopted integrated care</w:t>
            </w:r>
          </w:p>
          <w:p w14:paraId="38FFDD41" w14:textId="4B2A835A" w:rsidR="00560EDC" w:rsidRPr="00C92F58" w:rsidRDefault="00560EDC" w:rsidP="005B524E">
            <w:pPr>
              <w:pStyle w:val="Box"/>
              <w:rPr>
                <w:i/>
              </w:rPr>
            </w:pPr>
            <w:r w:rsidRPr="00C92F58">
              <w:rPr>
                <w:i/>
              </w:rPr>
              <w:t>Personal benefit from additional employment</w:t>
            </w:r>
            <w:r w:rsidR="00B564B2" w:rsidRPr="00C92F58">
              <w:rPr>
                <w:i/>
              </w:rPr>
              <w:t xml:space="preserve"> (or home based production</w:t>
            </w:r>
            <w:r w:rsidR="006B2C92" w:rsidRPr="00C92F58">
              <w:rPr>
                <w:i/>
              </w:rPr>
              <w:t xml:space="preserve"> or leisure</w:t>
            </w:r>
            <w:r w:rsidR="00B564B2" w:rsidRPr="00C92F58">
              <w:rPr>
                <w:i/>
              </w:rPr>
              <w:t>)</w:t>
            </w:r>
            <w:r w:rsidRPr="00C92F58">
              <w:rPr>
                <w:i/>
              </w:rPr>
              <w:t xml:space="preserve"> = </w:t>
            </w:r>
            <w:r w:rsidR="00B564B2" w:rsidRPr="00C92F58">
              <w:rPr>
                <w:i/>
              </w:rPr>
              <w:t xml:space="preserve">Additional days of good health * </w:t>
            </w:r>
            <w:r w:rsidRPr="00C92F58">
              <w:rPr>
                <w:i/>
              </w:rPr>
              <w:t xml:space="preserve">Proportion of additional days of good health allocated to </w:t>
            </w:r>
            <w:r w:rsidR="00B564B2" w:rsidRPr="00C92F58">
              <w:rPr>
                <w:i/>
              </w:rPr>
              <w:t xml:space="preserve">that activity * </w:t>
            </w:r>
            <w:r w:rsidR="00757536">
              <w:rPr>
                <w:i/>
              </w:rPr>
              <w:t>A proportion of the a</w:t>
            </w:r>
            <w:r w:rsidRPr="00C92F58">
              <w:rPr>
                <w:i/>
              </w:rPr>
              <w:t>verage wage</w:t>
            </w:r>
            <w:r w:rsidR="00B564B2" w:rsidRPr="00C92F58">
              <w:rPr>
                <w:i/>
              </w:rPr>
              <w:t xml:space="preserve"> (</w:t>
            </w:r>
            <w:r w:rsidR="00757536">
              <w:rPr>
                <w:i/>
              </w:rPr>
              <w:t>as specified</w:t>
            </w:r>
            <w:r w:rsidR="00B564B2" w:rsidRPr="00C92F58">
              <w:rPr>
                <w:i/>
              </w:rPr>
              <w:t xml:space="preserve"> below)</w:t>
            </w:r>
          </w:p>
          <w:p w14:paraId="38FFDD42" w14:textId="77777777" w:rsidR="00560EDC" w:rsidRPr="00C92F58" w:rsidRDefault="00560EDC" w:rsidP="005B524E">
            <w:pPr>
              <w:pStyle w:val="Box"/>
              <w:rPr>
                <w:i/>
              </w:rPr>
            </w:pPr>
            <w:r w:rsidRPr="00C92F58">
              <w:rPr>
                <w:i/>
              </w:rPr>
              <w:t>Additional days of good health =</w:t>
            </w:r>
            <w:r w:rsidR="00B564B2" w:rsidRPr="00C92F58">
              <w:rPr>
                <w:i/>
              </w:rPr>
              <w:t xml:space="preserve"> Reduction in hospital bed days</w:t>
            </w:r>
          </w:p>
          <w:p w14:paraId="38FFDD43" w14:textId="77777777" w:rsidR="00B564B2" w:rsidRPr="00C92F58" w:rsidRDefault="00B564B2" w:rsidP="00B564B2">
            <w:pPr>
              <w:pStyle w:val="Box"/>
              <w:rPr>
                <w:i/>
              </w:rPr>
            </w:pPr>
            <w:r w:rsidRPr="00C92F58">
              <w:rPr>
                <w:i/>
              </w:rPr>
              <w:t>Total workforce effect on GDP = GDP impact from those whose health has improved + GDP impact from freeing up carers</w:t>
            </w:r>
          </w:p>
          <w:p w14:paraId="38FFDD44" w14:textId="77777777" w:rsidR="00B564B2" w:rsidRPr="00C92F58" w:rsidRDefault="00B564B2" w:rsidP="00B564B2">
            <w:pPr>
              <w:pStyle w:val="Box"/>
              <w:rPr>
                <w:i/>
              </w:rPr>
            </w:pPr>
            <w:r w:rsidRPr="00C92F58">
              <w:rPr>
                <w:i/>
              </w:rPr>
              <w:t>GDP impact from those whose health has improved (as a percentage change from counterfactual) = Assumed GDP health elasticity * National rate of improvement in the health of those in poor or fair health</w:t>
            </w:r>
          </w:p>
          <w:p w14:paraId="38FFDD45" w14:textId="77777777" w:rsidR="00B564B2" w:rsidRPr="00C92F58" w:rsidRDefault="00B564B2" w:rsidP="00B564B2">
            <w:pPr>
              <w:pStyle w:val="Box"/>
              <w:rPr>
                <w:i/>
              </w:rPr>
            </w:pPr>
            <w:r w:rsidRPr="00C92F58">
              <w:rPr>
                <w:i/>
              </w:rPr>
              <w:t>GDP impact from freeing up carers = GDP impact from those whose health has improved * Days carers spend caring as a ratio to days spent in hospital * Assumed participation rate of carers</w:t>
            </w:r>
          </w:p>
          <w:p w14:paraId="38FFDD46" w14:textId="77777777" w:rsidR="00B254F9" w:rsidRPr="00C92F58" w:rsidRDefault="00B254F9" w:rsidP="005B524E">
            <w:pPr>
              <w:pStyle w:val="Box"/>
              <w:rPr>
                <w:i/>
              </w:rPr>
            </w:pPr>
            <w:r w:rsidRPr="00C92F58">
              <w:rPr>
                <w:i/>
              </w:rPr>
              <w:t>Hospital recurrent spending dividend = Number of people whose health improves * Hospital recurrent spending dividend per patient</w:t>
            </w:r>
          </w:p>
          <w:p w14:paraId="38FFDD47" w14:textId="77777777" w:rsidR="00B254F9" w:rsidRPr="00C92F58" w:rsidRDefault="00B254F9" w:rsidP="005B524E">
            <w:pPr>
              <w:pStyle w:val="Box"/>
              <w:rPr>
                <w:i/>
              </w:rPr>
            </w:pPr>
            <w:r w:rsidRPr="00C92F58">
              <w:rPr>
                <w:i/>
              </w:rPr>
              <w:t xml:space="preserve">Number of people whose health improves = </w:t>
            </w:r>
            <w:r w:rsidR="00AD3DE1" w:rsidRPr="00C92F58">
              <w:rPr>
                <w:i/>
              </w:rPr>
              <w:t xml:space="preserve">National population </w:t>
            </w:r>
            <w:r w:rsidRPr="00C92F58">
              <w:rPr>
                <w:i/>
              </w:rPr>
              <w:t xml:space="preserve">assumed to </w:t>
            </w:r>
            <w:r w:rsidR="00AD3DE1" w:rsidRPr="00C92F58">
              <w:rPr>
                <w:i/>
              </w:rPr>
              <w:t xml:space="preserve">be </w:t>
            </w:r>
            <w:r w:rsidRPr="00C92F58">
              <w:rPr>
                <w:i/>
              </w:rPr>
              <w:t>in poor or fair health * Assumed national rate of adoption of integrated care</w:t>
            </w:r>
          </w:p>
          <w:p w14:paraId="38FFDD48" w14:textId="77777777" w:rsidR="00B254F9" w:rsidRPr="00C92F58" w:rsidRDefault="00B254F9" w:rsidP="005B524E">
            <w:pPr>
              <w:pStyle w:val="Box"/>
              <w:rPr>
                <w:i/>
              </w:rPr>
            </w:pPr>
            <w:r w:rsidRPr="00C92F58">
              <w:rPr>
                <w:i/>
              </w:rPr>
              <w:t>Hospital recurrent spending dividend per patient = Averted hospital recurrent cost per patient – Assumed cost of integrated care per patient</w:t>
            </w:r>
          </w:p>
          <w:p w14:paraId="38FFDD49" w14:textId="200C9C62" w:rsidR="00B254F9" w:rsidRDefault="00B254F9" w:rsidP="005B524E">
            <w:pPr>
              <w:pStyle w:val="Box"/>
              <w:rPr>
                <w:i/>
              </w:rPr>
            </w:pPr>
            <w:r w:rsidRPr="00C92F58">
              <w:rPr>
                <w:i/>
              </w:rPr>
              <w:t>Averted hospital recurrent cost per patient = Assumed hospital recurrent cost per patie</w:t>
            </w:r>
            <w:r w:rsidR="007A0937">
              <w:rPr>
                <w:i/>
              </w:rPr>
              <w:t>nt * Effectiveness of LHN</w:t>
            </w:r>
            <w:r w:rsidR="00B53B29">
              <w:rPr>
                <w:i/>
              </w:rPr>
              <w:noBreakHyphen/>
            </w:r>
            <w:r w:rsidR="007A0937">
              <w:rPr>
                <w:i/>
              </w:rPr>
              <w:t>PHN partn</w:t>
            </w:r>
            <w:r w:rsidR="00EF112C">
              <w:rPr>
                <w:i/>
              </w:rPr>
              <w:t>er</w:t>
            </w:r>
            <w:r w:rsidR="007A0937">
              <w:rPr>
                <w:i/>
              </w:rPr>
              <w:t>ships</w:t>
            </w:r>
          </w:p>
          <w:p w14:paraId="143849B1" w14:textId="4CE0C6E1" w:rsidR="00757536" w:rsidRPr="00C92F58" w:rsidRDefault="00757536" w:rsidP="005B524E">
            <w:pPr>
              <w:pStyle w:val="Box"/>
              <w:rPr>
                <w:i/>
              </w:rPr>
            </w:pPr>
            <w:r>
              <w:rPr>
                <w:i/>
              </w:rPr>
              <w:t xml:space="preserve">Other health recurrent spending dividend = Other health recurrent spending for those in poor or fair health * </w:t>
            </w:r>
            <w:r w:rsidR="008B375E" w:rsidRPr="00C92F58">
              <w:rPr>
                <w:i/>
              </w:rPr>
              <w:t>National average rate of effectiveness of integrated care</w:t>
            </w:r>
          </w:p>
          <w:p w14:paraId="38FFDD4A" w14:textId="77777777" w:rsidR="00B254F9" w:rsidRPr="00C92F58" w:rsidRDefault="00B254F9" w:rsidP="005B524E">
            <w:pPr>
              <w:pStyle w:val="Box"/>
              <w:rPr>
                <w:i/>
              </w:rPr>
            </w:pPr>
            <w:r w:rsidRPr="00C92F58">
              <w:rPr>
                <w:i/>
              </w:rPr>
              <w:t>Hospital capital spending dividend = Reduction in beds required * Assumed hospital capital cost per bed</w:t>
            </w:r>
          </w:p>
          <w:p w14:paraId="38FFDD4B" w14:textId="77777777" w:rsidR="00B254F9" w:rsidRPr="00C92F58" w:rsidRDefault="00B254F9" w:rsidP="005B524E">
            <w:pPr>
              <w:pStyle w:val="Box"/>
              <w:rPr>
                <w:i/>
              </w:rPr>
            </w:pPr>
            <w:r w:rsidRPr="00C92F58">
              <w:rPr>
                <w:i/>
              </w:rPr>
              <w:t>Reduction in beds required = Reduction in hospital bed days/365.25 * Assumed occupancy rate</w:t>
            </w:r>
          </w:p>
          <w:p w14:paraId="38FFDD4C" w14:textId="77777777" w:rsidR="00B254F9" w:rsidRPr="00C92F58" w:rsidRDefault="00B254F9" w:rsidP="005B524E">
            <w:pPr>
              <w:pStyle w:val="Box"/>
              <w:rPr>
                <w:i/>
              </w:rPr>
            </w:pPr>
            <w:r w:rsidRPr="00C92F58">
              <w:rPr>
                <w:i/>
              </w:rPr>
              <w:t xml:space="preserve">Reduction in hospital bed days = Reduction in hospital separations * Assumed average length of stay </w:t>
            </w:r>
          </w:p>
          <w:p w14:paraId="38FFDD4D" w14:textId="77777777" w:rsidR="00B254F9" w:rsidRPr="00C92F58" w:rsidRDefault="00B254F9" w:rsidP="005B524E">
            <w:pPr>
              <w:pStyle w:val="Box"/>
              <w:rPr>
                <w:i/>
              </w:rPr>
            </w:pPr>
            <w:r w:rsidRPr="00C92F58">
              <w:rPr>
                <w:i/>
              </w:rPr>
              <w:t>Reduction in hospital separations = Assumed potentially preventable hospitalisations * National average rate of e</w:t>
            </w:r>
            <w:r w:rsidR="003E1EFD" w:rsidRPr="00C92F58">
              <w:rPr>
                <w:i/>
              </w:rPr>
              <w:t xml:space="preserve">ffectiveness of </w:t>
            </w:r>
            <w:r w:rsidR="00E25C25" w:rsidRPr="00C92F58">
              <w:rPr>
                <w:i/>
              </w:rPr>
              <w:t>integrated care</w:t>
            </w:r>
          </w:p>
          <w:p w14:paraId="38FFDD4E" w14:textId="77777777" w:rsidR="009941F4" w:rsidRPr="00C92F58" w:rsidRDefault="009941F4" w:rsidP="00E25C25">
            <w:pPr>
              <w:pStyle w:val="Box"/>
              <w:rPr>
                <w:i/>
              </w:rPr>
            </w:pPr>
            <w:r w:rsidRPr="00C92F58">
              <w:rPr>
                <w:i/>
              </w:rPr>
              <w:t xml:space="preserve">Reduction in low value hospital care = 10 per cent of </w:t>
            </w:r>
            <w:r w:rsidR="003E1EFD" w:rsidRPr="00C92F58">
              <w:rPr>
                <w:i/>
              </w:rPr>
              <w:t xml:space="preserve">counterfactual </w:t>
            </w:r>
            <w:r w:rsidR="009C2EA8" w:rsidRPr="00C92F58">
              <w:rPr>
                <w:i/>
              </w:rPr>
              <w:t>public hospital</w:t>
            </w:r>
            <w:r w:rsidR="003E1EFD" w:rsidRPr="00C92F58">
              <w:rPr>
                <w:i/>
              </w:rPr>
              <w:t xml:space="preserve"> spending * National average rate of effectiveness of </w:t>
            </w:r>
            <w:r w:rsidR="00E25C25" w:rsidRPr="00C92F58">
              <w:rPr>
                <w:i/>
              </w:rPr>
              <w:t>integrated care</w:t>
            </w:r>
          </w:p>
          <w:p w14:paraId="38FFDD4F" w14:textId="77777777" w:rsidR="009C2EA8" w:rsidRDefault="009C2EA8" w:rsidP="00FA6940">
            <w:pPr>
              <w:pStyle w:val="Box"/>
            </w:pPr>
            <w:r w:rsidRPr="00C92F58">
              <w:rPr>
                <w:i/>
              </w:rPr>
              <w:t xml:space="preserve">Reduction in low value care (other than public hospital care) = 10 per cent of counterfactual spending </w:t>
            </w:r>
            <w:r w:rsidR="00FA6940" w:rsidRPr="00C92F58">
              <w:rPr>
                <w:i/>
              </w:rPr>
              <w:t>for</w:t>
            </w:r>
            <w:r w:rsidRPr="00C92F58">
              <w:rPr>
                <w:i/>
              </w:rPr>
              <w:t xml:space="preserve"> private hospitals, primary health care (other than dental and non</w:t>
            </w:r>
            <w:r w:rsidRPr="00C92F58">
              <w:rPr>
                <w:i/>
              </w:rPr>
              <w:noBreakHyphen/>
              <w:t xml:space="preserve">PBS medications), </w:t>
            </w:r>
            <w:r w:rsidR="00FA6940" w:rsidRPr="00C92F58">
              <w:rPr>
                <w:i/>
              </w:rPr>
              <w:t xml:space="preserve">patient transport, aids and appliances and capital </w:t>
            </w:r>
            <w:r w:rsidRPr="00C92F58">
              <w:rPr>
                <w:i/>
              </w:rPr>
              <w:t>* National average rate of effectiveness of integrated care</w:t>
            </w:r>
          </w:p>
        </w:tc>
      </w:tr>
      <w:tr w:rsidR="00B254F9" w14:paraId="38FFDD52" w14:textId="77777777" w:rsidTr="005B524E">
        <w:tc>
          <w:tcPr>
            <w:tcW w:w="5000" w:type="pct"/>
            <w:tcBorders>
              <w:top w:val="nil"/>
              <w:left w:val="nil"/>
              <w:bottom w:val="single" w:sz="6" w:space="0" w:color="78A22F"/>
              <w:right w:val="nil"/>
            </w:tcBorders>
            <w:shd w:val="clear" w:color="auto" w:fill="F2F2F2"/>
          </w:tcPr>
          <w:p w14:paraId="38FFDD51" w14:textId="77777777" w:rsidR="00B254F9" w:rsidRDefault="00B254F9" w:rsidP="005B524E">
            <w:pPr>
              <w:pStyle w:val="Box"/>
              <w:spacing w:before="0" w:line="120" w:lineRule="exact"/>
            </w:pPr>
          </w:p>
        </w:tc>
      </w:tr>
      <w:tr w:rsidR="00B254F9" w:rsidRPr="000863A5" w14:paraId="38FFDD54" w14:textId="77777777" w:rsidTr="005B524E">
        <w:tc>
          <w:tcPr>
            <w:tcW w:w="5000" w:type="pct"/>
            <w:tcBorders>
              <w:top w:val="single" w:sz="6" w:space="0" w:color="78A22F"/>
              <w:left w:val="nil"/>
              <w:bottom w:val="nil"/>
              <w:right w:val="nil"/>
            </w:tcBorders>
          </w:tcPr>
          <w:p w14:paraId="38FFDD53" w14:textId="77777777" w:rsidR="00B254F9" w:rsidRPr="00626D32" w:rsidRDefault="00B254F9" w:rsidP="005B524E">
            <w:pPr>
              <w:pStyle w:val="BoxSpaceBelow"/>
            </w:pPr>
          </w:p>
        </w:tc>
      </w:tr>
    </w:tbl>
    <w:p w14:paraId="38FFDD55" w14:textId="77777777" w:rsidR="00B254F9" w:rsidRDefault="00B254F9" w:rsidP="00B254F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B254F9" w14:paraId="38FFDD57" w14:textId="77777777" w:rsidTr="005B524E">
        <w:tc>
          <w:tcPr>
            <w:tcW w:w="5000" w:type="pct"/>
            <w:tcBorders>
              <w:top w:val="single" w:sz="6" w:space="0" w:color="78A22F"/>
              <w:left w:val="nil"/>
              <w:bottom w:val="nil"/>
              <w:right w:val="nil"/>
            </w:tcBorders>
            <w:shd w:val="clear" w:color="auto" w:fill="F2F2F2"/>
          </w:tcPr>
          <w:p w14:paraId="38FFDD56" w14:textId="77777777" w:rsidR="00B254F9" w:rsidRDefault="00B254F9" w:rsidP="007C52E2">
            <w:pPr>
              <w:pStyle w:val="BoxTitle"/>
            </w:pPr>
            <w:r>
              <w:rPr>
                <w:b w:val="0"/>
              </w:rPr>
              <w:t xml:space="preserve">Box </w:t>
            </w:r>
            <w:r w:rsidR="007C52E2">
              <w:rPr>
                <w:b w:val="0"/>
              </w:rPr>
              <w:t>2</w:t>
            </w:r>
            <w:r>
              <w:tab/>
              <w:t>Key assumptions behind the numbers: A summary</w:t>
            </w:r>
          </w:p>
        </w:tc>
      </w:tr>
      <w:tr w:rsidR="00B254F9" w14:paraId="38FFDD66" w14:textId="77777777" w:rsidTr="005B524E">
        <w:tc>
          <w:tcPr>
            <w:tcW w:w="5000" w:type="pct"/>
            <w:tcBorders>
              <w:top w:val="nil"/>
              <w:left w:val="nil"/>
              <w:bottom w:val="nil"/>
              <w:right w:val="nil"/>
            </w:tcBorders>
            <w:shd w:val="clear" w:color="auto" w:fill="F2F2F2"/>
          </w:tcPr>
          <w:p w14:paraId="38FFDD58" w14:textId="77777777" w:rsidR="00B254F9" w:rsidRDefault="00B254F9" w:rsidP="005B524E">
            <w:pPr>
              <w:pStyle w:val="Box"/>
            </w:pPr>
            <w:r w:rsidRPr="00C92F58">
              <w:rPr>
                <w:i/>
              </w:rPr>
              <w:t>National rate of adoption of integrated care</w:t>
            </w:r>
            <w:r>
              <w:t xml:space="preserve"> reflect</w:t>
            </w:r>
            <w:r w:rsidR="00B564B2">
              <w:t>s</w:t>
            </w:r>
            <w:r>
              <w:t xml:space="preserve"> the rate of adoption of health pathways</w:t>
            </w:r>
            <w:r w:rsidR="003A342C">
              <w:t xml:space="preserve"> by LHNs</w:t>
            </w:r>
            <w:r w:rsidR="00E910EF">
              <w:t> (box </w:t>
            </w:r>
            <w:r w:rsidR="00CE6B20">
              <w:t>3</w:t>
            </w:r>
            <w:r>
              <w:t>).</w:t>
            </w:r>
          </w:p>
          <w:p w14:paraId="38FFDD59" w14:textId="77777777" w:rsidR="00B254F9" w:rsidRDefault="00AD3DE1" w:rsidP="005B524E">
            <w:pPr>
              <w:pStyle w:val="Box"/>
            </w:pPr>
            <w:r w:rsidRPr="00C92F58">
              <w:rPr>
                <w:i/>
              </w:rPr>
              <w:t xml:space="preserve">National population </w:t>
            </w:r>
            <w:r w:rsidR="00B254F9" w:rsidRPr="00C92F58">
              <w:rPr>
                <w:i/>
              </w:rPr>
              <w:t>in poor or fair health</w:t>
            </w:r>
            <w:r w:rsidR="00B254F9">
              <w:t xml:space="preserve"> remain</w:t>
            </w:r>
            <w:r w:rsidR="00B564B2">
              <w:t>s</w:t>
            </w:r>
            <w:r w:rsidR="00B254F9">
              <w:t xml:space="preserve"> a consta</w:t>
            </w:r>
            <w:r w:rsidR="000912F9">
              <w:t>nt proportion of the population equal to that</w:t>
            </w:r>
            <w:r w:rsidR="009D53F6">
              <w:t xml:space="preserve"> in 2014</w:t>
            </w:r>
            <w:r w:rsidR="009D53F6">
              <w:noBreakHyphen/>
              <w:t>15</w:t>
            </w:r>
            <w:r w:rsidR="000912F9">
              <w:t xml:space="preserve"> from</w:t>
            </w:r>
            <w:r w:rsidR="00B254F9">
              <w:t xml:space="preserve"> the ABS</w:t>
            </w:r>
            <w:r w:rsidR="00F63867">
              <w:t xml:space="preserve">’ </w:t>
            </w:r>
            <w:r w:rsidR="000C3EC4">
              <w:t>2014</w:t>
            </w:r>
            <w:r w:rsidR="000C3EC4">
              <w:noBreakHyphen/>
              <w:t xml:space="preserve">15 </w:t>
            </w:r>
            <w:r w:rsidR="00B254F9">
              <w:t>National Health Survey.</w:t>
            </w:r>
          </w:p>
          <w:p w14:paraId="38FFDD5A" w14:textId="77777777" w:rsidR="00B254F9" w:rsidRDefault="00B254F9" w:rsidP="005B524E">
            <w:pPr>
              <w:pStyle w:val="Box"/>
            </w:pPr>
            <w:r w:rsidRPr="003D5673">
              <w:rPr>
                <w:i/>
              </w:rPr>
              <w:t>Effectiveness of LHN</w:t>
            </w:r>
            <w:r w:rsidR="00081863" w:rsidRPr="003D5673">
              <w:rPr>
                <w:i/>
              </w:rPr>
              <w:noBreakHyphen/>
            </w:r>
            <w:r w:rsidRPr="003D5673">
              <w:rPr>
                <w:i/>
              </w:rPr>
              <w:t>PHN partnerships</w:t>
            </w:r>
            <w:r>
              <w:t xml:space="preserve"> </w:t>
            </w:r>
            <w:r w:rsidR="00B564B2">
              <w:t>reflects</w:t>
            </w:r>
            <w:r>
              <w:t xml:space="preserve"> how quickly they adopt integrated care. The first five per cent of LHN</w:t>
            </w:r>
            <w:r w:rsidR="00081863">
              <w:noBreakHyphen/>
            </w:r>
            <w:r>
              <w:t>PHN partnerships to adopt integrated care have 45 per cent effectiveness; the next 15 per cent to adopt integrated care have 30 per cent effectiveness; the next 60 per cent have 30 per cent effectiveness and the last 20 per cent have 17 per cent effectiveness</w:t>
            </w:r>
            <w:r w:rsidR="00B564B2">
              <w:t xml:space="preserve"> (table 5)</w:t>
            </w:r>
            <w:r>
              <w:t>. The rates of effectiveness reflect the range of reductions in hospital utilisation reported in Australian integrated care studies (table </w:t>
            </w:r>
            <w:r w:rsidR="00B564B2">
              <w:t>6</w:t>
            </w:r>
            <w:r>
              <w:t>).</w:t>
            </w:r>
          </w:p>
          <w:p w14:paraId="38FFDD5B" w14:textId="77777777" w:rsidR="00DE1B9C" w:rsidRDefault="00DE1B9C" w:rsidP="00DE1B9C">
            <w:pPr>
              <w:pStyle w:val="Box"/>
            </w:pPr>
            <w:r w:rsidRPr="007A0937">
              <w:rPr>
                <w:i/>
              </w:rPr>
              <w:t>GDP health elasticity</w:t>
            </w:r>
            <w:r>
              <w:t xml:space="preserve"> is based on the general equilibrium results of Verikios et al. </w:t>
            </w:r>
            <w:r w:rsidRPr="00EF3475">
              <w:rPr>
                <w:rFonts w:cs="Arial"/>
              </w:rPr>
              <w:t>(2015)</w:t>
            </w:r>
            <w:r>
              <w:t xml:space="preserve"> and the age cohort workforce shares in the 2014</w:t>
            </w:r>
            <w:r>
              <w:noBreakHyphen/>
              <w:t>15 National Health Survey of ABS.</w:t>
            </w:r>
          </w:p>
          <w:p w14:paraId="38FFDD5C" w14:textId="77777777" w:rsidR="00DE1B9C" w:rsidRDefault="00DE1B9C" w:rsidP="00DE1B9C">
            <w:pPr>
              <w:pStyle w:val="Box"/>
            </w:pPr>
            <w:r>
              <w:t>Participation rate of carers is based on ABS Cat. No. 4430.0 Disability, Ageing and Carers, Australia: Summary of Findings, 2015, 18 October 2016, table 36.3.</w:t>
            </w:r>
          </w:p>
          <w:p w14:paraId="38FFDD5D" w14:textId="77777777" w:rsidR="00DE1B9C" w:rsidRDefault="00DE1B9C" w:rsidP="00DE1B9C">
            <w:pPr>
              <w:pStyle w:val="Box"/>
            </w:pPr>
            <w:r>
              <w:t>Days voluntary carers spend caring for patients is assumed to be half the days that patients spend in hospital.</w:t>
            </w:r>
          </w:p>
          <w:p w14:paraId="38FFDD5E" w14:textId="77777777" w:rsidR="00DE1B9C" w:rsidRDefault="00DE1B9C" w:rsidP="00DE1B9C">
            <w:pPr>
              <w:pStyle w:val="Box"/>
            </w:pPr>
            <w:r>
              <w:t>Australia’s population growth and GDP growth assumptions are taken from Gabbitas and Salma </w:t>
            </w:r>
            <w:r w:rsidRPr="00CC405B">
              <w:rPr>
                <w:rFonts w:cs="Arial"/>
              </w:rPr>
              <w:t>(2016)</w:t>
            </w:r>
            <w:r>
              <w:t>.</w:t>
            </w:r>
          </w:p>
          <w:p w14:paraId="38FFDD5F" w14:textId="77777777" w:rsidR="00DE1B9C" w:rsidRDefault="00DE1B9C" w:rsidP="00DE1B9C">
            <w:pPr>
              <w:pStyle w:val="Box"/>
            </w:pPr>
            <w:r>
              <w:t>Counterfactual health spending grows by the real growth in total health spending between 2004</w:t>
            </w:r>
            <w:r>
              <w:noBreakHyphen/>
              <w:t>05 and 2014</w:t>
            </w:r>
            <w:r>
              <w:noBreakHyphen/>
              <w:t>15 in AIHW </w:t>
            </w:r>
            <w:r w:rsidRPr="007B194B">
              <w:rPr>
                <w:rFonts w:cs="Arial"/>
              </w:rPr>
              <w:t>(2016b)</w:t>
            </w:r>
            <w:r>
              <w:t>.</w:t>
            </w:r>
          </w:p>
          <w:p w14:paraId="38FFDD60" w14:textId="77777777" w:rsidR="00B254F9" w:rsidRDefault="00B254F9" w:rsidP="005B524E">
            <w:pPr>
              <w:pStyle w:val="Box"/>
            </w:pPr>
            <w:r w:rsidRPr="007A0937">
              <w:rPr>
                <w:i/>
              </w:rPr>
              <w:t>Cost of integrated care per patient</w:t>
            </w:r>
            <w:r>
              <w:t xml:space="preserve"> is the simple average of program costs in two of the Australian integrated care projects, Western Sydney Diabetes and Mt Druitt HealthOne</w:t>
            </w:r>
            <w:r w:rsidR="00E910EF">
              <w:t> (table </w:t>
            </w:r>
            <w:r w:rsidR="00B564B2">
              <w:t>6</w:t>
            </w:r>
            <w:r>
              <w:t>).</w:t>
            </w:r>
          </w:p>
          <w:p w14:paraId="38FFDD61" w14:textId="77777777" w:rsidR="00B254F9" w:rsidRDefault="00EF112C" w:rsidP="005B524E">
            <w:pPr>
              <w:pStyle w:val="Box"/>
            </w:pPr>
            <w:r>
              <w:rPr>
                <w:i/>
              </w:rPr>
              <w:t>H</w:t>
            </w:r>
            <w:r w:rsidR="00B254F9" w:rsidRPr="007A0937">
              <w:rPr>
                <w:i/>
              </w:rPr>
              <w:t>ospital</w:t>
            </w:r>
            <w:r>
              <w:rPr>
                <w:i/>
              </w:rPr>
              <w:t xml:space="preserve"> recurrent</w:t>
            </w:r>
            <w:r w:rsidR="00B254F9" w:rsidRPr="007A0937">
              <w:rPr>
                <w:i/>
              </w:rPr>
              <w:t xml:space="preserve"> cost per patient</w:t>
            </w:r>
            <w:r w:rsidR="00B254F9">
              <w:t xml:space="preserve"> is the simple average of averted hospital costs in three </w:t>
            </w:r>
            <w:r w:rsidR="000912F9">
              <w:t xml:space="preserve">of the </w:t>
            </w:r>
            <w:r w:rsidR="00B254F9">
              <w:t>Australian integrated care projects, The Diabetes Care Project, Western Sydney Diabetes and Inala Chronic Disease Management Service</w:t>
            </w:r>
            <w:r w:rsidR="00E910EF">
              <w:t> (table </w:t>
            </w:r>
            <w:r w:rsidR="00B564B2">
              <w:t>6</w:t>
            </w:r>
            <w:r w:rsidR="00B254F9">
              <w:t>).</w:t>
            </w:r>
          </w:p>
          <w:p w14:paraId="38FFDD62" w14:textId="77777777" w:rsidR="00B254F9" w:rsidRDefault="00B254F9" w:rsidP="005B524E">
            <w:pPr>
              <w:pStyle w:val="Box"/>
            </w:pPr>
            <w:r w:rsidRPr="00EF112C">
              <w:rPr>
                <w:i/>
              </w:rPr>
              <w:t>Hospital capital cost per bed</w:t>
            </w:r>
            <w:r>
              <w:t xml:space="preserve"> </w:t>
            </w:r>
            <w:r w:rsidR="00B55803">
              <w:t xml:space="preserve">in 2016 </w:t>
            </w:r>
            <w:r w:rsidR="00FA6940">
              <w:t xml:space="preserve">is </w:t>
            </w:r>
            <w:r>
              <w:t xml:space="preserve">based on </w:t>
            </w:r>
            <w:r w:rsidR="009527D3">
              <w:t xml:space="preserve">the </w:t>
            </w:r>
            <w:r>
              <w:t>Victoria</w:t>
            </w:r>
            <w:r w:rsidR="009527D3">
              <w:t>n Government Department of Health and Human Services’ </w:t>
            </w:r>
            <w:r w:rsidR="009527D3" w:rsidRPr="009527D3">
              <w:rPr>
                <w:rFonts w:cs="Arial"/>
              </w:rPr>
              <w:t>(2016)</w:t>
            </w:r>
            <w:r>
              <w:t xml:space="preserve"> h</w:t>
            </w:r>
            <w:r w:rsidR="009527D3">
              <w:t>ospital capital planning module</w:t>
            </w:r>
            <w:r w:rsidR="00FA6940">
              <w:t xml:space="preserve"> and grows </w:t>
            </w:r>
            <w:r w:rsidR="00B55803">
              <w:t>with</w:t>
            </w:r>
            <w:r w:rsidR="00FA6940">
              <w:t xml:space="preserve"> </w:t>
            </w:r>
            <w:r w:rsidR="000912F9">
              <w:t xml:space="preserve">the assumed </w:t>
            </w:r>
            <w:r w:rsidR="00FA6940">
              <w:t>real growth in total health spending</w:t>
            </w:r>
            <w:r w:rsidR="00B55803">
              <w:t>.</w:t>
            </w:r>
            <w:r w:rsidR="00FA6940">
              <w:t xml:space="preserve"> </w:t>
            </w:r>
          </w:p>
          <w:p w14:paraId="38FFDD63" w14:textId="77777777" w:rsidR="00B254F9" w:rsidRDefault="00B254F9" w:rsidP="005B524E">
            <w:pPr>
              <w:pStyle w:val="Box"/>
            </w:pPr>
            <w:r w:rsidRPr="00EF112C">
              <w:rPr>
                <w:i/>
              </w:rPr>
              <w:t>Occupancy rate</w:t>
            </w:r>
            <w:r>
              <w:t xml:space="preserve"> of 88 per cent </w:t>
            </w:r>
            <w:r w:rsidR="009527D3">
              <w:t>based on the</w:t>
            </w:r>
            <w:r>
              <w:t xml:space="preserve"> 2014</w:t>
            </w:r>
            <w:r>
              <w:noBreakHyphen/>
              <w:t>15 national rate in AIHW </w:t>
            </w:r>
            <w:r w:rsidR="007B194B" w:rsidRPr="007B194B">
              <w:rPr>
                <w:rFonts w:cs="Arial"/>
              </w:rPr>
              <w:t>(2016c)</w:t>
            </w:r>
            <w:r>
              <w:t>.</w:t>
            </w:r>
          </w:p>
          <w:p w14:paraId="38FFDD64" w14:textId="77777777" w:rsidR="00B254F9" w:rsidRDefault="00B254F9" w:rsidP="005B524E">
            <w:pPr>
              <w:pStyle w:val="Box"/>
            </w:pPr>
            <w:r w:rsidRPr="00EF112C">
              <w:rPr>
                <w:i/>
              </w:rPr>
              <w:t>Average length of stay</w:t>
            </w:r>
            <w:r>
              <w:t xml:space="preserve"> </w:t>
            </w:r>
            <w:r w:rsidR="001C6E0C">
              <w:t xml:space="preserve">for each episode of care of those in poor or fair health is </w:t>
            </w:r>
            <w:r w:rsidR="00B564B2">
              <w:t xml:space="preserve">four </w:t>
            </w:r>
            <w:r w:rsidR="001C6E0C">
              <w:t xml:space="preserve">days, </w:t>
            </w:r>
            <w:r w:rsidR="000912F9">
              <w:t>calculated by dividing</w:t>
            </w:r>
            <w:r w:rsidR="001C6E0C">
              <w:t xml:space="preserve"> the</w:t>
            </w:r>
            <w:r>
              <w:t xml:space="preserve"> number of potentially preventable hospitalisation bed days in 2013</w:t>
            </w:r>
            <w:r>
              <w:noBreakHyphen/>
              <w:t xml:space="preserve">14 </w:t>
            </w:r>
            <w:r w:rsidR="001C6E0C">
              <w:t xml:space="preserve">in </w:t>
            </w:r>
            <w:r w:rsidR="00D76E18">
              <w:t>National Health Performance Authority</w:t>
            </w:r>
            <w:r w:rsidR="001C6E0C">
              <w:t> </w:t>
            </w:r>
            <w:r w:rsidR="001C6E0C" w:rsidRPr="004B526C">
              <w:rPr>
                <w:rFonts w:cs="Arial"/>
              </w:rPr>
              <w:t>(2015)</w:t>
            </w:r>
            <w:r w:rsidR="001C6E0C">
              <w:t xml:space="preserve"> </w:t>
            </w:r>
            <w:r>
              <w:t xml:space="preserve">by the number of </w:t>
            </w:r>
            <w:r w:rsidRPr="00EF112C">
              <w:rPr>
                <w:i/>
              </w:rPr>
              <w:t>potentially preventable hospitalisation separations</w:t>
            </w:r>
            <w:r>
              <w:t xml:space="preserve"> in 2014</w:t>
            </w:r>
            <w:r>
              <w:noBreakHyphen/>
              <w:t xml:space="preserve">15 </w:t>
            </w:r>
            <w:r w:rsidR="001C6E0C">
              <w:t>in</w:t>
            </w:r>
            <w:r>
              <w:t xml:space="preserve"> AIHW </w:t>
            </w:r>
            <w:r w:rsidRPr="004B526C">
              <w:rPr>
                <w:rFonts w:cs="Arial"/>
              </w:rPr>
              <w:t>(2016a)</w:t>
            </w:r>
            <w:r>
              <w:t>.</w:t>
            </w:r>
          </w:p>
          <w:p w14:paraId="38FFDD65" w14:textId="77777777" w:rsidR="00FA6940" w:rsidRDefault="00B254F9" w:rsidP="00B564B2">
            <w:pPr>
              <w:pStyle w:val="Box"/>
            </w:pPr>
            <w:r w:rsidRPr="00EF112C">
              <w:rPr>
                <w:i/>
              </w:rPr>
              <w:t>Potentially preventable hospitalisations</w:t>
            </w:r>
            <w:r>
              <w:t xml:space="preserve"> in 2016 equal</w:t>
            </w:r>
            <w:r w:rsidR="00B564B2">
              <w:t>s</w:t>
            </w:r>
            <w:r>
              <w:t xml:space="preserve"> that of 2014</w:t>
            </w:r>
            <w:r>
              <w:noBreakHyphen/>
              <w:t>15 in AIHW </w:t>
            </w:r>
            <w:r w:rsidRPr="004B526C">
              <w:rPr>
                <w:rFonts w:cs="Arial"/>
              </w:rPr>
              <w:t>(2016a)</w:t>
            </w:r>
            <w:r>
              <w:t xml:space="preserve"> and subsequently grow</w:t>
            </w:r>
            <w:r w:rsidR="00B564B2">
              <w:t>s</w:t>
            </w:r>
            <w:r>
              <w:t xml:space="preserve"> with the assumed number of people in poor or fair health.</w:t>
            </w:r>
          </w:p>
        </w:tc>
      </w:tr>
      <w:tr w:rsidR="00B254F9" w14:paraId="38FFDD68" w14:textId="77777777" w:rsidTr="005B524E">
        <w:tc>
          <w:tcPr>
            <w:tcW w:w="5000" w:type="pct"/>
            <w:tcBorders>
              <w:top w:val="nil"/>
              <w:left w:val="nil"/>
              <w:bottom w:val="nil"/>
              <w:right w:val="nil"/>
            </w:tcBorders>
            <w:shd w:val="clear" w:color="auto" w:fill="F2F2F2"/>
          </w:tcPr>
          <w:p w14:paraId="38FFDD67" w14:textId="77777777" w:rsidR="00B254F9" w:rsidRDefault="00C36B4E" w:rsidP="00F63867">
            <w:pPr>
              <w:pStyle w:val="BoxSource"/>
            </w:pPr>
            <w:r>
              <w:rPr>
                <w:i/>
              </w:rPr>
              <w:t>Sources</w:t>
            </w:r>
            <w:r w:rsidR="00B254F9" w:rsidRPr="00167F06">
              <w:t>:</w:t>
            </w:r>
            <w:r>
              <w:t xml:space="preserve"> </w:t>
            </w:r>
            <w:r w:rsidR="00F63867">
              <w:t>ABS </w:t>
            </w:r>
            <w:r w:rsidR="00FB01E0" w:rsidRPr="00FB01E0">
              <w:rPr>
                <w:rFonts w:cs="Arial"/>
              </w:rPr>
              <w:t>(2015)</w:t>
            </w:r>
            <w:r w:rsidR="00F63867">
              <w:t xml:space="preserve">; </w:t>
            </w:r>
            <w:r>
              <w:t>AIHW </w:t>
            </w:r>
            <w:r w:rsidR="007B194B" w:rsidRPr="007B194B">
              <w:rPr>
                <w:rFonts w:cs="Arial"/>
              </w:rPr>
              <w:t>(2016b, 2016c)</w:t>
            </w:r>
            <w:r>
              <w:t>; Gabbitas and Salma </w:t>
            </w:r>
            <w:r w:rsidRPr="00C36B4E">
              <w:rPr>
                <w:rFonts w:cs="Arial"/>
              </w:rPr>
              <w:t>(2016)</w:t>
            </w:r>
            <w:r>
              <w:t>; NHPA </w:t>
            </w:r>
            <w:r w:rsidRPr="00C36B4E">
              <w:rPr>
                <w:rFonts w:cs="Arial"/>
              </w:rPr>
              <w:t>(2015)</w:t>
            </w:r>
            <w:r>
              <w:t>; Verikios et al. </w:t>
            </w:r>
            <w:r w:rsidRPr="00C36B4E">
              <w:rPr>
                <w:rFonts w:cs="Arial"/>
              </w:rPr>
              <w:t>(2015)</w:t>
            </w:r>
            <w:r>
              <w:t>; Victorian Government Department of Health and Human Services </w:t>
            </w:r>
            <w:r w:rsidRPr="00C36B4E">
              <w:rPr>
                <w:rFonts w:cs="Arial"/>
              </w:rPr>
              <w:t>(2016)</w:t>
            </w:r>
            <w:r>
              <w:t>.</w:t>
            </w:r>
          </w:p>
        </w:tc>
      </w:tr>
      <w:tr w:rsidR="00B254F9" w14:paraId="38FFDD6A" w14:textId="77777777" w:rsidTr="005B524E">
        <w:tc>
          <w:tcPr>
            <w:tcW w:w="5000" w:type="pct"/>
            <w:tcBorders>
              <w:top w:val="nil"/>
              <w:left w:val="nil"/>
              <w:bottom w:val="single" w:sz="6" w:space="0" w:color="78A22F"/>
              <w:right w:val="nil"/>
            </w:tcBorders>
            <w:shd w:val="clear" w:color="auto" w:fill="F2F2F2"/>
          </w:tcPr>
          <w:p w14:paraId="38FFDD69" w14:textId="77777777" w:rsidR="00B254F9" w:rsidRDefault="00B254F9" w:rsidP="005B524E">
            <w:pPr>
              <w:pStyle w:val="Box"/>
              <w:spacing w:before="0" w:line="120" w:lineRule="exact"/>
            </w:pPr>
          </w:p>
        </w:tc>
      </w:tr>
      <w:tr w:rsidR="00B254F9" w:rsidRPr="000863A5" w14:paraId="38FFDD6C" w14:textId="77777777" w:rsidTr="005B524E">
        <w:tc>
          <w:tcPr>
            <w:tcW w:w="5000" w:type="pct"/>
            <w:tcBorders>
              <w:top w:val="single" w:sz="6" w:space="0" w:color="78A22F"/>
              <w:left w:val="nil"/>
              <w:bottom w:val="nil"/>
              <w:right w:val="nil"/>
            </w:tcBorders>
          </w:tcPr>
          <w:p w14:paraId="38FFDD6B" w14:textId="77777777" w:rsidR="00B254F9" w:rsidRPr="00626D32" w:rsidRDefault="00B254F9" w:rsidP="005B524E">
            <w:pPr>
              <w:pStyle w:val="BoxSpaceBelow"/>
            </w:pPr>
          </w:p>
        </w:tc>
      </w:tr>
    </w:tbl>
    <w:p w14:paraId="38FFDD6D" w14:textId="76D23705" w:rsidR="008017D2" w:rsidRDefault="008017D2" w:rsidP="008017D2">
      <w:pPr>
        <w:pStyle w:val="BodyText"/>
      </w:pPr>
      <w:r>
        <w:t xml:space="preserve">The </w:t>
      </w:r>
      <w:r w:rsidR="009D5A34">
        <w:t xml:space="preserve">Productivity </w:t>
      </w:r>
      <w:r>
        <w:t xml:space="preserve">Commission assumes that the improvement in health mainly affects those </w:t>
      </w:r>
      <w:r w:rsidR="00334CF4">
        <w:t>in poor or fair</w:t>
      </w:r>
      <w:r>
        <w:t xml:space="preserve"> health. This reflects that the principal beneficiaries of an integrated system of care are those who are (or would otherwise be) frequent users of the health system, particularly those with complex and chronic health conditions (section 3.4 of </w:t>
      </w:r>
      <w:r w:rsidR="00783D38">
        <w:t>Supporting Paper</w:t>
      </w:r>
      <w:r>
        <w:t> </w:t>
      </w:r>
      <w:r w:rsidR="00A72E03">
        <w:t xml:space="preserve">5 </w:t>
      </w:r>
      <w:r w:rsidR="00783D38">
        <w:t>(SP </w:t>
      </w:r>
      <w:r w:rsidR="00A72E03">
        <w:t>5</w:t>
      </w:r>
      <w:r w:rsidR="00783D38">
        <w:t>)</w:t>
      </w:r>
      <w:r>
        <w:t>).</w:t>
      </w:r>
      <w:r w:rsidR="00783D38" w:rsidRPr="002F6D96">
        <w:rPr>
          <w:rStyle w:val="FootnoteReference"/>
        </w:rPr>
        <w:footnoteReference w:id="7"/>
      </w:r>
      <w:r>
        <w:t xml:space="preserve"> In </w:t>
      </w:r>
      <w:r w:rsidRPr="008C0211">
        <w:t>ABS</w:t>
      </w:r>
      <w:r>
        <w:t>’ </w:t>
      </w:r>
      <w:r w:rsidRPr="00FB01E0">
        <w:t>(2015)</w:t>
      </w:r>
      <w:r>
        <w:t xml:space="preserve"> </w:t>
      </w:r>
      <w:r w:rsidRPr="008C0211">
        <w:t>National Health Survey, those with poor or fair health comprise</w:t>
      </w:r>
      <w:r w:rsidR="00636040">
        <w:t>d</w:t>
      </w:r>
      <w:r w:rsidRPr="008C0211">
        <w:t xml:space="preserve"> 15 per cent of the Australian population</w:t>
      </w:r>
      <w:r>
        <w:t>.</w:t>
      </w:r>
      <w:r w:rsidRPr="008C0211">
        <w:t xml:space="preserve"> For simplicity, </w:t>
      </w:r>
      <w:r>
        <w:t>this</w:t>
      </w:r>
      <w:r w:rsidRPr="008C0211">
        <w:t xml:space="preserve"> proportion </w:t>
      </w:r>
      <w:r>
        <w:t xml:space="preserve">is assumed to </w:t>
      </w:r>
      <w:r w:rsidRPr="008C0211">
        <w:t xml:space="preserve">remain unchanged over time </w:t>
      </w:r>
      <w:r w:rsidR="002A6505">
        <w:t xml:space="preserve">— </w:t>
      </w:r>
      <w:r w:rsidRPr="008C0211">
        <w:t xml:space="preserve">but for the recommended reforms. </w:t>
      </w:r>
      <w:r>
        <w:t>I</w:t>
      </w:r>
      <w:r w:rsidRPr="008C0211">
        <w:t xml:space="preserve">t is </w:t>
      </w:r>
      <w:r>
        <w:t xml:space="preserve">however </w:t>
      </w:r>
      <w:r w:rsidRPr="008C0211">
        <w:t>more likely that that proportion will rise over time with the ageing of the Australian population</w:t>
      </w:r>
      <w:r>
        <w:t xml:space="preserve"> and therefore that the Commission’s estimates may understate the national health impacts of integrated care</w:t>
      </w:r>
      <w:r w:rsidRPr="008C0211">
        <w:t>.</w:t>
      </w:r>
    </w:p>
    <w:p w14:paraId="38FFDD6E" w14:textId="77777777" w:rsidR="008017D2" w:rsidRDefault="008017D2" w:rsidP="008017D2">
      <w:pPr>
        <w:pStyle w:val="BodyText"/>
      </w:pPr>
      <w:r>
        <w:t>The national average rate of effectiveness of integrated care depends on the effectiveness of LHNs and PHN</w:t>
      </w:r>
      <w:r w:rsidR="007A0937">
        <w:t xml:space="preserve"> partnership</w:t>
      </w:r>
      <w:r>
        <w:t xml:space="preserve">s that have adopted an integrated approach to care. </w:t>
      </w:r>
    </w:p>
    <w:p w14:paraId="38FFDD6F" w14:textId="7995A6C9" w:rsidR="00B703B3" w:rsidRDefault="00B703B3" w:rsidP="008017D2">
      <w:pPr>
        <w:pStyle w:val="BodyText"/>
      </w:pPr>
      <w:r>
        <w:t xml:space="preserve">The </w:t>
      </w:r>
      <w:r w:rsidR="009D5A34">
        <w:t xml:space="preserve">Productivity </w:t>
      </w:r>
      <w:r>
        <w:t xml:space="preserve">Commission assumes that </w:t>
      </w:r>
      <w:r w:rsidR="00320306">
        <w:t>the</w:t>
      </w:r>
      <w:r>
        <w:t xml:space="preserve"> </w:t>
      </w:r>
      <w:r w:rsidR="00B0688D">
        <w:t xml:space="preserve">national </w:t>
      </w:r>
      <w:r>
        <w:t xml:space="preserve">rate of </w:t>
      </w:r>
      <w:r w:rsidR="000C12EB">
        <w:t>adoption</w:t>
      </w:r>
      <w:r>
        <w:t xml:space="preserve"> </w:t>
      </w:r>
      <w:r w:rsidR="00B0688D">
        <w:t xml:space="preserve">of integrated care </w:t>
      </w:r>
      <w:r>
        <w:t xml:space="preserve">will grow by five percentage points a year, </w:t>
      </w:r>
      <w:r w:rsidR="00AC625A">
        <w:t xml:space="preserve">implying it would take twenty years before an integrated approach to care would be rolled out across all of Australia. This slow rate of uptake </w:t>
      </w:r>
      <w:r>
        <w:t>reflect</w:t>
      </w:r>
      <w:r w:rsidR="00AC625A">
        <w:t>s</w:t>
      </w:r>
      <w:r>
        <w:t xml:space="preserve"> the rate </w:t>
      </w:r>
      <w:r w:rsidR="00C92F58">
        <w:t>that</w:t>
      </w:r>
      <w:r>
        <w:t xml:space="preserve"> LHNs have adopted health pathways, </w:t>
      </w:r>
      <w:r w:rsidR="00B94858">
        <w:t>specific</w:t>
      </w:r>
      <w:r w:rsidR="00DE1E8A">
        <w:t>ally the</w:t>
      </w:r>
      <w:r>
        <w:t xml:space="preserve"> HealthPathways and Map Of Medicine </w:t>
      </w:r>
      <w:r w:rsidR="00DE1E8A">
        <w:t xml:space="preserve">packages </w:t>
      </w:r>
      <w:r w:rsidR="007C52E2">
        <w:t>(box </w:t>
      </w:r>
      <w:r w:rsidR="00B0688D">
        <w:t>3</w:t>
      </w:r>
      <w:r>
        <w:t>)</w:t>
      </w:r>
      <w:r w:rsidR="00AC625A">
        <w:t xml:space="preserve"> and is also consistent with the slow diffusion of integrated care best practice observed around the world more generally (chapter 10</w:t>
      </w:r>
      <w:r w:rsidR="0063322D">
        <w:t xml:space="preserve"> of SP</w:t>
      </w:r>
      <w:r w:rsidR="0010505D">
        <w:t> </w:t>
      </w:r>
      <w:r w:rsidR="00A72E03">
        <w:t>5</w:t>
      </w:r>
      <w:r w:rsidR="00636040">
        <w:t>).</w:t>
      </w:r>
    </w:p>
    <w:p w14:paraId="38FFDD70" w14:textId="77777777" w:rsidR="00982E64" w:rsidRDefault="00982E64" w:rsidP="0003212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82E64" w14:paraId="38FFDD72" w14:textId="77777777" w:rsidTr="00982E64">
        <w:tc>
          <w:tcPr>
            <w:tcW w:w="5000" w:type="pct"/>
            <w:tcBorders>
              <w:top w:val="single" w:sz="6" w:space="0" w:color="78A22F"/>
              <w:left w:val="nil"/>
              <w:bottom w:val="nil"/>
              <w:right w:val="nil"/>
            </w:tcBorders>
            <w:shd w:val="clear" w:color="auto" w:fill="F2F2F2"/>
          </w:tcPr>
          <w:p w14:paraId="38FFDD71" w14:textId="77777777" w:rsidR="00982E64" w:rsidRDefault="00982E64" w:rsidP="00982E64">
            <w:pPr>
              <w:pStyle w:val="BoxTitle"/>
            </w:pPr>
            <w:r>
              <w:rPr>
                <w:b w:val="0"/>
              </w:rPr>
              <w:t>Box 3</w:t>
            </w:r>
            <w:r>
              <w:tab/>
              <w:t>The rate of adoption of health pathways in Australia</w:t>
            </w:r>
          </w:p>
        </w:tc>
      </w:tr>
      <w:tr w:rsidR="00982E64" w14:paraId="38FFDD76" w14:textId="77777777" w:rsidTr="00982E64">
        <w:tc>
          <w:tcPr>
            <w:tcW w:w="5000" w:type="pct"/>
            <w:tcBorders>
              <w:top w:val="nil"/>
              <w:left w:val="nil"/>
              <w:bottom w:val="nil"/>
              <w:right w:val="nil"/>
            </w:tcBorders>
            <w:shd w:val="clear" w:color="auto" w:fill="F2F2F2"/>
          </w:tcPr>
          <w:p w14:paraId="38FFDD73" w14:textId="77777777" w:rsidR="00982E64" w:rsidRDefault="00982E64" w:rsidP="00982E64">
            <w:pPr>
              <w:pStyle w:val="Box"/>
            </w:pPr>
            <w:r>
              <w:t>Health p</w:t>
            </w:r>
            <w:r w:rsidRPr="00B703B3">
              <w:t>athways are agreements between GPs and hospital physicians about how particular conditions should be treated in their respective sectors. Ideally they are based on the latest medical evidence and reflect the local context, including resource constraints.</w:t>
            </w:r>
            <w:r>
              <w:t xml:space="preserve"> There are two online health pathway tools in Australia – HealthPathways, developed in Canterbury, New Zealand and Map of Medicine, developed in the United Kingdom.</w:t>
            </w:r>
          </w:p>
          <w:p w14:paraId="38FFDD74" w14:textId="77777777" w:rsidR="00982E64" w:rsidRDefault="00982E64" w:rsidP="00982E64">
            <w:pPr>
              <w:pStyle w:val="Box"/>
            </w:pPr>
            <w:r>
              <w:t>Compared to the budget of a Local Hospital Network, t</w:t>
            </w:r>
            <w:r w:rsidRPr="00B703B3">
              <w:t xml:space="preserve">here is little </w:t>
            </w:r>
            <w:r>
              <w:t xml:space="preserve">upfront </w:t>
            </w:r>
            <w:r w:rsidRPr="00B703B3">
              <w:t xml:space="preserve">cost </w:t>
            </w:r>
            <w:r>
              <w:t>to LHNs</w:t>
            </w:r>
            <w:r w:rsidRPr="00B703B3">
              <w:t xml:space="preserve"> </w:t>
            </w:r>
            <w:r>
              <w:t>from adopti</w:t>
            </w:r>
            <w:r w:rsidRPr="00B703B3">
              <w:t>n</w:t>
            </w:r>
            <w:r>
              <w:t>g</w:t>
            </w:r>
            <w:r w:rsidRPr="00B703B3">
              <w:t xml:space="preserve"> health pathways</w:t>
            </w:r>
            <w:r>
              <w:t>, particularly when most Primary Health Networks have already begun rolling out health pathways among GPs. B</w:t>
            </w:r>
            <w:r w:rsidRPr="00B703B3">
              <w:t xml:space="preserve">ut </w:t>
            </w:r>
            <w:r>
              <w:t xml:space="preserve">there are </w:t>
            </w:r>
            <w:r w:rsidRPr="00B703B3">
              <w:t>considerable benefits for patients through the more effective integration of primary and hospital care</w:t>
            </w:r>
            <w:r>
              <w:t xml:space="preserve"> achieved by a joint commitment to evidenced based health pathways</w:t>
            </w:r>
            <w:r w:rsidRPr="00B703B3">
              <w:t xml:space="preserve">. </w:t>
            </w:r>
            <w:r>
              <w:t>Its adoption across Australia is therefore an indicator of how proactive Local Hospital Networks are in working with Primary Health Networks to deliver better health care.</w:t>
            </w:r>
          </w:p>
          <w:p w14:paraId="38FFDD75" w14:textId="77777777" w:rsidR="00982E64" w:rsidRDefault="00982E64" w:rsidP="00982E64">
            <w:pPr>
              <w:pStyle w:val="Box"/>
            </w:pPr>
            <w:r>
              <w:t>O</w:t>
            </w:r>
            <w:r w:rsidRPr="00B703B3">
              <w:t xml:space="preserve">nly a quarter of </w:t>
            </w:r>
            <w:r>
              <w:t>Local Hospital Networks</w:t>
            </w:r>
            <w:r w:rsidRPr="00B703B3">
              <w:t xml:space="preserve"> have committed to the development and adoption of health pathways since the </w:t>
            </w:r>
            <w:r>
              <w:t>HealthPathways</w:t>
            </w:r>
            <w:r w:rsidRPr="00B703B3">
              <w:t xml:space="preserve"> innovation became available in 2011</w:t>
            </w:r>
            <w:r>
              <w:t>.</w:t>
            </w:r>
          </w:p>
        </w:tc>
      </w:tr>
      <w:tr w:rsidR="00982E64" w14:paraId="38FFDD78" w14:textId="77777777" w:rsidTr="00982E64">
        <w:tc>
          <w:tcPr>
            <w:tcW w:w="5000" w:type="pct"/>
            <w:tcBorders>
              <w:top w:val="nil"/>
              <w:left w:val="nil"/>
              <w:bottom w:val="nil"/>
              <w:right w:val="nil"/>
            </w:tcBorders>
            <w:shd w:val="clear" w:color="auto" w:fill="F2F2F2"/>
          </w:tcPr>
          <w:p w14:paraId="38FFDD77" w14:textId="77777777" w:rsidR="00982E64" w:rsidRDefault="00982E64" w:rsidP="00982E64">
            <w:pPr>
              <w:pStyle w:val="BoxSource"/>
            </w:pPr>
            <w:r>
              <w:rPr>
                <w:i/>
              </w:rPr>
              <w:t>Sources</w:t>
            </w:r>
            <w:r w:rsidRPr="00167F06">
              <w:t xml:space="preserve">: </w:t>
            </w:r>
            <w:r>
              <w:t>HealthPathways Community </w:t>
            </w:r>
            <w:r w:rsidRPr="005E25B1">
              <w:rPr>
                <w:rFonts w:cs="Arial"/>
              </w:rPr>
              <w:t>(2017)</w:t>
            </w:r>
            <w:r>
              <w:t>; South Eastern Melbourne PHN </w:t>
            </w:r>
            <w:r w:rsidRPr="005E25B1">
              <w:rPr>
                <w:rFonts w:cs="Arial"/>
              </w:rPr>
              <w:t>(2017)</w:t>
            </w:r>
            <w:r>
              <w:t>; Timmins and Ham </w:t>
            </w:r>
            <w:r w:rsidRPr="005E25B1">
              <w:rPr>
                <w:rFonts w:cs="Arial"/>
              </w:rPr>
              <w:t>(2013)</w:t>
            </w:r>
            <w:r>
              <w:t>.</w:t>
            </w:r>
          </w:p>
        </w:tc>
      </w:tr>
      <w:tr w:rsidR="00982E64" w14:paraId="38FFDD7A" w14:textId="77777777" w:rsidTr="00982E64">
        <w:tc>
          <w:tcPr>
            <w:tcW w:w="5000" w:type="pct"/>
            <w:tcBorders>
              <w:top w:val="nil"/>
              <w:left w:val="nil"/>
              <w:bottom w:val="single" w:sz="6" w:space="0" w:color="78A22F"/>
              <w:right w:val="nil"/>
            </w:tcBorders>
            <w:shd w:val="clear" w:color="auto" w:fill="F2F2F2"/>
          </w:tcPr>
          <w:p w14:paraId="38FFDD79" w14:textId="77777777" w:rsidR="00982E64" w:rsidRDefault="00982E64" w:rsidP="00982E64">
            <w:pPr>
              <w:pStyle w:val="Box"/>
              <w:spacing w:before="0" w:line="120" w:lineRule="exact"/>
            </w:pPr>
          </w:p>
        </w:tc>
      </w:tr>
      <w:tr w:rsidR="00982E64" w:rsidRPr="000863A5" w14:paraId="38FFDD7C" w14:textId="77777777" w:rsidTr="00982E64">
        <w:tc>
          <w:tcPr>
            <w:tcW w:w="5000" w:type="pct"/>
            <w:tcBorders>
              <w:top w:val="single" w:sz="6" w:space="0" w:color="78A22F"/>
              <w:left w:val="nil"/>
              <w:bottom w:val="nil"/>
              <w:right w:val="nil"/>
            </w:tcBorders>
          </w:tcPr>
          <w:p w14:paraId="38FFDD7B" w14:textId="77777777" w:rsidR="00982E64" w:rsidRPr="00626D32" w:rsidRDefault="00982E64" w:rsidP="00982E64">
            <w:pPr>
              <w:pStyle w:val="BoxSpaceBelow"/>
            </w:pPr>
          </w:p>
        </w:tc>
      </w:tr>
    </w:tbl>
    <w:p w14:paraId="38FFDD7D" w14:textId="77777777" w:rsidR="00DA3DC7" w:rsidRDefault="00DA3DC7" w:rsidP="00DA3DC7">
      <w:pPr>
        <w:pStyle w:val="BodyText"/>
      </w:pPr>
      <w:r>
        <w:t xml:space="preserve">The </w:t>
      </w:r>
      <w:r w:rsidR="00A321BD" w:rsidRPr="00A321BD">
        <w:t xml:space="preserve">Productivity </w:t>
      </w:r>
      <w:r>
        <w:t xml:space="preserve">Commission assumes that the effectiveness of implementation of integrated care by PHNs and LHNs will vary from 45 per cent for the earliest adopters down to 17 per cent for the last adopters (table 5). </w:t>
      </w:r>
      <w:r w:rsidR="00CB3391">
        <w:t xml:space="preserve">Therefore, </w:t>
      </w:r>
      <w:r>
        <w:t xml:space="preserve">the </w:t>
      </w:r>
      <w:r w:rsidR="00CB3391">
        <w:t xml:space="preserve">national average </w:t>
      </w:r>
      <w:r>
        <w:t xml:space="preserve">effectiveness of implementation </w:t>
      </w:r>
      <w:r w:rsidR="00636040">
        <w:t>declines over time</w:t>
      </w:r>
      <w:r>
        <w:t>.</w:t>
      </w:r>
      <w:r w:rsidRPr="002F6D96">
        <w:rPr>
          <w:rStyle w:val="FootnoteReference"/>
        </w:rPr>
        <w:footnoteReference w:id="8"/>
      </w:r>
    </w:p>
    <w:p w14:paraId="38FFDD7E" w14:textId="77777777" w:rsidR="008017D2" w:rsidRDefault="008017D2" w:rsidP="0003212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8017D2" w14:paraId="38FFDD80" w14:textId="77777777" w:rsidTr="008017D2">
        <w:tc>
          <w:tcPr>
            <w:tcW w:w="5000" w:type="pct"/>
            <w:tcBorders>
              <w:top w:val="single" w:sz="6" w:space="0" w:color="78A22F"/>
              <w:left w:val="nil"/>
              <w:bottom w:val="nil"/>
              <w:right w:val="nil"/>
            </w:tcBorders>
            <w:shd w:val="clear" w:color="auto" w:fill="auto"/>
          </w:tcPr>
          <w:p w14:paraId="38FFDD7F" w14:textId="77777777" w:rsidR="008017D2" w:rsidRPr="00784A05" w:rsidRDefault="008017D2" w:rsidP="008017D2">
            <w:pPr>
              <w:pStyle w:val="TableTitle"/>
            </w:pPr>
            <w:r>
              <w:rPr>
                <w:b w:val="0"/>
              </w:rPr>
              <w:t>Table 5</w:t>
            </w:r>
            <w:r>
              <w:tab/>
              <w:t>The rate of effectiveness in implementing integrated care is assumed to vary with the rate of adoption</w:t>
            </w:r>
          </w:p>
        </w:tc>
      </w:tr>
      <w:tr w:rsidR="008017D2" w14:paraId="38FFDD8E" w14:textId="77777777" w:rsidTr="008017D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59"/>
              <w:gridCol w:w="1758"/>
              <w:gridCol w:w="1758"/>
              <w:gridCol w:w="1758"/>
              <w:gridCol w:w="1756"/>
            </w:tblGrid>
            <w:tr w:rsidR="008017D2" w14:paraId="38FFDD86" w14:textId="77777777" w:rsidTr="00032125">
              <w:trPr>
                <w:tblHeader/>
              </w:trPr>
              <w:tc>
                <w:tcPr>
                  <w:tcW w:w="1001" w:type="pct"/>
                  <w:tcBorders>
                    <w:top w:val="single" w:sz="6" w:space="0" w:color="BFBFBF"/>
                  </w:tcBorders>
                  <w:shd w:val="clear" w:color="auto" w:fill="auto"/>
                  <w:tcMar>
                    <w:top w:w="28" w:type="dxa"/>
                  </w:tcMar>
                </w:tcPr>
                <w:p w14:paraId="38FFDD81" w14:textId="77777777" w:rsidR="008017D2" w:rsidRDefault="008017D2" w:rsidP="008017D2">
                  <w:pPr>
                    <w:pStyle w:val="TableColumnHeading"/>
                    <w:jc w:val="left"/>
                  </w:pPr>
                </w:p>
              </w:tc>
              <w:tc>
                <w:tcPr>
                  <w:tcW w:w="1000" w:type="pct"/>
                  <w:tcBorders>
                    <w:top w:val="single" w:sz="6" w:space="0" w:color="BFBFBF"/>
                    <w:bottom w:val="single" w:sz="6" w:space="0" w:color="BFBFBF"/>
                  </w:tcBorders>
                </w:tcPr>
                <w:p w14:paraId="38FFDD82" w14:textId="77777777" w:rsidR="008017D2" w:rsidRDefault="008017D2" w:rsidP="008017D2">
                  <w:pPr>
                    <w:pStyle w:val="TableColumnHeading"/>
                  </w:pPr>
                  <w:r>
                    <w:t>The first 5 per cent to implement are the most effective</w:t>
                  </w:r>
                </w:p>
              </w:tc>
              <w:tc>
                <w:tcPr>
                  <w:tcW w:w="1000" w:type="pct"/>
                  <w:tcBorders>
                    <w:top w:val="single" w:sz="6" w:space="0" w:color="BFBFBF"/>
                    <w:bottom w:val="single" w:sz="6" w:space="0" w:color="BFBFBF"/>
                  </w:tcBorders>
                  <w:shd w:val="clear" w:color="auto" w:fill="auto"/>
                  <w:tcMar>
                    <w:top w:w="28" w:type="dxa"/>
                  </w:tcMar>
                </w:tcPr>
                <w:p w14:paraId="38FFDD83" w14:textId="77777777" w:rsidR="008017D2" w:rsidRDefault="008017D2" w:rsidP="008017D2">
                  <w:pPr>
                    <w:pStyle w:val="TableColumnHeading"/>
                  </w:pPr>
                  <w:r>
                    <w:t>The next 15 per cent are almost as effective</w:t>
                  </w:r>
                </w:p>
              </w:tc>
              <w:tc>
                <w:tcPr>
                  <w:tcW w:w="1000" w:type="pct"/>
                  <w:tcBorders>
                    <w:top w:val="single" w:sz="6" w:space="0" w:color="BFBFBF"/>
                    <w:bottom w:val="single" w:sz="6" w:space="0" w:color="BFBFBF"/>
                  </w:tcBorders>
                </w:tcPr>
                <w:p w14:paraId="38FFDD84" w14:textId="77777777" w:rsidR="008017D2" w:rsidRDefault="008017D2" w:rsidP="008017D2">
                  <w:pPr>
                    <w:pStyle w:val="TableColumnHeading"/>
                    <w:ind w:right="28"/>
                  </w:pPr>
                  <w:r>
                    <w:t>The next 60 per cent</w:t>
                  </w:r>
                  <w:r>
                    <w:br/>
                    <w:t xml:space="preserve"> are moderately effective</w:t>
                  </w:r>
                </w:p>
              </w:tc>
              <w:tc>
                <w:tcPr>
                  <w:tcW w:w="999" w:type="pct"/>
                  <w:tcBorders>
                    <w:top w:val="single" w:sz="6" w:space="0" w:color="BFBFBF"/>
                    <w:bottom w:val="single" w:sz="6" w:space="0" w:color="BFBFBF"/>
                  </w:tcBorders>
                  <w:shd w:val="clear" w:color="auto" w:fill="auto"/>
                  <w:tcMar>
                    <w:top w:w="28" w:type="dxa"/>
                  </w:tcMar>
                </w:tcPr>
                <w:p w14:paraId="38FFDD85" w14:textId="77777777" w:rsidR="008017D2" w:rsidRDefault="008017D2" w:rsidP="00636040">
                  <w:pPr>
                    <w:pStyle w:val="TableColumnHeading"/>
                    <w:ind w:right="28"/>
                  </w:pPr>
                  <w:r>
                    <w:t xml:space="preserve">The final 20 per cent </w:t>
                  </w:r>
                  <w:r>
                    <w:br/>
                    <w:t xml:space="preserve"> are minimally effective</w:t>
                  </w:r>
                </w:p>
              </w:tc>
            </w:tr>
            <w:tr w:rsidR="008017D2" w14:paraId="38FFDD8C" w14:textId="77777777" w:rsidTr="00032125">
              <w:tc>
                <w:tcPr>
                  <w:tcW w:w="1001" w:type="pct"/>
                  <w:tcBorders>
                    <w:bottom w:val="single" w:sz="6" w:space="0" w:color="BFBFBF"/>
                  </w:tcBorders>
                  <w:shd w:val="clear" w:color="auto" w:fill="auto"/>
                </w:tcPr>
                <w:p w14:paraId="38FFDD87" w14:textId="77777777" w:rsidR="008017D2" w:rsidRDefault="00636040" w:rsidP="008017D2">
                  <w:pPr>
                    <w:pStyle w:val="TableBodyText"/>
                    <w:jc w:val="left"/>
                  </w:pPr>
                  <w:r>
                    <w:t>E</w:t>
                  </w:r>
                  <w:r w:rsidR="008017D2">
                    <w:t>ffectiveness of implementation by LHNs and PHNs</w:t>
                  </w:r>
                </w:p>
              </w:tc>
              <w:tc>
                <w:tcPr>
                  <w:tcW w:w="1000" w:type="pct"/>
                  <w:tcBorders>
                    <w:bottom w:val="single" w:sz="6" w:space="0" w:color="BFBFBF"/>
                  </w:tcBorders>
                </w:tcPr>
                <w:p w14:paraId="38FFDD88" w14:textId="77777777" w:rsidR="008017D2" w:rsidRPr="00910372" w:rsidRDefault="008017D2" w:rsidP="008017D2">
                  <w:pPr>
                    <w:pStyle w:val="TableBodyText"/>
                  </w:pPr>
                  <w:r w:rsidRPr="00910372">
                    <w:t>45 per cent</w:t>
                  </w:r>
                </w:p>
              </w:tc>
              <w:tc>
                <w:tcPr>
                  <w:tcW w:w="1000" w:type="pct"/>
                  <w:tcBorders>
                    <w:bottom w:val="single" w:sz="6" w:space="0" w:color="BFBFBF"/>
                  </w:tcBorders>
                  <w:shd w:val="clear" w:color="auto" w:fill="auto"/>
                </w:tcPr>
                <w:p w14:paraId="38FFDD89" w14:textId="77777777" w:rsidR="008017D2" w:rsidRPr="00910372" w:rsidRDefault="008017D2" w:rsidP="008017D2">
                  <w:pPr>
                    <w:pStyle w:val="TableBodyText"/>
                  </w:pPr>
                  <w:r w:rsidRPr="00910372">
                    <w:t>40 per cent</w:t>
                  </w:r>
                </w:p>
              </w:tc>
              <w:tc>
                <w:tcPr>
                  <w:tcW w:w="1000" w:type="pct"/>
                  <w:tcBorders>
                    <w:bottom w:val="single" w:sz="6" w:space="0" w:color="BFBFBF"/>
                  </w:tcBorders>
                </w:tcPr>
                <w:p w14:paraId="38FFDD8A" w14:textId="77777777" w:rsidR="008017D2" w:rsidRPr="00910372" w:rsidRDefault="008017D2" w:rsidP="008017D2">
                  <w:pPr>
                    <w:pStyle w:val="TableBodyText"/>
                  </w:pPr>
                  <w:r w:rsidRPr="00910372">
                    <w:t>30 per cent</w:t>
                  </w:r>
                </w:p>
              </w:tc>
              <w:tc>
                <w:tcPr>
                  <w:tcW w:w="999" w:type="pct"/>
                  <w:tcBorders>
                    <w:bottom w:val="single" w:sz="6" w:space="0" w:color="BFBFBF"/>
                  </w:tcBorders>
                  <w:shd w:val="clear" w:color="auto" w:fill="auto"/>
                </w:tcPr>
                <w:p w14:paraId="38FFDD8B" w14:textId="77777777" w:rsidR="008017D2" w:rsidRPr="00910372" w:rsidRDefault="008017D2" w:rsidP="008017D2">
                  <w:pPr>
                    <w:pStyle w:val="TableBodyText"/>
                  </w:pPr>
                  <w:r w:rsidRPr="00910372">
                    <w:t>17 per cent</w:t>
                  </w:r>
                </w:p>
              </w:tc>
            </w:tr>
          </w:tbl>
          <w:p w14:paraId="38FFDD8D" w14:textId="77777777" w:rsidR="008017D2" w:rsidRDefault="008017D2" w:rsidP="008017D2">
            <w:pPr>
              <w:pStyle w:val="Box"/>
            </w:pPr>
          </w:p>
        </w:tc>
      </w:tr>
      <w:tr w:rsidR="008017D2" w14:paraId="38FFDD90" w14:textId="77777777" w:rsidTr="008017D2">
        <w:tc>
          <w:tcPr>
            <w:tcW w:w="5000" w:type="pct"/>
            <w:tcBorders>
              <w:top w:val="nil"/>
              <w:left w:val="nil"/>
              <w:bottom w:val="single" w:sz="6" w:space="0" w:color="78A22F"/>
              <w:right w:val="nil"/>
            </w:tcBorders>
            <w:shd w:val="clear" w:color="auto" w:fill="auto"/>
          </w:tcPr>
          <w:p w14:paraId="38FFDD8F" w14:textId="77777777" w:rsidR="008017D2" w:rsidRDefault="008017D2" w:rsidP="008017D2">
            <w:pPr>
              <w:pStyle w:val="Box"/>
              <w:spacing w:before="0" w:line="120" w:lineRule="exact"/>
            </w:pPr>
          </w:p>
        </w:tc>
      </w:tr>
      <w:tr w:rsidR="008017D2" w:rsidRPr="000863A5" w14:paraId="38FFDD92" w14:textId="77777777" w:rsidTr="008017D2">
        <w:tc>
          <w:tcPr>
            <w:tcW w:w="5000" w:type="pct"/>
            <w:tcBorders>
              <w:top w:val="single" w:sz="6" w:space="0" w:color="78A22F"/>
              <w:left w:val="nil"/>
              <w:bottom w:val="nil"/>
              <w:right w:val="nil"/>
            </w:tcBorders>
          </w:tcPr>
          <w:p w14:paraId="38FFDD91" w14:textId="77777777" w:rsidR="008017D2" w:rsidRPr="00626D32" w:rsidRDefault="008017D2" w:rsidP="008017D2">
            <w:pPr>
              <w:pStyle w:val="BoxSpaceBelow"/>
            </w:pPr>
          </w:p>
        </w:tc>
      </w:tr>
    </w:tbl>
    <w:p w14:paraId="38FFDD93" w14:textId="77777777" w:rsidR="008017D2" w:rsidRDefault="00CB3391" w:rsidP="00DA3DC7">
      <w:pPr>
        <w:pStyle w:val="BodyText"/>
      </w:pPr>
      <w:r>
        <w:t>The assumed range of effectiveness of implementation of integrated care by LHNs and PHNs is based on estimated reductions in hospitalisation in Australian studies of integrated care (table 6). These studies have been selected because they report the impact of integrated care on hospitalisation, the cost of averted hospitalisation and/or the cost of the program.</w:t>
      </w:r>
    </w:p>
    <w:p w14:paraId="38FFDD94" w14:textId="77777777" w:rsidR="00987022" w:rsidRDefault="00987022" w:rsidP="00987022">
      <w:pPr>
        <w:pStyle w:val="Heading4"/>
      </w:pPr>
      <w:r>
        <w:t>Estimating the impact on the personal wellbeing of those in ill health</w:t>
      </w:r>
    </w:p>
    <w:p w14:paraId="38FFDD95" w14:textId="770568E0" w:rsidR="00987022" w:rsidRDefault="00987022" w:rsidP="00987022">
      <w:pPr>
        <w:pStyle w:val="BodyText"/>
      </w:pPr>
      <w:r>
        <w:t xml:space="preserve">Improved health means additional days that can be used in productive activities (paid employment, home based production and leisure) instead of being lost to ill health, resulting in a welfare gain for patients (table 7). </w:t>
      </w:r>
      <w:r w:rsidR="00AB19BA">
        <w:t>T</w:t>
      </w:r>
      <w:r>
        <w:t xml:space="preserve">he additional days of health </w:t>
      </w:r>
      <w:r w:rsidR="00F901C2">
        <w:t xml:space="preserve">are </w:t>
      </w:r>
      <w:r w:rsidR="00AB19BA">
        <w:t>based on</w:t>
      </w:r>
      <w:r>
        <w:t xml:space="preserve"> the estimated reduction in the days of hospitalisation.</w:t>
      </w:r>
    </w:p>
    <w:p w14:paraId="38FFDD96" w14:textId="77777777" w:rsidR="00987022" w:rsidRDefault="00987022" w:rsidP="00987022">
      <w:pPr>
        <w:pStyle w:val="BodyText"/>
      </w:pPr>
      <w:r>
        <w:t>The personal benefit of spending that additional time depends on how much of the time is now spent in productive activities and on the value of those activities. It is assumed that the additional hours of improved health would be allocated to these activities of choice in accordance with how the average Australian allocated their time in ABS’ 2006 survey </w:t>
      </w:r>
      <w:r w:rsidRPr="004026B0">
        <w:rPr>
          <w:szCs w:val="24"/>
        </w:rPr>
        <w:t>(ABS 2006)</w:t>
      </w:r>
      <w:r>
        <w:t>, as specified here.</w:t>
      </w:r>
    </w:p>
    <w:p w14:paraId="38FFDD97" w14:textId="77777777" w:rsidR="00987022" w:rsidRDefault="00987022" w:rsidP="00987022">
      <w:pPr>
        <w:pStyle w:val="ListBullet"/>
      </w:pPr>
      <w:r>
        <w:t>14 per cent of the recovered time is given to employment.</w:t>
      </w:r>
    </w:p>
    <w:p w14:paraId="38FFDD98" w14:textId="77777777" w:rsidR="00987022" w:rsidRDefault="00987022" w:rsidP="00987022">
      <w:pPr>
        <w:pStyle w:val="ListBullet"/>
      </w:pPr>
      <w:r>
        <w:t>14 per cent of the recovered time is given to home based production.</w:t>
      </w:r>
    </w:p>
    <w:p w14:paraId="38FFDD99" w14:textId="77777777" w:rsidR="00987022" w:rsidRDefault="00987022" w:rsidP="00987022">
      <w:pPr>
        <w:pStyle w:val="ListBullet"/>
      </w:pPr>
      <w:r>
        <w:t>21 per cent of the recovered time is given to leisure.</w:t>
      </w:r>
    </w:p>
    <w:p w14:paraId="38FFDD9A" w14:textId="77777777" w:rsidR="00987022" w:rsidRDefault="00987022" w:rsidP="00987022">
      <w:pPr>
        <w:pStyle w:val="BodyText"/>
      </w:pPr>
      <w:r>
        <w:t>The hourly value of the additional time allocated to these activities is estimated as follows.</w:t>
      </w:r>
    </w:p>
    <w:p w14:paraId="38FFDD9B" w14:textId="64BCB22E" w:rsidR="00987022" w:rsidRDefault="00987022" w:rsidP="00987022">
      <w:pPr>
        <w:pStyle w:val="ListBullet"/>
      </w:pPr>
      <w:r>
        <w:t xml:space="preserve">The </w:t>
      </w:r>
      <w:r w:rsidR="00AF3831">
        <w:t xml:space="preserve">opportunity cost </w:t>
      </w:r>
      <w:r>
        <w:t xml:space="preserve">of </w:t>
      </w:r>
      <w:r w:rsidR="00AF3831">
        <w:t xml:space="preserve">foregone </w:t>
      </w:r>
      <w:r>
        <w:t>employment is assumed to</w:t>
      </w:r>
      <w:r w:rsidR="00AF3831">
        <w:t xml:space="preserve"> initially</w:t>
      </w:r>
      <w:r>
        <w:t xml:space="preserve"> be $</w:t>
      </w:r>
      <w:r w:rsidR="00AF3831">
        <w:t>10 an hour</w:t>
      </w:r>
      <w:r>
        <w:t>,</w:t>
      </w:r>
      <w:r w:rsidR="00AF3831">
        <w:t xml:space="preserve"> less than a third of the average adult wage, and is</w:t>
      </w:r>
      <w:r>
        <w:t xml:space="preserve"> indexed to the growth in GDP per person.</w:t>
      </w:r>
    </w:p>
    <w:p w14:paraId="38FFDD9C" w14:textId="77777777" w:rsidR="00987022" w:rsidRDefault="00987022" w:rsidP="00987022">
      <w:pPr>
        <w:pStyle w:val="ListBullet"/>
      </w:pPr>
      <w:r>
        <w:t>The hourly value of home based production is assumed to be half the hourly adult earnings of the average community and personal service worker in May 2016 ($16), indexed to the growth in GDP per person. The nature of the work of community and personal service workers is reflective of the nature of home based production and is marginally lower than the average adult wage.</w:t>
      </w:r>
    </w:p>
    <w:p w14:paraId="38FFDD9D" w14:textId="360C8793" w:rsidR="00987022" w:rsidRDefault="00987022" w:rsidP="00987022">
      <w:pPr>
        <w:pStyle w:val="ListBullet"/>
      </w:pPr>
      <w:r>
        <w:t xml:space="preserve">The hourly value of leisure is assumed to equal one third of the average adult wage between May 2015 and November 2016 ($12), indexed to the growth in GDP per person. </w:t>
      </w:r>
    </w:p>
    <w:p w14:paraId="38FFDD9E" w14:textId="77777777" w:rsidR="0072658D" w:rsidRPr="002837CA" w:rsidRDefault="0072658D" w:rsidP="0072658D">
      <w:pPr>
        <w:keepNext/>
        <w:spacing w:before="36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72658D" w:rsidRPr="002837CA" w14:paraId="38FFDDA1" w14:textId="77777777" w:rsidTr="00084C74">
        <w:tc>
          <w:tcPr>
            <w:tcW w:w="5000" w:type="pct"/>
            <w:tcBorders>
              <w:top w:val="single" w:sz="6" w:space="0" w:color="78A22F"/>
              <w:left w:val="nil"/>
              <w:bottom w:val="nil"/>
              <w:right w:val="nil"/>
            </w:tcBorders>
            <w:shd w:val="clear" w:color="auto" w:fill="auto"/>
          </w:tcPr>
          <w:p w14:paraId="38FFDD9F" w14:textId="77777777" w:rsidR="0072658D" w:rsidRPr="002837CA" w:rsidRDefault="005D133C" w:rsidP="00084C74">
            <w:pPr>
              <w:pStyle w:val="TableTitle"/>
            </w:pPr>
            <w:r>
              <w:rPr>
                <w:b w:val="0"/>
              </w:rPr>
              <w:t xml:space="preserve">Table </w:t>
            </w:r>
            <w:r w:rsidR="00730A3D">
              <w:rPr>
                <w:b w:val="0"/>
              </w:rPr>
              <w:t>6</w:t>
            </w:r>
            <w:r w:rsidR="0072658D" w:rsidRPr="002837CA">
              <w:tab/>
            </w:r>
            <w:r w:rsidR="000D23B1">
              <w:t>Key estimates from</w:t>
            </w:r>
            <w:r w:rsidR="0072658D" w:rsidRPr="002837CA">
              <w:t xml:space="preserve"> Australian integrated care projects</w:t>
            </w:r>
          </w:p>
          <w:p w14:paraId="38FFDDA0" w14:textId="77777777" w:rsidR="0072658D" w:rsidRPr="002837CA" w:rsidRDefault="0072658D" w:rsidP="00084C74">
            <w:pPr>
              <w:pStyle w:val="Subtitle"/>
            </w:pPr>
            <w:r w:rsidRPr="002837CA">
              <w:t>2016</w:t>
            </w:r>
            <w:r w:rsidR="002C4651">
              <w:t xml:space="preserve"> prices</w:t>
            </w:r>
          </w:p>
        </w:tc>
      </w:tr>
      <w:tr w:rsidR="0072658D" w:rsidRPr="002837CA" w14:paraId="38FFDDD0" w14:textId="77777777" w:rsidTr="00084C7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59"/>
              <w:gridCol w:w="584"/>
              <w:gridCol w:w="1612"/>
              <w:gridCol w:w="1320"/>
              <w:gridCol w:w="1086"/>
              <w:gridCol w:w="1220"/>
              <w:gridCol w:w="1208"/>
            </w:tblGrid>
            <w:tr w:rsidR="0072658D" w:rsidRPr="002837CA" w14:paraId="38FFDDA9" w14:textId="77777777" w:rsidTr="00636040">
              <w:trPr>
                <w:tblHeader/>
              </w:trPr>
              <w:tc>
                <w:tcPr>
                  <w:tcW w:w="1001" w:type="pct"/>
                  <w:tcBorders>
                    <w:top w:val="single" w:sz="6" w:space="0" w:color="BFBFBF"/>
                    <w:bottom w:val="single" w:sz="6" w:space="0" w:color="BFBFBF"/>
                  </w:tcBorders>
                  <w:shd w:val="clear" w:color="auto" w:fill="auto"/>
                  <w:tcMar>
                    <w:top w:w="28" w:type="dxa"/>
                  </w:tcMar>
                </w:tcPr>
                <w:p w14:paraId="38FFDDA2" w14:textId="77777777" w:rsidR="0072658D" w:rsidRPr="002837CA" w:rsidRDefault="00A21BC0" w:rsidP="00084C74">
                  <w:pPr>
                    <w:pStyle w:val="TableColumnHeading"/>
                    <w:jc w:val="left"/>
                  </w:pPr>
                  <w:r>
                    <w:t>Project</w:t>
                  </w:r>
                </w:p>
              </w:tc>
              <w:tc>
                <w:tcPr>
                  <w:tcW w:w="332" w:type="pct"/>
                  <w:tcBorders>
                    <w:top w:val="single" w:sz="6" w:space="0" w:color="BFBFBF"/>
                    <w:bottom w:val="single" w:sz="6" w:space="0" w:color="BFBFBF"/>
                  </w:tcBorders>
                </w:tcPr>
                <w:p w14:paraId="38FFDDA3" w14:textId="77777777" w:rsidR="0072658D" w:rsidRPr="002837CA" w:rsidRDefault="0072658D" w:rsidP="00084C74">
                  <w:pPr>
                    <w:pStyle w:val="TableColumnHeading"/>
                  </w:pPr>
                  <w:r w:rsidRPr="002837CA">
                    <w:t>Unit</w:t>
                  </w:r>
                </w:p>
              </w:tc>
              <w:tc>
                <w:tcPr>
                  <w:tcW w:w="917" w:type="pct"/>
                  <w:tcBorders>
                    <w:top w:val="single" w:sz="6" w:space="0" w:color="BFBFBF"/>
                    <w:bottom w:val="single" w:sz="6" w:space="0" w:color="BFBFBF"/>
                  </w:tcBorders>
                </w:tcPr>
                <w:p w14:paraId="38FFDDA4" w14:textId="77777777" w:rsidR="0072658D" w:rsidRPr="002837CA" w:rsidRDefault="0072658D" w:rsidP="00B95A66">
                  <w:pPr>
                    <w:pStyle w:val="TableColumnHeading"/>
                  </w:pPr>
                  <w:r w:rsidRPr="002837CA">
                    <w:t>The Diabetes Care Project, 2011</w:t>
                  </w:r>
                  <w:r w:rsidR="00081863">
                    <w:t>–</w:t>
                  </w:r>
                  <w:r w:rsidRPr="002837CA">
                    <w:t>2014</w:t>
                  </w:r>
                  <w:r w:rsidR="00B65449" w:rsidRPr="002837CA">
                    <w:rPr>
                      <w:b/>
                      <w:position w:val="6"/>
                    </w:rPr>
                    <w:t>a</w:t>
                  </w:r>
                </w:p>
              </w:tc>
              <w:tc>
                <w:tcPr>
                  <w:tcW w:w="751" w:type="pct"/>
                  <w:tcBorders>
                    <w:top w:val="single" w:sz="6" w:space="0" w:color="BFBFBF"/>
                    <w:bottom w:val="single" w:sz="6" w:space="0" w:color="BFBFBF"/>
                  </w:tcBorders>
                  <w:shd w:val="clear" w:color="auto" w:fill="auto"/>
                  <w:tcMar>
                    <w:top w:w="28" w:type="dxa"/>
                  </w:tcMar>
                </w:tcPr>
                <w:p w14:paraId="38FFDDA5" w14:textId="77777777" w:rsidR="0072658D" w:rsidRPr="002837CA" w:rsidRDefault="0072658D" w:rsidP="00084C74">
                  <w:pPr>
                    <w:pStyle w:val="TableColumnHeading"/>
                  </w:pPr>
                  <w:r w:rsidRPr="002837CA">
                    <w:t>HARP, 2004</w:t>
                  </w:r>
                  <w:r>
                    <w:noBreakHyphen/>
                  </w:r>
                  <w:r w:rsidRPr="002837CA">
                    <w:t>05</w:t>
                  </w:r>
                </w:p>
              </w:tc>
              <w:tc>
                <w:tcPr>
                  <w:tcW w:w="618" w:type="pct"/>
                  <w:tcBorders>
                    <w:top w:val="single" w:sz="6" w:space="0" w:color="BFBFBF"/>
                    <w:bottom w:val="single" w:sz="6" w:space="0" w:color="BFBFBF"/>
                  </w:tcBorders>
                </w:tcPr>
                <w:p w14:paraId="38FFDDA6" w14:textId="77777777" w:rsidR="0072658D" w:rsidRPr="002837CA" w:rsidRDefault="0072658D" w:rsidP="00084C74">
                  <w:pPr>
                    <w:pStyle w:val="TableColumnHeading"/>
                  </w:pPr>
                  <w:r w:rsidRPr="002837CA">
                    <w:t>Mt Druitt HealthOne, 2006</w:t>
                  </w:r>
                  <w:r>
                    <w:t>–</w:t>
                  </w:r>
                  <w:r w:rsidRPr="002837CA">
                    <w:t>2012</w:t>
                  </w:r>
                </w:p>
              </w:tc>
              <w:tc>
                <w:tcPr>
                  <w:tcW w:w="694" w:type="pct"/>
                  <w:tcBorders>
                    <w:top w:val="single" w:sz="6" w:space="0" w:color="BFBFBF"/>
                    <w:bottom w:val="single" w:sz="6" w:space="0" w:color="BFBFBF"/>
                  </w:tcBorders>
                </w:tcPr>
                <w:p w14:paraId="38FFDDA7" w14:textId="77777777" w:rsidR="0072658D" w:rsidRPr="002837CA" w:rsidRDefault="0072658D" w:rsidP="00B95A66">
                  <w:pPr>
                    <w:pStyle w:val="TableColumnHeading"/>
                  </w:pPr>
                  <w:r w:rsidRPr="002837CA">
                    <w:t xml:space="preserve">Western Sydney Diabetes </w:t>
                  </w:r>
                  <w:r w:rsidR="00CA73AD">
                    <w:t>i</w:t>
                  </w:r>
                  <w:r w:rsidRPr="002837CA">
                    <w:t>nitiative, 2012</w:t>
                  </w:r>
                  <w:r w:rsidR="00081863">
                    <w:t>–</w:t>
                  </w:r>
                  <w:r w:rsidRPr="002837CA">
                    <w:t>2016</w:t>
                  </w:r>
                  <w:r w:rsidRPr="002837CA">
                    <w:rPr>
                      <w:b/>
                      <w:position w:val="6"/>
                    </w:rPr>
                    <w:t>a</w:t>
                  </w:r>
                  <w:r w:rsidR="00B95A66">
                    <w:rPr>
                      <w:b/>
                      <w:position w:val="6"/>
                    </w:rPr>
                    <w:t>,</w:t>
                  </w:r>
                  <w:r w:rsidR="0095605B">
                    <w:rPr>
                      <w:b/>
                      <w:position w:val="6"/>
                    </w:rPr>
                    <w:t>b</w:t>
                  </w:r>
                </w:p>
              </w:tc>
              <w:tc>
                <w:tcPr>
                  <w:tcW w:w="688" w:type="pct"/>
                  <w:tcBorders>
                    <w:top w:val="single" w:sz="6" w:space="0" w:color="BFBFBF"/>
                    <w:bottom w:val="single" w:sz="6" w:space="0" w:color="BFBFBF"/>
                  </w:tcBorders>
                  <w:shd w:val="clear" w:color="auto" w:fill="auto"/>
                  <w:tcMar>
                    <w:top w:w="28" w:type="dxa"/>
                  </w:tcMar>
                </w:tcPr>
                <w:p w14:paraId="38FFDDA8" w14:textId="77777777" w:rsidR="0072658D" w:rsidRPr="002837CA" w:rsidRDefault="0072658D" w:rsidP="0095605B">
                  <w:pPr>
                    <w:pStyle w:val="TableColumnHeading"/>
                  </w:pPr>
                  <w:r w:rsidRPr="002837CA">
                    <w:t>Inala Chronic Disease Management Service, 2007</w:t>
                  </w:r>
                  <w:r w:rsidR="00081863">
                    <w:t>–</w:t>
                  </w:r>
                  <w:r w:rsidRPr="002837CA">
                    <w:t>2008</w:t>
                  </w:r>
                  <w:r w:rsidR="0095605B">
                    <w:rPr>
                      <w:b/>
                      <w:position w:val="6"/>
                    </w:rPr>
                    <w:t>c</w:t>
                  </w:r>
                </w:p>
              </w:tc>
            </w:tr>
            <w:tr w:rsidR="0072658D" w:rsidRPr="002837CA" w14:paraId="38FFDDB6" w14:textId="77777777" w:rsidTr="00636040">
              <w:tc>
                <w:tcPr>
                  <w:tcW w:w="1001" w:type="pct"/>
                  <w:tcBorders>
                    <w:top w:val="single" w:sz="6" w:space="0" w:color="BFBFBF"/>
                  </w:tcBorders>
                </w:tcPr>
                <w:p w14:paraId="38FFDDAA" w14:textId="77777777" w:rsidR="0072658D" w:rsidRPr="002837CA" w:rsidRDefault="00636040" w:rsidP="00CA33DA">
                  <w:pPr>
                    <w:pStyle w:val="TableBodyText"/>
                    <w:jc w:val="left"/>
                  </w:pPr>
                  <w:r>
                    <w:t>Scope of project</w:t>
                  </w:r>
                </w:p>
              </w:tc>
              <w:tc>
                <w:tcPr>
                  <w:tcW w:w="332" w:type="pct"/>
                  <w:tcBorders>
                    <w:top w:val="single" w:sz="6" w:space="0" w:color="BFBFBF"/>
                  </w:tcBorders>
                </w:tcPr>
                <w:p w14:paraId="38FFDDAB" w14:textId="77777777" w:rsidR="0072658D" w:rsidRPr="002837CA" w:rsidRDefault="0072658D" w:rsidP="00084C74">
                  <w:pPr>
                    <w:pStyle w:val="TableBodyText"/>
                  </w:pPr>
                </w:p>
              </w:tc>
              <w:tc>
                <w:tcPr>
                  <w:tcW w:w="917" w:type="pct"/>
                  <w:tcBorders>
                    <w:top w:val="single" w:sz="6" w:space="0" w:color="BFBFBF"/>
                  </w:tcBorders>
                </w:tcPr>
                <w:p w14:paraId="38FFDDAC" w14:textId="77777777" w:rsidR="0072658D" w:rsidRPr="002837CA" w:rsidRDefault="0072658D" w:rsidP="00084C74">
                  <w:pPr>
                    <w:pStyle w:val="TableBodyText"/>
                  </w:pPr>
                  <w:r w:rsidRPr="002837CA">
                    <w:t>GP and allied health</w:t>
                  </w:r>
                </w:p>
                <w:p w14:paraId="38FFDDAD" w14:textId="77777777" w:rsidR="0072658D" w:rsidRPr="002837CA" w:rsidRDefault="0072658D" w:rsidP="00084C74">
                  <w:pPr>
                    <w:pStyle w:val="TableBodyText"/>
                  </w:pPr>
                  <w:r w:rsidRPr="002837CA">
                    <w:t>Patients with diabetes, particularly those with complex diabetes</w:t>
                  </w:r>
                </w:p>
              </w:tc>
              <w:tc>
                <w:tcPr>
                  <w:tcW w:w="751" w:type="pct"/>
                  <w:tcBorders>
                    <w:top w:val="single" w:sz="6" w:space="0" w:color="BFBFBF"/>
                  </w:tcBorders>
                </w:tcPr>
                <w:p w14:paraId="38FFDDAE" w14:textId="77777777" w:rsidR="0072658D" w:rsidRPr="002837CA" w:rsidRDefault="0072658D" w:rsidP="00084C74">
                  <w:pPr>
                    <w:pStyle w:val="TableBodyText"/>
                  </w:pPr>
                  <w:r w:rsidRPr="002837CA">
                    <w:t xml:space="preserve">Hospital and community care </w:t>
                  </w:r>
                </w:p>
                <w:p w14:paraId="38FFDDAF" w14:textId="77777777" w:rsidR="0072658D" w:rsidRPr="002837CA" w:rsidRDefault="0072658D" w:rsidP="00084C74">
                  <w:pPr>
                    <w:pStyle w:val="TableBodyText"/>
                  </w:pPr>
                  <w:r w:rsidRPr="002837CA">
                    <w:t>Patients at high risk of hospitalisation</w:t>
                  </w:r>
                </w:p>
              </w:tc>
              <w:tc>
                <w:tcPr>
                  <w:tcW w:w="618" w:type="pct"/>
                  <w:tcBorders>
                    <w:top w:val="single" w:sz="6" w:space="0" w:color="BFBFBF"/>
                  </w:tcBorders>
                </w:tcPr>
                <w:p w14:paraId="38FFDDB0" w14:textId="77777777" w:rsidR="0072658D" w:rsidRPr="002837CA" w:rsidRDefault="0072658D" w:rsidP="00084C74">
                  <w:pPr>
                    <w:pStyle w:val="TableBodyText"/>
                  </w:pPr>
                  <w:r w:rsidRPr="002837CA">
                    <w:t>All sectors</w:t>
                  </w:r>
                </w:p>
                <w:p w14:paraId="38FFDDB1" w14:textId="77777777" w:rsidR="0072658D" w:rsidRPr="002837CA" w:rsidRDefault="0072658D" w:rsidP="00084C74">
                  <w:pPr>
                    <w:pStyle w:val="TableBodyText"/>
                  </w:pPr>
                  <w:r w:rsidRPr="002837CA">
                    <w:t>Patients in need of complex, chronic and aged care</w:t>
                  </w:r>
                </w:p>
              </w:tc>
              <w:tc>
                <w:tcPr>
                  <w:tcW w:w="694" w:type="pct"/>
                  <w:tcBorders>
                    <w:top w:val="single" w:sz="6" w:space="0" w:color="BFBFBF"/>
                  </w:tcBorders>
                </w:tcPr>
                <w:p w14:paraId="38FFDDB2" w14:textId="77777777" w:rsidR="0072658D" w:rsidRPr="002837CA" w:rsidRDefault="0072658D" w:rsidP="00084C74">
                  <w:pPr>
                    <w:pStyle w:val="TableBodyText"/>
                  </w:pPr>
                  <w:r w:rsidRPr="002837CA">
                    <w:t>All sectors</w:t>
                  </w:r>
                </w:p>
                <w:p w14:paraId="38FFDDB3" w14:textId="77777777" w:rsidR="0072658D" w:rsidRPr="002837CA" w:rsidRDefault="0072658D" w:rsidP="00084C74">
                  <w:pPr>
                    <w:pStyle w:val="TableBodyText"/>
                  </w:pPr>
                  <w:r w:rsidRPr="002837CA">
                    <w:t>Patients admitted to hospital for diabetes related surgery</w:t>
                  </w:r>
                </w:p>
              </w:tc>
              <w:tc>
                <w:tcPr>
                  <w:tcW w:w="688" w:type="pct"/>
                  <w:tcBorders>
                    <w:top w:val="single" w:sz="6" w:space="0" w:color="BFBFBF"/>
                  </w:tcBorders>
                </w:tcPr>
                <w:p w14:paraId="38FFDDB4" w14:textId="77777777" w:rsidR="0072658D" w:rsidRPr="002837CA" w:rsidRDefault="0072658D" w:rsidP="00084C74">
                  <w:pPr>
                    <w:pStyle w:val="TableBodyText"/>
                  </w:pPr>
                  <w:r w:rsidRPr="002837CA">
                    <w:t>All sectors</w:t>
                  </w:r>
                </w:p>
                <w:p w14:paraId="38FFDDB5" w14:textId="77777777" w:rsidR="0072658D" w:rsidRPr="002837CA" w:rsidRDefault="0072658D" w:rsidP="00084C74">
                  <w:pPr>
                    <w:pStyle w:val="TableBodyText"/>
                  </w:pPr>
                  <w:r w:rsidRPr="002837CA">
                    <w:t>Patients with chronic and complex diabetes in need of acute care</w:t>
                  </w:r>
                </w:p>
              </w:tc>
            </w:tr>
            <w:tr w:rsidR="00B65449" w:rsidRPr="002837CA" w14:paraId="38FFDDBE" w14:textId="77777777" w:rsidTr="00636040">
              <w:tc>
                <w:tcPr>
                  <w:tcW w:w="1001" w:type="pct"/>
                </w:tcPr>
                <w:p w14:paraId="38FFDDB7" w14:textId="77777777" w:rsidR="00B65449" w:rsidRPr="002837CA" w:rsidRDefault="00B65449" w:rsidP="00B65449">
                  <w:pPr>
                    <w:pStyle w:val="TableBodyText"/>
                    <w:jc w:val="left"/>
                  </w:pPr>
                  <w:r w:rsidRPr="002837CA">
                    <w:t xml:space="preserve">Impact </w:t>
                  </w:r>
                  <w:r w:rsidR="00A21BC0">
                    <w:t xml:space="preserve">of project </w:t>
                  </w:r>
                  <w:r w:rsidRPr="002837CA">
                    <w:t>on hospital bed days</w:t>
                  </w:r>
                </w:p>
              </w:tc>
              <w:tc>
                <w:tcPr>
                  <w:tcW w:w="332" w:type="pct"/>
                </w:tcPr>
                <w:p w14:paraId="38FFDDB8" w14:textId="77777777" w:rsidR="00B65449" w:rsidRPr="002837CA" w:rsidRDefault="00B65449" w:rsidP="00B65449">
                  <w:pPr>
                    <w:pStyle w:val="TableBodyText"/>
                  </w:pPr>
                  <w:r>
                    <w:t>%</w:t>
                  </w:r>
                </w:p>
              </w:tc>
              <w:tc>
                <w:tcPr>
                  <w:tcW w:w="917" w:type="pct"/>
                </w:tcPr>
                <w:p w14:paraId="38FFDDB9" w14:textId="77777777" w:rsidR="00B65449" w:rsidRPr="002837CA" w:rsidRDefault="00B65449" w:rsidP="00D04FA5">
                  <w:pPr>
                    <w:pStyle w:val="TableBodyText"/>
                  </w:pPr>
                  <w:r>
                    <w:noBreakHyphen/>
                  </w:r>
                  <w:r w:rsidR="00D04FA5">
                    <w:t>17</w:t>
                  </w:r>
                </w:p>
              </w:tc>
              <w:tc>
                <w:tcPr>
                  <w:tcW w:w="751" w:type="pct"/>
                </w:tcPr>
                <w:p w14:paraId="38FFDDBA" w14:textId="77777777" w:rsidR="00B65449" w:rsidRPr="002837CA" w:rsidRDefault="00B65449" w:rsidP="00B65449">
                  <w:pPr>
                    <w:pStyle w:val="TableBodyText"/>
                  </w:pPr>
                  <w:r>
                    <w:noBreakHyphen/>
                  </w:r>
                  <w:r w:rsidRPr="002837CA">
                    <w:t>41</w:t>
                  </w:r>
                </w:p>
              </w:tc>
              <w:tc>
                <w:tcPr>
                  <w:tcW w:w="618" w:type="pct"/>
                </w:tcPr>
                <w:p w14:paraId="38FFDDBB" w14:textId="77777777" w:rsidR="00B65449" w:rsidRPr="002837CA" w:rsidRDefault="00B65449" w:rsidP="00D04FA5">
                  <w:pPr>
                    <w:pStyle w:val="TableBodyText"/>
                  </w:pPr>
                  <w:r>
                    <w:noBreakHyphen/>
                  </w:r>
                  <w:r w:rsidRPr="002837CA">
                    <w:t>41</w:t>
                  </w:r>
                </w:p>
              </w:tc>
              <w:tc>
                <w:tcPr>
                  <w:tcW w:w="694" w:type="pct"/>
                </w:tcPr>
                <w:p w14:paraId="38FFDDBC" w14:textId="77777777" w:rsidR="00B65449" w:rsidRPr="002837CA" w:rsidRDefault="00B65449" w:rsidP="00D04FA5">
                  <w:pPr>
                    <w:pStyle w:val="TableBodyText"/>
                  </w:pPr>
                  <w:r>
                    <w:noBreakHyphen/>
                  </w:r>
                  <w:r w:rsidR="00D04FA5">
                    <w:t>45</w:t>
                  </w:r>
                </w:p>
              </w:tc>
              <w:tc>
                <w:tcPr>
                  <w:tcW w:w="688" w:type="pct"/>
                </w:tcPr>
                <w:p w14:paraId="38FFDDBD" w14:textId="77777777" w:rsidR="00B65449" w:rsidRPr="002837CA" w:rsidRDefault="00B65449" w:rsidP="00D04FA5">
                  <w:pPr>
                    <w:pStyle w:val="TableBodyText"/>
                  </w:pPr>
                  <w:r>
                    <w:noBreakHyphen/>
                  </w:r>
                  <w:r w:rsidRPr="002837CA">
                    <w:t>4</w:t>
                  </w:r>
                  <w:r w:rsidR="00D04FA5">
                    <w:t>6</w:t>
                  </w:r>
                </w:p>
              </w:tc>
            </w:tr>
            <w:tr w:rsidR="00B65449" w:rsidRPr="002837CA" w14:paraId="38FFDDC6" w14:textId="77777777" w:rsidTr="00636040">
              <w:tc>
                <w:tcPr>
                  <w:tcW w:w="1001" w:type="pct"/>
                </w:tcPr>
                <w:p w14:paraId="38FFDDBF" w14:textId="77777777" w:rsidR="00B65449" w:rsidRPr="002837CA" w:rsidRDefault="00B65449" w:rsidP="00B65449">
                  <w:pPr>
                    <w:pStyle w:val="TableBodyText"/>
                    <w:jc w:val="left"/>
                  </w:pPr>
                  <w:r>
                    <w:t xml:space="preserve">Cost of </w:t>
                  </w:r>
                  <w:r w:rsidR="00A21BC0">
                    <w:t>project</w:t>
                  </w:r>
                </w:p>
              </w:tc>
              <w:tc>
                <w:tcPr>
                  <w:tcW w:w="332" w:type="pct"/>
                </w:tcPr>
                <w:p w14:paraId="38FFDDC0" w14:textId="77777777" w:rsidR="00B65449" w:rsidRPr="002837CA" w:rsidRDefault="00412D32" w:rsidP="00B65449">
                  <w:pPr>
                    <w:pStyle w:val="TableBodyText"/>
                  </w:pPr>
                  <w:r w:rsidRPr="002837CA">
                    <w:t>$ per client</w:t>
                  </w:r>
                </w:p>
              </w:tc>
              <w:tc>
                <w:tcPr>
                  <w:tcW w:w="917" w:type="pct"/>
                </w:tcPr>
                <w:p w14:paraId="38FFDDC1" w14:textId="77777777" w:rsidR="00B65449" w:rsidRPr="002837CA" w:rsidRDefault="00B65449" w:rsidP="00B65449">
                  <w:pPr>
                    <w:pStyle w:val="TableBodyText"/>
                  </w:pPr>
                  <w:r>
                    <w:t>845</w:t>
                  </w:r>
                </w:p>
              </w:tc>
              <w:tc>
                <w:tcPr>
                  <w:tcW w:w="751" w:type="pct"/>
                </w:tcPr>
                <w:p w14:paraId="38FFDDC2" w14:textId="77777777" w:rsidR="00B65449" w:rsidRPr="002837CA" w:rsidRDefault="00B65449" w:rsidP="00B65449">
                  <w:pPr>
                    <w:pStyle w:val="TableBodyText"/>
                  </w:pPr>
                  <w:r>
                    <w:t>2 433</w:t>
                  </w:r>
                </w:p>
              </w:tc>
              <w:tc>
                <w:tcPr>
                  <w:tcW w:w="618" w:type="pct"/>
                </w:tcPr>
                <w:p w14:paraId="38FFDDC3" w14:textId="77777777" w:rsidR="00B65449" w:rsidRPr="002837CA" w:rsidRDefault="00B65449" w:rsidP="00B65449">
                  <w:pPr>
                    <w:pStyle w:val="TableBodyText"/>
                  </w:pPr>
                  <w:r>
                    <w:t>1 616</w:t>
                  </w:r>
                </w:p>
              </w:tc>
              <w:tc>
                <w:tcPr>
                  <w:tcW w:w="694" w:type="pct"/>
                </w:tcPr>
                <w:p w14:paraId="38FFDDC4" w14:textId="77777777" w:rsidR="00B65449" w:rsidRPr="002837CA" w:rsidRDefault="00D04FA5" w:rsidP="00B65449">
                  <w:pPr>
                    <w:pStyle w:val="TableBodyText"/>
                  </w:pPr>
                  <w:r>
                    <w:t>1 </w:t>
                  </w:r>
                  <w:r w:rsidR="00B65449">
                    <w:t>101</w:t>
                  </w:r>
                </w:p>
              </w:tc>
              <w:tc>
                <w:tcPr>
                  <w:tcW w:w="688" w:type="pct"/>
                </w:tcPr>
                <w:p w14:paraId="38FFDDC5" w14:textId="77777777" w:rsidR="00B65449" w:rsidRPr="002837CA" w:rsidRDefault="00951759" w:rsidP="00951759">
                  <w:pPr>
                    <w:pStyle w:val="TableBodyText"/>
                  </w:pPr>
                  <w:r>
                    <w:t>n</w:t>
                  </w:r>
                  <w:r w:rsidR="00B65449">
                    <w:t>a</w:t>
                  </w:r>
                </w:p>
              </w:tc>
            </w:tr>
            <w:tr w:rsidR="00CB3391" w:rsidRPr="002837CA" w14:paraId="38FFDDCE" w14:textId="77777777" w:rsidTr="00636040">
              <w:tc>
                <w:tcPr>
                  <w:tcW w:w="1001" w:type="pct"/>
                  <w:tcBorders>
                    <w:bottom w:val="single" w:sz="6" w:space="0" w:color="BFBFBF"/>
                  </w:tcBorders>
                  <w:shd w:val="clear" w:color="auto" w:fill="auto"/>
                </w:tcPr>
                <w:p w14:paraId="38FFDDC7" w14:textId="77777777" w:rsidR="00CB3391" w:rsidRPr="002837CA" w:rsidRDefault="00CB3391" w:rsidP="00CB3391">
                  <w:pPr>
                    <w:pStyle w:val="TableBodyText"/>
                    <w:jc w:val="left"/>
                  </w:pPr>
                  <w:r w:rsidRPr="002837CA">
                    <w:t xml:space="preserve">Cost of </w:t>
                  </w:r>
                  <w:r>
                    <w:t xml:space="preserve">(avoided) </w:t>
                  </w:r>
                  <w:r w:rsidRPr="002837CA">
                    <w:t>hospitalisation</w:t>
                  </w:r>
                </w:p>
              </w:tc>
              <w:tc>
                <w:tcPr>
                  <w:tcW w:w="332" w:type="pct"/>
                  <w:tcBorders>
                    <w:bottom w:val="single" w:sz="6" w:space="0" w:color="BFBFBF"/>
                  </w:tcBorders>
                </w:tcPr>
                <w:p w14:paraId="38FFDDC8" w14:textId="77777777" w:rsidR="00CB3391" w:rsidRPr="002837CA" w:rsidRDefault="00CB3391" w:rsidP="00CB3391">
                  <w:pPr>
                    <w:pStyle w:val="TableBodyText"/>
                  </w:pPr>
                  <w:r w:rsidRPr="002837CA">
                    <w:t>$ per client</w:t>
                  </w:r>
                </w:p>
              </w:tc>
              <w:tc>
                <w:tcPr>
                  <w:tcW w:w="917" w:type="pct"/>
                  <w:tcBorders>
                    <w:bottom w:val="single" w:sz="6" w:space="0" w:color="BFBFBF"/>
                  </w:tcBorders>
                </w:tcPr>
                <w:p w14:paraId="38FFDDC9" w14:textId="77777777" w:rsidR="00CB3391" w:rsidRPr="002837CA" w:rsidRDefault="00CB3391" w:rsidP="00CB3391">
                  <w:pPr>
                    <w:pStyle w:val="TableBodyText"/>
                  </w:pPr>
                  <w:r>
                    <w:t>4 303</w:t>
                  </w:r>
                </w:p>
              </w:tc>
              <w:tc>
                <w:tcPr>
                  <w:tcW w:w="751" w:type="pct"/>
                  <w:tcBorders>
                    <w:bottom w:val="single" w:sz="6" w:space="0" w:color="BFBFBF"/>
                  </w:tcBorders>
                  <w:shd w:val="clear" w:color="auto" w:fill="auto"/>
                </w:tcPr>
                <w:p w14:paraId="38FFDDCA" w14:textId="77777777" w:rsidR="00CB3391" w:rsidRPr="002837CA" w:rsidRDefault="00CB3391" w:rsidP="00951759">
                  <w:pPr>
                    <w:pStyle w:val="TableBodyText"/>
                  </w:pPr>
                  <w:r>
                    <w:t>na</w:t>
                  </w:r>
                </w:p>
              </w:tc>
              <w:tc>
                <w:tcPr>
                  <w:tcW w:w="618" w:type="pct"/>
                  <w:tcBorders>
                    <w:bottom w:val="single" w:sz="6" w:space="0" w:color="BFBFBF"/>
                  </w:tcBorders>
                </w:tcPr>
                <w:p w14:paraId="38FFDDCB" w14:textId="77777777" w:rsidR="00CB3391" w:rsidRPr="002837CA" w:rsidRDefault="00951759" w:rsidP="00CB3391">
                  <w:pPr>
                    <w:pStyle w:val="TableBodyText"/>
                  </w:pPr>
                  <w:r>
                    <w:t>n</w:t>
                  </w:r>
                  <w:r w:rsidR="00CB3391">
                    <w:t>a</w:t>
                  </w:r>
                </w:p>
              </w:tc>
              <w:tc>
                <w:tcPr>
                  <w:tcW w:w="694" w:type="pct"/>
                  <w:tcBorders>
                    <w:bottom w:val="single" w:sz="6" w:space="0" w:color="BFBFBF"/>
                  </w:tcBorders>
                </w:tcPr>
                <w:p w14:paraId="38FFDDCC" w14:textId="77777777" w:rsidR="00CB3391" w:rsidRPr="002837CA" w:rsidRDefault="00CB3391" w:rsidP="00CB3391">
                  <w:pPr>
                    <w:pStyle w:val="TableBodyText"/>
                  </w:pPr>
                  <w:r>
                    <w:t>11 432</w:t>
                  </w:r>
                </w:p>
              </w:tc>
              <w:tc>
                <w:tcPr>
                  <w:tcW w:w="688" w:type="pct"/>
                  <w:tcBorders>
                    <w:bottom w:val="single" w:sz="6" w:space="0" w:color="BFBFBF"/>
                  </w:tcBorders>
                  <w:shd w:val="clear" w:color="auto" w:fill="auto"/>
                </w:tcPr>
                <w:p w14:paraId="38FFDDCD" w14:textId="77777777" w:rsidR="00CB3391" w:rsidRPr="002837CA" w:rsidRDefault="00CB3391" w:rsidP="00CB3391">
                  <w:pPr>
                    <w:pStyle w:val="TableBodyText"/>
                  </w:pPr>
                  <w:r>
                    <w:t>8 432</w:t>
                  </w:r>
                </w:p>
              </w:tc>
            </w:tr>
          </w:tbl>
          <w:p w14:paraId="38FFDDCF" w14:textId="77777777" w:rsidR="0072658D" w:rsidRPr="002837CA" w:rsidRDefault="0072658D" w:rsidP="00084C74">
            <w:pPr>
              <w:keepNext/>
              <w:spacing w:before="120" w:line="260" w:lineRule="atLeast"/>
              <w:jc w:val="both"/>
              <w:rPr>
                <w:rFonts w:ascii="Arial" w:hAnsi="Arial"/>
                <w:sz w:val="20"/>
                <w:szCs w:val="20"/>
              </w:rPr>
            </w:pPr>
          </w:p>
        </w:tc>
      </w:tr>
      <w:tr w:rsidR="0072658D" w:rsidRPr="002837CA" w14:paraId="38FFDDD2" w14:textId="77777777" w:rsidTr="00084C74">
        <w:tc>
          <w:tcPr>
            <w:tcW w:w="5000" w:type="pct"/>
            <w:tcBorders>
              <w:top w:val="nil"/>
              <w:left w:val="nil"/>
              <w:bottom w:val="nil"/>
              <w:right w:val="nil"/>
            </w:tcBorders>
            <w:shd w:val="clear" w:color="auto" w:fill="auto"/>
          </w:tcPr>
          <w:p w14:paraId="38FFDDD1" w14:textId="77777777" w:rsidR="0072658D" w:rsidRPr="002837CA" w:rsidRDefault="0072658D" w:rsidP="00951759">
            <w:pPr>
              <w:pStyle w:val="Note"/>
              <w:spacing w:line="240" w:lineRule="exact"/>
              <w:rPr>
                <w:i/>
              </w:rPr>
            </w:pPr>
            <w:r w:rsidRPr="009B62FE">
              <w:rPr>
                <w:rStyle w:val="NoteLabel"/>
              </w:rPr>
              <w:t>a</w:t>
            </w:r>
            <w:r w:rsidR="00636040">
              <w:t> T</w:t>
            </w:r>
            <w:r w:rsidR="00B65449">
              <w:t xml:space="preserve">he </w:t>
            </w:r>
            <w:r w:rsidR="00636040">
              <w:t xml:space="preserve">estimated </w:t>
            </w:r>
            <w:r w:rsidR="00B65449">
              <w:t>impact on hospital bed days</w:t>
            </w:r>
            <w:r w:rsidR="00412D32">
              <w:t xml:space="preserve"> </w:t>
            </w:r>
            <w:r w:rsidR="00636040">
              <w:t>is</w:t>
            </w:r>
            <w:r w:rsidR="00B65449">
              <w:t xml:space="preserve"> based on the reported impacts on average length of stay.</w:t>
            </w:r>
            <w:r w:rsidR="0095605B">
              <w:rPr>
                <w:rStyle w:val="NoteLabel"/>
              </w:rPr>
              <w:t xml:space="preserve"> b</w:t>
            </w:r>
            <w:r w:rsidR="00636040">
              <w:t> The estimated</w:t>
            </w:r>
            <w:r w:rsidR="0095605B">
              <w:t xml:space="preserve"> costs </w:t>
            </w:r>
            <w:r w:rsidR="00636040">
              <w:t>are</w:t>
            </w:r>
            <w:r w:rsidR="0095605B">
              <w:t xml:space="preserve"> based on unpublished data provided by the Western Sydne</w:t>
            </w:r>
            <w:r w:rsidR="00CA73AD">
              <w:t>y Diabetes initiative (pers. comm., 15 March</w:t>
            </w:r>
            <w:r w:rsidR="00081863">
              <w:t xml:space="preserve"> </w:t>
            </w:r>
            <w:r w:rsidR="00CA73AD">
              <w:t>2017)</w:t>
            </w:r>
            <w:r w:rsidR="0095605B">
              <w:t>.</w:t>
            </w:r>
            <w:r w:rsidR="00B65449">
              <w:t xml:space="preserve"> </w:t>
            </w:r>
            <w:r w:rsidR="0095605B">
              <w:rPr>
                <w:rStyle w:val="NoteLabel"/>
              </w:rPr>
              <w:t>c</w:t>
            </w:r>
            <w:r w:rsidR="00636040">
              <w:t> </w:t>
            </w:r>
            <w:r w:rsidR="00412D32">
              <w:t xml:space="preserve">The </w:t>
            </w:r>
            <w:r w:rsidR="00B65449">
              <w:t>estimate</w:t>
            </w:r>
            <w:r w:rsidR="00636040">
              <w:t>d</w:t>
            </w:r>
            <w:r w:rsidR="00B65449">
              <w:t xml:space="preserve"> impact on hospital bed days </w:t>
            </w:r>
            <w:r w:rsidR="00636040">
              <w:t>is</w:t>
            </w:r>
            <w:r w:rsidR="00412D32">
              <w:t xml:space="preserve"> </w:t>
            </w:r>
            <w:r w:rsidR="00B65449">
              <w:t xml:space="preserve">based on </w:t>
            </w:r>
            <w:r w:rsidR="00232F2C">
              <w:t xml:space="preserve">the </w:t>
            </w:r>
            <w:r w:rsidR="00636040">
              <w:t>reported impacts</w:t>
            </w:r>
            <w:r w:rsidR="00B65449">
              <w:t xml:space="preserve"> on admission rate.</w:t>
            </w:r>
            <w:r w:rsidR="008A13D7">
              <w:t xml:space="preserve"> </w:t>
            </w:r>
            <w:r w:rsidR="008A13D7" w:rsidRPr="00951759">
              <w:rPr>
                <w:b/>
              </w:rPr>
              <w:t>na</w:t>
            </w:r>
            <w:r w:rsidR="008A13D7" w:rsidRPr="008A13D7">
              <w:t xml:space="preserve"> </w:t>
            </w:r>
            <w:r w:rsidR="00951759">
              <w:t>N</w:t>
            </w:r>
            <w:r w:rsidR="008A13D7" w:rsidRPr="008A13D7">
              <w:t xml:space="preserve">ot </w:t>
            </w:r>
            <w:r w:rsidR="00951759">
              <w:t>available</w:t>
            </w:r>
            <w:r w:rsidR="008A13D7" w:rsidRPr="008A13D7">
              <w:t>.</w:t>
            </w:r>
          </w:p>
        </w:tc>
      </w:tr>
      <w:tr w:rsidR="00E50529" w14:paraId="38FFDDD4" w14:textId="77777777" w:rsidTr="005C45CD">
        <w:tc>
          <w:tcPr>
            <w:tcW w:w="5000" w:type="pct"/>
            <w:tcBorders>
              <w:top w:val="nil"/>
              <w:left w:val="nil"/>
              <w:bottom w:val="nil"/>
              <w:right w:val="nil"/>
            </w:tcBorders>
            <w:shd w:val="clear" w:color="auto" w:fill="auto"/>
          </w:tcPr>
          <w:p w14:paraId="38FFDDD3" w14:textId="77777777" w:rsidR="00E50529" w:rsidRDefault="00E50529" w:rsidP="005C45CD">
            <w:pPr>
              <w:pStyle w:val="Source"/>
            </w:pPr>
            <w:r>
              <w:rPr>
                <w:i/>
              </w:rPr>
              <w:t>Source</w:t>
            </w:r>
            <w:r w:rsidRPr="00167F06">
              <w:t xml:space="preserve">: </w:t>
            </w:r>
            <w:r w:rsidR="00A321BD">
              <w:t xml:space="preserve">Productivity </w:t>
            </w:r>
            <w:r>
              <w:t>Commission estimates.</w:t>
            </w:r>
          </w:p>
        </w:tc>
      </w:tr>
      <w:tr w:rsidR="0072658D" w:rsidRPr="002837CA" w14:paraId="38FFDDD6" w14:textId="77777777" w:rsidTr="00084C74">
        <w:tc>
          <w:tcPr>
            <w:tcW w:w="5000" w:type="pct"/>
            <w:tcBorders>
              <w:top w:val="nil"/>
              <w:left w:val="nil"/>
              <w:bottom w:val="single" w:sz="6" w:space="0" w:color="78A22F"/>
              <w:right w:val="nil"/>
            </w:tcBorders>
            <w:shd w:val="clear" w:color="auto" w:fill="auto"/>
          </w:tcPr>
          <w:p w14:paraId="38FFDDD5" w14:textId="77777777" w:rsidR="0072658D" w:rsidRPr="002837CA" w:rsidRDefault="0072658D" w:rsidP="00084C74">
            <w:pPr>
              <w:keepNext/>
              <w:spacing w:line="120" w:lineRule="exact"/>
              <w:jc w:val="both"/>
              <w:rPr>
                <w:rFonts w:ascii="Arial" w:hAnsi="Arial"/>
                <w:sz w:val="20"/>
                <w:szCs w:val="20"/>
              </w:rPr>
            </w:pPr>
          </w:p>
        </w:tc>
      </w:tr>
      <w:tr w:rsidR="0072658D" w:rsidRPr="002837CA" w14:paraId="38FFDDD8" w14:textId="77777777" w:rsidTr="00084C74">
        <w:tc>
          <w:tcPr>
            <w:tcW w:w="5000" w:type="pct"/>
            <w:tcBorders>
              <w:top w:val="single" w:sz="6" w:space="0" w:color="78A22F"/>
              <w:left w:val="nil"/>
              <w:bottom w:val="nil"/>
              <w:right w:val="nil"/>
            </w:tcBorders>
          </w:tcPr>
          <w:p w14:paraId="38FFDDD7" w14:textId="77777777" w:rsidR="0072658D" w:rsidRPr="002837CA" w:rsidRDefault="0072658D" w:rsidP="00084C74">
            <w:pPr>
              <w:spacing w:before="60" w:after="60" w:line="80" w:lineRule="exact"/>
              <w:jc w:val="both"/>
              <w:rPr>
                <w:rFonts w:ascii="Arial" w:hAnsi="Arial"/>
                <w:sz w:val="14"/>
                <w:szCs w:val="20"/>
              </w:rPr>
            </w:pPr>
          </w:p>
        </w:tc>
      </w:tr>
    </w:tbl>
    <w:p w14:paraId="38FFDDD9" w14:textId="77777777" w:rsidR="006B2C92" w:rsidRDefault="006B2C92" w:rsidP="00803B5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6B2C92" w14:paraId="38FFDDDC" w14:textId="77777777" w:rsidTr="00803B56">
        <w:tc>
          <w:tcPr>
            <w:tcW w:w="5000" w:type="pct"/>
            <w:tcBorders>
              <w:top w:val="single" w:sz="6" w:space="0" w:color="78A22F"/>
              <w:left w:val="nil"/>
              <w:bottom w:val="nil"/>
              <w:right w:val="nil"/>
            </w:tcBorders>
            <w:shd w:val="clear" w:color="auto" w:fill="auto"/>
          </w:tcPr>
          <w:p w14:paraId="38FFDDDA" w14:textId="0312E31E" w:rsidR="006B2C92" w:rsidRDefault="006B2C92" w:rsidP="00803B56">
            <w:pPr>
              <w:pStyle w:val="TableTitle"/>
            </w:pPr>
            <w:r>
              <w:rPr>
                <w:b w:val="0"/>
              </w:rPr>
              <w:t>Table 7</w:t>
            </w:r>
            <w:r>
              <w:tab/>
              <w:t>The impact of integrated care on personal welfare of patients</w:t>
            </w:r>
          </w:p>
          <w:p w14:paraId="38FFDDDB" w14:textId="77777777" w:rsidR="006B2C92" w:rsidRPr="00784A05" w:rsidRDefault="006B2C92" w:rsidP="00803B56">
            <w:pPr>
              <w:pStyle w:val="Subtitle"/>
            </w:pPr>
            <w:r>
              <w:t>2016 prices</w:t>
            </w:r>
          </w:p>
        </w:tc>
      </w:tr>
      <w:tr w:rsidR="006B2C92" w14:paraId="38FFDDFA" w14:textId="77777777" w:rsidTr="00803B5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889"/>
              <w:gridCol w:w="758"/>
              <w:gridCol w:w="895"/>
              <w:gridCol w:w="749"/>
              <w:gridCol w:w="749"/>
              <w:gridCol w:w="749"/>
            </w:tblGrid>
            <w:tr w:rsidR="009041DE" w14:paraId="38FFDDE3" w14:textId="77777777" w:rsidTr="006D55F7">
              <w:trPr>
                <w:tblHeader/>
              </w:trPr>
              <w:tc>
                <w:tcPr>
                  <w:tcW w:w="2782" w:type="pct"/>
                  <w:tcBorders>
                    <w:top w:val="single" w:sz="6" w:space="0" w:color="BFBFBF"/>
                    <w:bottom w:val="single" w:sz="6" w:space="0" w:color="BFBFBF"/>
                  </w:tcBorders>
                  <w:shd w:val="clear" w:color="auto" w:fill="auto"/>
                  <w:tcMar>
                    <w:top w:w="28" w:type="dxa"/>
                  </w:tcMar>
                </w:tcPr>
                <w:p w14:paraId="38FFDDDD" w14:textId="77777777" w:rsidR="009041DE" w:rsidRDefault="009041DE" w:rsidP="009041DE">
                  <w:pPr>
                    <w:pStyle w:val="TableColumnHeading"/>
                    <w:jc w:val="left"/>
                  </w:pPr>
                </w:p>
              </w:tc>
              <w:tc>
                <w:tcPr>
                  <w:tcW w:w="431" w:type="pct"/>
                  <w:tcBorders>
                    <w:top w:val="single" w:sz="6" w:space="0" w:color="BFBFBF"/>
                    <w:bottom w:val="single" w:sz="6" w:space="0" w:color="BFBFBF"/>
                  </w:tcBorders>
                </w:tcPr>
                <w:p w14:paraId="38FFDDDE" w14:textId="77777777" w:rsidR="009041DE" w:rsidRDefault="009041DE" w:rsidP="009041DE">
                  <w:pPr>
                    <w:pStyle w:val="TableColumnHeading"/>
                  </w:pPr>
                  <w:r>
                    <w:t>Unit</w:t>
                  </w:r>
                </w:p>
              </w:tc>
              <w:tc>
                <w:tcPr>
                  <w:tcW w:w="509" w:type="pct"/>
                  <w:tcBorders>
                    <w:top w:val="single" w:sz="6" w:space="0" w:color="BFBFBF"/>
                    <w:bottom w:val="single" w:sz="6" w:space="0" w:color="BFBFBF"/>
                  </w:tcBorders>
                  <w:shd w:val="clear" w:color="auto" w:fill="auto"/>
                  <w:tcMar>
                    <w:top w:w="28" w:type="dxa"/>
                  </w:tcMar>
                </w:tcPr>
                <w:p w14:paraId="38FFDDDF" w14:textId="77777777" w:rsidR="009041DE" w:rsidRDefault="009041DE" w:rsidP="009041DE">
                  <w:pPr>
                    <w:pStyle w:val="TableColumnHeading"/>
                  </w:pPr>
                  <w:r>
                    <w:t>2020</w:t>
                  </w:r>
                </w:p>
              </w:tc>
              <w:tc>
                <w:tcPr>
                  <w:tcW w:w="426" w:type="pct"/>
                  <w:tcBorders>
                    <w:top w:val="single" w:sz="6" w:space="0" w:color="BFBFBF"/>
                    <w:bottom w:val="single" w:sz="6" w:space="0" w:color="BFBFBF"/>
                  </w:tcBorders>
                </w:tcPr>
                <w:p w14:paraId="38FFDDE0" w14:textId="77777777" w:rsidR="009041DE" w:rsidRDefault="009041DE" w:rsidP="009041DE">
                  <w:pPr>
                    <w:pStyle w:val="TableColumnHeading"/>
                    <w:ind w:right="28"/>
                  </w:pPr>
                  <w:r>
                    <w:t>2025</w:t>
                  </w:r>
                </w:p>
              </w:tc>
              <w:tc>
                <w:tcPr>
                  <w:tcW w:w="426" w:type="pct"/>
                  <w:tcBorders>
                    <w:top w:val="single" w:sz="6" w:space="0" w:color="BFBFBF"/>
                    <w:bottom w:val="single" w:sz="6" w:space="0" w:color="BFBFBF"/>
                  </w:tcBorders>
                </w:tcPr>
                <w:p w14:paraId="38FFDDE1" w14:textId="77777777" w:rsidR="009041DE" w:rsidRDefault="009041DE" w:rsidP="009041DE">
                  <w:pPr>
                    <w:pStyle w:val="TableColumnHeading"/>
                    <w:ind w:right="28"/>
                  </w:pPr>
                  <w:r>
                    <w:t>2030</w:t>
                  </w:r>
                </w:p>
              </w:tc>
              <w:tc>
                <w:tcPr>
                  <w:tcW w:w="426" w:type="pct"/>
                  <w:tcBorders>
                    <w:top w:val="single" w:sz="6" w:space="0" w:color="BFBFBF"/>
                    <w:bottom w:val="single" w:sz="6" w:space="0" w:color="BFBFBF"/>
                  </w:tcBorders>
                  <w:shd w:val="clear" w:color="auto" w:fill="auto"/>
                  <w:tcMar>
                    <w:top w:w="28" w:type="dxa"/>
                  </w:tcMar>
                </w:tcPr>
                <w:p w14:paraId="38FFDDE2" w14:textId="77777777" w:rsidR="009041DE" w:rsidRDefault="009041DE" w:rsidP="009041DE">
                  <w:pPr>
                    <w:pStyle w:val="TableColumnHeading"/>
                    <w:ind w:right="28"/>
                  </w:pPr>
                  <w:r>
                    <w:t>2040</w:t>
                  </w:r>
                </w:p>
              </w:tc>
            </w:tr>
            <w:tr w:rsidR="009041DE" w14:paraId="38FFDDEA" w14:textId="77777777" w:rsidTr="006D55F7">
              <w:tc>
                <w:tcPr>
                  <w:tcW w:w="2782" w:type="pct"/>
                  <w:tcBorders>
                    <w:top w:val="single" w:sz="6" w:space="0" w:color="BFBFBF"/>
                  </w:tcBorders>
                </w:tcPr>
                <w:p w14:paraId="38FFDDE4" w14:textId="77777777" w:rsidR="009041DE" w:rsidRDefault="009041DE" w:rsidP="009041DE">
                  <w:pPr>
                    <w:pStyle w:val="TableUnitsRow"/>
                    <w:jc w:val="left"/>
                  </w:pPr>
                  <w:r>
                    <w:t>Additional paid employment</w:t>
                  </w:r>
                </w:p>
              </w:tc>
              <w:tc>
                <w:tcPr>
                  <w:tcW w:w="431" w:type="pct"/>
                  <w:tcBorders>
                    <w:top w:val="single" w:sz="6" w:space="0" w:color="BFBFBF"/>
                  </w:tcBorders>
                </w:tcPr>
                <w:p w14:paraId="38FFDDE5" w14:textId="77777777" w:rsidR="009041DE" w:rsidRDefault="006D55F7" w:rsidP="009041DE">
                  <w:pPr>
                    <w:pStyle w:val="TableUnitsRow"/>
                  </w:pPr>
                  <w:r>
                    <w:t>$m</w:t>
                  </w:r>
                </w:p>
              </w:tc>
              <w:tc>
                <w:tcPr>
                  <w:tcW w:w="509" w:type="pct"/>
                  <w:tcBorders>
                    <w:top w:val="single" w:sz="6" w:space="0" w:color="BFBFBF"/>
                  </w:tcBorders>
                </w:tcPr>
                <w:p w14:paraId="38FFDDE6" w14:textId="1A1B1ECD" w:rsidR="009041DE" w:rsidRDefault="00AF3831" w:rsidP="009041DE">
                  <w:pPr>
                    <w:pStyle w:val="TableUnitsRow"/>
                  </w:pPr>
                  <w:r>
                    <w:t>3</w:t>
                  </w:r>
                </w:p>
              </w:tc>
              <w:tc>
                <w:tcPr>
                  <w:tcW w:w="426" w:type="pct"/>
                  <w:tcBorders>
                    <w:top w:val="single" w:sz="6" w:space="0" w:color="BFBFBF"/>
                  </w:tcBorders>
                </w:tcPr>
                <w:p w14:paraId="38FFDDE7" w14:textId="387E6A00" w:rsidR="009041DE" w:rsidRDefault="00AF3831" w:rsidP="009041DE">
                  <w:pPr>
                    <w:pStyle w:val="TableUnitsRow"/>
                    <w:ind w:right="28"/>
                  </w:pPr>
                  <w:r>
                    <w:t>18</w:t>
                  </w:r>
                </w:p>
              </w:tc>
              <w:tc>
                <w:tcPr>
                  <w:tcW w:w="426" w:type="pct"/>
                  <w:tcBorders>
                    <w:top w:val="single" w:sz="6" w:space="0" w:color="BFBFBF"/>
                  </w:tcBorders>
                </w:tcPr>
                <w:p w14:paraId="38FFDDE8" w14:textId="02559A09" w:rsidR="009041DE" w:rsidRDefault="00AF3831" w:rsidP="009041DE">
                  <w:pPr>
                    <w:pStyle w:val="TableUnitsRow"/>
                    <w:ind w:right="28"/>
                  </w:pPr>
                  <w:r>
                    <w:t>34</w:t>
                  </w:r>
                </w:p>
              </w:tc>
              <w:tc>
                <w:tcPr>
                  <w:tcW w:w="426" w:type="pct"/>
                  <w:tcBorders>
                    <w:top w:val="single" w:sz="6" w:space="0" w:color="BFBFBF"/>
                  </w:tcBorders>
                </w:tcPr>
                <w:p w14:paraId="38FFDDE9" w14:textId="626BDCCB" w:rsidR="009041DE" w:rsidRDefault="00AF3831" w:rsidP="009041DE">
                  <w:pPr>
                    <w:pStyle w:val="TableUnitsRow"/>
                    <w:ind w:right="28"/>
                  </w:pPr>
                  <w:r>
                    <w:t>66</w:t>
                  </w:r>
                </w:p>
              </w:tc>
            </w:tr>
            <w:tr w:rsidR="009041DE" w14:paraId="38FFDDF1" w14:textId="77777777" w:rsidTr="006D55F7">
              <w:tc>
                <w:tcPr>
                  <w:tcW w:w="2782" w:type="pct"/>
                </w:tcPr>
                <w:p w14:paraId="38FFDDEB" w14:textId="77777777" w:rsidR="009041DE" w:rsidRDefault="009041DE" w:rsidP="009041DE">
                  <w:pPr>
                    <w:pStyle w:val="TableBodyText"/>
                    <w:jc w:val="left"/>
                  </w:pPr>
                  <w:r>
                    <w:t>Additional home based production</w:t>
                  </w:r>
                </w:p>
              </w:tc>
              <w:tc>
                <w:tcPr>
                  <w:tcW w:w="431" w:type="pct"/>
                </w:tcPr>
                <w:p w14:paraId="38FFDDEC" w14:textId="77777777" w:rsidR="009041DE" w:rsidRDefault="006D55F7" w:rsidP="009041DE">
                  <w:pPr>
                    <w:pStyle w:val="TableBodyText"/>
                  </w:pPr>
                  <w:r>
                    <w:t>$m</w:t>
                  </w:r>
                </w:p>
              </w:tc>
              <w:tc>
                <w:tcPr>
                  <w:tcW w:w="509" w:type="pct"/>
                </w:tcPr>
                <w:p w14:paraId="38FFDDED" w14:textId="0DBB422A" w:rsidR="009041DE" w:rsidRDefault="00AF3831" w:rsidP="009041DE">
                  <w:pPr>
                    <w:pStyle w:val="TableBodyText"/>
                  </w:pPr>
                  <w:r>
                    <w:t>5</w:t>
                  </w:r>
                </w:p>
              </w:tc>
              <w:tc>
                <w:tcPr>
                  <w:tcW w:w="426" w:type="pct"/>
                </w:tcPr>
                <w:p w14:paraId="38FFDDEE" w14:textId="4299FC38" w:rsidR="009041DE" w:rsidRDefault="00AF3831" w:rsidP="009041DE">
                  <w:pPr>
                    <w:pStyle w:val="TableBodyText"/>
                    <w:ind w:right="28"/>
                  </w:pPr>
                  <w:r>
                    <w:t>27</w:t>
                  </w:r>
                </w:p>
              </w:tc>
              <w:tc>
                <w:tcPr>
                  <w:tcW w:w="426" w:type="pct"/>
                </w:tcPr>
                <w:p w14:paraId="38FFDDEF" w14:textId="4AC941C6" w:rsidR="009041DE" w:rsidRDefault="00AF3831" w:rsidP="009041DE">
                  <w:pPr>
                    <w:pStyle w:val="TableBodyText"/>
                    <w:ind w:right="28"/>
                  </w:pPr>
                  <w:r>
                    <w:t>50</w:t>
                  </w:r>
                </w:p>
              </w:tc>
              <w:tc>
                <w:tcPr>
                  <w:tcW w:w="426" w:type="pct"/>
                </w:tcPr>
                <w:p w14:paraId="38FFDDF0" w14:textId="3D29D668" w:rsidR="009041DE" w:rsidRDefault="00AF3831" w:rsidP="009041DE">
                  <w:pPr>
                    <w:pStyle w:val="TableBodyText"/>
                    <w:ind w:right="28"/>
                  </w:pPr>
                  <w:r>
                    <w:t>98</w:t>
                  </w:r>
                </w:p>
              </w:tc>
            </w:tr>
            <w:tr w:rsidR="009041DE" w14:paraId="38FFDDF8" w14:textId="77777777" w:rsidTr="006D55F7">
              <w:tc>
                <w:tcPr>
                  <w:tcW w:w="2782" w:type="pct"/>
                  <w:tcBorders>
                    <w:bottom w:val="single" w:sz="6" w:space="0" w:color="BFBFBF"/>
                  </w:tcBorders>
                  <w:shd w:val="clear" w:color="auto" w:fill="auto"/>
                </w:tcPr>
                <w:p w14:paraId="38FFDDF2" w14:textId="77777777" w:rsidR="009041DE" w:rsidRDefault="009041DE" w:rsidP="009041DE">
                  <w:pPr>
                    <w:pStyle w:val="TableBodyText"/>
                    <w:jc w:val="left"/>
                  </w:pPr>
                  <w:r>
                    <w:t>Additional leisure</w:t>
                  </w:r>
                </w:p>
              </w:tc>
              <w:tc>
                <w:tcPr>
                  <w:tcW w:w="431" w:type="pct"/>
                  <w:tcBorders>
                    <w:bottom w:val="single" w:sz="6" w:space="0" w:color="BFBFBF"/>
                  </w:tcBorders>
                </w:tcPr>
                <w:p w14:paraId="38FFDDF3" w14:textId="77777777" w:rsidR="009041DE" w:rsidRDefault="006D55F7" w:rsidP="009041DE">
                  <w:pPr>
                    <w:pStyle w:val="TableBodyText"/>
                  </w:pPr>
                  <w:r>
                    <w:t>$m</w:t>
                  </w:r>
                </w:p>
              </w:tc>
              <w:tc>
                <w:tcPr>
                  <w:tcW w:w="509" w:type="pct"/>
                  <w:tcBorders>
                    <w:bottom w:val="single" w:sz="6" w:space="0" w:color="BFBFBF"/>
                  </w:tcBorders>
                  <w:shd w:val="clear" w:color="auto" w:fill="auto"/>
                </w:tcPr>
                <w:p w14:paraId="38FFDDF4" w14:textId="573846E1" w:rsidR="009041DE" w:rsidRDefault="00AF3831" w:rsidP="009041DE">
                  <w:pPr>
                    <w:pStyle w:val="TableBodyText"/>
                  </w:pPr>
                  <w:r>
                    <w:t>6</w:t>
                  </w:r>
                </w:p>
              </w:tc>
              <w:tc>
                <w:tcPr>
                  <w:tcW w:w="426" w:type="pct"/>
                  <w:tcBorders>
                    <w:bottom w:val="single" w:sz="6" w:space="0" w:color="BFBFBF"/>
                  </w:tcBorders>
                </w:tcPr>
                <w:p w14:paraId="38FFDDF5" w14:textId="452F2C66" w:rsidR="009041DE" w:rsidRDefault="00AF3831" w:rsidP="009041DE">
                  <w:pPr>
                    <w:pStyle w:val="TableBodyText"/>
                    <w:ind w:right="28"/>
                  </w:pPr>
                  <w:r>
                    <w:t>31</w:t>
                  </w:r>
                </w:p>
              </w:tc>
              <w:tc>
                <w:tcPr>
                  <w:tcW w:w="426" w:type="pct"/>
                  <w:tcBorders>
                    <w:bottom w:val="single" w:sz="6" w:space="0" w:color="BFBFBF"/>
                  </w:tcBorders>
                </w:tcPr>
                <w:p w14:paraId="38FFDDF6" w14:textId="49B1FD52" w:rsidR="009041DE" w:rsidRDefault="00AF3831" w:rsidP="009041DE">
                  <w:pPr>
                    <w:pStyle w:val="TableBodyText"/>
                    <w:ind w:right="28"/>
                  </w:pPr>
                  <w:r>
                    <w:t>57</w:t>
                  </w:r>
                </w:p>
              </w:tc>
              <w:tc>
                <w:tcPr>
                  <w:tcW w:w="426" w:type="pct"/>
                  <w:tcBorders>
                    <w:bottom w:val="single" w:sz="6" w:space="0" w:color="BFBFBF"/>
                  </w:tcBorders>
                  <w:shd w:val="clear" w:color="auto" w:fill="auto"/>
                </w:tcPr>
                <w:p w14:paraId="38FFDDF7" w14:textId="531D3CBA" w:rsidR="009041DE" w:rsidRDefault="00AF3831" w:rsidP="009041DE">
                  <w:pPr>
                    <w:pStyle w:val="TableBodyText"/>
                    <w:ind w:right="28"/>
                  </w:pPr>
                  <w:r>
                    <w:t>110</w:t>
                  </w:r>
                </w:p>
              </w:tc>
            </w:tr>
          </w:tbl>
          <w:p w14:paraId="38FFDDF9" w14:textId="77777777" w:rsidR="006B2C92" w:rsidRDefault="006B2C92" w:rsidP="00803B56">
            <w:pPr>
              <w:pStyle w:val="Box"/>
            </w:pPr>
          </w:p>
        </w:tc>
      </w:tr>
      <w:tr w:rsidR="006B2C92" w14:paraId="38FFDDFC" w14:textId="77777777" w:rsidTr="00803B56">
        <w:tc>
          <w:tcPr>
            <w:tcW w:w="5000" w:type="pct"/>
            <w:tcBorders>
              <w:top w:val="nil"/>
              <w:left w:val="nil"/>
              <w:bottom w:val="nil"/>
              <w:right w:val="nil"/>
            </w:tcBorders>
            <w:shd w:val="clear" w:color="auto" w:fill="auto"/>
          </w:tcPr>
          <w:p w14:paraId="38FFDDFB" w14:textId="77777777" w:rsidR="006B2C92" w:rsidRDefault="006D55F7" w:rsidP="006D55F7">
            <w:pPr>
              <w:pStyle w:val="Source"/>
            </w:pPr>
            <w:r>
              <w:rPr>
                <w:i/>
              </w:rPr>
              <w:t>Source</w:t>
            </w:r>
            <w:r w:rsidR="006B2C92" w:rsidRPr="00167F06">
              <w:t xml:space="preserve">: </w:t>
            </w:r>
            <w:r w:rsidR="00A321BD">
              <w:t xml:space="preserve">Productivity </w:t>
            </w:r>
            <w:r>
              <w:t>Commission estimates</w:t>
            </w:r>
            <w:r w:rsidR="006B2C92">
              <w:t>.</w:t>
            </w:r>
          </w:p>
        </w:tc>
      </w:tr>
      <w:tr w:rsidR="006B2C92" w14:paraId="38FFDDFE" w14:textId="77777777" w:rsidTr="00803B56">
        <w:tc>
          <w:tcPr>
            <w:tcW w:w="5000" w:type="pct"/>
            <w:tcBorders>
              <w:top w:val="nil"/>
              <w:left w:val="nil"/>
              <w:bottom w:val="single" w:sz="6" w:space="0" w:color="78A22F"/>
              <w:right w:val="nil"/>
            </w:tcBorders>
            <w:shd w:val="clear" w:color="auto" w:fill="auto"/>
          </w:tcPr>
          <w:p w14:paraId="38FFDDFD" w14:textId="77777777" w:rsidR="006B2C92" w:rsidRDefault="006B2C92" w:rsidP="00803B56">
            <w:pPr>
              <w:pStyle w:val="Box"/>
              <w:spacing w:before="0" w:line="120" w:lineRule="exact"/>
            </w:pPr>
          </w:p>
        </w:tc>
      </w:tr>
      <w:tr w:rsidR="006B2C92" w:rsidRPr="000863A5" w14:paraId="38FFDE00" w14:textId="77777777" w:rsidTr="00803B56">
        <w:tc>
          <w:tcPr>
            <w:tcW w:w="5000" w:type="pct"/>
            <w:tcBorders>
              <w:top w:val="single" w:sz="6" w:space="0" w:color="78A22F"/>
              <w:left w:val="nil"/>
              <w:bottom w:val="nil"/>
              <w:right w:val="nil"/>
            </w:tcBorders>
          </w:tcPr>
          <w:p w14:paraId="38FFDDFF" w14:textId="77777777" w:rsidR="006B2C92" w:rsidRPr="00626D32" w:rsidRDefault="006B2C92" w:rsidP="00803B56">
            <w:pPr>
              <w:pStyle w:val="BoxSpaceBelow"/>
            </w:pPr>
          </w:p>
        </w:tc>
      </w:tr>
    </w:tbl>
    <w:p w14:paraId="38FFDE01" w14:textId="77777777" w:rsidR="00B8594D" w:rsidRDefault="00B8594D" w:rsidP="00B8594D">
      <w:pPr>
        <w:pStyle w:val="Heading4"/>
      </w:pPr>
      <w:r>
        <w:t>Estimating the impact o</w:t>
      </w:r>
      <w:r w:rsidR="006661E1">
        <w:t>f saving</w:t>
      </w:r>
      <w:r>
        <w:t xml:space="preserve"> patients’ time</w:t>
      </w:r>
    </w:p>
    <w:p w14:paraId="38FFDE02" w14:textId="77777777" w:rsidR="00F007EE" w:rsidRDefault="00F64B62" w:rsidP="00F64B62">
      <w:pPr>
        <w:pStyle w:val="BodyText"/>
      </w:pPr>
      <w:r>
        <w:t xml:space="preserve">A key aspect of quality service is putting a high priority on the time of those being served. </w:t>
      </w:r>
      <w:r w:rsidR="00662DFE">
        <w:t xml:space="preserve">The </w:t>
      </w:r>
      <w:r w:rsidR="009D5A34">
        <w:t xml:space="preserve">Productivity </w:t>
      </w:r>
      <w:r w:rsidR="00662DFE">
        <w:t>Commission estimates here the value of the time of Australian patients that could be saved by more efficient service in the waiting rooms of GPs and specialists and by greater</w:t>
      </w:r>
      <w:r w:rsidR="00E910EF">
        <w:t xml:space="preserve"> reliance on telehealth (table </w:t>
      </w:r>
      <w:r w:rsidR="00BE1317">
        <w:t>8</w:t>
      </w:r>
      <w:r w:rsidR="00662DFE">
        <w:t xml:space="preserve">). </w:t>
      </w:r>
    </w:p>
    <w:p w14:paraId="38FFDE03" w14:textId="77777777" w:rsidR="00F64B62" w:rsidRDefault="00396ABF" w:rsidP="00F64B62">
      <w:pPr>
        <w:pStyle w:val="BodyText"/>
      </w:pPr>
      <w:r>
        <w:t xml:space="preserve">Based on the </w:t>
      </w:r>
      <w:r w:rsidR="00F64B62">
        <w:t xml:space="preserve">little data </w:t>
      </w:r>
      <w:r>
        <w:t xml:space="preserve">that </w:t>
      </w:r>
      <w:r w:rsidR="00982E64">
        <w:t>are</w:t>
      </w:r>
      <w:r>
        <w:t xml:space="preserve"> available, the </w:t>
      </w:r>
      <w:r w:rsidR="009D5A34">
        <w:t xml:space="preserve">Productivity </w:t>
      </w:r>
      <w:r>
        <w:t>Commission assumes that patients spend an average of 30 minutes in the waiting room of GPs and specialists, 18 minutes of which is assumed to be beyond what is reasonable. This assumption is based on Haas </w:t>
      </w:r>
      <w:r w:rsidRPr="00F64B62">
        <w:t>(2016)</w:t>
      </w:r>
      <w:r>
        <w:t xml:space="preserve"> and Tonic Health Media </w:t>
      </w:r>
      <w:r w:rsidR="001312F8" w:rsidRPr="001312F8">
        <w:t>(2017)</w:t>
      </w:r>
      <w:r>
        <w:t>. A</w:t>
      </w:r>
      <w:r w:rsidR="00F64B62">
        <w:t xml:space="preserve"> survey reported by Haas</w:t>
      </w:r>
      <w:r>
        <w:t> </w:t>
      </w:r>
      <w:r w:rsidR="00F64B62" w:rsidRPr="00F64B62">
        <w:t>(2016)</w:t>
      </w:r>
      <w:r w:rsidR="00F64B62">
        <w:t xml:space="preserve"> indicates patients spend about 26 minutes waiting for an appointment. </w:t>
      </w:r>
      <w:r>
        <w:t>Tonic Health Media </w:t>
      </w:r>
      <w:r w:rsidRPr="00396ABF">
        <w:rPr>
          <w:szCs w:val="24"/>
        </w:rPr>
        <w:t>(Tonic Health Media 2017)</w:t>
      </w:r>
      <w:r>
        <w:t xml:space="preserve"> reports Australian patients spend an average of 35 minutes in the waiting room</w:t>
      </w:r>
      <w:r w:rsidR="00961873">
        <w:t>.</w:t>
      </w:r>
    </w:p>
    <w:p w14:paraId="38FFDE04" w14:textId="77777777" w:rsidR="00662DFE" w:rsidRDefault="00662DFE" w:rsidP="0064680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662DFE" w14:paraId="38FFDE07" w14:textId="77777777" w:rsidTr="00646801">
        <w:tc>
          <w:tcPr>
            <w:tcW w:w="5000" w:type="pct"/>
            <w:tcBorders>
              <w:top w:val="single" w:sz="6" w:space="0" w:color="78A22F"/>
              <w:left w:val="nil"/>
              <w:bottom w:val="nil"/>
              <w:right w:val="nil"/>
            </w:tcBorders>
            <w:shd w:val="clear" w:color="auto" w:fill="auto"/>
          </w:tcPr>
          <w:p w14:paraId="38FFDE05" w14:textId="77777777" w:rsidR="00662DFE" w:rsidRDefault="00662DFE" w:rsidP="00646801">
            <w:pPr>
              <w:pStyle w:val="TableTitle"/>
            </w:pPr>
            <w:r>
              <w:rPr>
                <w:b w:val="0"/>
              </w:rPr>
              <w:t xml:space="preserve">Table </w:t>
            </w:r>
            <w:r w:rsidR="00BE1317">
              <w:rPr>
                <w:b w:val="0"/>
              </w:rPr>
              <w:t>8</w:t>
            </w:r>
            <w:r>
              <w:tab/>
              <w:t>The impact of integrated care on patients’ time</w:t>
            </w:r>
          </w:p>
          <w:p w14:paraId="38FFDE06" w14:textId="77777777" w:rsidR="00662DFE" w:rsidRPr="00784A05" w:rsidRDefault="00662DFE" w:rsidP="00646801">
            <w:pPr>
              <w:pStyle w:val="Subtitle"/>
            </w:pPr>
            <w:r>
              <w:t>2016 prices</w:t>
            </w:r>
          </w:p>
        </w:tc>
      </w:tr>
      <w:tr w:rsidR="00662DFE" w14:paraId="38FFDE25" w14:textId="77777777" w:rsidTr="00646801">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166"/>
              <w:gridCol w:w="682"/>
              <w:gridCol w:w="807"/>
              <w:gridCol w:w="652"/>
              <w:gridCol w:w="807"/>
              <w:gridCol w:w="675"/>
            </w:tblGrid>
            <w:tr w:rsidR="00662DFE" w14:paraId="38FFDE0E" w14:textId="77777777" w:rsidTr="00662DFE">
              <w:trPr>
                <w:tblHeader/>
              </w:trPr>
              <w:tc>
                <w:tcPr>
                  <w:tcW w:w="2939" w:type="pct"/>
                  <w:tcBorders>
                    <w:top w:val="single" w:sz="6" w:space="0" w:color="BFBFBF"/>
                    <w:bottom w:val="single" w:sz="6" w:space="0" w:color="BFBFBF"/>
                  </w:tcBorders>
                  <w:shd w:val="clear" w:color="auto" w:fill="auto"/>
                  <w:tcMar>
                    <w:top w:w="28" w:type="dxa"/>
                  </w:tcMar>
                </w:tcPr>
                <w:p w14:paraId="38FFDE08" w14:textId="77777777" w:rsidR="00662DFE" w:rsidRDefault="00662DFE" w:rsidP="00646801">
                  <w:pPr>
                    <w:pStyle w:val="TableColumnHeading"/>
                    <w:jc w:val="left"/>
                  </w:pPr>
                </w:p>
              </w:tc>
              <w:tc>
                <w:tcPr>
                  <w:tcW w:w="388" w:type="pct"/>
                  <w:tcBorders>
                    <w:top w:val="single" w:sz="6" w:space="0" w:color="BFBFBF"/>
                    <w:bottom w:val="single" w:sz="6" w:space="0" w:color="BFBFBF"/>
                  </w:tcBorders>
                </w:tcPr>
                <w:p w14:paraId="38FFDE09" w14:textId="77777777" w:rsidR="00662DFE" w:rsidRDefault="00662DFE" w:rsidP="00646801">
                  <w:pPr>
                    <w:pStyle w:val="TableColumnHeading"/>
                  </w:pPr>
                  <w:r>
                    <w:t>Unit</w:t>
                  </w:r>
                </w:p>
              </w:tc>
              <w:tc>
                <w:tcPr>
                  <w:tcW w:w="459" w:type="pct"/>
                  <w:tcBorders>
                    <w:top w:val="single" w:sz="6" w:space="0" w:color="BFBFBF"/>
                    <w:bottom w:val="single" w:sz="6" w:space="0" w:color="BFBFBF"/>
                  </w:tcBorders>
                </w:tcPr>
                <w:p w14:paraId="38FFDE0A" w14:textId="77777777" w:rsidR="00662DFE" w:rsidRDefault="00662DFE" w:rsidP="00646801">
                  <w:pPr>
                    <w:pStyle w:val="TableColumnHeading"/>
                  </w:pPr>
                  <w:r>
                    <w:t>2020</w:t>
                  </w:r>
                </w:p>
              </w:tc>
              <w:tc>
                <w:tcPr>
                  <w:tcW w:w="371" w:type="pct"/>
                  <w:tcBorders>
                    <w:top w:val="single" w:sz="6" w:space="0" w:color="BFBFBF"/>
                    <w:bottom w:val="single" w:sz="6" w:space="0" w:color="BFBFBF"/>
                  </w:tcBorders>
                </w:tcPr>
                <w:p w14:paraId="38FFDE0B" w14:textId="77777777" w:rsidR="00662DFE" w:rsidRDefault="00662DFE" w:rsidP="00646801">
                  <w:pPr>
                    <w:pStyle w:val="TableColumnHeading"/>
                  </w:pPr>
                  <w:r>
                    <w:t>2025</w:t>
                  </w:r>
                </w:p>
              </w:tc>
              <w:tc>
                <w:tcPr>
                  <w:tcW w:w="459" w:type="pct"/>
                  <w:tcBorders>
                    <w:top w:val="single" w:sz="6" w:space="0" w:color="BFBFBF"/>
                    <w:bottom w:val="single" w:sz="6" w:space="0" w:color="BFBFBF"/>
                  </w:tcBorders>
                  <w:shd w:val="clear" w:color="auto" w:fill="auto"/>
                  <w:tcMar>
                    <w:top w:w="28" w:type="dxa"/>
                  </w:tcMar>
                </w:tcPr>
                <w:p w14:paraId="38FFDE0C" w14:textId="77777777" w:rsidR="00662DFE" w:rsidRDefault="00662DFE" w:rsidP="00646801">
                  <w:pPr>
                    <w:pStyle w:val="TableColumnHeading"/>
                  </w:pPr>
                  <w:r>
                    <w:t>2030</w:t>
                  </w:r>
                </w:p>
              </w:tc>
              <w:tc>
                <w:tcPr>
                  <w:tcW w:w="384" w:type="pct"/>
                  <w:tcBorders>
                    <w:top w:val="single" w:sz="6" w:space="0" w:color="BFBFBF"/>
                    <w:bottom w:val="single" w:sz="6" w:space="0" w:color="BFBFBF"/>
                  </w:tcBorders>
                  <w:shd w:val="clear" w:color="auto" w:fill="auto"/>
                  <w:tcMar>
                    <w:top w:w="28" w:type="dxa"/>
                  </w:tcMar>
                </w:tcPr>
                <w:p w14:paraId="38FFDE0D" w14:textId="77777777" w:rsidR="00662DFE" w:rsidRDefault="00662DFE" w:rsidP="00646801">
                  <w:pPr>
                    <w:pStyle w:val="TableColumnHeading"/>
                    <w:ind w:right="28"/>
                  </w:pPr>
                  <w:r>
                    <w:t>2040</w:t>
                  </w:r>
                </w:p>
              </w:tc>
            </w:tr>
            <w:tr w:rsidR="00662DFE" w14:paraId="38FFDE15" w14:textId="77777777" w:rsidTr="00662DFE">
              <w:tc>
                <w:tcPr>
                  <w:tcW w:w="2939" w:type="pct"/>
                  <w:tcBorders>
                    <w:top w:val="single" w:sz="6" w:space="0" w:color="BFBFBF"/>
                  </w:tcBorders>
                  <w:vAlign w:val="bottom"/>
                </w:tcPr>
                <w:p w14:paraId="38FFDE0F" w14:textId="77777777" w:rsidR="00662DFE" w:rsidRDefault="00662DFE" w:rsidP="00662DFE">
                  <w:pPr>
                    <w:pStyle w:val="TableUnitsRow"/>
                    <w:jc w:val="left"/>
                  </w:pPr>
                  <w:r>
                    <w:rPr>
                      <w:rFonts w:cs="Arial"/>
                      <w:color w:val="000000"/>
                      <w:szCs w:val="18"/>
                    </w:rPr>
                    <w:t>Personal welfare gains from less waiting</w:t>
                  </w:r>
                </w:p>
              </w:tc>
              <w:tc>
                <w:tcPr>
                  <w:tcW w:w="388" w:type="pct"/>
                  <w:tcBorders>
                    <w:top w:val="single" w:sz="6" w:space="0" w:color="BFBFBF"/>
                  </w:tcBorders>
                  <w:vAlign w:val="bottom"/>
                </w:tcPr>
                <w:p w14:paraId="38FFDE10" w14:textId="77777777" w:rsidR="00662DFE" w:rsidRDefault="00662DFE" w:rsidP="00662DFE">
                  <w:pPr>
                    <w:pStyle w:val="TableUnitsRow"/>
                  </w:pPr>
                  <w:r>
                    <w:rPr>
                      <w:rFonts w:cs="Arial"/>
                      <w:color w:val="000000"/>
                      <w:szCs w:val="18"/>
                    </w:rPr>
                    <w:t>$m</w:t>
                  </w:r>
                </w:p>
              </w:tc>
              <w:tc>
                <w:tcPr>
                  <w:tcW w:w="459" w:type="pct"/>
                  <w:tcBorders>
                    <w:top w:val="single" w:sz="6" w:space="0" w:color="BFBFBF"/>
                  </w:tcBorders>
                  <w:vAlign w:val="bottom"/>
                </w:tcPr>
                <w:p w14:paraId="38FFDE11" w14:textId="2662921A" w:rsidR="00662DFE" w:rsidRDefault="00662DFE" w:rsidP="00E342BA">
                  <w:pPr>
                    <w:pStyle w:val="TableUnitsRow"/>
                  </w:pPr>
                  <w:r>
                    <w:rPr>
                      <w:rFonts w:cs="Arial"/>
                      <w:color w:val="000000"/>
                      <w:szCs w:val="18"/>
                    </w:rPr>
                    <w:t>2</w:t>
                  </w:r>
                  <w:r w:rsidR="00AF3831">
                    <w:rPr>
                      <w:rFonts w:cs="Arial"/>
                      <w:color w:val="000000"/>
                      <w:szCs w:val="18"/>
                    </w:rPr>
                    <w:t>9</w:t>
                  </w:r>
                </w:p>
              </w:tc>
              <w:tc>
                <w:tcPr>
                  <w:tcW w:w="371" w:type="pct"/>
                  <w:tcBorders>
                    <w:top w:val="single" w:sz="6" w:space="0" w:color="BFBFBF"/>
                  </w:tcBorders>
                  <w:vAlign w:val="bottom"/>
                </w:tcPr>
                <w:p w14:paraId="38FFDE12" w14:textId="4353F2C8" w:rsidR="00662DFE" w:rsidRDefault="00662DFE" w:rsidP="00E342BA">
                  <w:pPr>
                    <w:pStyle w:val="TableUnitsRow"/>
                  </w:pPr>
                  <w:r>
                    <w:rPr>
                      <w:rFonts w:cs="Arial"/>
                      <w:color w:val="000000"/>
                      <w:szCs w:val="18"/>
                    </w:rPr>
                    <w:t>1</w:t>
                  </w:r>
                  <w:r w:rsidR="00AF3831">
                    <w:rPr>
                      <w:rFonts w:cs="Arial"/>
                      <w:color w:val="000000"/>
                      <w:szCs w:val="18"/>
                    </w:rPr>
                    <w:t>62</w:t>
                  </w:r>
                </w:p>
              </w:tc>
              <w:tc>
                <w:tcPr>
                  <w:tcW w:w="459" w:type="pct"/>
                  <w:tcBorders>
                    <w:top w:val="single" w:sz="6" w:space="0" w:color="BFBFBF"/>
                  </w:tcBorders>
                  <w:vAlign w:val="bottom"/>
                </w:tcPr>
                <w:p w14:paraId="38FFDE13" w14:textId="4A96B40C" w:rsidR="00662DFE" w:rsidRDefault="00AF3831" w:rsidP="00E342BA">
                  <w:pPr>
                    <w:pStyle w:val="TableUnitsRow"/>
                  </w:pPr>
                  <w:r>
                    <w:rPr>
                      <w:rFonts w:cs="Arial"/>
                      <w:color w:val="000000"/>
                      <w:szCs w:val="18"/>
                    </w:rPr>
                    <w:t>300</w:t>
                  </w:r>
                </w:p>
              </w:tc>
              <w:tc>
                <w:tcPr>
                  <w:tcW w:w="384" w:type="pct"/>
                  <w:tcBorders>
                    <w:top w:val="single" w:sz="6" w:space="0" w:color="BFBFBF"/>
                  </w:tcBorders>
                  <w:vAlign w:val="bottom"/>
                </w:tcPr>
                <w:p w14:paraId="38FFDE14" w14:textId="014846D2" w:rsidR="00662DFE" w:rsidRDefault="00AF3831" w:rsidP="00E342BA">
                  <w:pPr>
                    <w:pStyle w:val="TableUnitsRow"/>
                    <w:ind w:right="28"/>
                  </w:pPr>
                  <w:r>
                    <w:rPr>
                      <w:rFonts w:cs="Arial"/>
                      <w:color w:val="000000"/>
                      <w:szCs w:val="18"/>
                    </w:rPr>
                    <w:t>584</w:t>
                  </w:r>
                </w:p>
              </w:tc>
            </w:tr>
            <w:tr w:rsidR="00662DFE" w14:paraId="38FFDE1C" w14:textId="77777777" w:rsidTr="00662DFE">
              <w:tc>
                <w:tcPr>
                  <w:tcW w:w="2939" w:type="pct"/>
                </w:tcPr>
                <w:p w14:paraId="38FFDE16" w14:textId="77777777" w:rsidR="00662DFE" w:rsidRDefault="00662DFE" w:rsidP="00662DFE">
                  <w:pPr>
                    <w:pStyle w:val="TableBodyText"/>
                    <w:jc w:val="left"/>
                  </w:pPr>
                  <w:r>
                    <w:t xml:space="preserve"> from quicker service in GP and specialist waiting rooms</w:t>
                  </w:r>
                </w:p>
              </w:tc>
              <w:tc>
                <w:tcPr>
                  <w:tcW w:w="388" w:type="pct"/>
                </w:tcPr>
                <w:p w14:paraId="38FFDE17" w14:textId="77777777" w:rsidR="00662DFE" w:rsidRDefault="00662DFE" w:rsidP="00662DFE">
                  <w:pPr>
                    <w:pStyle w:val="TableBodyText"/>
                  </w:pPr>
                  <w:r>
                    <w:t>$m</w:t>
                  </w:r>
                </w:p>
              </w:tc>
              <w:tc>
                <w:tcPr>
                  <w:tcW w:w="459" w:type="pct"/>
                </w:tcPr>
                <w:p w14:paraId="38FFDE18" w14:textId="2F74BA76" w:rsidR="00662DFE" w:rsidRDefault="00662DFE" w:rsidP="00662DFE">
                  <w:pPr>
                    <w:pStyle w:val="TableBodyText"/>
                  </w:pPr>
                  <w:r>
                    <w:t>2</w:t>
                  </w:r>
                  <w:r w:rsidR="00AF3831">
                    <w:t>2</w:t>
                  </w:r>
                </w:p>
              </w:tc>
              <w:tc>
                <w:tcPr>
                  <w:tcW w:w="371" w:type="pct"/>
                </w:tcPr>
                <w:p w14:paraId="38FFDE19" w14:textId="3405FD62" w:rsidR="00662DFE" w:rsidRDefault="00662DFE" w:rsidP="00662DFE">
                  <w:pPr>
                    <w:pStyle w:val="TableBodyText"/>
                  </w:pPr>
                  <w:r>
                    <w:t>1</w:t>
                  </w:r>
                  <w:r w:rsidR="00AF3831">
                    <w:t>2</w:t>
                  </w:r>
                  <w:r>
                    <w:t>0</w:t>
                  </w:r>
                </w:p>
              </w:tc>
              <w:tc>
                <w:tcPr>
                  <w:tcW w:w="459" w:type="pct"/>
                </w:tcPr>
                <w:p w14:paraId="38FFDE1A" w14:textId="2CD44484" w:rsidR="00662DFE" w:rsidRDefault="00AF3831" w:rsidP="00662DFE">
                  <w:pPr>
                    <w:pStyle w:val="TableBodyText"/>
                  </w:pPr>
                  <w:r>
                    <w:t>222</w:t>
                  </w:r>
                </w:p>
              </w:tc>
              <w:tc>
                <w:tcPr>
                  <w:tcW w:w="384" w:type="pct"/>
                </w:tcPr>
                <w:p w14:paraId="38FFDE1B" w14:textId="0B3A26D7" w:rsidR="00662DFE" w:rsidRDefault="00AF3831" w:rsidP="00662DFE">
                  <w:pPr>
                    <w:pStyle w:val="TableBodyText"/>
                    <w:ind w:right="28"/>
                  </w:pPr>
                  <w:r>
                    <w:t>432</w:t>
                  </w:r>
                </w:p>
              </w:tc>
            </w:tr>
            <w:tr w:rsidR="00662DFE" w14:paraId="38FFDE23" w14:textId="77777777" w:rsidTr="00662DFE">
              <w:tc>
                <w:tcPr>
                  <w:tcW w:w="2939" w:type="pct"/>
                  <w:tcBorders>
                    <w:bottom w:val="single" w:sz="6" w:space="0" w:color="BFBFBF"/>
                  </w:tcBorders>
                  <w:shd w:val="clear" w:color="auto" w:fill="auto"/>
                </w:tcPr>
                <w:p w14:paraId="38FFDE1D" w14:textId="77777777" w:rsidR="00662DFE" w:rsidRDefault="00662DFE" w:rsidP="00662DFE">
                  <w:pPr>
                    <w:pStyle w:val="TableBodyText"/>
                    <w:jc w:val="left"/>
                  </w:pPr>
                  <w:r>
                    <w:t xml:space="preserve"> from greater use of telehealth</w:t>
                  </w:r>
                </w:p>
              </w:tc>
              <w:tc>
                <w:tcPr>
                  <w:tcW w:w="388" w:type="pct"/>
                  <w:tcBorders>
                    <w:bottom w:val="single" w:sz="6" w:space="0" w:color="BFBFBF"/>
                  </w:tcBorders>
                </w:tcPr>
                <w:p w14:paraId="38FFDE1E" w14:textId="77777777" w:rsidR="00662DFE" w:rsidRDefault="00662DFE" w:rsidP="00662DFE">
                  <w:pPr>
                    <w:pStyle w:val="TableBodyText"/>
                  </w:pPr>
                  <w:r>
                    <w:t>$m</w:t>
                  </w:r>
                </w:p>
              </w:tc>
              <w:tc>
                <w:tcPr>
                  <w:tcW w:w="459" w:type="pct"/>
                  <w:tcBorders>
                    <w:bottom w:val="single" w:sz="6" w:space="0" w:color="BFBFBF"/>
                  </w:tcBorders>
                </w:tcPr>
                <w:p w14:paraId="38FFDE1F" w14:textId="4478D69C" w:rsidR="00662DFE" w:rsidRDefault="00AF3831" w:rsidP="00662DFE">
                  <w:pPr>
                    <w:pStyle w:val="TableBodyText"/>
                  </w:pPr>
                  <w:r>
                    <w:t>8</w:t>
                  </w:r>
                </w:p>
              </w:tc>
              <w:tc>
                <w:tcPr>
                  <w:tcW w:w="371" w:type="pct"/>
                  <w:tcBorders>
                    <w:bottom w:val="single" w:sz="6" w:space="0" w:color="BFBFBF"/>
                  </w:tcBorders>
                </w:tcPr>
                <w:p w14:paraId="38FFDE20" w14:textId="45BD360D" w:rsidR="00662DFE" w:rsidRDefault="00AF3831" w:rsidP="00662DFE">
                  <w:pPr>
                    <w:pStyle w:val="TableBodyText"/>
                  </w:pPr>
                  <w:r>
                    <w:t>42</w:t>
                  </w:r>
                </w:p>
              </w:tc>
              <w:tc>
                <w:tcPr>
                  <w:tcW w:w="459" w:type="pct"/>
                  <w:tcBorders>
                    <w:bottom w:val="single" w:sz="6" w:space="0" w:color="BFBFBF"/>
                  </w:tcBorders>
                  <w:shd w:val="clear" w:color="auto" w:fill="auto"/>
                </w:tcPr>
                <w:p w14:paraId="38FFDE21" w14:textId="498F46BC" w:rsidR="00662DFE" w:rsidRDefault="00AF3831" w:rsidP="00662DFE">
                  <w:pPr>
                    <w:pStyle w:val="TableBodyText"/>
                  </w:pPr>
                  <w:r>
                    <w:t>78</w:t>
                  </w:r>
                </w:p>
              </w:tc>
              <w:tc>
                <w:tcPr>
                  <w:tcW w:w="384" w:type="pct"/>
                  <w:tcBorders>
                    <w:bottom w:val="single" w:sz="6" w:space="0" w:color="BFBFBF"/>
                  </w:tcBorders>
                  <w:shd w:val="clear" w:color="auto" w:fill="auto"/>
                </w:tcPr>
                <w:p w14:paraId="38FFDE22" w14:textId="637FE63B" w:rsidR="00662DFE" w:rsidRDefault="00E342BA" w:rsidP="00662DFE">
                  <w:pPr>
                    <w:pStyle w:val="TableBodyText"/>
                    <w:ind w:right="28"/>
                  </w:pPr>
                  <w:r>
                    <w:t>1</w:t>
                  </w:r>
                  <w:r w:rsidR="00AF3831">
                    <w:t>5</w:t>
                  </w:r>
                  <w:r>
                    <w:t>2</w:t>
                  </w:r>
                </w:p>
              </w:tc>
            </w:tr>
          </w:tbl>
          <w:p w14:paraId="38FFDE24" w14:textId="77777777" w:rsidR="00662DFE" w:rsidRDefault="00662DFE" w:rsidP="00646801">
            <w:pPr>
              <w:pStyle w:val="Box"/>
            </w:pPr>
          </w:p>
        </w:tc>
      </w:tr>
      <w:tr w:rsidR="00662DFE" w14:paraId="38FFDE27" w14:textId="77777777" w:rsidTr="00646801">
        <w:tc>
          <w:tcPr>
            <w:tcW w:w="5000" w:type="pct"/>
            <w:tcBorders>
              <w:top w:val="nil"/>
              <w:left w:val="nil"/>
              <w:bottom w:val="nil"/>
              <w:right w:val="nil"/>
            </w:tcBorders>
            <w:shd w:val="clear" w:color="auto" w:fill="auto"/>
          </w:tcPr>
          <w:p w14:paraId="38FFDE26" w14:textId="77777777" w:rsidR="00662DFE" w:rsidRDefault="00662DFE" w:rsidP="00662DFE">
            <w:pPr>
              <w:pStyle w:val="Source"/>
            </w:pPr>
            <w:r>
              <w:rPr>
                <w:i/>
              </w:rPr>
              <w:t>Source</w:t>
            </w:r>
            <w:r w:rsidRPr="00167F06">
              <w:t xml:space="preserve">: </w:t>
            </w:r>
            <w:r w:rsidR="00A321BD">
              <w:t xml:space="preserve">Productivity </w:t>
            </w:r>
            <w:r>
              <w:t>Commission estimates.</w:t>
            </w:r>
          </w:p>
        </w:tc>
      </w:tr>
      <w:tr w:rsidR="00662DFE" w14:paraId="38FFDE29" w14:textId="77777777" w:rsidTr="00646801">
        <w:tc>
          <w:tcPr>
            <w:tcW w:w="5000" w:type="pct"/>
            <w:tcBorders>
              <w:top w:val="nil"/>
              <w:left w:val="nil"/>
              <w:bottom w:val="single" w:sz="6" w:space="0" w:color="78A22F"/>
              <w:right w:val="nil"/>
            </w:tcBorders>
            <w:shd w:val="clear" w:color="auto" w:fill="auto"/>
          </w:tcPr>
          <w:p w14:paraId="38FFDE28" w14:textId="77777777" w:rsidR="00662DFE" w:rsidRDefault="00662DFE" w:rsidP="00646801">
            <w:pPr>
              <w:pStyle w:val="Box"/>
              <w:spacing w:before="0" w:line="120" w:lineRule="exact"/>
            </w:pPr>
          </w:p>
        </w:tc>
      </w:tr>
      <w:tr w:rsidR="00662DFE" w:rsidRPr="000863A5" w14:paraId="38FFDE2B" w14:textId="77777777" w:rsidTr="00646801">
        <w:tc>
          <w:tcPr>
            <w:tcW w:w="5000" w:type="pct"/>
            <w:tcBorders>
              <w:top w:val="single" w:sz="6" w:space="0" w:color="78A22F"/>
              <w:left w:val="nil"/>
              <w:bottom w:val="nil"/>
              <w:right w:val="nil"/>
            </w:tcBorders>
          </w:tcPr>
          <w:p w14:paraId="38FFDE2A" w14:textId="77777777" w:rsidR="00662DFE" w:rsidRPr="00626D32" w:rsidRDefault="00662DFE" w:rsidP="00646801">
            <w:pPr>
              <w:pStyle w:val="BoxSpaceBelow"/>
            </w:pPr>
          </w:p>
        </w:tc>
      </w:tr>
    </w:tbl>
    <w:p w14:paraId="38FFDE2C" w14:textId="77777777" w:rsidR="00961873" w:rsidRDefault="00961873" w:rsidP="00F64B62">
      <w:pPr>
        <w:pStyle w:val="BodyText"/>
      </w:pPr>
      <w:r>
        <w:t>Given the number of consultations reported in Medicare data for 2015</w:t>
      </w:r>
      <w:r>
        <w:noBreakHyphen/>
        <w:t>16, it is estimated that Australian adults spend 5</w:t>
      </w:r>
      <w:r w:rsidR="00910372">
        <w:t>0 m</w:t>
      </w:r>
      <w:r>
        <w:t xml:space="preserve">illion wasted hours in GP and specialist waiting rooms every year. </w:t>
      </w:r>
      <w:r w:rsidR="002214DC" w:rsidRPr="002214DC">
        <w:t xml:space="preserve">The Commission estimates that the annual costs for patients of excessive waiting times for attending GP and specialist clinics might amount to about </w:t>
      </w:r>
      <w:r w:rsidR="008A13D7">
        <w:t xml:space="preserve">a </w:t>
      </w:r>
      <w:r w:rsidR="002214DC" w:rsidRPr="002214DC">
        <w:t xml:space="preserve">0.1 per cent reduction in Australia’s annual labour supply and a cost of the order of $900 million costs for patients — </w:t>
      </w:r>
      <w:r w:rsidR="002214DC">
        <w:t>based on</w:t>
      </w:r>
      <w:r w:rsidR="00F007EE">
        <w:t xml:space="preserve"> the average labour market status of Australian adults in 2015</w:t>
      </w:r>
      <w:r w:rsidR="00F007EE">
        <w:noBreakHyphen/>
        <w:t xml:space="preserve">16, </w:t>
      </w:r>
      <w:r w:rsidR="002214DC">
        <w:t>and on</w:t>
      </w:r>
      <w:r w:rsidR="00F007EE">
        <w:t xml:space="preserve"> the average adult wage between May 2015 and November 2016. </w:t>
      </w:r>
    </w:p>
    <w:p w14:paraId="38FFDE2D" w14:textId="11A9319A" w:rsidR="00F007EE" w:rsidRDefault="00F007EE" w:rsidP="00F64B62">
      <w:pPr>
        <w:pStyle w:val="BodyText"/>
      </w:pPr>
      <w:r>
        <w:t xml:space="preserve">It is assumed that </w:t>
      </w:r>
      <w:r w:rsidR="009D5A34">
        <w:t xml:space="preserve">the proportion of unreasonable waiting time alleviated by </w:t>
      </w:r>
      <w:r>
        <w:t xml:space="preserve">implementing the </w:t>
      </w:r>
      <w:r w:rsidR="009D5A34">
        <w:t xml:space="preserve">Productivity </w:t>
      </w:r>
      <w:r>
        <w:t xml:space="preserve">Commission’s recommendations </w:t>
      </w:r>
      <w:r w:rsidR="009D5A34">
        <w:t xml:space="preserve">is given by </w:t>
      </w:r>
      <w:r>
        <w:t>the national average rate of effectiveness of integrated care, ultimately delivering a benefit of $</w:t>
      </w:r>
      <w:r w:rsidR="00274A5C">
        <w:t>4</w:t>
      </w:r>
      <w:r>
        <w:t>00 million a year.</w:t>
      </w:r>
    </w:p>
    <w:p w14:paraId="38FFDE2E" w14:textId="77777777" w:rsidR="00F007EE" w:rsidRDefault="00F007EE" w:rsidP="00F64B62">
      <w:pPr>
        <w:pStyle w:val="BodyText"/>
      </w:pPr>
      <w:r>
        <w:t>The low use of telehealth also imposes a cost on patient time. On average, patients are assumed to spend about 35 minutes travelling to and from medical appointments that could otherwise be provided by telehealth. This is based on evidence for the United States where Ray et al. </w:t>
      </w:r>
      <w:r w:rsidRPr="00F007EE">
        <w:t>(2015)</w:t>
      </w:r>
      <w:r>
        <w:t xml:space="preserve"> </w:t>
      </w:r>
      <w:r w:rsidR="009D0E01">
        <w:t>finds the average travel time for patients to be 37 minutes. Australian populations tend to be more concentrated in large cities, potentially adding to the time Australian patients may spend travelling. For example in Sydney, average daily commuting times for personal business, including medical appointments, was found to be 40 minutes </w:t>
      </w:r>
      <w:r w:rsidR="00910372" w:rsidRPr="00910372">
        <w:rPr>
          <w:szCs w:val="24"/>
        </w:rPr>
        <w:t>(Bureau of Transport Statistics 2014)</w:t>
      </w:r>
      <w:r w:rsidR="00064BC5">
        <w:t>.</w:t>
      </w:r>
      <w:r w:rsidR="009D0E01">
        <w:t xml:space="preserve"> </w:t>
      </w:r>
    </w:p>
    <w:p w14:paraId="38FFDE2F" w14:textId="77777777" w:rsidR="003754AA" w:rsidRDefault="003754AA" w:rsidP="00F64B62">
      <w:pPr>
        <w:pStyle w:val="BodyText"/>
      </w:pPr>
      <w:r>
        <w:t xml:space="preserve">In the absence of better information, the </w:t>
      </w:r>
      <w:r w:rsidR="009D5A34">
        <w:t xml:space="preserve">Productivity </w:t>
      </w:r>
      <w:r>
        <w:t xml:space="preserve">Commission assumes that </w:t>
      </w:r>
      <w:r w:rsidR="00982E64">
        <w:t>about</w:t>
      </w:r>
      <w:r>
        <w:t xml:space="preserve"> 10 per cent of consultations could be provided online or by phone. This is considerably lower </w:t>
      </w:r>
      <w:r w:rsidR="009E3F18">
        <w:t xml:space="preserve">— </w:t>
      </w:r>
      <w:r w:rsidR="002B393F">
        <w:t xml:space="preserve">and arguably more plausible </w:t>
      </w:r>
      <w:r w:rsidR="009E3F18">
        <w:t>—</w:t>
      </w:r>
      <w:r w:rsidR="002B393F">
        <w:t xml:space="preserve"> </w:t>
      </w:r>
      <w:r>
        <w:t>than the share of 50 per cent cited by Griffith </w:t>
      </w:r>
      <w:r w:rsidR="00910372" w:rsidRPr="00910372">
        <w:t>(2016)</w:t>
      </w:r>
      <w:r>
        <w:t>.</w:t>
      </w:r>
    </w:p>
    <w:p w14:paraId="38FFDE30" w14:textId="2F481D75" w:rsidR="00340C4D" w:rsidRDefault="00A86F49" w:rsidP="00F64B62">
      <w:pPr>
        <w:pStyle w:val="BodyText"/>
      </w:pPr>
      <w:r>
        <w:t>Based on</w:t>
      </w:r>
      <w:r w:rsidR="00340C4D">
        <w:t xml:space="preserve"> the average labour market status and average adult wage for 2015</w:t>
      </w:r>
      <w:r w:rsidR="00340C4D">
        <w:noBreakHyphen/>
        <w:t xml:space="preserve">16, the </w:t>
      </w:r>
      <w:r w:rsidR="009D5A34">
        <w:t xml:space="preserve">Productivity </w:t>
      </w:r>
      <w:r w:rsidR="00340C4D">
        <w:t xml:space="preserve">Commission values the patient time that could be saved </w:t>
      </w:r>
      <w:r w:rsidR="00662DFE">
        <w:t xml:space="preserve">by using telehealth </w:t>
      </w:r>
      <w:r w:rsidR="00AA1B21">
        <w:t>at</w:t>
      </w:r>
      <w:r w:rsidR="00982E64">
        <w:t xml:space="preserve"> </w:t>
      </w:r>
      <w:r>
        <w:t>over</w:t>
      </w:r>
      <w:r w:rsidR="00AA1B21">
        <w:t xml:space="preserve"> $</w:t>
      </w:r>
      <w:r>
        <w:t>30</w:t>
      </w:r>
      <w:r w:rsidR="00340C4D">
        <w:t xml:space="preserve">0 million a year. It is assumed that </w:t>
      </w:r>
      <w:r w:rsidR="00662DFE">
        <w:t xml:space="preserve">a proportion of </w:t>
      </w:r>
      <w:r w:rsidR="00340C4D">
        <w:t xml:space="preserve">this </w:t>
      </w:r>
      <w:r w:rsidR="00662DFE">
        <w:t xml:space="preserve">is </w:t>
      </w:r>
      <w:r w:rsidR="00786168">
        <w:t>achieved</w:t>
      </w:r>
      <w:r w:rsidR="00340C4D">
        <w:t xml:space="preserve"> by a move to integrated, </w:t>
      </w:r>
      <w:r w:rsidR="002C1EF6">
        <w:t>patient</w:t>
      </w:r>
      <w:r w:rsidR="002C1EF6">
        <w:noBreakHyphen/>
      </w:r>
      <w:r w:rsidR="00340C4D">
        <w:t>centred care</w:t>
      </w:r>
      <w:r w:rsidR="00662DFE">
        <w:t xml:space="preserve"> where the proportion is given by the rate of the national average rate of effectiveness of integrated care. This </w:t>
      </w:r>
      <w:r w:rsidR="00AA1B21">
        <w:t>contributes</w:t>
      </w:r>
      <w:r w:rsidR="00662DFE">
        <w:t xml:space="preserve"> a</w:t>
      </w:r>
      <w:r w:rsidR="00AA1B21">
        <w:t xml:space="preserve"> further </w:t>
      </w:r>
      <w:r w:rsidR="00662DFE">
        <w:t xml:space="preserve">benefit of </w:t>
      </w:r>
      <w:r w:rsidR="00274A5C">
        <w:t>over</w:t>
      </w:r>
      <w:r w:rsidR="00662DFE">
        <w:t xml:space="preserve"> $100 million a year</w:t>
      </w:r>
      <w:r w:rsidR="00AA1B21">
        <w:t xml:space="preserve"> from implementing the Commission’s recommendations</w:t>
      </w:r>
      <w:r w:rsidR="00B53B29">
        <w:t>.</w:t>
      </w:r>
    </w:p>
    <w:p w14:paraId="38FFDE31" w14:textId="77777777" w:rsidR="00B8594D" w:rsidRPr="008017D2" w:rsidRDefault="00B8594D" w:rsidP="00B8594D">
      <w:pPr>
        <w:pStyle w:val="Heading4"/>
      </w:pPr>
      <w:r>
        <w:t>Estimating the impact of workforce effects on GDP</w:t>
      </w:r>
    </w:p>
    <w:p w14:paraId="38FFDE32" w14:textId="77777777" w:rsidR="00B8594D" w:rsidRDefault="00B8594D" w:rsidP="00B8594D">
      <w:pPr>
        <w:pStyle w:val="BodyText"/>
      </w:pPr>
      <w:r>
        <w:t>By improving the health trajectory of those who would otherwise suffer from poor or fair health, a more effective system of care improves their capacity to work, leading to higher workforce participation (both for those whose health has improved and for those who voluntarily care for them), stronger employment outcomes and higher wages </w:t>
      </w:r>
      <w:r w:rsidRPr="0007346C">
        <w:rPr>
          <w:szCs w:val="24"/>
        </w:rPr>
        <w:t>(Cai and Kalb 2006; Verikios et al. 2015)</w:t>
      </w:r>
      <w:r>
        <w:t xml:space="preserve">. Aside from the personal income gains, there will be an overall improvement in GDP. </w:t>
      </w:r>
    </w:p>
    <w:p w14:paraId="38FFDE33" w14:textId="21967E19" w:rsidR="00B8594D" w:rsidRDefault="00B8594D" w:rsidP="00B8594D">
      <w:pPr>
        <w:pStyle w:val="BodyText"/>
      </w:pPr>
      <w:r>
        <w:t xml:space="preserve">The </w:t>
      </w:r>
      <w:r w:rsidR="00A321BD" w:rsidRPr="00A321BD">
        <w:t xml:space="preserve">Productivity </w:t>
      </w:r>
      <w:r>
        <w:t>Commission estimates a 0.2 per cent GDP gain could ultimately flow from a 30 per cent improvement in the health of those in poor or fair health, including the implications for their voluntary carers (table </w:t>
      </w:r>
      <w:r w:rsidR="00BE1317">
        <w:t>9</w:t>
      </w:r>
      <w:r>
        <w:t xml:space="preserve">). Assuming an average rate of 2.1 per cent growth in GDP each year, this GDP gain is equivalent to </w:t>
      </w:r>
      <w:r w:rsidR="005B54C4">
        <w:t>about</w:t>
      </w:r>
      <w:r>
        <w:t xml:space="preserve"> $</w:t>
      </w:r>
      <w:r w:rsidR="00DA4BBC">
        <w:t>4</w:t>
      </w:r>
      <w:r>
        <w:t> billion</w:t>
      </w:r>
      <w:r w:rsidR="00982E64">
        <w:t> </w:t>
      </w:r>
      <w:r>
        <w:t>(in 2016 prices) by 2040.</w:t>
      </w:r>
    </w:p>
    <w:p w14:paraId="38FFDE34" w14:textId="77777777" w:rsidR="00B8594D" w:rsidRDefault="00B8594D" w:rsidP="00B8594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B8594D" w14:paraId="38FFDE37" w14:textId="77777777" w:rsidTr="00560EDC">
        <w:tc>
          <w:tcPr>
            <w:tcW w:w="5000" w:type="pct"/>
            <w:tcBorders>
              <w:top w:val="single" w:sz="6" w:space="0" w:color="78A22F"/>
              <w:left w:val="nil"/>
              <w:bottom w:val="nil"/>
              <w:right w:val="nil"/>
            </w:tcBorders>
            <w:shd w:val="clear" w:color="auto" w:fill="auto"/>
          </w:tcPr>
          <w:p w14:paraId="38FFDE35" w14:textId="77777777" w:rsidR="00B8594D" w:rsidRDefault="00B8594D" w:rsidP="00560EDC">
            <w:pPr>
              <w:pStyle w:val="TableTitle"/>
            </w:pPr>
            <w:r>
              <w:rPr>
                <w:b w:val="0"/>
              </w:rPr>
              <w:t xml:space="preserve">Table </w:t>
            </w:r>
            <w:r w:rsidR="00BE1317">
              <w:rPr>
                <w:b w:val="0"/>
              </w:rPr>
              <w:t>9</w:t>
            </w:r>
            <w:r>
              <w:tab/>
              <w:t>Deriving the impact of integrated care on the workforce</w:t>
            </w:r>
          </w:p>
          <w:p w14:paraId="38FFDE36" w14:textId="77777777" w:rsidR="00B8594D" w:rsidRPr="00784A05" w:rsidRDefault="00B8594D" w:rsidP="00560EDC">
            <w:pPr>
              <w:pStyle w:val="Subtitle"/>
            </w:pPr>
            <w:r>
              <w:t>2016 prices</w:t>
            </w:r>
          </w:p>
        </w:tc>
      </w:tr>
      <w:tr w:rsidR="00B8594D" w14:paraId="38FFDE63" w14:textId="77777777" w:rsidTr="00560ED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747"/>
              <w:gridCol w:w="1011"/>
              <w:gridCol w:w="1011"/>
              <w:gridCol w:w="1009"/>
              <w:gridCol w:w="1009"/>
              <w:gridCol w:w="1002"/>
            </w:tblGrid>
            <w:tr w:rsidR="00B8594D" w14:paraId="38FFDE3E" w14:textId="77777777" w:rsidTr="00560EDC">
              <w:trPr>
                <w:tblHeader/>
              </w:trPr>
              <w:tc>
                <w:tcPr>
                  <w:tcW w:w="2132" w:type="pct"/>
                  <w:tcBorders>
                    <w:top w:val="single" w:sz="6" w:space="0" w:color="BFBFBF"/>
                    <w:bottom w:val="single" w:sz="6" w:space="0" w:color="BFBFBF"/>
                  </w:tcBorders>
                  <w:shd w:val="clear" w:color="auto" w:fill="auto"/>
                  <w:tcMar>
                    <w:top w:w="28" w:type="dxa"/>
                  </w:tcMar>
                </w:tcPr>
                <w:p w14:paraId="38FFDE38" w14:textId="77777777" w:rsidR="00B8594D" w:rsidRDefault="00B8594D" w:rsidP="00560EDC">
                  <w:pPr>
                    <w:pStyle w:val="TableColumnHeading"/>
                    <w:jc w:val="left"/>
                  </w:pPr>
                </w:p>
              </w:tc>
              <w:tc>
                <w:tcPr>
                  <w:tcW w:w="575" w:type="pct"/>
                  <w:tcBorders>
                    <w:top w:val="single" w:sz="6" w:space="0" w:color="BFBFBF"/>
                    <w:bottom w:val="single" w:sz="6" w:space="0" w:color="BFBFBF"/>
                  </w:tcBorders>
                </w:tcPr>
                <w:p w14:paraId="38FFDE39" w14:textId="77777777" w:rsidR="00B8594D" w:rsidRDefault="00B8594D" w:rsidP="00560EDC">
                  <w:pPr>
                    <w:pStyle w:val="TableColumnHeading"/>
                  </w:pPr>
                  <w:r>
                    <w:t>Unit</w:t>
                  </w:r>
                </w:p>
              </w:tc>
              <w:tc>
                <w:tcPr>
                  <w:tcW w:w="575" w:type="pct"/>
                  <w:tcBorders>
                    <w:top w:val="single" w:sz="6" w:space="0" w:color="BFBFBF"/>
                    <w:bottom w:val="single" w:sz="6" w:space="0" w:color="BFBFBF"/>
                  </w:tcBorders>
                  <w:shd w:val="clear" w:color="auto" w:fill="auto"/>
                  <w:tcMar>
                    <w:top w:w="28" w:type="dxa"/>
                  </w:tcMar>
                </w:tcPr>
                <w:p w14:paraId="38FFDE3A" w14:textId="77777777" w:rsidR="00B8594D" w:rsidRDefault="00B8594D" w:rsidP="00560EDC">
                  <w:pPr>
                    <w:pStyle w:val="TableColumnHeading"/>
                  </w:pPr>
                  <w:r>
                    <w:t>2020</w:t>
                  </w:r>
                </w:p>
              </w:tc>
              <w:tc>
                <w:tcPr>
                  <w:tcW w:w="574" w:type="pct"/>
                  <w:tcBorders>
                    <w:top w:val="single" w:sz="6" w:space="0" w:color="BFBFBF"/>
                    <w:bottom w:val="single" w:sz="6" w:space="0" w:color="BFBFBF"/>
                  </w:tcBorders>
                </w:tcPr>
                <w:p w14:paraId="38FFDE3B" w14:textId="77777777" w:rsidR="00B8594D" w:rsidRDefault="00B8594D" w:rsidP="00560EDC">
                  <w:pPr>
                    <w:pStyle w:val="TableColumnHeading"/>
                    <w:ind w:right="28"/>
                  </w:pPr>
                  <w:r>
                    <w:t>2025</w:t>
                  </w:r>
                </w:p>
              </w:tc>
              <w:tc>
                <w:tcPr>
                  <w:tcW w:w="574" w:type="pct"/>
                  <w:tcBorders>
                    <w:top w:val="single" w:sz="6" w:space="0" w:color="BFBFBF"/>
                    <w:bottom w:val="single" w:sz="6" w:space="0" w:color="BFBFBF"/>
                  </w:tcBorders>
                </w:tcPr>
                <w:p w14:paraId="38FFDE3C" w14:textId="77777777" w:rsidR="00B8594D" w:rsidRDefault="00B8594D" w:rsidP="00560EDC">
                  <w:pPr>
                    <w:pStyle w:val="TableColumnHeading"/>
                    <w:ind w:right="28"/>
                  </w:pPr>
                  <w:r>
                    <w:t>2030</w:t>
                  </w:r>
                </w:p>
              </w:tc>
              <w:tc>
                <w:tcPr>
                  <w:tcW w:w="570" w:type="pct"/>
                  <w:tcBorders>
                    <w:top w:val="single" w:sz="6" w:space="0" w:color="BFBFBF"/>
                    <w:bottom w:val="single" w:sz="6" w:space="0" w:color="BFBFBF"/>
                  </w:tcBorders>
                  <w:shd w:val="clear" w:color="auto" w:fill="auto"/>
                  <w:tcMar>
                    <w:top w:w="28" w:type="dxa"/>
                  </w:tcMar>
                </w:tcPr>
                <w:p w14:paraId="38FFDE3D" w14:textId="77777777" w:rsidR="00B8594D" w:rsidRDefault="00B8594D" w:rsidP="00560EDC">
                  <w:pPr>
                    <w:pStyle w:val="TableColumnHeading"/>
                    <w:ind w:right="28"/>
                  </w:pPr>
                  <w:r>
                    <w:t>2040</w:t>
                  </w:r>
                </w:p>
              </w:tc>
            </w:tr>
            <w:tr w:rsidR="00B8594D" w14:paraId="38FFDE45" w14:textId="77777777" w:rsidTr="00560EDC">
              <w:tc>
                <w:tcPr>
                  <w:tcW w:w="2132" w:type="pct"/>
                  <w:tcBorders>
                    <w:top w:val="single" w:sz="6" w:space="0" w:color="BFBFBF"/>
                  </w:tcBorders>
                </w:tcPr>
                <w:p w14:paraId="38FFDE3F" w14:textId="77777777" w:rsidR="00B8594D" w:rsidRDefault="00B8594D" w:rsidP="00560EDC">
                  <w:pPr>
                    <w:pStyle w:val="TableUnitsRow"/>
                    <w:jc w:val="left"/>
                  </w:pPr>
                  <w:r>
                    <w:t>GDP impact, total</w:t>
                  </w:r>
                </w:p>
              </w:tc>
              <w:tc>
                <w:tcPr>
                  <w:tcW w:w="575" w:type="pct"/>
                  <w:tcBorders>
                    <w:top w:val="single" w:sz="6" w:space="0" w:color="BFBFBF"/>
                  </w:tcBorders>
                </w:tcPr>
                <w:p w14:paraId="38FFDE40" w14:textId="77777777" w:rsidR="00B8594D" w:rsidRDefault="00B8594D" w:rsidP="00560EDC">
                  <w:pPr>
                    <w:pStyle w:val="TableUnitsRow"/>
                  </w:pPr>
                  <w:r>
                    <w:t>$m</w:t>
                  </w:r>
                </w:p>
              </w:tc>
              <w:tc>
                <w:tcPr>
                  <w:tcW w:w="575" w:type="pct"/>
                  <w:tcBorders>
                    <w:top w:val="single" w:sz="6" w:space="0" w:color="BFBFBF"/>
                  </w:tcBorders>
                </w:tcPr>
                <w:p w14:paraId="38FFDE41" w14:textId="77376C04" w:rsidR="00B8594D" w:rsidRPr="008543E5" w:rsidRDefault="00B8594D">
                  <w:pPr>
                    <w:pStyle w:val="TableBodyText"/>
                  </w:pPr>
                  <w:r w:rsidRPr="008543E5">
                    <w:t>1</w:t>
                  </w:r>
                  <w:r w:rsidR="003E17DF">
                    <w:t>6</w:t>
                  </w:r>
                </w:p>
              </w:tc>
              <w:tc>
                <w:tcPr>
                  <w:tcW w:w="574" w:type="pct"/>
                  <w:tcBorders>
                    <w:top w:val="single" w:sz="6" w:space="0" w:color="BFBFBF"/>
                  </w:tcBorders>
                </w:tcPr>
                <w:p w14:paraId="38FFDE42" w14:textId="4D37D68A" w:rsidR="00B8594D" w:rsidRPr="008543E5" w:rsidRDefault="00B8594D" w:rsidP="00560EDC">
                  <w:pPr>
                    <w:pStyle w:val="TableBodyText"/>
                  </w:pPr>
                  <w:r w:rsidRPr="008543E5">
                    <w:t xml:space="preserve"> </w:t>
                  </w:r>
                  <w:r w:rsidR="003E17DF">
                    <w:t>397</w:t>
                  </w:r>
                </w:p>
              </w:tc>
              <w:tc>
                <w:tcPr>
                  <w:tcW w:w="574" w:type="pct"/>
                  <w:tcBorders>
                    <w:top w:val="single" w:sz="6" w:space="0" w:color="BFBFBF"/>
                  </w:tcBorders>
                </w:tcPr>
                <w:p w14:paraId="38FFDE43" w14:textId="05E77A13" w:rsidR="00B8594D" w:rsidRPr="008543E5" w:rsidRDefault="00B8594D" w:rsidP="00560EDC">
                  <w:pPr>
                    <w:pStyle w:val="TableBodyText"/>
                  </w:pPr>
                  <w:r w:rsidRPr="008543E5">
                    <w:t xml:space="preserve"> 1 </w:t>
                  </w:r>
                  <w:r w:rsidR="003E17DF">
                    <w:t>455</w:t>
                  </w:r>
                </w:p>
              </w:tc>
              <w:tc>
                <w:tcPr>
                  <w:tcW w:w="570" w:type="pct"/>
                  <w:tcBorders>
                    <w:top w:val="single" w:sz="6" w:space="0" w:color="BFBFBF"/>
                  </w:tcBorders>
                </w:tcPr>
                <w:p w14:paraId="38FFDE44" w14:textId="0100F9FB" w:rsidR="00B8594D" w:rsidRPr="008543E5" w:rsidRDefault="003E17DF" w:rsidP="00560EDC">
                  <w:pPr>
                    <w:pStyle w:val="TableBodyText"/>
                  </w:pPr>
                  <w:r>
                    <w:t>4</w:t>
                  </w:r>
                  <w:r w:rsidR="00B8594D" w:rsidRPr="008543E5">
                    <w:t> </w:t>
                  </w:r>
                  <w:r>
                    <w:t>170</w:t>
                  </w:r>
                </w:p>
              </w:tc>
            </w:tr>
            <w:tr w:rsidR="00B8594D" w14:paraId="38FFDE4C" w14:textId="77777777" w:rsidTr="00560EDC">
              <w:tc>
                <w:tcPr>
                  <w:tcW w:w="2132" w:type="pct"/>
                </w:tcPr>
                <w:p w14:paraId="38FFDE46" w14:textId="77777777" w:rsidR="00B8594D" w:rsidRDefault="00B8594D" w:rsidP="00560EDC">
                  <w:pPr>
                    <w:pStyle w:val="TableBodyText"/>
                    <w:jc w:val="left"/>
                  </w:pPr>
                  <w:r>
                    <w:t>GDP impact, total</w:t>
                  </w:r>
                </w:p>
              </w:tc>
              <w:tc>
                <w:tcPr>
                  <w:tcW w:w="575" w:type="pct"/>
                </w:tcPr>
                <w:p w14:paraId="38FFDE47" w14:textId="77777777" w:rsidR="00B8594D" w:rsidRDefault="00B8594D" w:rsidP="00560EDC">
                  <w:pPr>
                    <w:pStyle w:val="TableBodyText"/>
                  </w:pPr>
                  <w:r>
                    <w:t>%</w:t>
                  </w:r>
                </w:p>
              </w:tc>
              <w:tc>
                <w:tcPr>
                  <w:tcW w:w="575" w:type="pct"/>
                </w:tcPr>
                <w:p w14:paraId="38FFDE48" w14:textId="77777777" w:rsidR="00B8594D" w:rsidRPr="008543E5" w:rsidRDefault="00B8594D" w:rsidP="00560EDC">
                  <w:pPr>
                    <w:pStyle w:val="TableBodyText"/>
                  </w:pPr>
                  <w:r w:rsidRPr="008543E5">
                    <w:t>0.001</w:t>
                  </w:r>
                </w:p>
              </w:tc>
              <w:tc>
                <w:tcPr>
                  <w:tcW w:w="574" w:type="pct"/>
                </w:tcPr>
                <w:p w14:paraId="38FFDE49" w14:textId="6C65267E" w:rsidR="00B8594D" w:rsidRPr="008543E5" w:rsidRDefault="00B8594D" w:rsidP="00560EDC">
                  <w:pPr>
                    <w:pStyle w:val="TableBodyText"/>
                  </w:pPr>
                  <w:r w:rsidRPr="008543E5">
                    <w:t>0.0</w:t>
                  </w:r>
                  <w:r w:rsidR="003E17DF">
                    <w:t>2</w:t>
                  </w:r>
                </w:p>
              </w:tc>
              <w:tc>
                <w:tcPr>
                  <w:tcW w:w="574" w:type="pct"/>
                </w:tcPr>
                <w:p w14:paraId="38FFDE4A" w14:textId="3051484D" w:rsidR="00B8594D" w:rsidRPr="008543E5" w:rsidRDefault="00B8594D" w:rsidP="008A13D7">
                  <w:pPr>
                    <w:pStyle w:val="TableBodyText"/>
                  </w:pPr>
                  <w:r>
                    <w:t>0.0</w:t>
                  </w:r>
                  <w:r w:rsidR="003E17DF">
                    <w:t>6</w:t>
                  </w:r>
                </w:p>
              </w:tc>
              <w:tc>
                <w:tcPr>
                  <w:tcW w:w="570" w:type="pct"/>
                </w:tcPr>
                <w:p w14:paraId="38FFDE4B" w14:textId="3FB57933" w:rsidR="00B8594D" w:rsidRPr="008543E5" w:rsidRDefault="00B8594D" w:rsidP="00560EDC">
                  <w:pPr>
                    <w:pStyle w:val="TableBodyText"/>
                  </w:pPr>
                  <w:r>
                    <w:t>0.</w:t>
                  </w:r>
                  <w:r w:rsidR="003E17DF">
                    <w:t>15</w:t>
                  </w:r>
                </w:p>
              </w:tc>
            </w:tr>
            <w:tr w:rsidR="00B8594D" w14:paraId="38FFDE53" w14:textId="77777777" w:rsidTr="00560EDC">
              <w:tc>
                <w:tcPr>
                  <w:tcW w:w="2132" w:type="pct"/>
                </w:tcPr>
                <w:p w14:paraId="38FFDE4D" w14:textId="77777777" w:rsidR="00B8594D" w:rsidRDefault="00B8594D" w:rsidP="00560EDC">
                  <w:pPr>
                    <w:pStyle w:val="TableBodyText"/>
                    <w:jc w:val="left"/>
                  </w:pPr>
                  <w:r>
                    <w:t>GDP impact, those in poor or fair health</w:t>
                  </w:r>
                </w:p>
              </w:tc>
              <w:tc>
                <w:tcPr>
                  <w:tcW w:w="575" w:type="pct"/>
                </w:tcPr>
                <w:p w14:paraId="38FFDE4E" w14:textId="77777777" w:rsidR="00B8594D" w:rsidRDefault="00B8594D" w:rsidP="00560EDC">
                  <w:pPr>
                    <w:pStyle w:val="TableBodyText"/>
                  </w:pPr>
                  <w:r>
                    <w:t>$m</w:t>
                  </w:r>
                </w:p>
              </w:tc>
              <w:tc>
                <w:tcPr>
                  <w:tcW w:w="575" w:type="pct"/>
                </w:tcPr>
                <w:p w14:paraId="38FFDE4F" w14:textId="49321CA7" w:rsidR="00B8594D" w:rsidRDefault="00B8594D" w:rsidP="00560EDC">
                  <w:pPr>
                    <w:pStyle w:val="TableBodyText"/>
                  </w:pPr>
                  <w:r>
                    <w:t>1</w:t>
                  </w:r>
                  <w:r w:rsidR="003E17DF">
                    <w:t>3</w:t>
                  </w:r>
                </w:p>
              </w:tc>
              <w:tc>
                <w:tcPr>
                  <w:tcW w:w="574" w:type="pct"/>
                </w:tcPr>
                <w:p w14:paraId="38FFDE50" w14:textId="4B3A168C" w:rsidR="00B8594D" w:rsidRPr="008543E5" w:rsidRDefault="003E17DF" w:rsidP="00560EDC">
                  <w:pPr>
                    <w:pStyle w:val="TableBodyText"/>
                  </w:pPr>
                  <w:r>
                    <w:t>310</w:t>
                  </w:r>
                </w:p>
              </w:tc>
              <w:tc>
                <w:tcPr>
                  <w:tcW w:w="574" w:type="pct"/>
                </w:tcPr>
                <w:p w14:paraId="38FFDE51" w14:textId="48D59054" w:rsidR="00B8594D" w:rsidRPr="008543E5" w:rsidRDefault="00B8594D" w:rsidP="00560EDC">
                  <w:pPr>
                    <w:pStyle w:val="TableBodyText"/>
                  </w:pPr>
                  <w:r>
                    <w:t>1 1</w:t>
                  </w:r>
                  <w:r w:rsidR="003E17DF">
                    <w:t>3</w:t>
                  </w:r>
                  <w:r>
                    <w:t>6</w:t>
                  </w:r>
                </w:p>
              </w:tc>
              <w:tc>
                <w:tcPr>
                  <w:tcW w:w="570" w:type="pct"/>
                </w:tcPr>
                <w:p w14:paraId="38FFDE52" w14:textId="06F1C49A" w:rsidR="00B8594D" w:rsidRPr="008543E5" w:rsidRDefault="003E17DF" w:rsidP="00560EDC">
                  <w:pPr>
                    <w:pStyle w:val="TableBodyText"/>
                  </w:pPr>
                  <w:r>
                    <w:t>3</w:t>
                  </w:r>
                  <w:r w:rsidR="00B8594D">
                    <w:t> </w:t>
                  </w:r>
                  <w:r>
                    <w:t>254</w:t>
                  </w:r>
                </w:p>
              </w:tc>
            </w:tr>
            <w:tr w:rsidR="00B8594D" w14:paraId="38FFDE5A" w14:textId="77777777" w:rsidTr="00560EDC">
              <w:tc>
                <w:tcPr>
                  <w:tcW w:w="2132" w:type="pct"/>
                </w:tcPr>
                <w:p w14:paraId="38FFDE54" w14:textId="77777777" w:rsidR="00B8594D" w:rsidRDefault="00B8594D" w:rsidP="00560EDC">
                  <w:pPr>
                    <w:pStyle w:val="TableBodyText"/>
                    <w:jc w:val="left"/>
                  </w:pPr>
                  <w:r>
                    <w:t xml:space="preserve"> GDP health elasticity</w:t>
                  </w:r>
                </w:p>
              </w:tc>
              <w:tc>
                <w:tcPr>
                  <w:tcW w:w="575" w:type="pct"/>
                </w:tcPr>
                <w:p w14:paraId="38FFDE55" w14:textId="77777777" w:rsidR="00B8594D" w:rsidRDefault="00B8594D" w:rsidP="00560EDC">
                  <w:pPr>
                    <w:pStyle w:val="TableBodyText"/>
                  </w:pPr>
                </w:p>
              </w:tc>
              <w:tc>
                <w:tcPr>
                  <w:tcW w:w="575" w:type="pct"/>
                </w:tcPr>
                <w:p w14:paraId="38FFDE56" w14:textId="77777777" w:rsidR="00B8594D" w:rsidRDefault="00B8594D" w:rsidP="00560EDC">
                  <w:pPr>
                    <w:pStyle w:val="TableBodyText"/>
                  </w:pPr>
                  <w:r>
                    <w:t>0.0003</w:t>
                  </w:r>
                </w:p>
              </w:tc>
              <w:tc>
                <w:tcPr>
                  <w:tcW w:w="574" w:type="pct"/>
                </w:tcPr>
                <w:p w14:paraId="38FFDE57" w14:textId="3E12B377" w:rsidR="00B8594D" w:rsidRPr="008543E5" w:rsidRDefault="00B8594D" w:rsidP="00560EDC">
                  <w:pPr>
                    <w:pStyle w:val="TableBodyText"/>
                  </w:pPr>
                  <w:r w:rsidRPr="008543E5">
                    <w:t>0.00</w:t>
                  </w:r>
                  <w:r w:rsidR="003E17DF">
                    <w:t>1</w:t>
                  </w:r>
                </w:p>
              </w:tc>
              <w:tc>
                <w:tcPr>
                  <w:tcW w:w="574" w:type="pct"/>
                </w:tcPr>
                <w:p w14:paraId="38FFDE58" w14:textId="77777777" w:rsidR="00B8594D" w:rsidRPr="008543E5" w:rsidRDefault="00B8594D" w:rsidP="00560EDC">
                  <w:pPr>
                    <w:pStyle w:val="TableBodyText"/>
                  </w:pPr>
                  <w:r w:rsidRPr="008543E5">
                    <w:t>0.003</w:t>
                  </w:r>
                </w:p>
              </w:tc>
              <w:tc>
                <w:tcPr>
                  <w:tcW w:w="570" w:type="pct"/>
                </w:tcPr>
                <w:p w14:paraId="38FFDE59" w14:textId="2B972E32" w:rsidR="00B8594D" w:rsidRPr="008543E5" w:rsidRDefault="00B8594D" w:rsidP="00560EDC">
                  <w:pPr>
                    <w:pStyle w:val="TableBodyText"/>
                  </w:pPr>
                  <w:r w:rsidRPr="008543E5">
                    <w:t>0.00</w:t>
                  </w:r>
                  <w:r w:rsidR="003E17DF">
                    <w:t>4</w:t>
                  </w:r>
                </w:p>
              </w:tc>
            </w:tr>
            <w:tr w:rsidR="00B8594D" w14:paraId="38FFDE61" w14:textId="77777777" w:rsidTr="00560EDC">
              <w:tc>
                <w:tcPr>
                  <w:tcW w:w="2132" w:type="pct"/>
                  <w:tcBorders>
                    <w:bottom w:val="single" w:sz="6" w:space="0" w:color="BFBFBF"/>
                  </w:tcBorders>
                  <w:shd w:val="clear" w:color="auto" w:fill="auto"/>
                </w:tcPr>
                <w:p w14:paraId="38FFDE5B" w14:textId="77777777" w:rsidR="00B8594D" w:rsidRDefault="00B8594D" w:rsidP="00560EDC">
                  <w:pPr>
                    <w:pStyle w:val="TableBodyText"/>
                    <w:ind w:left="0"/>
                    <w:jc w:val="left"/>
                  </w:pPr>
                  <w:r>
                    <w:t>GDP impact, voluntary carers</w:t>
                  </w:r>
                </w:p>
              </w:tc>
              <w:tc>
                <w:tcPr>
                  <w:tcW w:w="575" w:type="pct"/>
                  <w:tcBorders>
                    <w:bottom w:val="single" w:sz="6" w:space="0" w:color="BFBFBF"/>
                  </w:tcBorders>
                </w:tcPr>
                <w:p w14:paraId="38FFDE5C" w14:textId="77777777" w:rsidR="00B8594D" w:rsidRDefault="00B8594D" w:rsidP="00560EDC">
                  <w:pPr>
                    <w:pStyle w:val="TableBodyText"/>
                  </w:pPr>
                  <w:r>
                    <w:t>$m</w:t>
                  </w:r>
                </w:p>
              </w:tc>
              <w:tc>
                <w:tcPr>
                  <w:tcW w:w="575" w:type="pct"/>
                  <w:tcBorders>
                    <w:bottom w:val="single" w:sz="6" w:space="0" w:color="BFBFBF"/>
                  </w:tcBorders>
                  <w:shd w:val="clear" w:color="auto" w:fill="auto"/>
                </w:tcPr>
                <w:p w14:paraId="38FFDE5D" w14:textId="77777777" w:rsidR="00B8594D" w:rsidRDefault="00B8594D" w:rsidP="00560EDC">
                  <w:pPr>
                    <w:pStyle w:val="TableBodyText"/>
                  </w:pPr>
                  <w:r>
                    <w:t>4</w:t>
                  </w:r>
                </w:p>
              </w:tc>
              <w:tc>
                <w:tcPr>
                  <w:tcW w:w="574" w:type="pct"/>
                  <w:tcBorders>
                    <w:bottom w:val="single" w:sz="6" w:space="0" w:color="BFBFBF"/>
                  </w:tcBorders>
                </w:tcPr>
                <w:p w14:paraId="38FFDE5E" w14:textId="639E808B" w:rsidR="00B8594D" w:rsidRPr="008543E5" w:rsidRDefault="003E17DF" w:rsidP="00560EDC">
                  <w:pPr>
                    <w:pStyle w:val="TableBodyText"/>
                  </w:pPr>
                  <w:r>
                    <w:t>87</w:t>
                  </w:r>
                </w:p>
              </w:tc>
              <w:tc>
                <w:tcPr>
                  <w:tcW w:w="574" w:type="pct"/>
                  <w:tcBorders>
                    <w:bottom w:val="single" w:sz="6" w:space="0" w:color="BFBFBF"/>
                  </w:tcBorders>
                </w:tcPr>
                <w:p w14:paraId="38FFDE5F" w14:textId="136F108C" w:rsidR="00B8594D" w:rsidRPr="008543E5" w:rsidRDefault="00B8594D" w:rsidP="00560EDC">
                  <w:pPr>
                    <w:pStyle w:val="TableBodyText"/>
                  </w:pPr>
                  <w:r>
                    <w:t>3</w:t>
                  </w:r>
                  <w:r w:rsidR="003E17DF">
                    <w:t>20</w:t>
                  </w:r>
                </w:p>
              </w:tc>
              <w:tc>
                <w:tcPr>
                  <w:tcW w:w="570" w:type="pct"/>
                  <w:tcBorders>
                    <w:bottom w:val="single" w:sz="6" w:space="0" w:color="BFBFBF"/>
                  </w:tcBorders>
                  <w:shd w:val="clear" w:color="auto" w:fill="auto"/>
                </w:tcPr>
                <w:p w14:paraId="38FFDE60" w14:textId="6C722E7A" w:rsidR="00B8594D" w:rsidRDefault="003E17DF" w:rsidP="00560EDC">
                  <w:pPr>
                    <w:pStyle w:val="TableBodyText"/>
                  </w:pPr>
                  <w:r>
                    <w:t>916</w:t>
                  </w:r>
                </w:p>
              </w:tc>
            </w:tr>
          </w:tbl>
          <w:p w14:paraId="38FFDE62" w14:textId="77777777" w:rsidR="00B8594D" w:rsidRDefault="00B8594D" w:rsidP="00560EDC">
            <w:pPr>
              <w:pStyle w:val="Box"/>
            </w:pPr>
          </w:p>
        </w:tc>
      </w:tr>
      <w:tr w:rsidR="00B8594D" w14:paraId="38FFDE65" w14:textId="77777777" w:rsidTr="00560EDC">
        <w:tc>
          <w:tcPr>
            <w:tcW w:w="5000" w:type="pct"/>
            <w:tcBorders>
              <w:top w:val="nil"/>
              <w:left w:val="nil"/>
              <w:bottom w:val="nil"/>
              <w:right w:val="nil"/>
            </w:tcBorders>
            <w:shd w:val="clear" w:color="auto" w:fill="auto"/>
          </w:tcPr>
          <w:p w14:paraId="38FFDE64" w14:textId="77777777" w:rsidR="00B8594D" w:rsidRDefault="00B8594D" w:rsidP="00560EDC">
            <w:pPr>
              <w:pStyle w:val="Source"/>
            </w:pPr>
            <w:r>
              <w:rPr>
                <w:i/>
              </w:rPr>
              <w:t>Source</w:t>
            </w:r>
            <w:r w:rsidRPr="00167F06">
              <w:t xml:space="preserve">: </w:t>
            </w:r>
            <w:r w:rsidR="00A321BD">
              <w:t xml:space="preserve">Productivity </w:t>
            </w:r>
            <w:r>
              <w:t>Commission estimates.</w:t>
            </w:r>
          </w:p>
        </w:tc>
      </w:tr>
      <w:tr w:rsidR="00B8594D" w14:paraId="38FFDE67" w14:textId="77777777" w:rsidTr="00560EDC">
        <w:tc>
          <w:tcPr>
            <w:tcW w:w="5000" w:type="pct"/>
            <w:tcBorders>
              <w:top w:val="nil"/>
              <w:left w:val="nil"/>
              <w:bottom w:val="single" w:sz="6" w:space="0" w:color="78A22F"/>
              <w:right w:val="nil"/>
            </w:tcBorders>
            <w:shd w:val="clear" w:color="auto" w:fill="auto"/>
          </w:tcPr>
          <w:p w14:paraId="38FFDE66" w14:textId="77777777" w:rsidR="00B8594D" w:rsidRDefault="00B8594D" w:rsidP="00560EDC">
            <w:pPr>
              <w:pStyle w:val="Box"/>
              <w:spacing w:before="0" w:line="120" w:lineRule="exact"/>
            </w:pPr>
          </w:p>
        </w:tc>
      </w:tr>
      <w:tr w:rsidR="00B8594D" w:rsidRPr="000863A5" w14:paraId="38FFDE69" w14:textId="77777777" w:rsidTr="00560EDC">
        <w:tc>
          <w:tcPr>
            <w:tcW w:w="5000" w:type="pct"/>
            <w:tcBorders>
              <w:top w:val="single" w:sz="6" w:space="0" w:color="78A22F"/>
              <w:left w:val="nil"/>
              <w:bottom w:val="nil"/>
              <w:right w:val="nil"/>
            </w:tcBorders>
          </w:tcPr>
          <w:p w14:paraId="38FFDE68" w14:textId="77777777" w:rsidR="00B8594D" w:rsidRPr="00626D32" w:rsidRDefault="00B8594D" w:rsidP="00560EDC">
            <w:pPr>
              <w:pStyle w:val="BoxSpaceBelow"/>
            </w:pPr>
          </w:p>
        </w:tc>
      </w:tr>
    </w:tbl>
    <w:p w14:paraId="38FFDE6A" w14:textId="6B648A1B" w:rsidR="00B54352" w:rsidRDefault="00B54352" w:rsidP="00B54352">
      <w:pPr>
        <w:pStyle w:val="BodyText"/>
      </w:pPr>
      <w:r>
        <w:t xml:space="preserve">The </w:t>
      </w:r>
      <w:r w:rsidR="00A321BD" w:rsidRPr="00A321BD">
        <w:t xml:space="preserve">Productivity </w:t>
      </w:r>
      <w:r>
        <w:t>Commission’s estimate depends on Verikios et al. </w:t>
      </w:r>
      <w:r w:rsidRPr="005A7E31">
        <w:t>(2015)</w:t>
      </w:r>
      <w:r>
        <w:t>, a Centre of Policy Studies’ analysis of the GDP implications for Australia of improving the health of unwell workers in two different age cohorts. Verikios et al. </w:t>
      </w:r>
      <w:r w:rsidRPr="005A7E31">
        <w:t>(2015)</w:t>
      </w:r>
      <w:r>
        <w:t xml:space="preserve"> implement two simulations, </w:t>
      </w:r>
      <w:r w:rsidRPr="003C3E7C">
        <w:t xml:space="preserve">the first </w:t>
      </w:r>
      <w:r>
        <w:t>estimating the GDP impact of</w:t>
      </w:r>
      <w:r w:rsidRPr="003C3E7C">
        <w:t xml:space="preserve"> a ten per cent improvement in the health of </w:t>
      </w:r>
      <w:r>
        <w:t xml:space="preserve">the </w:t>
      </w:r>
      <w:r w:rsidRPr="003C3E7C">
        <w:t>unhealthiest 49</w:t>
      </w:r>
      <w:r>
        <w:noBreakHyphen/>
      </w:r>
      <w:r w:rsidRPr="003C3E7C">
        <w:t xml:space="preserve">69 year olds and the second simulation </w:t>
      </w:r>
      <w:r>
        <w:t xml:space="preserve">estimating the GDP impact </w:t>
      </w:r>
      <w:r w:rsidRPr="003C3E7C">
        <w:t>of a ten per cent improvement in the health of th</w:t>
      </w:r>
      <w:r>
        <w:t>e unhealthiest 29</w:t>
      </w:r>
      <w:r>
        <w:noBreakHyphen/>
        <w:t xml:space="preserve">38 year olds. They find the GDP impact is much larger for the older cohort (0.1 per cent after </w:t>
      </w:r>
      <w:r w:rsidR="003E17DF">
        <w:t>20</w:t>
      </w:r>
      <w:r>
        <w:t> years) than for the 29</w:t>
      </w:r>
      <w:r>
        <w:noBreakHyphen/>
        <w:t>38 year old cohort (0.0</w:t>
      </w:r>
      <w:r w:rsidR="003E17DF">
        <w:t>08</w:t>
      </w:r>
      <w:r>
        <w:t xml:space="preserve"> per cent after </w:t>
      </w:r>
      <w:r w:rsidR="003E17DF">
        <w:t>20</w:t>
      </w:r>
      <w:r>
        <w:t> years), which they attribute to the greater tendency of those near retirement to retire early in response to ill health. Their conclusion is consistent with the analysis of ill health and early retirement among older working individuals in the Household, Income and Labour Dynamics in Australia survey data by Zucchelli et al. </w:t>
      </w:r>
      <w:r w:rsidRPr="005444A1">
        <w:t>(2010)</w:t>
      </w:r>
      <w:r>
        <w:t>. Zucchelli et al. </w:t>
      </w:r>
      <w:r w:rsidRPr="005444A1">
        <w:t>(2010)</w:t>
      </w:r>
      <w:r>
        <w:t xml:space="preserve"> find that a deterioration in the health of those in the workforce aged over 50 years increases the risk of early retirement by between 50 and 320 per cent for men and between 68 and 74 per cent for women.</w:t>
      </w:r>
    </w:p>
    <w:p w14:paraId="38FFDE6B" w14:textId="77777777" w:rsidR="00B8594D" w:rsidRDefault="00B8594D" w:rsidP="00B8594D">
      <w:pPr>
        <w:pStyle w:val="BodyText"/>
      </w:pPr>
      <w:r>
        <w:t xml:space="preserve">Based on this literature, the </w:t>
      </w:r>
      <w:r w:rsidR="00A321BD" w:rsidRPr="00A321BD">
        <w:t xml:space="preserve">Productivity </w:t>
      </w:r>
      <w:r>
        <w:t>Commission assumes the GDP effect after twenty years of a one per cent improvement in health t</w:t>
      </w:r>
      <w:r w:rsidR="001F4629">
        <w:t>o vary by age cohort as follows.</w:t>
      </w:r>
    </w:p>
    <w:p w14:paraId="38FFDE6C" w14:textId="77777777" w:rsidR="00B8594D" w:rsidRDefault="001F4629" w:rsidP="00B8594D">
      <w:pPr>
        <w:pStyle w:val="ListBullet"/>
      </w:pPr>
      <w:r>
        <w:t>F</w:t>
      </w:r>
      <w:r w:rsidR="00B8594D">
        <w:t>or those aged 15 to 44 years, the effect is assumed to be equal to the younger age cohort in Verikios et al. </w:t>
      </w:r>
      <w:r w:rsidR="00B8594D" w:rsidRPr="005A7E31">
        <w:t>(2015)</w:t>
      </w:r>
      <w:r>
        <w:t>.</w:t>
      </w:r>
    </w:p>
    <w:p w14:paraId="38FFDE6D" w14:textId="77777777" w:rsidR="00B8594D" w:rsidRDefault="001F4629" w:rsidP="00B8594D">
      <w:pPr>
        <w:pStyle w:val="ListBullet"/>
      </w:pPr>
      <w:r>
        <w:t>F</w:t>
      </w:r>
      <w:r w:rsidR="00B8594D">
        <w:t>or those aged 45 to 64 years, the effect is assumed to be equal to the older age cohort in Verikios et al. </w:t>
      </w:r>
      <w:r w:rsidR="00B8594D" w:rsidRPr="005A7E31">
        <w:t>(2015)</w:t>
      </w:r>
      <w:r>
        <w:t>.</w:t>
      </w:r>
    </w:p>
    <w:p w14:paraId="38FFDE6E" w14:textId="77777777" w:rsidR="00B8594D" w:rsidRDefault="001F4629" w:rsidP="00B8594D">
      <w:pPr>
        <w:pStyle w:val="ListBullet"/>
      </w:pPr>
      <w:r>
        <w:t>F</w:t>
      </w:r>
      <w:r w:rsidR="00B8594D">
        <w:t>or those aged 64 to 74 years, the effect is assumed to be equal to the younger age cohort in Verikios et al. </w:t>
      </w:r>
      <w:r w:rsidR="00B8594D" w:rsidRPr="005A7E31">
        <w:t>(2015)</w:t>
      </w:r>
      <w:r w:rsidR="00B8594D">
        <w:t xml:space="preserve"> given that many would already be in retirement, reducing the GDP impact</w:t>
      </w:r>
      <w:r>
        <w:t>.</w:t>
      </w:r>
    </w:p>
    <w:p w14:paraId="38FFDE6F" w14:textId="77777777" w:rsidR="00B8594D" w:rsidRDefault="001F4629" w:rsidP="00B8594D">
      <w:pPr>
        <w:pStyle w:val="ListBullet"/>
      </w:pPr>
      <w:r>
        <w:t>F</w:t>
      </w:r>
      <w:r w:rsidR="00B8594D">
        <w:t>or those aged over 74 years, the effect is assumed to be zero.</w:t>
      </w:r>
    </w:p>
    <w:p w14:paraId="38FFDE70" w14:textId="77777777" w:rsidR="00B8594D" w:rsidRDefault="00B8594D" w:rsidP="00B8594D">
      <w:pPr>
        <w:pStyle w:val="BodyText"/>
      </w:pPr>
      <w:r>
        <w:t>The weighted average for all Australians in poor or fair health is based on the age cohort shares in ABS’ </w:t>
      </w:r>
      <w:r w:rsidRPr="00FB01E0">
        <w:t>(2015)</w:t>
      </w:r>
      <w:r>
        <w:t xml:space="preserve"> National Health Survey. For the sake of simplicity, these shares are assumed constant despite the ageing of the Australian population over time. As the population ages, it is likely that the proportion nearing the age of retirement will rise (tending to increase the workforce</w:t>
      </w:r>
      <w:r w:rsidR="004F78CB">
        <w:noBreakHyphen/>
      </w:r>
      <w:r>
        <w:t>related GDP impact of improving health)</w:t>
      </w:r>
      <w:r w:rsidR="004F78CB">
        <w:t>,</w:t>
      </w:r>
      <w:r>
        <w:t xml:space="preserve"> and so will the proportion above the age of retirement (tending to reduce the workforce related GDP impact of improving health). Thus the additional complexity of incorporating </w:t>
      </w:r>
      <w:r w:rsidR="004F78CB">
        <w:t>population</w:t>
      </w:r>
      <w:r>
        <w:t xml:space="preserve"> ageing could result in a higher or lower GDP estimate, depending on the proportion of the population beyond the working age (which is itself likely to rise over time with the improved health and longevity of Australians). Nor does the </w:t>
      </w:r>
      <w:r w:rsidR="009D5A34">
        <w:t xml:space="preserve">Productivity </w:t>
      </w:r>
      <w:r>
        <w:t xml:space="preserve">Commission account for reductions in mortality rates that could be expected to be associated with improved health. Lower mortality rates could be associated with extended years of quality life </w:t>
      </w:r>
      <w:r w:rsidR="00940CB7">
        <w:t xml:space="preserve">for some, but with </w:t>
      </w:r>
      <w:r>
        <w:t xml:space="preserve">extended </w:t>
      </w:r>
      <w:r w:rsidR="00940CB7">
        <w:t xml:space="preserve">years of low quality life for others, which in turn may lead to higher </w:t>
      </w:r>
      <w:r>
        <w:t>demand for health care services.</w:t>
      </w:r>
    </w:p>
    <w:p w14:paraId="38FFDE71" w14:textId="77777777" w:rsidR="00B8594D" w:rsidRDefault="00B8594D" w:rsidP="00B8594D">
      <w:pPr>
        <w:pStyle w:val="BodyText"/>
      </w:pPr>
      <w:r>
        <w:t>Better health would also reduce the demands on the time of voluntary support carers, freeing them up to participate in the workforce.</w:t>
      </w:r>
      <w:r w:rsidRPr="002F6D96">
        <w:rPr>
          <w:rStyle w:val="FootnoteReference"/>
        </w:rPr>
        <w:footnoteReference w:id="9"/>
      </w:r>
      <w:r>
        <w:t xml:space="preserve"> This is incorporated into the </w:t>
      </w:r>
      <w:r w:rsidR="009D5A34">
        <w:t xml:space="preserve">Productivity </w:t>
      </w:r>
      <w:r>
        <w:t>Commission’s estimate of the GDP effect by assuming that</w:t>
      </w:r>
      <w:r w:rsidR="00402D08">
        <w:t xml:space="preserve">, </w:t>
      </w:r>
      <w:r>
        <w:t xml:space="preserve">on average, the impact of a carer’s availability on the workforce is just under </w:t>
      </w:r>
      <w:r w:rsidR="00402D08">
        <w:t>30 </w:t>
      </w:r>
      <w:r>
        <w:t>per cent of the impact of the average patient’s availability. This assumption is derived from the proportion of primary carers who participate in the workforce from the ABS’ </w:t>
      </w:r>
      <w:r w:rsidRPr="00911542">
        <w:t>(2016)</w:t>
      </w:r>
      <w:r>
        <w:t xml:space="preserve"> summary of the 2015 Survey of Disability, Ageing and Carers (56 per cent) and (in lieu of there being no publicly available data) by assuming that the average patient requires one day of voluntary care in their home for every two days spent in hospital care. </w:t>
      </w:r>
    </w:p>
    <w:p w14:paraId="38FFDE72" w14:textId="77777777" w:rsidR="008017D2" w:rsidRDefault="008017D2" w:rsidP="008017D2">
      <w:pPr>
        <w:pStyle w:val="Heading4"/>
      </w:pPr>
      <w:r>
        <w:t>Estimating the health expenditure dividend</w:t>
      </w:r>
    </w:p>
    <w:p w14:paraId="38FFDE73" w14:textId="77777777" w:rsidR="008017D2" w:rsidRDefault="008017D2" w:rsidP="008017D2">
      <w:pPr>
        <w:pStyle w:val="BodyText"/>
      </w:pPr>
      <w:r>
        <w:t xml:space="preserve">There are two broad means by which the proposed health reform agenda can deliver </w:t>
      </w:r>
      <w:r w:rsidR="003D7A48">
        <w:t xml:space="preserve">a </w:t>
      </w:r>
      <w:r>
        <w:t>substant</w:t>
      </w:r>
      <w:r w:rsidR="001F4629">
        <w:t>ial health expenditure dividend.</w:t>
      </w:r>
      <w:r>
        <w:t xml:space="preserve"> </w:t>
      </w:r>
    </w:p>
    <w:p w14:paraId="38FFDE74" w14:textId="77777777" w:rsidR="008017D2" w:rsidRDefault="001F4629" w:rsidP="008017D2">
      <w:pPr>
        <w:pStyle w:val="ListBullet"/>
      </w:pPr>
      <w:r>
        <w:t xml:space="preserve">They can </w:t>
      </w:r>
      <w:r w:rsidR="008017D2">
        <w:t>reduc</w:t>
      </w:r>
      <w:r>
        <w:t>e</w:t>
      </w:r>
      <w:r w:rsidR="008017D2">
        <w:t xml:space="preserve"> the demands on the health system by directly improving the health of Australians</w:t>
      </w:r>
      <w:r>
        <w:t>.</w:t>
      </w:r>
    </w:p>
    <w:p w14:paraId="38FFDE75" w14:textId="0B13136A" w:rsidR="008017D2" w:rsidRDefault="001F4629" w:rsidP="008017D2">
      <w:pPr>
        <w:pStyle w:val="ListBullet"/>
      </w:pPr>
      <w:r>
        <w:t xml:space="preserve">They can </w:t>
      </w:r>
      <w:r w:rsidR="008017D2">
        <w:t>reduc</w:t>
      </w:r>
      <w:r>
        <w:t>e</w:t>
      </w:r>
      <w:r w:rsidR="008017D2">
        <w:t xml:space="preserve"> the provision of low value care, including the avoidance of waste such as duplication of services. Low value care are treatments that are ineffective for improving health (chapter 7 in SP </w:t>
      </w:r>
      <w:r w:rsidR="00A72E03">
        <w:t>5</w:t>
      </w:r>
      <w:r w:rsidR="008017D2">
        <w:t>).</w:t>
      </w:r>
    </w:p>
    <w:p w14:paraId="38FFDE76" w14:textId="77777777" w:rsidR="00E350F9" w:rsidRDefault="00E350F9" w:rsidP="00E350F9">
      <w:pPr>
        <w:pStyle w:val="Heading5"/>
      </w:pPr>
      <w:r>
        <w:t xml:space="preserve">The impact on </w:t>
      </w:r>
      <w:r w:rsidR="001C0024">
        <w:t>hospital recurrent</w:t>
      </w:r>
      <w:r>
        <w:t xml:space="preserve"> spending</w:t>
      </w:r>
    </w:p>
    <w:p w14:paraId="38FFDE77" w14:textId="77777777" w:rsidR="00E82588" w:rsidRDefault="00527F60" w:rsidP="005C66BA">
      <w:pPr>
        <w:pStyle w:val="BodyText"/>
      </w:pPr>
      <w:r>
        <w:t xml:space="preserve">The impact on health expenditure is </w:t>
      </w:r>
      <w:r w:rsidR="009A5552">
        <w:t>best understood as t</w:t>
      </w:r>
      <w:r>
        <w:t xml:space="preserve">he dividend that would be generated by implementing an integrated system of care. This dividend may be reinvested into further improving the health of Australians, which would lead to </w:t>
      </w:r>
      <w:r w:rsidR="00A21BC0">
        <w:t>subsequent</w:t>
      </w:r>
      <w:r>
        <w:t xml:space="preserve"> effects on </w:t>
      </w:r>
      <w:r w:rsidR="000D23B1">
        <w:t xml:space="preserve">health and on the economy. However for simplicity, the </w:t>
      </w:r>
      <w:r w:rsidR="009D5A34">
        <w:t xml:space="preserve">Productivity </w:t>
      </w:r>
      <w:r w:rsidR="000D23B1">
        <w:t xml:space="preserve">Commission only estimates </w:t>
      </w:r>
      <w:r w:rsidR="00A21BC0">
        <w:t>direct</w:t>
      </w:r>
      <w:r w:rsidR="000D23B1">
        <w:t xml:space="preserve"> impacts.</w:t>
      </w:r>
    </w:p>
    <w:p w14:paraId="38FFDE78" w14:textId="77777777" w:rsidR="00DF39BF" w:rsidRDefault="00084C74" w:rsidP="00DF39BF">
      <w:pPr>
        <w:pStyle w:val="BodyText"/>
      </w:pPr>
      <w:r>
        <w:t xml:space="preserve">The </w:t>
      </w:r>
      <w:r w:rsidR="00AD3DE1">
        <w:t>hospital recurrent spending</w:t>
      </w:r>
      <w:r>
        <w:t xml:space="preserve"> dividend</w:t>
      </w:r>
      <w:r w:rsidR="000D23B1">
        <w:t xml:space="preserve"> </w:t>
      </w:r>
      <w:r w:rsidR="009A5552">
        <w:t xml:space="preserve">depends </w:t>
      </w:r>
      <w:r w:rsidR="00DA3DC7">
        <w:t xml:space="preserve">on the number of people whose health improves and </w:t>
      </w:r>
      <w:r w:rsidR="009A5552">
        <w:t>on a</w:t>
      </w:r>
      <w:r w:rsidR="00556C1D">
        <w:t xml:space="preserve"> </w:t>
      </w:r>
      <w:r w:rsidR="000D23B1">
        <w:t xml:space="preserve">per patient </w:t>
      </w:r>
      <w:r w:rsidR="00556C1D">
        <w:t>estimate</w:t>
      </w:r>
      <w:r w:rsidR="00E910EF">
        <w:t> (table </w:t>
      </w:r>
      <w:r w:rsidR="00BE1317">
        <w:t>10</w:t>
      </w:r>
      <w:r w:rsidR="009A5552">
        <w:t>)</w:t>
      </w:r>
      <w:r w:rsidR="000D23B1">
        <w:t xml:space="preserve">. </w:t>
      </w:r>
      <w:r w:rsidR="009A5552">
        <w:t>Those who experience an improvement in health are those</w:t>
      </w:r>
      <w:r w:rsidR="00AD3DE1">
        <w:t xml:space="preserve"> of fair or poor health who reside </w:t>
      </w:r>
      <w:r w:rsidR="009A5552">
        <w:t xml:space="preserve">in the Local Hospital Network regions that have adopted a system of integrated care – and therefore depends on the </w:t>
      </w:r>
      <w:r w:rsidR="00FC2BDE">
        <w:t xml:space="preserve">assumed </w:t>
      </w:r>
      <w:r w:rsidR="009A5552">
        <w:t xml:space="preserve">rate </w:t>
      </w:r>
      <w:r w:rsidR="00C92F58">
        <w:t>that</w:t>
      </w:r>
      <w:r w:rsidR="009A5552">
        <w:t xml:space="preserve"> LHNs adopt integrated care</w:t>
      </w:r>
      <w:r>
        <w:t xml:space="preserve"> </w:t>
      </w:r>
      <w:r w:rsidR="000F7D02">
        <w:t xml:space="preserve">as </w:t>
      </w:r>
      <w:r>
        <w:t>discussed above</w:t>
      </w:r>
      <w:r w:rsidR="009A5552">
        <w:t>.</w:t>
      </w:r>
    </w:p>
    <w:p w14:paraId="38FFDE79" w14:textId="77777777" w:rsidR="002A14C5" w:rsidRDefault="002A14C5" w:rsidP="002A14C5">
      <w:pPr>
        <w:pStyle w:val="BodyText"/>
      </w:pPr>
      <w:r>
        <w:t>The hospital recurrent spending dividend for each patient depends on the averted hospital recurrent cost and on the assumed cost of integrated care, both of which are based on Australian studies of integrated care in table 6. The recurrent cost of hospitalisation is based on the three studies for which hospitalisation costs were available – the Diabetes Care Project, Western Sydney diabetes initiative and Inala Chronic Disease Management Service.</w:t>
      </w:r>
    </w:p>
    <w:p w14:paraId="38FFDE7A" w14:textId="072541D5" w:rsidR="002A14C5" w:rsidRDefault="002A14C5" w:rsidP="002A14C5">
      <w:pPr>
        <w:pStyle w:val="BodyText"/>
      </w:pPr>
      <w:r>
        <w:t xml:space="preserve">The per patient cost to LHNs and PHNs of integrated care is the simple average of the cost of the Mount Druitt and Western Sydney diabetes programs (reported in table 6). While other programs report program costs, they do not all involve a model of care that integrates primary and hospital care. The Diabetes Care Program only involved primary care providers and the </w:t>
      </w:r>
      <w:r w:rsidRPr="00686BD8">
        <w:t>Hospital Admission Risk Program</w:t>
      </w:r>
      <w:r>
        <w:t> (HARP) only involved the state government health providers. GP</w:t>
      </w:r>
      <w:r>
        <w:noBreakHyphen/>
        <w:t>focused programs tend to be less costly and less effective – and hospital</w:t>
      </w:r>
      <w:r>
        <w:noBreakHyphen/>
        <w:t>focused programs more costly – than programs that integrate both GP and hospital care (appendix A of SP </w:t>
      </w:r>
      <w:r w:rsidR="00A72E03">
        <w:t>5</w:t>
      </w:r>
      <w:r>
        <w:t>). The assumed cost of an integrated care program (which integrates across all sectors) is therefore based only on those studies of programs that integrated the care provided by GPs and hospitals.</w:t>
      </w:r>
    </w:p>
    <w:p w14:paraId="38FFDE7B" w14:textId="77777777" w:rsidR="00DF39BF" w:rsidRDefault="00DF39BF" w:rsidP="009A1DA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DF39BF" w14:paraId="38FFDE7E" w14:textId="77777777" w:rsidTr="009A1DA8">
        <w:tc>
          <w:tcPr>
            <w:tcW w:w="5000" w:type="pct"/>
            <w:tcBorders>
              <w:top w:val="single" w:sz="6" w:space="0" w:color="78A22F"/>
              <w:left w:val="nil"/>
              <w:bottom w:val="nil"/>
              <w:right w:val="nil"/>
            </w:tcBorders>
            <w:shd w:val="clear" w:color="auto" w:fill="auto"/>
          </w:tcPr>
          <w:p w14:paraId="38FFDE7C" w14:textId="77777777" w:rsidR="00DF39BF" w:rsidRDefault="00DF39BF" w:rsidP="009A1DA8">
            <w:pPr>
              <w:pStyle w:val="TableTitle"/>
            </w:pPr>
            <w:r>
              <w:rPr>
                <w:b w:val="0"/>
              </w:rPr>
              <w:t xml:space="preserve">Table </w:t>
            </w:r>
            <w:r w:rsidR="00BE1317">
              <w:rPr>
                <w:b w:val="0"/>
              </w:rPr>
              <w:t>10</w:t>
            </w:r>
            <w:r w:rsidR="00AB1163">
              <w:tab/>
              <w:t>Deriving t</w:t>
            </w:r>
            <w:r>
              <w:t xml:space="preserve">he impact of integrated care on </w:t>
            </w:r>
            <w:r w:rsidR="000F7D02">
              <w:t>hospital recurrent</w:t>
            </w:r>
            <w:r>
              <w:t xml:space="preserve"> </w:t>
            </w:r>
            <w:r w:rsidR="00556C1D">
              <w:t>spending</w:t>
            </w:r>
          </w:p>
          <w:p w14:paraId="38FFDE7D" w14:textId="77777777" w:rsidR="00DF39BF" w:rsidRPr="00784A05" w:rsidRDefault="003917B2" w:rsidP="009A1DA8">
            <w:pPr>
              <w:pStyle w:val="Subtitle"/>
            </w:pPr>
            <w:r>
              <w:t>2016</w:t>
            </w:r>
            <w:r w:rsidR="002C4651">
              <w:t xml:space="preserve"> prices</w:t>
            </w:r>
          </w:p>
        </w:tc>
      </w:tr>
      <w:tr w:rsidR="00DF39BF" w14:paraId="38FFDEC6" w14:textId="77777777" w:rsidTr="009A1DA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069"/>
              <w:gridCol w:w="656"/>
              <w:gridCol w:w="705"/>
              <w:gridCol w:w="705"/>
              <w:gridCol w:w="828"/>
              <w:gridCol w:w="826"/>
            </w:tblGrid>
            <w:tr w:rsidR="00D12217" w14:paraId="38FFDE85" w14:textId="77777777" w:rsidTr="00D12217">
              <w:trPr>
                <w:tblHeader/>
              </w:trPr>
              <w:tc>
                <w:tcPr>
                  <w:tcW w:w="2884" w:type="pct"/>
                  <w:tcBorders>
                    <w:top w:val="single" w:sz="6" w:space="0" w:color="BFBFBF"/>
                    <w:bottom w:val="single" w:sz="6" w:space="0" w:color="BFBFBF"/>
                  </w:tcBorders>
                  <w:vAlign w:val="center"/>
                </w:tcPr>
                <w:p w14:paraId="38FFDE7F" w14:textId="77777777" w:rsidR="00D12217" w:rsidRDefault="00D12217" w:rsidP="009A1DA8">
                  <w:pPr>
                    <w:pStyle w:val="TableColumnHeading"/>
                    <w:jc w:val="left"/>
                  </w:pPr>
                  <w:r>
                    <w:rPr>
                      <w:rFonts w:cs="Arial"/>
                      <w:i w:val="0"/>
                      <w:iCs/>
                      <w:color w:val="000000"/>
                      <w:szCs w:val="18"/>
                    </w:rPr>
                    <w:t> </w:t>
                  </w:r>
                </w:p>
              </w:tc>
              <w:tc>
                <w:tcPr>
                  <w:tcW w:w="373" w:type="pct"/>
                  <w:tcBorders>
                    <w:top w:val="single" w:sz="6" w:space="0" w:color="BFBFBF"/>
                    <w:bottom w:val="single" w:sz="6" w:space="0" w:color="BFBFBF"/>
                  </w:tcBorders>
                  <w:vAlign w:val="center"/>
                </w:tcPr>
                <w:p w14:paraId="38FFDE80" w14:textId="77777777" w:rsidR="00D12217" w:rsidRDefault="00D12217" w:rsidP="009A1DA8">
                  <w:pPr>
                    <w:pStyle w:val="TableColumnHeading"/>
                    <w:jc w:val="left"/>
                  </w:pPr>
                  <w:r>
                    <w:rPr>
                      <w:rFonts w:cs="Arial"/>
                      <w:i w:val="0"/>
                      <w:iCs/>
                      <w:color w:val="000000"/>
                      <w:szCs w:val="18"/>
                    </w:rPr>
                    <w:t>Units</w:t>
                  </w:r>
                </w:p>
              </w:tc>
              <w:tc>
                <w:tcPr>
                  <w:tcW w:w="401" w:type="pct"/>
                  <w:tcBorders>
                    <w:top w:val="single" w:sz="6" w:space="0" w:color="BFBFBF"/>
                    <w:bottom w:val="single" w:sz="6" w:space="0" w:color="BFBFBF"/>
                  </w:tcBorders>
                  <w:vAlign w:val="center"/>
                </w:tcPr>
                <w:p w14:paraId="38FFDE81" w14:textId="77777777" w:rsidR="00D12217" w:rsidRDefault="00D12217" w:rsidP="009A1DA8">
                  <w:pPr>
                    <w:pStyle w:val="TableColumnHeading"/>
                  </w:pPr>
                  <w:r>
                    <w:rPr>
                      <w:rFonts w:cs="Arial"/>
                      <w:i w:val="0"/>
                      <w:iCs/>
                      <w:color w:val="000000"/>
                      <w:szCs w:val="18"/>
                    </w:rPr>
                    <w:t>2020</w:t>
                  </w:r>
                </w:p>
              </w:tc>
              <w:tc>
                <w:tcPr>
                  <w:tcW w:w="401" w:type="pct"/>
                  <w:tcBorders>
                    <w:top w:val="single" w:sz="6" w:space="0" w:color="BFBFBF"/>
                    <w:bottom w:val="single" w:sz="6" w:space="0" w:color="BFBFBF"/>
                  </w:tcBorders>
                  <w:vAlign w:val="center"/>
                </w:tcPr>
                <w:p w14:paraId="38FFDE82" w14:textId="77777777" w:rsidR="00D12217" w:rsidRDefault="00D12217" w:rsidP="009A1DA8">
                  <w:pPr>
                    <w:pStyle w:val="TableColumnHeading"/>
                  </w:pPr>
                  <w:r>
                    <w:rPr>
                      <w:rFonts w:cs="Arial"/>
                      <w:i w:val="0"/>
                      <w:iCs/>
                      <w:color w:val="000000"/>
                      <w:szCs w:val="18"/>
                    </w:rPr>
                    <w:t>2025</w:t>
                  </w:r>
                </w:p>
              </w:tc>
              <w:tc>
                <w:tcPr>
                  <w:tcW w:w="471" w:type="pct"/>
                  <w:tcBorders>
                    <w:top w:val="single" w:sz="6" w:space="0" w:color="BFBFBF"/>
                    <w:bottom w:val="single" w:sz="6" w:space="0" w:color="BFBFBF"/>
                  </w:tcBorders>
                  <w:vAlign w:val="center"/>
                </w:tcPr>
                <w:p w14:paraId="38FFDE83" w14:textId="77777777" w:rsidR="00D12217" w:rsidRDefault="00D12217" w:rsidP="009A1DA8">
                  <w:pPr>
                    <w:pStyle w:val="TableColumnHeading"/>
                  </w:pPr>
                  <w:r>
                    <w:rPr>
                      <w:rFonts w:cs="Arial"/>
                      <w:i w:val="0"/>
                      <w:iCs/>
                      <w:color w:val="000000"/>
                      <w:szCs w:val="18"/>
                    </w:rPr>
                    <w:t>2030</w:t>
                  </w:r>
                </w:p>
              </w:tc>
              <w:tc>
                <w:tcPr>
                  <w:tcW w:w="471" w:type="pct"/>
                  <w:tcBorders>
                    <w:top w:val="single" w:sz="6" w:space="0" w:color="BFBFBF"/>
                    <w:bottom w:val="single" w:sz="6" w:space="0" w:color="BFBFBF"/>
                  </w:tcBorders>
                  <w:vAlign w:val="center"/>
                </w:tcPr>
                <w:p w14:paraId="38FFDE84" w14:textId="77777777" w:rsidR="00D12217" w:rsidRDefault="00D12217" w:rsidP="009A1DA8">
                  <w:pPr>
                    <w:pStyle w:val="TableColumnHeading"/>
                  </w:pPr>
                  <w:r>
                    <w:rPr>
                      <w:rFonts w:cs="Arial"/>
                      <w:i w:val="0"/>
                      <w:iCs/>
                      <w:color w:val="000000"/>
                      <w:szCs w:val="18"/>
                    </w:rPr>
                    <w:t>2040</w:t>
                  </w:r>
                </w:p>
              </w:tc>
            </w:tr>
            <w:tr w:rsidR="00D12217" w14:paraId="38FFDE8C" w14:textId="77777777" w:rsidTr="00D12217">
              <w:tc>
                <w:tcPr>
                  <w:tcW w:w="2884" w:type="pct"/>
                  <w:tcBorders>
                    <w:top w:val="single" w:sz="6" w:space="0" w:color="BFBFBF"/>
                  </w:tcBorders>
                  <w:vAlign w:val="center"/>
                </w:tcPr>
                <w:p w14:paraId="38FFDE86" w14:textId="77777777" w:rsidR="00D12217" w:rsidRDefault="00D12217" w:rsidP="00556C1D">
                  <w:pPr>
                    <w:pStyle w:val="TableUnitsRow"/>
                    <w:jc w:val="left"/>
                  </w:pPr>
                  <w:r>
                    <w:rPr>
                      <w:rFonts w:cs="Arial"/>
                      <w:color w:val="000000"/>
                      <w:szCs w:val="18"/>
                    </w:rPr>
                    <w:t>Hospital recurrent spending dividend</w:t>
                  </w:r>
                </w:p>
              </w:tc>
              <w:tc>
                <w:tcPr>
                  <w:tcW w:w="373" w:type="pct"/>
                  <w:tcBorders>
                    <w:top w:val="single" w:sz="6" w:space="0" w:color="BFBFBF"/>
                  </w:tcBorders>
                  <w:vAlign w:val="center"/>
                </w:tcPr>
                <w:p w14:paraId="38FFDE87" w14:textId="77777777" w:rsidR="00D12217" w:rsidRDefault="00D12217" w:rsidP="00AD2FB1">
                  <w:pPr>
                    <w:pStyle w:val="TableUnitsRow"/>
                    <w:jc w:val="left"/>
                  </w:pPr>
                  <w:r>
                    <w:rPr>
                      <w:rFonts w:cs="Arial"/>
                      <w:color w:val="000000"/>
                      <w:szCs w:val="18"/>
                    </w:rPr>
                    <w:t>$m</w:t>
                  </w:r>
                </w:p>
              </w:tc>
              <w:tc>
                <w:tcPr>
                  <w:tcW w:w="401" w:type="pct"/>
                  <w:tcBorders>
                    <w:top w:val="single" w:sz="6" w:space="0" w:color="BFBFBF"/>
                  </w:tcBorders>
                </w:tcPr>
                <w:p w14:paraId="38FFDE88" w14:textId="77777777" w:rsidR="00D12217" w:rsidRDefault="00D12217" w:rsidP="002C4651">
                  <w:pPr>
                    <w:pStyle w:val="TableUnitsRow"/>
                  </w:pPr>
                  <w:r w:rsidRPr="0063297A">
                    <w:t xml:space="preserve"> </w:t>
                  </w:r>
                  <w:r>
                    <w:t>362</w:t>
                  </w:r>
                </w:p>
              </w:tc>
              <w:tc>
                <w:tcPr>
                  <w:tcW w:w="401" w:type="pct"/>
                  <w:tcBorders>
                    <w:top w:val="single" w:sz="6" w:space="0" w:color="BFBFBF"/>
                  </w:tcBorders>
                </w:tcPr>
                <w:p w14:paraId="38FFDE89" w14:textId="77777777" w:rsidR="00D12217" w:rsidRDefault="00D12217" w:rsidP="00AD2FB1">
                  <w:pPr>
                    <w:pStyle w:val="TableUnitsRow"/>
                  </w:pPr>
                  <w:r>
                    <w:t>1 910</w:t>
                  </w:r>
                </w:p>
              </w:tc>
              <w:tc>
                <w:tcPr>
                  <w:tcW w:w="471" w:type="pct"/>
                  <w:tcBorders>
                    <w:top w:val="single" w:sz="6" w:space="0" w:color="BFBFBF"/>
                  </w:tcBorders>
                </w:tcPr>
                <w:p w14:paraId="38FFDE8A" w14:textId="77777777" w:rsidR="00D12217" w:rsidRDefault="00D12217" w:rsidP="00AD2FB1">
                  <w:pPr>
                    <w:pStyle w:val="TableUnitsRow"/>
                  </w:pPr>
                  <w:r>
                    <w:t>3 486</w:t>
                  </w:r>
                </w:p>
              </w:tc>
              <w:tc>
                <w:tcPr>
                  <w:tcW w:w="471" w:type="pct"/>
                  <w:tcBorders>
                    <w:top w:val="single" w:sz="6" w:space="0" w:color="BFBFBF"/>
                  </w:tcBorders>
                </w:tcPr>
                <w:p w14:paraId="38FFDE8B" w14:textId="77777777" w:rsidR="00D12217" w:rsidRDefault="00D12217" w:rsidP="00AD2FB1">
                  <w:pPr>
                    <w:pStyle w:val="TableUnitsRow"/>
                  </w:pPr>
                  <w:r>
                    <w:t>6 622</w:t>
                  </w:r>
                </w:p>
              </w:tc>
            </w:tr>
            <w:tr w:rsidR="00D12217" w14:paraId="38FFDE93" w14:textId="77777777" w:rsidTr="00D12217">
              <w:tc>
                <w:tcPr>
                  <w:tcW w:w="2884" w:type="pct"/>
                  <w:vAlign w:val="center"/>
                </w:tcPr>
                <w:p w14:paraId="38FFDE8D" w14:textId="77777777" w:rsidR="00D12217" w:rsidRDefault="00D12217" w:rsidP="009A1DA8">
                  <w:pPr>
                    <w:pStyle w:val="TableUnitsRow"/>
                    <w:jc w:val="left"/>
                  </w:pPr>
                  <w:r>
                    <w:rPr>
                      <w:rFonts w:cs="Arial"/>
                      <w:color w:val="000000"/>
                      <w:szCs w:val="18"/>
                    </w:rPr>
                    <w:t>People whose health improves</w:t>
                  </w:r>
                </w:p>
              </w:tc>
              <w:tc>
                <w:tcPr>
                  <w:tcW w:w="373" w:type="pct"/>
                  <w:vAlign w:val="center"/>
                </w:tcPr>
                <w:p w14:paraId="38FFDE8E" w14:textId="1CC044EE" w:rsidR="00D12217" w:rsidRDefault="00B53B29" w:rsidP="009A1DA8">
                  <w:pPr>
                    <w:pStyle w:val="TableUnitsRow"/>
                    <w:jc w:val="left"/>
                  </w:pPr>
                  <w:r>
                    <w:rPr>
                      <w:rFonts w:cs="Arial"/>
                      <w:color w:val="000000"/>
                      <w:szCs w:val="18"/>
                    </w:rPr>
                    <w:t>‘</w:t>
                  </w:r>
                  <w:r w:rsidR="00D12217">
                    <w:rPr>
                      <w:rFonts w:cs="Arial"/>
                      <w:color w:val="000000"/>
                      <w:szCs w:val="18"/>
                    </w:rPr>
                    <w:t>000</w:t>
                  </w:r>
                </w:p>
              </w:tc>
              <w:tc>
                <w:tcPr>
                  <w:tcW w:w="401" w:type="pct"/>
                  <w:vAlign w:val="center"/>
                </w:tcPr>
                <w:p w14:paraId="38FFDE8F" w14:textId="77777777" w:rsidR="00D12217" w:rsidRDefault="00D12217" w:rsidP="009A1DA8">
                  <w:pPr>
                    <w:pStyle w:val="TableUnitsRow"/>
                  </w:pPr>
                  <w:r>
                    <w:rPr>
                      <w:rFonts w:cs="Arial"/>
                      <w:color w:val="000000"/>
                      <w:szCs w:val="18"/>
                    </w:rPr>
                    <w:t xml:space="preserve"> 146</w:t>
                  </w:r>
                </w:p>
              </w:tc>
              <w:tc>
                <w:tcPr>
                  <w:tcW w:w="401" w:type="pct"/>
                  <w:vAlign w:val="center"/>
                </w:tcPr>
                <w:p w14:paraId="38FFDE90" w14:textId="77777777" w:rsidR="00D12217" w:rsidRDefault="00D12217" w:rsidP="009A1DA8">
                  <w:pPr>
                    <w:pStyle w:val="TableUnitsRow"/>
                  </w:pPr>
                  <w:r>
                    <w:t>936</w:t>
                  </w:r>
                </w:p>
              </w:tc>
              <w:tc>
                <w:tcPr>
                  <w:tcW w:w="471" w:type="pct"/>
                  <w:vAlign w:val="center"/>
                </w:tcPr>
                <w:p w14:paraId="38FFDE91" w14:textId="77777777" w:rsidR="00D12217" w:rsidRDefault="00D12217" w:rsidP="009A1DA8">
                  <w:pPr>
                    <w:pStyle w:val="TableUnitsRow"/>
                  </w:pPr>
                  <w:r>
                    <w:t>1 827</w:t>
                  </w:r>
                </w:p>
              </w:tc>
              <w:tc>
                <w:tcPr>
                  <w:tcW w:w="471" w:type="pct"/>
                  <w:vAlign w:val="center"/>
                </w:tcPr>
                <w:p w14:paraId="38FFDE92" w14:textId="77777777" w:rsidR="00D12217" w:rsidRDefault="00D12217" w:rsidP="009A1DA8">
                  <w:pPr>
                    <w:pStyle w:val="TableUnitsRow"/>
                  </w:pPr>
                  <w:r>
                    <w:t>3 725</w:t>
                  </w:r>
                </w:p>
              </w:tc>
            </w:tr>
            <w:tr w:rsidR="00D12217" w14:paraId="38FFDE9A" w14:textId="77777777" w:rsidTr="00D12217">
              <w:tc>
                <w:tcPr>
                  <w:tcW w:w="2884" w:type="pct"/>
                  <w:vAlign w:val="center"/>
                </w:tcPr>
                <w:p w14:paraId="38FFDE94" w14:textId="1B63FE3F" w:rsidR="00D12217" w:rsidRDefault="00D12217" w:rsidP="00A91125">
                  <w:pPr>
                    <w:pStyle w:val="TableUnitsRow"/>
                    <w:jc w:val="left"/>
                  </w:pPr>
                  <w:r>
                    <w:rPr>
                      <w:rFonts w:cs="Arial"/>
                      <w:color w:val="000000"/>
                      <w:szCs w:val="18"/>
                    </w:rPr>
                    <w:t xml:space="preserve"> National population</w:t>
                  </w:r>
                  <w:r w:rsidR="002B1A26">
                    <w:rPr>
                      <w:rFonts w:cs="Arial"/>
                      <w:color w:val="000000"/>
                      <w:szCs w:val="18"/>
                    </w:rPr>
                    <w:t xml:space="preserve"> aged 15+</w:t>
                  </w:r>
                  <w:r>
                    <w:rPr>
                      <w:rFonts w:cs="Arial"/>
                      <w:color w:val="000000"/>
                      <w:szCs w:val="18"/>
                    </w:rPr>
                    <w:t xml:space="preserve"> in poor or fair health</w:t>
                  </w:r>
                  <w:r w:rsidRPr="008E77FE">
                    <w:rPr>
                      <w:rStyle w:val="NoteLabel"/>
                    </w:rPr>
                    <w:t>a</w:t>
                  </w:r>
                </w:p>
              </w:tc>
              <w:tc>
                <w:tcPr>
                  <w:tcW w:w="373" w:type="pct"/>
                  <w:vAlign w:val="center"/>
                </w:tcPr>
                <w:p w14:paraId="38FFDE95" w14:textId="6D8950D4" w:rsidR="00D12217" w:rsidRDefault="00B53B29" w:rsidP="009A1DA8">
                  <w:pPr>
                    <w:pStyle w:val="TableUnitsRow"/>
                    <w:jc w:val="left"/>
                  </w:pPr>
                  <w:r>
                    <w:rPr>
                      <w:rFonts w:cs="Arial"/>
                      <w:color w:val="000000"/>
                      <w:szCs w:val="18"/>
                    </w:rPr>
                    <w:t>‘</w:t>
                  </w:r>
                  <w:r w:rsidR="00D12217">
                    <w:rPr>
                      <w:rFonts w:cs="Arial"/>
                      <w:color w:val="000000"/>
                      <w:szCs w:val="18"/>
                    </w:rPr>
                    <w:t>000</w:t>
                  </w:r>
                </w:p>
              </w:tc>
              <w:tc>
                <w:tcPr>
                  <w:tcW w:w="401" w:type="pct"/>
                  <w:vAlign w:val="center"/>
                </w:tcPr>
                <w:p w14:paraId="38FFDE96" w14:textId="77777777" w:rsidR="00D12217" w:rsidRDefault="00D12217" w:rsidP="009A1DA8">
                  <w:pPr>
                    <w:pStyle w:val="TableUnitsRow"/>
                  </w:pPr>
                  <w:r>
                    <w:rPr>
                      <w:rFonts w:cs="Arial"/>
                      <w:color w:val="000000"/>
                      <w:szCs w:val="18"/>
                    </w:rPr>
                    <w:t>2 917</w:t>
                  </w:r>
                </w:p>
              </w:tc>
              <w:tc>
                <w:tcPr>
                  <w:tcW w:w="401" w:type="pct"/>
                  <w:vAlign w:val="center"/>
                </w:tcPr>
                <w:p w14:paraId="38FFDE97" w14:textId="77777777" w:rsidR="00D12217" w:rsidRDefault="00D12217" w:rsidP="009A1DA8">
                  <w:pPr>
                    <w:pStyle w:val="TableUnitsRow"/>
                  </w:pPr>
                  <w:r>
                    <w:t>3 122</w:t>
                  </w:r>
                </w:p>
              </w:tc>
              <w:tc>
                <w:tcPr>
                  <w:tcW w:w="471" w:type="pct"/>
                  <w:vAlign w:val="center"/>
                </w:tcPr>
                <w:p w14:paraId="38FFDE98" w14:textId="77777777" w:rsidR="00D12217" w:rsidRDefault="00D12217" w:rsidP="009A1DA8">
                  <w:pPr>
                    <w:pStyle w:val="TableUnitsRow"/>
                  </w:pPr>
                  <w:r>
                    <w:t>3 322</w:t>
                  </w:r>
                </w:p>
              </w:tc>
              <w:tc>
                <w:tcPr>
                  <w:tcW w:w="471" w:type="pct"/>
                  <w:vAlign w:val="center"/>
                </w:tcPr>
                <w:p w14:paraId="38FFDE99" w14:textId="77777777" w:rsidR="00D12217" w:rsidRDefault="00D12217" w:rsidP="009A1DA8">
                  <w:pPr>
                    <w:pStyle w:val="TableUnitsRow"/>
                  </w:pPr>
                  <w:r>
                    <w:t>3 725</w:t>
                  </w:r>
                </w:p>
              </w:tc>
            </w:tr>
            <w:tr w:rsidR="00D12217" w14:paraId="38FFDEA1" w14:textId="77777777" w:rsidTr="00D12217">
              <w:tc>
                <w:tcPr>
                  <w:tcW w:w="2884" w:type="pct"/>
                  <w:vAlign w:val="center"/>
                </w:tcPr>
                <w:p w14:paraId="38FFDE9B" w14:textId="77777777" w:rsidR="00D12217" w:rsidRDefault="00D12217" w:rsidP="009A5552">
                  <w:pPr>
                    <w:pStyle w:val="TableUnitsRow"/>
                    <w:jc w:val="left"/>
                  </w:pPr>
                  <w:r>
                    <w:rPr>
                      <w:rFonts w:cs="Arial"/>
                      <w:color w:val="000000"/>
                      <w:szCs w:val="18"/>
                    </w:rPr>
                    <w:t xml:space="preserve"> Adoption rate (share of LHNs)</w:t>
                  </w:r>
                </w:p>
              </w:tc>
              <w:tc>
                <w:tcPr>
                  <w:tcW w:w="373" w:type="pct"/>
                  <w:vAlign w:val="center"/>
                </w:tcPr>
                <w:p w14:paraId="38FFDE9C" w14:textId="77777777" w:rsidR="00D12217" w:rsidRDefault="00D12217" w:rsidP="009A1DA8">
                  <w:pPr>
                    <w:pStyle w:val="TableUnitsRow"/>
                    <w:jc w:val="left"/>
                  </w:pPr>
                  <w:r>
                    <w:rPr>
                      <w:rFonts w:cs="Arial"/>
                      <w:color w:val="000000"/>
                      <w:szCs w:val="18"/>
                    </w:rPr>
                    <w:t>%</w:t>
                  </w:r>
                </w:p>
              </w:tc>
              <w:tc>
                <w:tcPr>
                  <w:tcW w:w="401" w:type="pct"/>
                  <w:vAlign w:val="center"/>
                </w:tcPr>
                <w:p w14:paraId="38FFDE9D" w14:textId="77777777" w:rsidR="00D12217" w:rsidRDefault="00D12217" w:rsidP="009A1DA8">
                  <w:pPr>
                    <w:pStyle w:val="TableUnitsRow"/>
                  </w:pPr>
                  <w:r>
                    <w:rPr>
                      <w:rFonts w:cs="Arial"/>
                      <w:color w:val="000000"/>
                      <w:szCs w:val="18"/>
                    </w:rPr>
                    <w:t xml:space="preserve"> 5</w:t>
                  </w:r>
                </w:p>
              </w:tc>
              <w:tc>
                <w:tcPr>
                  <w:tcW w:w="401" w:type="pct"/>
                  <w:vAlign w:val="center"/>
                </w:tcPr>
                <w:p w14:paraId="38FFDE9E" w14:textId="77777777" w:rsidR="00D12217" w:rsidRDefault="00D12217" w:rsidP="009A1DA8">
                  <w:pPr>
                    <w:pStyle w:val="TableUnitsRow"/>
                  </w:pPr>
                  <w:r>
                    <w:t>30</w:t>
                  </w:r>
                </w:p>
              </w:tc>
              <w:tc>
                <w:tcPr>
                  <w:tcW w:w="471" w:type="pct"/>
                  <w:vAlign w:val="center"/>
                </w:tcPr>
                <w:p w14:paraId="38FFDE9F" w14:textId="77777777" w:rsidR="00D12217" w:rsidRDefault="00D12217" w:rsidP="009A1DA8">
                  <w:pPr>
                    <w:pStyle w:val="TableUnitsRow"/>
                  </w:pPr>
                  <w:r>
                    <w:t>55</w:t>
                  </w:r>
                </w:p>
              </w:tc>
              <w:tc>
                <w:tcPr>
                  <w:tcW w:w="471" w:type="pct"/>
                  <w:vAlign w:val="center"/>
                </w:tcPr>
                <w:p w14:paraId="38FFDEA0" w14:textId="77777777" w:rsidR="00D12217" w:rsidRDefault="00D12217" w:rsidP="009A1DA8">
                  <w:pPr>
                    <w:pStyle w:val="TableUnitsRow"/>
                  </w:pPr>
                  <w:r>
                    <w:t>100</w:t>
                  </w:r>
                </w:p>
              </w:tc>
            </w:tr>
            <w:tr w:rsidR="00D12217" w14:paraId="38FFDEA8" w14:textId="77777777" w:rsidTr="00D12217">
              <w:tc>
                <w:tcPr>
                  <w:tcW w:w="2884" w:type="pct"/>
                  <w:vAlign w:val="center"/>
                </w:tcPr>
                <w:p w14:paraId="38FFDEA2" w14:textId="77777777" w:rsidR="00D12217" w:rsidRDefault="00D12217" w:rsidP="00A91125">
                  <w:pPr>
                    <w:pStyle w:val="TableUnitsRow"/>
                    <w:jc w:val="left"/>
                  </w:pPr>
                  <w:r>
                    <w:rPr>
                      <w:rFonts w:cs="Arial"/>
                      <w:color w:val="000000"/>
                      <w:szCs w:val="18"/>
                    </w:rPr>
                    <w:t>Hospital recurrent spending dividend per patient</w:t>
                  </w:r>
                  <w:r>
                    <w:rPr>
                      <w:rStyle w:val="NoteLabel"/>
                    </w:rPr>
                    <w:t>b</w:t>
                  </w:r>
                </w:p>
              </w:tc>
              <w:tc>
                <w:tcPr>
                  <w:tcW w:w="373" w:type="pct"/>
                  <w:vAlign w:val="center"/>
                </w:tcPr>
                <w:p w14:paraId="38FFDEA3" w14:textId="77777777" w:rsidR="00D12217" w:rsidRDefault="00D12217" w:rsidP="004E3E1A">
                  <w:pPr>
                    <w:pStyle w:val="TableUnitsRow"/>
                    <w:jc w:val="left"/>
                  </w:pPr>
                  <w:r>
                    <w:rPr>
                      <w:rFonts w:cs="Arial"/>
                      <w:color w:val="000000"/>
                      <w:szCs w:val="18"/>
                    </w:rPr>
                    <w:t>$</w:t>
                  </w:r>
                </w:p>
              </w:tc>
              <w:tc>
                <w:tcPr>
                  <w:tcW w:w="401" w:type="pct"/>
                </w:tcPr>
                <w:p w14:paraId="38FFDEA4" w14:textId="77777777" w:rsidR="00D12217" w:rsidRDefault="00D12217" w:rsidP="004E3E1A">
                  <w:pPr>
                    <w:pStyle w:val="TableUnitsRow"/>
                  </w:pPr>
                  <w:r>
                    <w:t>2 482</w:t>
                  </w:r>
                </w:p>
              </w:tc>
              <w:tc>
                <w:tcPr>
                  <w:tcW w:w="401" w:type="pct"/>
                </w:tcPr>
                <w:p w14:paraId="38FFDEA5" w14:textId="77777777" w:rsidR="00D12217" w:rsidRDefault="00D12217" w:rsidP="004E3E1A">
                  <w:pPr>
                    <w:pStyle w:val="TableUnitsRow"/>
                  </w:pPr>
                  <w:r>
                    <w:t>2 040</w:t>
                  </w:r>
                </w:p>
              </w:tc>
              <w:tc>
                <w:tcPr>
                  <w:tcW w:w="471" w:type="pct"/>
                </w:tcPr>
                <w:p w14:paraId="38FFDEA6" w14:textId="77777777" w:rsidR="00D12217" w:rsidRDefault="00D12217" w:rsidP="004E3E1A">
                  <w:pPr>
                    <w:pStyle w:val="TableUnitsRow"/>
                  </w:pPr>
                  <w:r>
                    <w:t>1 908</w:t>
                  </w:r>
                </w:p>
              </w:tc>
              <w:tc>
                <w:tcPr>
                  <w:tcW w:w="471" w:type="pct"/>
                </w:tcPr>
                <w:p w14:paraId="38FFDEA7" w14:textId="77777777" w:rsidR="00D12217" w:rsidRDefault="00D12217" w:rsidP="004E3E1A">
                  <w:pPr>
                    <w:pStyle w:val="TableUnitsRow"/>
                  </w:pPr>
                  <w:r>
                    <w:t>1 778</w:t>
                  </w:r>
                </w:p>
              </w:tc>
            </w:tr>
            <w:tr w:rsidR="00D12217" w14:paraId="38FFDEAF" w14:textId="77777777" w:rsidTr="00D12217">
              <w:tc>
                <w:tcPr>
                  <w:tcW w:w="2884" w:type="pct"/>
                  <w:vAlign w:val="center"/>
                </w:tcPr>
                <w:p w14:paraId="38FFDEA9" w14:textId="77777777" w:rsidR="00D12217" w:rsidRDefault="00D12217" w:rsidP="007A38E8">
                  <w:pPr>
                    <w:pStyle w:val="TableUnitsRow"/>
                    <w:jc w:val="left"/>
                  </w:pPr>
                  <w:r>
                    <w:rPr>
                      <w:rFonts w:cs="Arial"/>
                      <w:color w:val="000000"/>
                      <w:szCs w:val="18"/>
                    </w:rPr>
                    <w:t xml:space="preserve"> Averted hospital recurrent cost per patient</w:t>
                  </w:r>
                </w:p>
              </w:tc>
              <w:tc>
                <w:tcPr>
                  <w:tcW w:w="373" w:type="pct"/>
                  <w:vAlign w:val="center"/>
                </w:tcPr>
                <w:p w14:paraId="38FFDEAA" w14:textId="77777777" w:rsidR="00D12217" w:rsidRDefault="00D12217" w:rsidP="007A38E8">
                  <w:pPr>
                    <w:pStyle w:val="TableUnitsRow"/>
                    <w:jc w:val="left"/>
                  </w:pPr>
                  <w:r>
                    <w:rPr>
                      <w:rFonts w:cs="Arial"/>
                      <w:color w:val="000000"/>
                      <w:szCs w:val="18"/>
                    </w:rPr>
                    <w:t>$</w:t>
                  </w:r>
                </w:p>
              </w:tc>
              <w:tc>
                <w:tcPr>
                  <w:tcW w:w="401" w:type="pct"/>
                </w:tcPr>
                <w:p w14:paraId="38FFDEAB" w14:textId="77777777" w:rsidR="00D12217" w:rsidRDefault="00D12217" w:rsidP="007A38E8">
                  <w:pPr>
                    <w:pStyle w:val="TableUnitsRow"/>
                  </w:pPr>
                  <w:r>
                    <w:t>3 970</w:t>
                  </w:r>
                </w:p>
              </w:tc>
              <w:tc>
                <w:tcPr>
                  <w:tcW w:w="401" w:type="pct"/>
                </w:tcPr>
                <w:p w14:paraId="38FFDEAC" w14:textId="77777777" w:rsidR="00D12217" w:rsidRDefault="00D12217" w:rsidP="007A38E8">
                  <w:pPr>
                    <w:pStyle w:val="TableUnitsRow"/>
                  </w:pPr>
                  <w:r>
                    <w:t>3 707</w:t>
                  </w:r>
                </w:p>
              </w:tc>
              <w:tc>
                <w:tcPr>
                  <w:tcW w:w="471" w:type="pct"/>
                </w:tcPr>
                <w:p w14:paraId="38FFDEAD" w14:textId="77777777" w:rsidR="00D12217" w:rsidRDefault="00D12217" w:rsidP="007A38E8">
                  <w:pPr>
                    <w:pStyle w:val="TableUnitsRow"/>
                  </w:pPr>
                  <w:r>
                    <w:t>3 776</w:t>
                  </w:r>
                </w:p>
              </w:tc>
              <w:tc>
                <w:tcPr>
                  <w:tcW w:w="471" w:type="pct"/>
                </w:tcPr>
                <w:p w14:paraId="38FFDEAE" w14:textId="77777777" w:rsidR="00D12217" w:rsidRDefault="00D12217" w:rsidP="007A38E8">
                  <w:pPr>
                    <w:pStyle w:val="TableUnitsRow"/>
                  </w:pPr>
                  <w:r>
                    <w:t>4 122</w:t>
                  </w:r>
                </w:p>
              </w:tc>
            </w:tr>
            <w:tr w:rsidR="00D12217" w14:paraId="38FFDEB6" w14:textId="77777777" w:rsidTr="00D12217">
              <w:tc>
                <w:tcPr>
                  <w:tcW w:w="2884" w:type="pct"/>
                  <w:vAlign w:val="center"/>
                </w:tcPr>
                <w:p w14:paraId="38FFDEB0" w14:textId="77777777" w:rsidR="00D12217" w:rsidRDefault="00D12217" w:rsidP="00B60EC8">
                  <w:pPr>
                    <w:pStyle w:val="TableUnitsRow"/>
                    <w:jc w:val="left"/>
                  </w:pPr>
                  <w:r>
                    <w:rPr>
                      <w:rFonts w:cs="Arial"/>
                      <w:color w:val="000000"/>
                      <w:szCs w:val="18"/>
                    </w:rPr>
                    <w:t xml:space="preserve">   Hospital recurrent cost per patient</w:t>
                  </w:r>
                </w:p>
              </w:tc>
              <w:tc>
                <w:tcPr>
                  <w:tcW w:w="373" w:type="pct"/>
                  <w:vAlign w:val="center"/>
                </w:tcPr>
                <w:p w14:paraId="38FFDEB1" w14:textId="77777777" w:rsidR="00D12217" w:rsidRDefault="00D12217" w:rsidP="00B60EC8">
                  <w:pPr>
                    <w:pStyle w:val="TableUnitsRow"/>
                    <w:jc w:val="left"/>
                  </w:pPr>
                  <w:r>
                    <w:rPr>
                      <w:rFonts w:cs="Arial"/>
                      <w:color w:val="000000"/>
                      <w:szCs w:val="18"/>
                    </w:rPr>
                    <w:t>$</w:t>
                  </w:r>
                </w:p>
              </w:tc>
              <w:tc>
                <w:tcPr>
                  <w:tcW w:w="401" w:type="pct"/>
                </w:tcPr>
                <w:p w14:paraId="38FFDEB2" w14:textId="77777777" w:rsidR="00D12217" w:rsidRDefault="00D12217" w:rsidP="00B60EC8">
                  <w:pPr>
                    <w:pStyle w:val="TableUnitsRow"/>
                  </w:pPr>
                  <w:r>
                    <w:t>8 823</w:t>
                  </w:r>
                </w:p>
              </w:tc>
              <w:tc>
                <w:tcPr>
                  <w:tcW w:w="401" w:type="pct"/>
                </w:tcPr>
                <w:p w14:paraId="38FFDEB3" w14:textId="77777777" w:rsidR="00D12217" w:rsidRDefault="00D12217" w:rsidP="00B60EC8">
                  <w:pPr>
                    <w:pStyle w:val="TableUnitsRow"/>
                  </w:pPr>
                  <w:r>
                    <w:t>9 885</w:t>
                  </w:r>
                </w:p>
              </w:tc>
              <w:tc>
                <w:tcPr>
                  <w:tcW w:w="471" w:type="pct"/>
                </w:tcPr>
                <w:p w14:paraId="38FFDEB4" w14:textId="77777777" w:rsidR="00D12217" w:rsidRDefault="00D12217" w:rsidP="00B60EC8">
                  <w:pPr>
                    <w:pStyle w:val="TableUnitsRow"/>
                  </w:pPr>
                  <w:r>
                    <w:t>11 075</w:t>
                  </w:r>
                </w:p>
              </w:tc>
              <w:tc>
                <w:tcPr>
                  <w:tcW w:w="471" w:type="pct"/>
                </w:tcPr>
                <w:p w14:paraId="38FFDEB5" w14:textId="77777777" w:rsidR="00D12217" w:rsidRDefault="00D12217" w:rsidP="00B60EC8">
                  <w:pPr>
                    <w:pStyle w:val="TableUnitsRow"/>
                  </w:pPr>
                  <w:r>
                    <w:t>13 903</w:t>
                  </w:r>
                </w:p>
              </w:tc>
            </w:tr>
            <w:tr w:rsidR="00D12217" w14:paraId="38FFDEBD" w14:textId="77777777" w:rsidTr="00D12217">
              <w:tc>
                <w:tcPr>
                  <w:tcW w:w="2884" w:type="pct"/>
                  <w:vAlign w:val="center"/>
                </w:tcPr>
                <w:p w14:paraId="38FFDEB7" w14:textId="77777777" w:rsidR="00D12217" w:rsidRDefault="00D12217" w:rsidP="00B60EC8">
                  <w:pPr>
                    <w:pStyle w:val="TableBodyText"/>
                    <w:jc w:val="left"/>
                  </w:pPr>
                  <w:r>
                    <w:rPr>
                      <w:rFonts w:cs="Arial"/>
                      <w:color w:val="000000"/>
                      <w:szCs w:val="18"/>
                    </w:rPr>
                    <w:t xml:space="preserve">   Effectiveness of implementation by LHN/PHN</w:t>
                  </w:r>
                </w:p>
              </w:tc>
              <w:tc>
                <w:tcPr>
                  <w:tcW w:w="373" w:type="pct"/>
                  <w:vAlign w:val="center"/>
                </w:tcPr>
                <w:p w14:paraId="38FFDEB8" w14:textId="77777777" w:rsidR="00D12217" w:rsidRDefault="00D12217" w:rsidP="00B60EC8">
                  <w:pPr>
                    <w:pStyle w:val="TableBodyText"/>
                    <w:jc w:val="left"/>
                  </w:pPr>
                  <w:r>
                    <w:rPr>
                      <w:rFonts w:cs="Arial"/>
                      <w:color w:val="000000"/>
                      <w:szCs w:val="18"/>
                    </w:rPr>
                    <w:t>%</w:t>
                  </w:r>
                </w:p>
              </w:tc>
              <w:tc>
                <w:tcPr>
                  <w:tcW w:w="401" w:type="pct"/>
                </w:tcPr>
                <w:p w14:paraId="38FFDEB9" w14:textId="77777777" w:rsidR="00D12217" w:rsidRDefault="00D12217" w:rsidP="00B60EC8">
                  <w:pPr>
                    <w:pStyle w:val="TableBodyText"/>
                  </w:pPr>
                  <w:r>
                    <w:t>45</w:t>
                  </w:r>
                </w:p>
              </w:tc>
              <w:tc>
                <w:tcPr>
                  <w:tcW w:w="401" w:type="pct"/>
                </w:tcPr>
                <w:p w14:paraId="38FFDEBA" w14:textId="77777777" w:rsidR="00D12217" w:rsidRDefault="00D12217" w:rsidP="00B60EC8">
                  <w:pPr>
                    <w:pStyle w:val="TableBodyText"/>
                  </w:pPr>
                  <w:r>
                    <w:t>38</w:t>
                  </w:r>
                </w:p>
              </w:tc>
              <w:tc>
                <w:tcPr>
                  <w:tcW w:w="471" w:type="pct"/>
                </w:tcPr>
                <w:p w14:paraId="38FFDEBB" w14:textId="77777777" w:rsidR="00D12217" w:rsidRDefault="00D12217" w:rsidP="00B60EC8">
                  <w:pPr>
                    <w:pStyle w:val="TableBodyText"/>
                  </w:pPr>
                  <w:r>
                    <w:t>34</w:t>
                  </w:r>
                </w:p>
              </w:tc>
              <w:tc>
                <w:tcPr>
                  <w:tcW w:w="471" w:type="pct"/>
                </w:tcPr>
                <w:p w14:paraId="38FFDEBC" w14:textId="77777777" w:rsidR="00D12217" w:rsidRDefault="00D12217" w:rsidP="00B60EC8">
                  <w:pPr>
                    <w:pStyle w:val="TableBodyText"/>
                  </w:pPr>
                  <w:r>
                    <w:t>30</w:t>
                  </w:r>
                </w:p>
              </w:tc>
            </w:tr>
            <w:tr w:rsidR="00D12217" w14:paraId="38FFDEC4" w14:textId="77777777" w:rsidTr="00D12217">
              <w:tc>
                <w:tcPr>
                  <w:tcW w:w="2884" w:type="pct"/>
                  <w:tcBorders>
                    <w:bottom w:val="single" w:sz="6" w:space="0" w:color="BFBFBF"/>
                  </w:tcBorders>
                  <w:vAlign w:val="center"/>
                </w:tcPr>
                <w:p w14:paraId="38FFDEBE" w14:textId="77777777" w:rsidR="00D12217" w:rsidRDefault="00D12217" w:rsidP="00E34255">
                  <w:pPr>
                    <w:pStyle w:val="TableBodyText"/>
                    <w:jc w:val="left"/>
                  </w:pPr>
                  <w:r>
                    <w:rPr>
                      <w:rFonts w:cs="Arial"/>
                      <w:color w:val="000000"/>
                      <w:szCs w:val="18"/>
                    </w:rPr>
                    <w:t xml:space="preserve"> Cost of integrated care per patient</w:t>
                  </w:r>
                </w:p>
              </w:tc>
              <w:tc>
                <w:tcPr>
                  <w:tcW w:w="373" w:type="pct"/>
                  <w:tcBorders>
                    <w:bottom w:val="single" w:sz="6" w:space="0" w:color="BFBFBF"/>
                  </w:tcBorders>
                  <w:vAlign w:val="center"/>
                </w:tcPr>
                <w:p w14:paraId="38FFDEBF" w14:textId="77777777" w:rsidR="00D12217" w:rsidRDefault="00D12217" w:rsidP="009A1DA8">
                  <w:pPr>
                    <w:pStyle w:val="TableBodyText"/>
                    <w:jc w:val="left"/>
                  </w:pPr>
                  <w:r>
                    <w:rPr>
                      <w:rFonts w:cs="Arial"/>
                      <w:color w:val="000000"/>
                      <w:szCs w:val="18"/>
                    </w:rPr>
                    <w:t>$</w:t>
                  </w:r>
                </w:p>
              </w:tc>
              <w:tc>
                <w:tcPr>
                  <w:tcW w:w="401" w:type="pct"/>
                  <w:tcBorders>
                    <w:bottom w:val="single" w:sz="6" w:space="0" w:color="BFBFBF"/>
                  </w:tcBorders>
                  <w:vAlign w:val="center"/>
                </w:tcPr>
                <w:p w14:paraId="38FFDEC0" w14:textId="77777777" w:rsidR="00D12217" w:rsidRDefault="00D12217" w:rsidP="009A1DA8">
                  <w:pPr>
                    <w:pStyle w:val="TableBodyText"/>
                  </w:pPr>
                  <w:r>
                    <w:t>1 488</w:t>
                  </w:r>
                </w:p>
              </w:tc>
              <w:tc>
                <w:tcPr>
                  <w:tcW w:w="401" w:type="pct"/>
                  <w:tcBorders>
                    <w:bottom w:val="single" w:sz="6" w:space="0" w:color="BFBFBF"/>
                  </w:tcBorders>
                  <w:vAlign w:val="center"/>
                </w:tcPr>
                <w:p w14:paraId="38FFDEC1" w14:textId="77777777" w:rsidR="00D12217" w:rsidRDefault="00D12217" w:rsidP="009A1DA8">
                  <w:pPr>
                    <w:pStyle w:val="TableBodyText"/>
                  </w:pPr>
                  <w:r>
                    <w:t>1 667</w:t>
                  </w:r>
                </w:p>
              </w:tc>
              <w:tc>
                <w:tcPr>
                  <w:tcW w:w="471" w:type="pct"/>
                  <w:tcBorders>
                    <w:bottom w:val="single" w:sz="6" w:space="0" w:color="BFBFBF"/>
                  </w:tcBorders>
                  <w:vAlign w:val="center"/>
                </w:tcPr>
                <w:p w14:paraId="38FFDEC2" w14:textId="77777777" w:rsidR="00D12217" w:rsidRDefault="00D12217" w:rsidP="009A1DA8">
                  <w:pPr>
                    <w:pStyle w:val="TableBodyText"/>
                  </w:pPr>
                  <w:r>
                    <w:t>1 868</w:t>
                  </w:r>
                </w:p>
              </w:tc>
              <w:tc>
                <w:tcPr>
                  <w:tcW w:w="471" w:type="pct"/>
                  <w:tcBorders>
                    <w:bottom w:val="single" w:sz="6" w:space="0" w:color="BFBFBF"/>
                  </w:tcBorders>
                  <w:vAlign w:val="center"/>
                </w:tcPr>
                <w:p w14:paraId="38FFDEC3" w14:textId="77777777" w:rsidR="00D12217" w:rsidRDefault="00D12217" w:rsidP="009A1DA8">
                  <w:pPr>
                    <w:pStyle w:val="TableBodyText"/>
                  </w:pPr>
                  <w:r>
                    <w:t>2 345</w:t>
                  </w:r>
                </w:p>
              </w:tc>
            </w:tr>
          </w:tbl>
          <w:p w14:paraId="38FFDEC5" w14:textId="77777777" w:rsidR="00DF39BF" w:rsidRDefault="00DF39BF" w:rsidP="009A1DA8">
            <w:pPr>
              <w:pStyle w:val="Box"/>
            </w:pPr>
          </w:p>
        </w:tc>
      </w:tr>
      <w:tr w:rsidR="00DF39BF" w14:paraId="38FFDEC8" w14:textId="77777777" w:rsidTr="009A1DA8">
        <w:tc>
          <w:tcPr>
            <w:tcW w:w="5000" w:type="pct"/>
            <w:tcBorders>
              <w:top w:val="nil"/>
              <w:left w:val="nil"/>
              <w:bottom w:val="nil"/>
              <w:right w:val="nil"/>
            </w:tcBorders>
            <w:shd w:val="clear" w:color="auto" w:fill="auto"/>
          </w:tcPr>
          <w:p w14:paraId="38FFDEC7" w14:textId="77777777" w:rsidR="00DF39BF" w:rsidRDefault="00DF39BF" w:rsidP="00A91125">
            <w:pPr>
              <w:pStyle w:val="Note"/>
              <w:rPr>
                <w:i/>
              </w:rPr>
            </w:pPr>
            <w:r w:rsidRPr="008E77FE">
              <w:rPr>
                <w:rStyle w:val="NoteLabel"/>
              </w:rPr>
              <w:t>a</w:t>
            </w:r>
            <w:r w:rsidR="00A91125">
              <w:t> </w:t>
            </w:r>
            <w:r w:rsidR="007F3BE1">
              <w:t>The proportion of Australia’s popul</w:t>
            </w:r>
            <w:r w:rsidR="00E910EF">
              <w:t>ation in poor or fair health (15</w:t>
            </w:r>
            <w:r w:rsidR="007F3BE1">
              <w:t> per cent) is assumed to remain equal to that reported in the ABS National Health Survey 2014</w:t>
            </w:r>
            <w:r w:rsidR="007F3BE1">
              <w:noBreakHyphen/>
              <w:t>15.</w:t>
            </w:r>
            <w:r>
              <w:t xml:space="preserve"> </w:t>
            </w:r>
            <w:r>
              <w:rPr>
                <w:rStyle w:val="NoteLabel"/>
              </w:rPr>
              <w:t>b</w:t>
            </w:r>
            <w:r w:rsidR="00A91125">
              <w:t> </w:t>
            </w:r>
            <w:r w:rsidR="007F3BE1">
              <w:t>This is estimated for patients who rely heavily on health services because of their poor health, represented in these calculations by those reported to be in poor or fair health.</w:t>
            </w:r>
          </w:p>
        </w:tc>
      </w:tr>
      <w:tr w:rsidR="00DF39BF" w14:paraId="38FFDECA" w14:textId="77777777" w:rsidTr="009A1DA8">
        <w:tc>
          <w:tcPr>
            <w:tcW w:w="5000" w:type="pct"/>
            <w:tcBorders>
              <w:top w:val="nil"/>
              <w:left w:val="nil"/>
              <w:bottom w:val="nil"/>
              <w:right w:val="nil"/>
            </w:tcBorders>
            <w:shd w:val="clear" w:color="auto" w:fill="auto"/>
          </w:tcPr>
          <w:p w14:paraId="38FFDEC9" w14:textId="77777777" w:rsidR="00DF39BF" w:rsidRDefault="00DF39BF" w:rsidP="00E910EF">
            <w:pPr>
              <w:pStyle w:val="Source"/>
            </w:pPr>
            <w:r>
              <w:rPr>
                <w:i/>
              </w:rPr>
              <w:t>Source</w:t>
            </w:r>
            <w:r w:rsidRPr="00167F06">
              <w:t xml:space="preserve">: </w:t>
            </w:r>
            <w:r w:rsidR="00A321BD">
              <w:t xml:space="preserve">Productivity </w:t>
            </w:r>
            <w:r w:rsidR="00E910EF">
              <w:t>Commission estimates</w:t>
            </w:r>
            <w:r>
              <w:t>.</w:t>
            </w:r>
          </w:p>
        </w:tc>
      </w:tr>
      <w:tr w:rsidR="00DF39BF" w14:paraId="38FFDECC" w14:textId="77777777" w:rsidTr="009A1DA8">
        <w:tc>
          <w:tcPr>
            <w:tcW w:w="5000" w:type="pct"/>
            <w:tcBorders>
              <w:top w:val="nil"/>
              <w:left w:val="nil"/>
              <w:bottom w:val="single" w:sz="6" w:space="0" w:color="78A22F"/>
              <w:right w:val="nil"/>
            </w:tcBorders>
            <w:shd w:val="clear" w:color="auto" w:fill="auto"/>
          </w:tcPr>
          <w:p w14:paraId="38FFDECB" w14:textId="77777777" w:rsidR="00DF39BF" w:rsidRDefault="00DF39BF" w:rsidP="009A1DA8">
            <w:pPr>
              <w:pStyle w:val="Box"/>
              <w:spacing w:before="0" w:line="120" w:lineRule="exact"/>
            </w:pPr>
          </w:p>
        </w:tc>
      </w:tr>
      <w:tr w:rsidR="00DF39BF" w:rsidRPr="000863A5" w14:paraId="38FFDECE" w14:textId="77777777" w:rsidTr="009A1DA8">
        <w:tc>
          <w:tcPr>
            <w:tcW w:w="5000" w:type="pct"/>
            <w:tcBorders>
              <w:top w:val="single" w:sz="6" w:space="0" w:color="78A22F"/>
              <w:left w:val="nil"/>
              <w:bottom w:val="nil"/>
              <w:right w:val="nil"/>
            </w:tcBorders>
          </w:tcPr>
          <w:p w14:paraId="38FFDECD" w14:textId="77777777" w:rsidR="00DF39BF" w:rsidRPr="00626D32" w:rsidRDefault="00DF39BF" w:rsidP="009A1DA8">
            <w:pPr>
              <w:pStyle w:val="BoxSpaceBelow"/>
            </w:pPr>
          </w:p>
        </w:tc>
      </w:tr>
    </w:tbl>
    <w:p w14:paraId="30FD1159" w14:textId="1CE88BB7" w:rsidR="00B044BA" w:rsidRDefault="00B044BA" w:rsidP="00B044BA">
      <w:pPr>
        <w:pStyle w:val="BodyText"/>
      </w:pPr>
      <w:r>
        <w:t>Outside of the hospital sector, it is assumed that improved health from the implementation of integrated care reduces recurrent spending by the national average rate of effectiveness. The dividend is around $3 billion after five years, rising to $12 billion by 2040.</w:t>
      </w:r>
    </w:p>
    <w:p w14:paraId="38FFDECF" w14:textId="77777777" w:rsidR="001C0024" w:rsidRDefault="001C0024" w:rsidP="001C0024">
      <w:pPr>
        <w:pStyle w:val="Heading5"/>
      </w:pPr>
      <w:r>
        <w:t>The impact on hospital capital spending</w:t>
      </w:r>
    </w:p>
    <w:p w14:paraId="38FFDED0" w14:textId="77777777" w:rsidR="002D6421" w:rsidRDefault="0030730B" w:rsidP="0030730B">
      <w:pPr>
        <w:pStyle w:val="BodyText"/>
      </w:pPr>
      <w:r>
        <w:t xml:space="preserve">The estimated </w:t>
      </w:r>
      <w:r w:rsidR="006E4F62">
        <w:t xml:space="preserve">hospital </w:t>
      </w:r>
      <w:r>
        <w:t xml:space="preserve">capital </w:t>
      </w:r>
      <w:r w:rsidR="006E4F62">
        <w:t xml:space="preserve">spending </w:t>
      </w:r>
      <w:r w:rsidR="00130E88">
        <w:t>dividend</w:t>
      </w:r>
      <w:r>
        <w:t xml:space="preserve"> is </w:t>
      </w:r>
      <w:r w:rsidR="002D6421">
        <w:t>the reduction in capital expenditure as a result of improving the health of Australians through integrated care. The rate of reduction in capital spending is linked back to the national average rate of effectiv</w:t>
      </w:r>
      <w:r w:rsidR="00E910EF">
        <w:t>eness of integrated care (box</w:t>
      </w:r>
      <w:r w:rsidR="008A13D7">
        <w:t>es</w:t>
      </w:r>
      <w:r w:rsidR="00E910EF">
        <w:t> </w:t>
      </w:r>
      <w:r w:rsidR="002D6421">
        <w:t>1</w:t>
      </w:r>
      <w:r w:rsidR="00E910EF">
        <w:t xml:space="preserve"> and </w:t>
      </w:r>
      <w:r w:rsidR="002D6421">
        <w:t>2). Detailed calculations are provided in the excel workbook</w:t>
      </w:r>
      <w:r w:rsidR="007A09D4">
        <w:t xml:space="preserve"> as earlier noted</w:t>
      </w:r>
      <w:r w:rsidR="002D6421">
        <w:t>.</w:t>
      </w:r>
    </w:p>
    <w:p w14:paraId="38FFDED1" w14:textId="77777777" w:rsidR="00631A6D" w:rsidRDefault="002D6421" w:rsidP="0030730B">
      <w:pPr>
        <w:pStyle w:val="BodyText"/>
      </w:pPr>
      <w:r>
        <w:t xml:space="preserve">A key assumption is the capital cost of constructing or expanding a hospital per patient bed. This is assumed to be </w:t>
      </w:r>
      <w:r w:rsidR="005B54C4">
        <w:t>approximately</w:t>
      </w:r>
      <w:r>
        <w:t xml:space="preserve"> $210 000 in 2016 </w:t>
      </w:r>
      <w:r w:rsidR="0030730B">
        <w:t xml:space="preserve">based on the cost </w:t>
      </w:r>
      <w:r w:rsidR="00D46A75">
        <w:t>per</w:t>
      </w:r>
      <w:r w:rsidR="0030730B">
        <w:t xml:space="preserve"> hospital bed</w:t>
      </w:r>
      <w:r w:rsidR="00CB2DD6">
        <w:t xml:space="preserve"> implied in </w:t>
      </w:r>
      <w:r w:rsidR="00D46A75">
        <w:t>Victoria’s hospital capital planning module</w:t>
      </w:r>
      <w:r w:rsidR="004735CF">
        <w:t> </w:t>
      </w:r>
      <w:r w:rsidR="005C45CD" w:rsidRPr="005C45CD">
        <w:rPr>
          <w:szCs w:val="24"/>
        </w:rPr>
        <w:t>(Vic DoHHS 2016)</w:t>
      </w:r>
      <w:r w:rsidR="004735CF">
        <w:t>.</w:t>
      </w:r>
      <w:r w:rsidR="00D46A75">
        <w:t xml:space="preserve"> </w:t>
      </w:r>
      <w:r w:rsidR="00313432">
        <w:t xml:space="preserve">The cost is assumed to rise over time in line with the </w:t>
      </w:r>
      <w:r w:rsidR="00640721">
        <w:t>assumed</w:t>
      </w:r>
      <w:r w:rsidR="00313432">
        <w:t xml:space="preserve"> growth in </w:t>
      </w:r>
      <w:r w:rsidR="00640721">
        <w:t xml:space="preserve">total </w:t>
      </w:r>
      <w:r w:rsidR="00313432">
        <w:t>health spending</w:t>
      </w:r>
      <w:r w:rsidR="00640721">
        <w:t xml:space="preserve">. </w:t>
      </w:r>
    </w:p>
    <w:p w14:paraId="38FFDED2" w14:textId="77777777" w:rsidR="0030730B" w:rsidRDefault="002D6421" w:rsidP="0030730B">
      <w:pPr>
        <w:pStyle w:val="BodyText"/>
      </w:pPr>
      <w:r>
        <w:t xml:space="preserve">The </w:t>
      </w:r>
      <w:r w:rsidR="00631A6D">
        <w:t xml:space="preserve">hospital capital spending </w:t>
      </w:r>
      <w:r>
        <w:t xml:space="preserve">dividend arises from avoiding </w:t>
      </w:r>
      <w:r w:rsidR="00631A6D">
        <w:t>the</w:t>
      </w:r>
      <w:r w:rsidR="00621CAC">
        <w:t xml:space="preserve"> cost of additional beds.</w:t>
      </w:r>
      <w:r w:rsidR="00631A6D">
        <w:t xml:space="preserve"> It is estimated that the size of this dividend could be </w:t>
      </w:r>
      <w:r w:rsidR="005B54C4">
        <w:t>about</w:t>
      </w:r>
      <w:r w:rsidR="00E910EF">
        <w:t xml:space="preserve"> $1.5 billion by 2040 (table </w:t>
      </w:r>
      <w:r w:rsidR="002D07E1">
        <w:t>11</w:t>
      </w:r>
      <w:r w:rsidR="00631A6D">
        <w:t>).</w:t>
      </w:r>
    </w:p>
    <w:p w14:paraId="38FFDED3" w14:textId="77777777" w:rsidR="00631A6D" w:rsidRDefault="00631A6D" w:rsidP="00631A6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631A6D" w14:paraId="38FFDED6" w14:textId="77777777" w:rsidTr="004249A4">
        <w:tc>
          <w:tcPr>
            <w:tcW w:w="5000" w:type="pct"/>
            <w:tcBorders>
              <w:top w:val="single" w:sz="6" w:space="0" w:color="78A22F"/>
              <w:left w:val="nil"/>
              <w:bottom w:val="nil"/>
              <w:right w:val="nil"/>
            </w:tcBorders>
            <w:shd w:val="clear" w:color="auto" w:fill="auto"/>
          </w:tcPr>
          <w:p w14:paraId="38FFDED4" w14:textId="77777777" w:rsidR="00631A6D" w:rsidRDefault="00631A6D" w:rsidP="004249A4">
            <w:pPr>
              <w:pStyle w:val="TableTitle"/>
            </w:pPr>
            <w:r>
              <w:rPr>
                <w:b w:val="0"/>
              </w:rPr>
              <w:t xml:space="preserve">Table </w:t>
            </w:r>
            <w:r w:rsidR="002D07E1">
              <w:rPr>
                <w:b w:val="0"/>
              </w:rPr>
              <w:t>11</w:t>
            </w:r>
            <w:r>
              <w:tab/>
              <w:t>Deriving the impact of integrated care on hospital capital spending</w:t>
            </w:r>
          </w:p>
          <w:p w14:paraId="38FFDED5" w14:textId="77777777" w:rsidR="00631A6D" w:rsidRPr="00784A05" w:rsidRDefault="00631A6D" w:rsidP="004249A4">
            <w:pPr>
              <w:pStyle w:val="Subtitle"/>
            </w:pPr>
            <w:r>
              <w:t>2016 prices</w:t>
            </w:r>
          </w:p>
        </w:tc>
      </w:tr>
      <w:tr w:rsidR="00631A6D" w14:paraId="38FFDEF4" w14:textId="77777777" w:rsidTr="004249A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934"/>
              <w:gridCol w:w="635"/>
              <w:gridCol w:w="805"/>
              <w:gridCol w:w="805"/>
              <w:gridCol w:w="805"/>
              <w:gridCol w:w="805"/>
            </w:tblGrid>
            <w:tr w:rsidR="00124386" w14:paraId="38FFDEDD" w14:textId="77777777" w:rsidTr="00124386">
              <w:trPr>
                <w:tblHeader/>
              </w:trPr>
              <w:tc>
                <w:tcPr>
                  <w:tcW w:w="2807" w:type="pct"/>
                  <w:tcBorders>
                    <w:top w:val="single" w:sz="6" w:space="0" w:color="BFBFBF"/>
                    <w:bottom w:val="single" w:sz="6" w:space="0" w:color="BFBFBF"/>
                  </w:tcBorders>
                  <w:vAlign w:val="center"/>
                </w:tcPr>
                <w:p w14:paraId="38FFDED7" w14:textId="77777777" w:rsidR="00124386" w:rsidRDefault="00124386" w:rsidP="004249A4">
                  <w:pPr>
                    <w:pStyle w:val="TableColumnHeading"/>
                    <w:jc w:val="left"/>
                  </w:pPr>
                  <w:r>
                    <w:rPr>
                      <w:rFonts w:cs="Arial"/>
                      <w:i w:val="0"/>
                      <w:iCs/>
                      <w:color w:val="000000"/>
                      <w:szCs w:val="18"/>
                    </w:rPr>
                    <w:t> </w:t>
                  </w:r>
                </w:p>
              </w:tc>
              <w:tc>
                <w:tcPr>
                  <w:tcW w:w="361" w:type="pct"/>
                  <w:tcBorders>
                    <w:top w:val="single" w:sz="6" w:space="0" w:color="BFBFBF"/>
                    <w:bottom w:val="single" w:sz="6" w:space="0" w:color="BFBFBF"/>
                  </w:tcBorders>
                  <w:vAlign w:val="center"/>
                </w:tcPr>
                <w:p w14:paraId="38FFDED8" w14:textId="77777777" w:rsidR="00124386" w:rsidRDefault="00124386" w:rsidP="004249A4">
                  <w:pPr>
                    <w:pStyle w:val="TableColumnHeading"/>
                    <w:jc w:val="left"/>
                  </w:pPr>
                  <w:r>
                    <w:rPr>
                      <w:rFonts w:cs="Arial"/>
                      <w:i w:val="0"/>
                      <w:iCs/>
                      <w:color w:val="000000"/>
                      <w:szCs w:val="18"/>
                    </w:rPr>
                    <w:t>Units</w:t>
                  </w:r>
                </w:p>
              </w:tc>
              <w:tc>
                <w:tcPr>
                  <w:tcW w:w="458" w:type="pct"/>
                  <w:tcBorders>
                    <w:top w:val="single" w:sz="6" w:space="0" w:color="BFBFBF"/>
                    <w:bottom w:val="single" w:sz="6" w:space="0" w:color="BFBFBF"/>
                  </w:tcBorders>
                  <w:vAlign w:val="center"/>
                </w:tcPr>
                <w:p w14:paraId="38FFDED9" w14:textId="77777777" w:rsidR="00124386" w:rsidRDefault="00124386" w:rsidP="004249A4">
                  <w:pPr>
                    <w:pStyle w:val="TableColumnHeading"/>
                  </w:pPr>
                  <w:r>
                    <w:rPr>
                      <w:rFonts w:cs="Arial"/>
                      <w:i w:val="0"/>
                      <w:iCs/>
                      <w:color w:val="000000"/>
                      <w:szCs w:val="18"/>
                    </w:rPr>
                    <w:t>2020</w:t>
                  </w:r>
                </w:p>
              </w:tc>
              <w:tc>
                <w:tcPr>
                  <w:tcW w:w="458" w:type="pct"/>
                  <w:tcBorders>
                    <w:top w:val="single" w:sz="6" w:space="0" w:color="BFBFBF"/>
                    <w:bottom w:val="single" w:sz="6" w:space="0" w:color="BFBFBF"/>
                  </w:tcBorders>
                  <w:vAlign w:val="center"/>
                </w:tcPr>
                <w:p w14:paraId="38FFDEDA" w14:textId="77777777" w:rsidR="00124386" w:rsidRDefault="00124386" w:rsidP="004249A4">
                  <w:pPr>
                    <w:pStyle w:val="TableColumnHeading"/>
                  </w:pPr>
                  <w:r>
                    <w:rPr>
                      <w:rFonts w:cs="Arial"/>
                      <w:i w:val="0"/>
                      <w:iCs/>
                      <w:color w:val="000000"/>
                      <w:szCs w:val="18"/>
                    </w:rPr>
                    <w:t>2025</w:t>
                  </w:r>
                </w:p>
              </w:tc>
              <w:tc>
                <w:tcPr>
                  <w:tcW w:w="458" w:type="pct"/>
                  <w:tcBorders>
                    <w:top w:val="single" w:sz="6" w:space="0" w:color="BFBFBF"/>
                    <w:bottom w:val="single" w:sz="6" w:space="0" w:color="BFBFBF"/>
                  </w:tcBorders>
                  <w:vAlign w:val="center"/>
                </w:tcPr>
                <w:p w14:paraId="38FFDEDB" w14:textId="77777777" w:rsidR="00124386" w:rsidRDefault="00124386" w:rsidP="004249A4">
                  <w:pPr>
                    <w:pStyle w:val="TableColumnHeading"/>
                  </w:pPr>
                  <w:r>
                    <w:rPr>
                      <w:rFonts w:cs="Arial"/>
                      <w:i w:val="0"/>
                      <w:iCs/>
                      <w:color w:val="000000"/>
                      <w:szCs w:val="18"/>
                    </w:rPr>
                    <w:t>2030</w:t>
                  </w:r>
                </w:p>
              </w:tc>
              <w:tc>
                <w:tcPr>
                  <w:tcW w:w="458" w:type="pct"/>
                  <w:tcBorders>
                    <w:top w:val="single" w:sz="6" w:space="0" w:color="BFBFBF"/>
                    <w:bottom w:val="single" w:sz="6" w:space="0" w:color="BFBFBF"/>
                  </w:tcBorders>
                  <w:vAlign w:val="center"/>
                </w:tcPr>
                <w:p w14:paraId="38FFDEDC" w14:textId="77777777" w:rsidR="00124386" w:rsidRDefault="00124386" w:rsidP="004249A4">
                  <w:pPr>
                    <w:pStyle w:val="TableColumnHeading"/>
                  </w:pPr>
                  <w:r>
                    <w:rPr>
                      <w:rFonts w:cs="Arial"/>
                      <w:i w:val="0"/>
                      <w:iCs/>
                      <w:color w:val="000000"/>
                      <w:szCs w:val="18"/>
                    </w:rPr>
                    <w:t>2040</w:t>
                  </w:r>
                </w:p>
              </w:tc>
            </w:tr>
            <w:tr w:rsidR="00124386" w14:paraId="38FFDEE4" w14:textId="77777777" w:rsidTr="00124386">
              <w:tc>
                <w:tcPr>
                  <w:tcW w:w="2807" w:type="pct"/>
                  <w:tcBorders>
                    <w:top w:val="single" w:sz="6" w:space="0" w:color="BFBFBF"/>
                  </w:tcBorders>
                  <w:vAlign w:val="center"/>
                </w:tcPr>
                <w:p w14:paraId="38FFDEDE" w14:textId="77777777" w:rsidR="00124386" w:rsidRDefault="00124386" w:rsidP="00631A6D">
                  <w:pPr>
                    <w:pStyle w:val="TableUnitsRow"/>
                    <w:jc w:val="left"/>
                  </w:pPr>
                  <w:r>
                    <w:rPr>
                      <w:rFonts w:cs="Arial"/>
                      <w:color w:val="000000"/>
                      <w:szCs w:val="18"/>
                    </w:rPr>
                    <w:t>Hospital capital spending dividend</w:t>
                  </w:r>
                </w:p>
              </w:tc>
              <w:tc>
                <w:tcPr>
                  <w:tcW w:w="361" w:type="pct"/>
                  <w:tcBorders>
                    <w:top w:val="single" w:sz="6" w:space="0" w:color="BFBFBF"/>
                  </w:tcBorders>
                  <w:vAlign w:val="center"/>
                </w:tcPr>
                <w:p w14:paraId="38FFDEDF" w14:textId="77777777" w:rsidR="00124386" w:rsidRDefault="00124386" w:rsidP="004249A4">
                  <w:pPr>
                    <w:pStyle w:val="TableUnitsRow"/>
                    <w:jc w:val="left"/>
                  </w:pPr>
                  <w:r>
                    <w:rPr>
                      <w:rFonts w:cs="Arial"/>
                      <w:color w:val="000000"/>
                      <w:szCs w:val="18"/>
                    </w:rPr>
                    <w:t>$m</w:t>
                  </w:r>
                </w:p>
              </w:tc>
              <w:tc>
                <w:tcPr>
                  <w:tcW w:w="458" w:type="pct"/>
                  <w:tcBorders>
                    <w:top w:val="single" w:sz="6" w:space="0" w:color="BFBFBF"/>
                  </w:tcBorders>
                </w:tcPr>
                <w:p w14:paraId="38FFDEE0" w14:textId="77777777" w:rsidR="00124386" w:rsidRDefault="00124386" w:rsidP="004249A4">
                  <w:pPr>
                    <w:pStyle w:val="TableUnitsRow"/>
                  </w:pPr>
                  <w:r>
                    <w:t>36</w:t>
                  </w:r>
                </w:p>
              </w:tc>
              <w:tc>
                <w:tcPr>
                  <w:tcW w:w="458" w:type="pct"/>
                  <w:tcBorders>
                    <w:top w:val="single" w:sz="6" w:space="0" w:color="BFBFBF"/>
                  </w:tcBorders>
                </w:tcPr>
                <w:p w14:paraId="38FFDEE1" w14:textId="77777777" w:rsidR="00124386" w:rsidRDefault="00124386" w:rsidP="004249A4">
                  <w:pPr>
                    <w:pStyle w:val="TableUnitsRow"/>
                  </w:pPr>
                  <w:r>
                    <w:t>239</w:t>
                  </w:r>
                </w:p>
              </w:tc>
              <w:tc>
                <w:tcPr>
                  <w:tcW w:w="458" w:type="pct"/>
                  <w:tcBorders>
                    <w:top w:val="single" w:sz="6" w:space="0" w:color="BFBFBF"/>
                  </w:tcBorders>
                </w:tcPr>
                <w:p w14:paraId="38FFDEE2" w14:textId="77777777" w:rsidR="00124386" w:rsidRDefault="00124386" w:rsidP="004249A4">
                  <w:pPr>
                    <w:pStyle w:val="TableUnitsRow"/>
                  </w:pPr>
                  <w:r>
                    <w:t>531</w:t>
                  </w:r>
                </w:p>
              </w:tc>
              <w:tc>
                <w:tcPr>
                  <w:tcW w:w="458" w:type="pct"/>
                  <w:tcBorders>
                    <w:top w:val="single" w:sz="6" w:space="0" w:color="BFBFBF"/>
                  </w:tcBorders>
                </w:tcPr>
                <w:p w14:paraId="38FFDEE3" w14:textId="77777777" w:rsidR="00124386" w:rsidRDefault="00124386" w:rsidP="004249A4">
                  <w:pPr>
                    <w:pStyle w:val="TableUnitsRow"/>
                  </w:pPr>
                  <w:r>
                    <w:t>1 483</w:t>
                  </w:r>
                </w:p>
              </w:tc>
            </w:tr>
            <w:tr w:rsidR="00124386" w14:paraId="38FFDEEB" w14:textId="77777777" w:rsidTr="00124386">
              <w:tc>
                <w:tcPr>
                  <w:tcW w:w="2807" w:type="pct"/>
                  <w:vAlign w:val="center"/>
                </w:tcPr>
                <w:p w14:paraId="38FFDEE5" w14:textId="77777777" w:rsidR="00124386" w:rsidRDefault="00124386" w:rsidP="004249A4">
                  <w:pPr>
                    <w:pStyle w:val="TableUnitsRow"/>
                    <w:jc w:val="left"/>
                  </w:pPr>
                  <w:r>
                    <w:rPr>
                      <w:rFonts w:cs="Arial"/>
                      <w:color w:val="000000"/>
                      <w:szCs w:val="18"/>
                    </w:rPr>
                    <w:t>Capital cost per bed</w:t>
                  </w:r>
                </w:p>
              </w:tc>
              <w:tc>
                <w:tcPr>
                  <w:tcW w:w="361" w:type="pct"/>
                  <w:vAlign w:val="center"/>
                </w:tcPr>
                <w:p w14:paraId="38FFDEE6" w14:textId="77777777" w:rsidR="00124386" w:rsidRDefault="00124386" w:rsidP="004249A4">
                  <w:pPr>
                    <w:pStyle w:val="TableUnitsRow"/>
                    <w:jc w:val="left"/>
                  </w:pPr>
                  <w:r>
                    <w:rPr>
                      <w:rFonts w:cs="Arial"/>
                      <w:color w:val="000000"/>
                      <w:szCs w:val="18"/>
                    </w:rPr>
                    <w:t>$</w:t>
                  </w:r>
                </w:p>
              </w:tc>
              <w:tc>
                <w:tcPr>
                  <w:tcW w:w="458" w:type="pct"/>
                  <w:vAlign w:val="center"/>
                </w:tcPr>
                <w:p w14:paraId="38FFDEE7" w14:textId="77777777" w:rsidR="00124386" w:rsidRDefault="00124386" w:rsidP="004249A4">
                  <w:pPr>
                    <w:pStyle w:val="TableUnitsRow"/>
                  </w:pPr>
                  <w:r>
                    <w:t>251 870</w:t>
                  </w:r>
                </w:p>
              </w:tc>
              <w:tc>
                <w:tcPr>
                  <w:tcW w:w="458" w:type="pct"/>
                  <w:vAlign w:val="center"/>
                </w:tcPr>
                <w:p w14:paraId="38FFDEE8" w14:textId="77777777" w:rsidR="00124386" w:rsidRDefault="00124386" w:rsidP="004249A4">
                  <w:pPr>
                    <w:pStyle w:val="TableUnitsRow"/>
                  </w:pPr>
                  <w:r>
                    <w:t>316 135</w:t>
                  </w:r>
                </w:p>
              </w:tc>
              <w:tc>
                <w:tcPr>
                  <w:tcW w:w="458" w:type="pct"/>
                  <w:vAlign w:val="center"/>
                </w:tcPr>
                <w:p w14:paraId="38FFDEE9" w14:textId="77777777" w:rsidR="00124386" w:rsidRDefault="00124386" w:rsidP="004249A4">
                  <w:pPr>
                    <w:pStyle w:val="TableUnitsRow"/>
                  </w:pPr>
                  <w:r>
                    <w:t>396 797</w:t>
                  </w:r>
                </w:p>
              </w:tc>
              <w:tc>
                <w:tcPr>
                  <w:tcW w:w="458" w:type="pct"/>
                  <w:vAlign w:val="center"/>
                </w:tcPr>
                <w:p w14:paraId="38FFDEEA" w14:textId="77777777" w:rsidR="00124386" w:rsidRDefault="00124386" w:rsidP="004249A4">
                  <w:pPr>
                    <w:pStyle w:val="TableUnitsRow"/>
                  </w:pPr>
                  <w:r>
                    <w:t>625 116</w:t>
                  </w:r>
                </w:p>
              </w:tc>
            </w:tr>
            <w:tr w:rsidR="00124386" w14:paraId="38FFDEF2" w14:textId="77777777" w:rsidTr="00124386">
              <w:tc>
                <w:tcPr>
                  <w:tcW w:w="2807" w:type="pct"/>
                  <w:tcBorders>
                    <w:bottom w:val="single" w:sz="6" w:space="0" w:color="BFBFBF"/>
                  </w:tcBorders>
                  <w:vAlign w:val="center"/>
                </w:tcPr>
                <w:p w14:paraId="38FFDEEC" w14:textId="77777777" w:rsidR="00124386" w:rsidRDefault="00124386" w:rsidP="004249A4">
                  <w:pPr>
                    <w:pStyle w:val="TableBodyText"/>
                    <w:jc w:val="left"/>
                  </w:pPr>
                  <w:r>
                    <w:rPr>
                      <w:rFonts w:cs="Arial"/>
                      <w:color w:val="000000"/>
                      <w:szCs w:val="18"/>
                    </w:rPr>
                    <w:t>Reduction in beds required</w:t>
                  </w:r>
                </w:p>
              </w:tc>
              <w:tc>
                <w:tcPr>
                  <w:tcW w:w="361" w:type="pct"/>
                  <w:tcBorders>
                    <w:bottom w:val="single" w:sz="6" w:space="0" w:color="BFBFBF"/>
                  </w:tcBorders>
                  <w:vAlign w:val="center"/>
                </w:tcPr>
                <w:p w14:paraId="38FFDEED" w14:textId="77777777" w:rsidR="00124386" w:rsidRDefault="0012404B" w:rsidP="004249A4">
                  <w:pPr>
                    <w:pStyle w:val="TableBodyText"/>
                    <w:jc w:val="left"/>
                  </w:pPr>
                  <w:r>
                    <w:rPr>
                      <w:rFonts w:cs="Arial"/>
                      <w:color w:val="000000"/>
                      <w:szCs w:val="18"/>
                    </w:rPr>
                    <w:t>No.</w:t>
                  </w:r>
                </w:p>
              </w:tc>
              <w:tc>
                <w:tcPr>
                  <w:tcW w:w="458" w:type="pct"/>
                  <w:tcBorders>
                    <w:bottom w:val="single" w:sz="6" w:space="0" w:color="BFBFBF"/>
                  </w:tcBorders>
                  <w:vAlign w:val="center"/>
                </w:tcPr>
                <w:p w14:paraId="38FFDEEE" w14:textId="77777777" w:rsidR="00124386" w:rsidRDefault="00124386" w:rsidP="004249A4">
                  <w:pPr>
                    <w:pStyle w:val="TableBodyText"/>
                  </w:pPr>
                  <w:r>
                    <w:t>141</w:t>
                  </w:r>
                </w:p>
              </w:tc>
              <w:tc>
                <w:tcPr>
                  <w:tcW w:w="458" w:type="pct"/>
                  <w:tcBorders>
                    <w:bottom w:val="single" w:sz="6" w:space="0" w:color="BFBFBF"/>
                  </w:tcBorders>
                  <w:vAlign w:val="center"/>
                </w:tcPr>
                <w:p w14:paraId="38FFDEEF" w14:textId="77777777" w:rsidR="00124386" w:rsidRDefault="00124386" w:rsidP="004249A4">
                  <w:pPr>
                    <w:pStyle w:val="TableBodyText"/>
                  </w:pPr>
                  <w:r>
                    <w:t>754</w:t>
                  </w:r>
                </w:p>
              </w:tc>
              <w:tc>
                <w:tcPr>
                  <w:tcW w:w="458" w:type="pct"/>
                  <w:tcBorders>
                    <w:bottom w:val="single" w:sz="6" w:space="0" w:color="BFBFBF"/>
                  </w:tcBorders>
                  <w:vAlign w:val="center"/>
                </w:tcPr>
                <w:p w14:paraId="38FFDEF0" w14:textId="77777777" w:rsidR="00124386" w:rsidRDefault="00124386" w:rsidP="004249A4">
                  <w:pPr>
                    <w:pStyle w:val="TableBodyText"/>
                  </w:pPr>
                  <w:r>
                    <w:t>1 338</w:t>
                  </w:r>
                </w:p>
              </w:tc>
              <w:tc>
                <w:tcPr>
                  <w:tcW w:w="458" w:type="pct"/>
                  <w:tcBorders>
                    <w:bottom w:val="single" w:sz="6" w:space="0" w:color="BFBFBF"/>
                  </w:tcBorders>
                  <w:vAlign w:val="center"/>
                </w:tcPr>
                <w:p w14:paraId="38FFDEF1" w14:textId="77777777" w:rsidR="00124386" w:rsidRDefault="00124386" w:rsidP="004249A4">
                  <w:pPr>
                    <w:pStyle w:val="TableBodyText"/>
                  </w:pPr>
                  <w:r>
                    <w:t>2 373</w:t>
                  </w:r>
                </w:p>
              </w:tc>
            </w:tr>
          </w:tbl>
          <w:p w14:paraId="38FFDEF3" w14:textId="77777777" w:rsidR="00631A6D" w:rsidRDefault="00631A6D" w:rsidP="004249A4">
            <w:pPr>
              <w:pStyle w:val="Box"/>
            </w:pPr>
          </w:p>
        </w:tc>
      </w:tr>
      <w:tr w:rsidR="00631A6D" w14:paraId="38FFDEF6" w14:textId="77777777" w:rsidTr="004249A4">
        <w:tc>
          <w:tcPr>
            <w:tcW w:w="5000" w:type="pct"/>
            <w:tcBorders>
              <w:top w:val="nil"/>
              <w:left w:val="nil"/>
              <w:bottom w:val="nil"/>
              <w:right w:val="nil"/>
            </w:tcBorders>
            <w:shd w:val="clear" w:color="auto" w:fill="auto"/>
          </w:tcPr>
          <w:p w14:paraId="38FFDEF5" w14:textId="77777777" w:rsidR="00631A6D" w:rsidRDefault="0006536A" w:rsidP="00E50529">
            <w:pPr>
              <w:pStyle w:val="Source"/>
            </w:pPr>
            <w:r>
              <w:rPr>
                <w:i/>
              </w:rPr>
              <w:t>Source</w:t>
            </w:r>
            <w:r w:rsidR="00631A6D" w:rsidRPr="00167F06">
              <w:t xml:space="preserve">: </w:t>
            </w:r>
            <w:r w:rsidR="00A321BD">
              <w:t xml:space="preserve">Productivity </w:t>
            </w:r>
            <w:r>
              <w:t>Commission estimates</w:t>
            </w:r>
            <w:r w:rsidR="00631A6D">
              <w:t>.</w:t>
            </w:r>
          </w:p>
        </w:tc>
      </w:tr>
      <w:tr w:rsidR="00631A6D" w14:paraId="38FFDEF8" w14:textId="77777777" w:rsidTr="004249A4">
        <w:tc>
          <w:tcPr>
            <w:tcW w:w="5000" w:type="pct"/>
            <w:tcBorders>
              <w:top w:val="nil"/>
              <w:left w:val="nil"/>
              <w:bottom w:val="single" w:sz="6" w:space="0" w:color="78A22F"/>
              <w:right w:val="nil"/>
            </w:tcBorders>
            <w:shd w:val="clear" w:color="auto" w:fill="auto"/>
          </w:tcPr>
          <w:p w14:paraId="38FFDEF7" w14:textId="77777777" w:rsidR="00631A6D" w:rsidRDefault="00631A6D" w:rsidP="004249A4">
            <w:pPr>
              <w:pStyle w:val="Box"/>
              <w:spacing w:before="0" w:line="120" w:lineRule="exact"/>
            </w:pPr>
          </w:p>
        </w:tc>
      </w:tr>
      <w:tr w:rsidR="00631A6D" w:rsidRPr="000863A5" w14:paraId="38FFDEFA" w14:textId="77777777" w:rsidTr="004249A4">
        <w:tc>
          <w:tcPr>
            <w:tcW w:w="5000" w:type="pct"/>
            <w:tcBorders>
              <w:top w:val="single" w:sz="6" w:space="0" w:color="78A22F"/>
              <w:left w:val="nil"/>
              <w:bottom w:val="nil"/>
              <w:right w:val="nil"/>
            </w:tcBorders>
          </w:tcPr>
          <w:p w14:paraId="38FFDEF9" w14:textId="77777777" w:rsidR="00631A6D" w:rsidRPr="00626D32" w:rsidRDefault="00631A6D" w:rsidP="004249A4">
            <w:pPr>
              <w:pStyle w:val="BoxSpaceBelow"/>
            </w:pPr>
          </w:p>
        </w:tc>
      </w:tr>
    </w:tbl>
    <w:p w14:paraId="38FFDEFB" w14:textId="77777777" w:rsidR="008017D2" w:rsidRDefault="008017D2" w:rsidP="008017D2">
      <w:pPr>
        <w:pStyle w:val="Heading5"/>
      </w:pPr>
      <w:r>
        <w:t>The impact on low value care</w:t>
      </w:r>
    </w:p>
    <w:p w14:paraId="38FFDEFC" w14:textId="77777777" w:rsidR="00CF3453" w:rsidRDefault="008017D2" w:rsidP="008017D2">
      <w:pPr>
        <w:pStyle w:val="BodyText"/>
      </w:pPr>
      <w:r>
        <w:t xml:space="preserve">In the absence of comprehensive Australian studies of the extent of low value </w:t>
      </w:r>
      <w:r w:rsidR="002A14C5">
        <w:t xml:space="preserve">(or ineffective) </w:t>
      </w:r>
      <w:r>
        <w:t xml:space="preserve">care, the </w:t>
      </w:r>
      <w:r w:rsidR="009D5A34">
        <w:t xml:space="preserve">Productivity </w:t>
      </w:r>
      <w:r>
        <w:t xml:space="preserve">Commission has relied upon a range of sources to assume that </w:t>
      </w:r>
      <w:r w:rsidR="005B54C4">
        <w:t>approximately</w:t>
      </w:r>
      <w:r>
        <w:t xml:space="preserve"> ten per cent of health care services are of low value (box 4). </w:t>
      </w:r>
    </w:p>
    <w:p w14:paraId="38FFDEFE" w14:textId="01B2A2EC" w:rsidR="002A14C5" w:rsidRDefault="008A13D7" w:rsidP="002A14C5">
      <w:pPr>
        <w:pStyle w:val="BodyText"/>
      </w:pPr>
      <w:r>
        <w:t xml:space="preserve">The Productivity Commission </w:t>
      </w:r>
      <w:r w:rsidR="002A14C5">
        <w:t>estimate</w:t>
      </w:r>
      <w:r>
        <w:t>s</w:t>
      </w:r>
      <w:r w:rsidR="002A14C5">
        <w:t xml:space="preserve"> that implementation of its recommendations could reduce low value care by a proportion that is represented by the national average rate of effectiveness of integrated care. </w:t>
      </w:r>
    </w:p>
    <w:p w14:paraId="38FFDEFF" w14:textId="6C83DE53" w:rsidR="002A14C5" w:rsidRDefault="002A14C5" w:rsidP="002A14C5">
      <w:pPr>
        <w:pStyle w:val="BodyText"/>
      </w:pPr>
      <w:r>
        <w:t xml:space="preserve">Based on this methodology, savings from reducing low value treatments in public hospitals could ultimately amount to </w:t>
      </w:r>
      <w:r w:rsidR="0010434C">
        <w:t xml:space="preserve">over </w:t>
      </w:r>
      <w:r>
        <w:t>$</w:t>
      </w:r>
      <w:r w:rsidR="0012404B">
        <w:t>4 </w:t>
      </w:r>
      <w:r>
        <w:t>billion per year and low value care outside of the public hospital sector could ultimately be reduced by approximately $</w:t>
      </w:r>
      <w:r w:rsidR="00582E60">
        <w:t>7</w:t>
      </w:r>
      <w:r>
        <w:t> billion per year, freeing up that money for investment in other areas (table 12).</w:t>
      </w:r>
    </w:p>
    <w:p w14:paraId="38FFDF00" w14:textId="77777777" w:rsidR="002A14C5" w:rsidRDefault="002A14C5" w:rsidP="002A14C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2A14C5" w14:paraId="38FFDF03" w14:textId="77777777" w:rsidTr="00365B0A">
        <w:tc>
          <w:tcPr>
            <w:tcW w:w="5000" w:type="pct"/>
            <w:tcBorders>
              <w:top w:val="single" w:sz="6" w:space="0" w:color="78A22F"/>
              <w:left w:val="nil"/>
              <w:bottom w:val="nil"/>
              <w:right w:val="nil"/>
            </w:tcBorders>
            <w:shd w:val="clear" w:color="auto" w:fill="auto"/>
          </w:tcPr>
          <w:p w14:paraId="38FFDF01" w14:textId="77777777" w:rsidR="002A14C5" w:rsidRDefault="002A14C5" w:rsidP="00365B0A">
            <w:pPr>
              <w:pStyle w:val="TableTitle"/>
            </w:pPr>
            <w:r>
              <w:rPr>
                <w:b w:val="0"/>
              </w:rPr>
              <w:t>Table 12</w:t>
            </w:r>
            <w:r>
              <w:tab/>
              <w:t>Deriving the impact of integrated care on low value care</w:t>
            </w:r>
          </w:p>
          <w:p w14:paraId="38FFDF02" w14:textId="77777777" w:rsidR="002A14C5" w:rsidRPr="00784A05" w:rsidRDefault="002A14C5" w:rsidP="00365B0A">
            <w:pPr>
              <w:pStyle w:val="Subtitle"/>
            </w:pPr>
            <w:r>
              <w:t>2016 prices</w:t>
            </w:r>
          </w:p>
        </w:tc>
      </w:tr>
      <w:tr w:rsidR="002A14C5" w14:paraId="38FFDF21" w14:textId="77777777" w:rsidTr="00365B0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574"/>
              <w:gridCol w:w="687"/>
              <w:gridCol w:w="868"/>
              <w:gridCol w:w="888"/>
              <w:gridCol w:w="888"/>
              <w:gridCol w:w="884"/>
            </w:tblGrid>
            <w:tr w:rsidR="002A14C5" w14:paraId="38FFDF0A" w14:textId="77777777" w:rsidTr="00365B0A">
              <w:trPr>
                <w:tblHeader/>
              </w:trPr>
              <w:tc>
                <w:tcPr>
                  <w:tcW w:w="2602" w:type="pct"/>
                  <w:tcBorders>
                    <w:top w:val="single" w:sz="6" w:space="0" w:color="BFBFBF"/>
                    <w:bottom w:val="single" w:sz="6" w:space="0" w:color="BFBFBF"/>
                  </w:tcBorders>
                  <w:shd w:val="clear" w:color="auto" w:fill="auto"/>
                  <w:tcMar>
                    <w:top w:w="28" w:type="dxa"/>
                  </w:tcMar>
                </w:tcPr>
                <w:p w14:paraId="38FFDF04" w14:textId="77777777" w:rsidR="002A14C5" w:rsidRDefault="002A14C5" w:rsidP="00365B0A">
                  <w:pPr>
                    <w:pStyle w:val="TableColumnHeading"/>
                    <w:jc w:val="left"/>
                  </w:pPr>
                </w:p>
              </w:tc>
              <w:tc>
                <w:tcPr>
                  <w:tcW w:w="391" w:type="pct"/>
                  <w:tcBorders>
                    <w:top w:val="single" w:sz="6" w:space="0" w:color="BFBFBF"/>
                    <w:bottom w:val="single" w:sz="6" w:space="0" w:color="BFBFBF"/>
                  </w:tcBorders>
                </w:tcPr>
                <w:p w14:paraId="38FFDF05" w14:textId="77777777" w:rsidR="002A14C5" w:rsidRDefault="002A14C5" w:rsidP="00365B0A">
                  <w:pPr>
                    <w:pStyle w:val="TableColumnHeading"/>
                  </w:pPr>
                  <w:r>
                    <w:t>Units</w:t>
                  </w:r>
                </w:p>
              </w:tc>
              <w:tc>
                <w:tcPr>
                  <w:tcW w:w="494" w:type="pct"/>
                  <w:tcBorders>
                    <w:top w:val="single" w:sz="6" w:space="0" w:color="BFBFBF"/>
                    <w:bottom w:val="single" w:sz="6" w:space="0" w:color="BFBFBF"/>
                  </w:tcBorders>
                  <w:shd w:val="clear" w:color="auto" w:fill="auto"/>
                  <w:tcMar>
                    <w:top w:w="28" w:type="dxa"/>
                  </w:tcMar>
                </w:tcPr>
                <w:p w14:paraId="38FFDF06" w14:textId="77777777" w:rsidR="002A14C5" w:rsidRDefault="002A14C5" w:rsidP="00365B0A">
                  <w:pPr>
                    <w:pStyle w:val="TableColumnHeading"/>
                  </w:pPr>
                  <w:r>
                    <w:t>2020</w:t>
                  </w:r>
                </w:p>
              </w:tc>
              <w:tc>
                <w:tcPr>
                  <w:tcW w:w="505" w:type="pct"/>
                  <w:tcBorders>
                    <w:top w:val="single" w:sz="6" w:space="0" w:color="BFBFBF"/>
                    <w:bottom w:val="single" w:sz="6" w:space="0" w:color="BFBFBF"/>
                  </w:tcBorders>
                </w:tcPr>
                <w:p w14:paraId="38FFDF07" w14:textId="77777777" w:rsidR="002A14C5" w:rsidRDefault="002A14C5" w:rsidP="00365B0A">
                  <w:pPr>
                    <w:pStyle w:val="TableColumnHeading"/>
                    <w:ind w:right="28"/>
                  </w:pPr>
                  <w:r>
                    <w:t>2025</w:t>
                  </w:r>
                </w:p>
              </w:tc>
              <w:tc>
                <w:tcPr>
                  <w:tcW w:w="505" w:type="pct"/>
                  <w:tcBorders>
                    <w:top w:val="single" w:sz="6" w:space="0" w:color="BFBFBF"/>
                    <w:bottom w:val="single" w:sz="6" w:space="0" w:color="BFBFBF"/>
                  </w:tcBorders>
                </w:tcPr>
                <w:p w14:paraId="38FFDF08" w14:textId="77777777" w:rsidR="002A14C5" w:rsidRDefault="002A14C5" w:rsidP="00365B0A">
                  <w:pPr>
                    <w:pStyle w:val="TableColumnHeading"/>
                    <w:ind w:right="28"/>
                  </w:pPr>
                  <w:r>
                    <w:t>2030</w:t>
                  </w:r>
                </w:p>
              </w:tc>
              <w:tc>
                <w:tcPr>
                  <w:tcW w:w="503" w:type="pct"/>
                  <w:tcBorders>
                    <w:top w:val="single" w:sz="6" w:space="0" w:color="BFBFBF"/>
                    <w:bottom w:val="single" w:sz="6" w:space="0" w:color="BFBFBF"/>
                  </w:tcBorders>
                  <w:shd w:val="clear" w:color="auto" w:fill="auto"/>
                  <w:tcMar>
                    <w:top w:w="28" w:type="dxa"/>
                  </w:tcMar>
                </w:tcPr>
                <w:p w14:paraId="38FFDF09" w14:textId="77777777" w:rsidR="002A14C5" w:rsidRDefault="002A14C5" w:rsidP="00365B0A">
                  <w:pPr>
                    <w:pStyle w:val="TableColumnHeading"/>
                    <w:ind w:right="28"/>
                  </w:pPr>
                  <w:r>
                    <w:t>2040</w:t>
                  </w:r>
                </w:p>
              </w:tc>
            </w:tr>
            <w:tr w:rsidR="002A14C5" w14:paraId="38FFDF11" w14:textId="77777777" w:rsidTr="00365B0A">
              <w:tc>
                <w:tcPr>
                  <w:tcW w:w="2602" w:type="pct"/>
                  <w:tcBorders>
                    <w:top w:val="single" w:sz="6" w:space="0" w:color="BFBFBF"/>
                  </w:tcBorders>
                </w:tcPr>
                <w:p w14:paraId="38FFDF0B" w14:textId="77777777" w:rsidR="002A14C5" w:rsidRDefault="002A14C5" w:rsidP="00365B0A">
                  <w:pPr>
                    <w:pStyle w:val="TableBodyText"/>
                    <w:jc w:val="left"/>
                  </w:pPr>
                  <w:r>
                    <w:t>Total dividend from low value care</w:t>
                  </w:r>
                </w:p>
              </w:tc>
              <w:tc>
                <w:tcPr>
                  <w:tcW w:w="391" w:type="pct"/>
                  <w:tcBorders>
                    <w:top w:val="single" w:sz="6" w:space="0" w:color="BFBFBF"/>
                  </w:tcBorders>
                </w:tcPr>
                <w:p w14:paraId="38FFDF0C" w14:textId="77777777" w:rsidR="002A14C5" w:rsidRDefault="002A14C5" w:rsidP="00365B0A">
                  <w:pPr>
                    <w:pStyle w:val="TableBodyText"/>
                  </w:pPr>
                  <w:r>
                    <w:t>$m</w:t>
                  </w:r>
                </w:p>
              </w:tc>
              <w:tc>
                <w:tcPr>
                  <w:tcW w:w="494" w:type="pct"/>
                  <w:tcBorders>
                    <w:top w:val="single" w:sz="6" w:space="0" w:color="BFBFBF"/>
                  </w:tcBorders>
                </w:tcPr>
                <w:p w14:paraId="38FFDF0D" w14:textId="427B9E7F" w:rsidR="002A14C5" w:rsidRDefault="002A14C5" w:rsidP="00365B0A">
                  <w:pPr>
                    <w:pStyle w:val="TableBodyText"/>
                  </w:pPr>
                  <w:r>
                    <w:t>3</w:t>
                  </w:r>
                  <w:r w:rsidR="0010434C">
                    <w:t>49</w:t>
                  </w:r>
                </w:p>
              </w:tc>
              <w:tc>
                <w:tcPr>
                  <w:tcW w:w="505" w:type="pct"/>
                  <w:tcBorders>
                    <w:top w:val="single" w:sz="6" w:space="0" w:color="BFBFBF"/>
                  </w:tcBorders>
                </w:tcPr>
                <w:p w14:paraId="38FFDF0E" w14:textId="3182D430" w:rsidR="002A14C5" w:rsidRDefault="002A14C5" w:rsidP="00365B0A">
                  <w:pPr>
                    <w:pStyle w:val="TableBodyText"/>
                  </w:pPr>
                  <w:r>
                    <w:t>2 19</w:t>
                  </w:r>
                  <w:r w:rsidR="0010434C">
                    <w:t>3</w:t>
                  </w:r>
                </w:p>
              </w:tc>
              <w:tc>
                <w:tcPr>
                  <w:tcW w:w="505" w:type="pct"/>
                  <w:tcBorders>
                    <w:top w:val="single" w:sz="6" w:space="0" w:color="BFBFBF"/>
                  </w:tcBorders>
                </w:tcPr>
                <w:p w14:paraId="38FFDF0F" w14:textId="6F8979C6" w:rsidR="002A14C5" w:rsidRDefault="0010434C">
                  <w:pPr>
                    <w:pStyle w:val="TableBodyText"/>
                  </w:pPr>
                  <w:r>
                    <w:t>4</w:t>
                  </w:r>
                  <w:r w:rsidR="002A14C5">
                    <w:t> </w:t>
                  </w:r>
                  <w:r>
                    <w:t>587</w:t>
                  </w:r>
                </w:p>
              </w:tc>
              <w:tc>
                <w:tcPr>
                  <w:tcW w:w="503" w:type="pct"/>
                  <w:tcBorders>
                    <w:top w:val="single" w:sz="6" w:space="0" w:color="BFBFBF"/>
                  </w:tcBorders>
                </w:tcPr>
                <w:p w14:paraId="38FFDF10" w14:textId="4E6D7864" w:rsidR="002A14C5" w:rsidRDefault="002A14C5">
                  <w:pPr>
                    <w:pStyle w:val="TableBodyText"/>
                  </w:pPr>
                  <w:r>
                    <w:t>1</w:t>
                  </w:r>
                  <w:r w:rsidR="0010434C">
                    <w:t>1</w:t>
                  </w:r>
                  <w:r>
                    <w:t> </w:t>
                  </w:r>
                  <w:r w:rsidR="0010434C">
                    <w:t>428</w:t>
                  </w:r>
                </w:p>
              </w:tc>
            </w:tr>
            <w:tr w:rsidR="002A14C5" w14:paraId="38FFDF18" w14:textId="77777777" w:rsidTr="008A13D7">
              <w:tc>
                <w:tcPr>
                  <w:tcW w:w="2602" w:type="pct"/>
                </w:tcPr>
                <w:p w14:paraId="38FFDF12" w14:textId="77777777" w:rsidR="002A14C5" w:rsidRDefault="002A14C5" w:rsidP="00A91125">
                  <w:pPr>
                    <w:pStyle w:val="TableBodyText"/>
                    <w:jc w:val="left"/>
                  </w:pPr>
                  <w:r>
                    <w:t xml:space="preserve"> from public hospital spending</w:t>
                  </w:r>
                  <w:r w:rsidRPr="008E77FE">
                    <w:rPr>
                      <w:rStyle w:val="NoteLabel"/>
                    </w:rPr>
                    <w:t>a</w:t>
                  </w:r>
                </w:p>
              </w:tc>
              <w:tc>
                <w:tcPr>
                  <w:tcW w:w="391" w:type="pct"/>
                </w:tcPr>
                <w:p w14:paraId="38FFDF13" w14:textId="77777777" w:rsidR="002A14C5" w:rsidRDefault="002A14C5" w:rsidP="00365B0A">
                  <w:pPr>
                    <w:pStyle w:val="TableBodyText"/>
                  </w:pPr>
                  <w:r>
                    <w:t>$m</w:t>
                  </w:r>
                </w:p>
              </w:tc>
              <w:tc>
                <w:tcPr>
                  <w:tcW w:w="494" w:type="pct"/>
                </w:tcPr>
                <w:p w14:paraId="38FFDF14" w14:textId="77777777" w:rsidR="002A14C5" w:rsidRDefault="002A14C5" w:rsidP="00365B0A">
                  <w:pPr>
                    <w:pStyle w:val="TableBodyText"/>
                  </w:pPr>
                  <w:r>
                    <w:t>139</w:t>
                  </w:r>
                </w:p>
              </w:tc>
              <w:tc>
                <w:tcPr>
                  <w:tcW w:w="505" w:type="pct"/>
                </w:tcPr>
                <w:p w14:paraId="38FFDF15" w14:textId="77777777" w:rsidR="002A14C5" w:rsidRDefault="002A14C5" w:rsidP="00365B0A">
                  <w:pPr>
                    <w:pStyle w:val="TableBodyText"/>
                  </w:pPr>
                  <w:r>
                    <w:t>873</w:t>
                  </w:r>
                </w:p>
              </w:tc>
              <w:tc>
                <w:tcPr>
                  <w:tcW w:w="505" w:type="pct"/>
                </w:tcPr>
                <w:p w14:paraId="38FFDF16" w14:textId="77777777" w:rsidR="002A14C5" w:rsidRDefault="002A14C5" w:rsidP="00365B0A">
                  <w:pPr>
                    <w:pStyle w:val="TableBodyText"/>
                  </w:pPr>
                  <w:r>
                    <w:t>1 826</w:t>
                  </w:r>
                </w:p>
              </w:tc>
              <w:tc>
                <w:tcPr>
                  <w:tcW w:w="503" w:type="pct"/>
                </w:tcPr>
                <w:p w14:paraId="38FFDF17" w14:textId="77777777" w:rsidR="002A14C5" w:rsidRDefault="002A14C5" w:rsidP="00365B0A">
                  <w:pPr>
                    <w:pStyle w:val="TableBodyText"/>
                  </w:pPr>
                  <w:r>
                    <w:t>4 548</w:t>
                  </w:r>
                </w:p>
              </w:tc>
            </w:tr>
            <w:tr w:rsidR="002A14C5" w14:paraId="38FFDF1F" w14:textId="77777777" w:rsidTr="008A13D7">
              <w:tc>
                <w:tcPr>
                  <w:tcW w:w="2602" w:type="pct"/>
                  <w:tcBorders>
                    <w:bottom w:val="single" w:sz="4" w:space="0" w:color="BFBFBF" w:themeColor="background2"/>
                  </w:tcBorders>
                </w:tcPr>
                <w:p w14:paraId="38FFDF19" w14:textId="77777777" w:rsidR="002A14C5" w:rsidRPr="00E20778" w:rsidRDefault="002A14C5" w:rsidP="00A91125">
                  <w:pPr>
                    <w:pStyle w:val="TableBodyText"/>
                    <w:jc w:val="left"/>
                  </w:pPr>
                  <w:r>
                    <w:t xml:space="preserve"> from other services</w:t>
                  </w:r>
                  <w:r w:rsidRPr="008E77FE">
                    <w:rPr>
                      <w:rStyle w:val="NoteLabel"/>
                    </w:rPr>
                    <w:t>a</w:t>
                  </w:r>
                  <w:r w:rsidR="00A91125">
                    <w:rPr>
                      <w:rStyle w:val="NoteLabel"/>
                    </w:rPr>
                    <w:t>,</w:t>
                  </w:r>
                  <w:r>
                    <w:rPr>
                      <w:rStyle w:val="NoteLabel"/>
                    </w:rPr>
                    <w:t>b</w:t>
                  </w:r>
                </w:p>
              </w:tc>
              <w:tc>
                <w:tcPr>
                  <w:tcW w:w="391" w:type="pct"/>
                  <w:tcBorders>
                    <w:bottom w:val="single" w:sz="4" w:space="0" w:color="BFBFBF" w:themeColor="background2"/>
                  </w:tcBorders>
                </w:tcPr>
                <w:p w14:paraId="38FFDF1A" w14:textId="77777777" w:rsidR="002A14C5" w:rsidRDefault="002A14C5" w:rsidP="00365B0A">
                  <w:pPr>
                    <w:pStyle w:val="TableBodyText"/>
                  </w:pPr>
                  <w:r>
                    <w:t>$m</w:t>
                  </w:r>
                </w:p>
              </w:tc>
              <w:tc>
                <w:tcPr>
                  <w:tcW w:w="494" w:type="pct"/>
                  <w:tcBorders>
                    <w:bottom w:val="single" w:sz="4" w:space="0" w:color="BFBFBF" w:themeColor="background2"/>
                  </w:tcBorders>
                </w:tcPr>
                <w:p w14:paraId="38FFDF1B" w14:textId="45D7DA21" w:rsidR="002A14C5" w:rsidRDefault="002A14C5" w:rsidP="00365B0A">
                  <w:pPr>
                    <w:pStyle w:val="TableBodyText"/>
                  </w:pPr>
                  <w:r>
                    <w:t>2</w:t>
                  </w:r>
                  <w:r w:rsidR="0010434C">
                    <w:t>10</w:t>
                  </w:r>
                </w:p>
              </w:tc>
              <w:tc>
                <w:tcPr>
                  <w:tcW w:w="505" w:type="pct"/>
                  <w:tcBorders>
                    <w:bottom w:val="single" w:sz="4" w:space="0" w:color="BFBFBF" w:themeColor="background2"/>
                  </w:tcBorders>
                </w:tcPr>
                <w:p w14:paraId="38FFDF1C" w14:textId="17BDB42C" w:rsidR="002A14C5" w:rsidRDefault="002A14C5">
                  <w:pPr>
                    <w:pStyle w:val="TableBodyText"/>
                  </w:pPr>
                  <w:r>
                    <w:t>1 </w:t>
                  </w:r>
                  <w:r w:rsidR="0010434C">
                    <w:t>320</w:t>
                  </w:r>
                </w:p>
              </w:tc>
              <w:tc>
                <w:tcPr>
                  <w:tcW w:w="505" w:type="pct"/>
                  <w:tcBorders>
                    <w:bottom w:val="single" w:sz="4" w:space="0" w:color="BFBFBF" w:themeColor="background2"/>
                  </w:tcBorders>
                </w:tcPr>
                <w:p w14:paraId="38FFDF1D" w14:textId="5623F2A0" w:rsidR="002A14C5" w:rsidRDefault="0010434C">
                  <w:pPr>
                    <w:pStyle w:val="TableBodyText"/>
                  </w:pPr>
                  <w:r>
                    <w:t>2 762</w:t>
                  </w:r>
                </w:p>
              </w:tc>
              <w:tc>
                <w:tcPr>
                  <w:tcW w:w="503" w:type="pct"/>
                  <w:tcBorders>
                    <w:bottom w:val="single" w:sz="4" w:space="0" w:color="BFBFBF" w:themeColor="background2"/>
                  </w:tcBorders>
                </w:tcPr>
                <w:p w14:paraId="38FFDF1E" w14:textId="0072BD15" w:rsidR="002A14C5" w:rsidRDefault="0010434C">
                  <w:pPr>
                    <w:pStyle w:val="TableBodyText"/>
                  </w:pPr>
                  <w:r>
                    <w:t>6 880</w:t>
                  </w:r>
                </w:p>
              </w:tc>
            </w:tr>
          </w:tbl>
          <w:p w14:paraId="38FFDF20" w14:textId="77777777" w:rsidR="002A14C5" w:rsidRDefault="002A14C5" w:rsidP="00365B0A">
            <w:pPr>
              <w:pStyle w:val="Box"/>
            </w:pPr>
          </w:p>
        </w:tc>
      </w:tr>
      <w:tr w:rsidR="002A14C5" w14:paraId="38FFDF23" w14:textId="77777777" w:rsidTr="00365B0A">
        <w:tc>
          <w:tcPr>
            <w:tcW w:w="5000" w:type="pct"/>
            <w:tcBorders>
              <w:top w:val="nil"/>
              <w:left w:val="nil"/>
              <w:bottom w:val="nil"/>
              <w:right w:val="nil"/>
            </w:tcBorders>
            <w:shd w:val="clear" w:color="auto" w:fill="auto"/>
          </w:tcPr>
          <w:p w14:paraId="38FFDF22" w14:textId="66B19D1D" w:rsidR="002A14C5" w:rsidRDefault="002A14C5">
            <w:pPr>
              <w:pStyle w:val="Note"/>
              <w:rPr>
                <w:i/>
              </w:rPr>
            </w:pPr>
            <w:r w:rsidRPr="008E77FE">
              <w:rPr>
                <w:rStyle w:val="NoteLabel"/>
              </w:rPr>
              <w:t>a</w:t>
            </w:r>
            <w:r>
              <w:t xml:space="preserve"> The dividend from reducing low value care is calculated as ten per cent of counterfactual spending multiplied by the national average rate of effectiveness of integrated care. </w:t>
            </w:r>
            <w:r>
              <w:rPr>
                <w:rStyle w:val="NoteLabel"/>
              </w:rPr>
              <w:t>b</w:t>
            </w:r>
            <w:r w:rsidR="00A91125">
              <w:t> </w:t>
            </w:r>
            <w:r>
              <w:t>Other services included here are GPs, allied health, specialists</w:t>
            </w:r>
            <w:r w:rsidR="00D744E2">
              <w:t>,</w:t>
            </w:r>
            <w:r>
              <w:t xml:space="preserve"> community health, pharmaceuticals, diagnostics, patient transport, aids and appliances.</w:t>
            </w:r>
          </w:p>
        </w:tc>
      </w:tr>
      <w:tr w:rsidR="002A14C5" w14:paraId="38FFDF25" w14:textId="77777777" w:rsidTr="00365B0A">
        <w:tc>
          <w:tcPr>
            <w:tcW w:w="5000" w:type="pct"/>
            <w:tcBorders>
              <w:top w:val="nil"/>
              <w:left w:val="nil"/>
              <w:bottom w:val="nil"/>
              <w:right w:val="nil"/>
            </w:tcBorders>
            <w:shd w:val="clear" w:color="auto" w:fill="auto"/>
          </w:tcPr>
          <w:p w14:paraId="38FFDF24" w14:textId="77777777" w:rsidR="002A14C5" w:rsidRDefault="002A14C5" w:rsidP="00365B0A">
            <w:pPr>
              <w:pStyle w:val="Source"/>
            </w:pPr>
            <w:r>
              <w:rPr>
                <w:i/>
              </w:rPr>
              <w:t>Source</w:t>
            </w:r>
            <w:r w:rsidRPr="00167F06">
              <w:t xml:space="preserve">: </w:t>
            </w:r>
            <w:r w:rsidR="00A321BD">
              <w:t xml:space="preserve">Productivity </w:t>
            </w:r>
            <w:r>
              <w:t>Commission estimates.</w:t>
            </w:r>
          </w:p>
        </w:tc>
      </w:tr>
      <w:tr w:rsidR="002A14C5" w14:paraId="38FFDF27" w14:textId="77777777" w:rsidTr="00365B0A">
        <w:tc>
          <w:tcPr>
            <w:tcW w:w="5000" w:type="pct"/>
            <w:tcBorders>
              <w:top w:val="nil"/>
              <w:left w:val="nil"/>
              <w:bottom w:val="single" w:sz="6" w:space="0" w:color="78A22F"/>
              <w:right w:val="nil"/>
            </w:tcBorders>
            <w:shd w:val="clear" w:color="auto" w:fill="auto"/>
          </w:tcPr>
          <w:p w14:paraId="38FFDF26" w14:textId="77777777" w:rsidR="002A14C5" w:rsidRDefault="002A14C5" w:rsidP="00365B0A">
            <w:pPr>
              <w:pStyle w:val="Box"/>
              <w:spacing w:before="0" w:line="120" w:lineRule="exact"/>
            </w:pPr>
          </w:p>
        </w:tc>
      </w:tr>
      <w:tr w:rsidR="002A14C5" w:rsidRPr="000863A5" w14:paraId="38FFDF29" w14:textId="77777777" w:rsidTr="00365B0A">
        <w:tc>
          <w:tcPr>
            <w:tcW w:w="5000" w:type="pct"/>
            <w:tcBorders>
              <w:top w:val="single" w:sz="6" w:space="0" w:color="78A22F"/>
              <w:left w:val="nil"/>
              <w:bottom w:val="nil"/>
              <w:right w:val="nil"/>
            </w:tcBorders>
          </w:tcPr>
          <w:p w14:paraId="38FFDF28" w14:textId="77777777" w:rsidR="002A14C5" w:rsidRPr="00626D32" w:rsidRDefault="002A14C5" w:rsidP="00365B0A">
            <w:pPr>
              <w:pStyle w:val="BoxSpaceBelow"/>
            </w:pPr>
          </w:p>
        </w:tc>
      </w:tr>
    </w:tbl>
    <w:p w14:paraId="6EB881DD" w14:textId="6C57B606" w:rsidR="0010434C" w:rsidRDefault="0010434C" w:rsidP="0010434C">
      <w:pPr>
        <w:pStyle w:val="BodyText"/>
      </w:pPr>
      <w:r>
        <w:t>There is also a deadweight burden associated with raising the tax revenue to fund this low value care. Based on recent estimates, it is assumed the deadweight burden is about $295 million for every one billion dollars of tax revenue spent on low value care (box 5).</w:t>
      </w:r>
    </w:p>
    <w:p w14:paraId="38FFDF2A" w14:textId="77777777" w:rsidR="008017D2" w:rsidRDefault="008017D2" w:rsidP="008017D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8017D2" w14:paraId="38FFDF2C" w14:textId="77777777" w:rsidTr="008017D2">
        <w:tc>
          <w:tcPr>
            <w:tcW w:w="5000" w:type="pct"/>
            <w:tcBorders>
              <w:top w:val="single" w:sz="6" w:space="0" w:color="78A22F"/>
              <w:left w:val="nil"/>
              <w:bottom w:val="nil"/>
              <w:right w:val="nil"/>
            </w:tcBorders>
            <w:shd w:val="clear" w:color="auto" w:fill="F2F2F2"/>
          </w:tcPr>
          <w:p w14:paraId="38FFDF2B" w14:textId="77777777" w:rsidR="008017D2" w:rsidRDefault="008017D2" w:rsidP="008017D2">
            <w:pPr>
              <w:pStyle w:val="BoxTitle"/>
            </w:pPr>
            <w:r>
              <w:rPr>
                <w:b w:val="0"/>
              </w:rPr>
              <w:t>Box 4</w:t>
            </w:r>
            <w:r>
              <w:tab/>
              <w:t>Evidence of the extent of low value care in Australia</w:t>
            </w:r>
          </w:p>
        </w:tc>
      </w:tr>
      <w:tr w:rsidR="008017D2" w14:paraId="38FFDF32" w14:textId="77777777" w:rsidTr="008017D2">
        <w:tc>
          <w:tcPr>
            <w:tcW w:w="5000" w:type="pct"/>
            <w:tcBorders>
              <w:top w:val="nil"/>
              <w:left w:val="nil"/>
              <w:bottom w:val="nil"/>
              <w:right w:val="nil"/>
            </w:tcBorders>
            <w:shd w:val="clear" w:color="auto" w:fill="F2F2F2"/>
          </w:tcPr>
          <w:p w14:paraId="38FFDF2D" w14:textId="77777777" w:rsidR="008017D2" w:rsidRDefault="008017D2" w:rsidP="008017D2">
            <w:pPr>
              <w:pStyle w:val="Box"/>
            </w:pPr>
            <w:r>
              <w:t>While there are currently no comprehensive estimates of low value care for Australia, there is clear evidence of overuse in Australia. Elshaug et al.</w:t>
            </w:r>
            <w:r w:rsidR="00F159BD">
              <w:t> </w:t>
            </w:r>
            <w:r w:rsidR="00F159BD" w:rsidRPr="00F159BD">
              <w:rPr>
                <w:rFonts w:cs="Arial"/>
              </w:rPr>
              <w:t>(2012)</w:t>
            </w:r>
            <w:r>
              <w:t xml:space="preserve"> identify the potential overuse of over 150 treatments funded by Australia’s Medicare. One such treatment, for example, is arthroscopic surgery for knee osteoarthritis. </w:t>
            </w:r>
          </w:p>
          <w:p w14:paraId="38FFDF2E" w14:textId="77777777" w:rsidR="008017D2" w:rsidRDefault="008017D2" w:rsidP="008017D2">
            <w:pPr>
              <w:pStyle w:val="Box"/>
            </w:pPr>
            <w:r>
              <w:t xml:space="preserve">Another is the overuse of antimicrobials, where, for example, </w:t>
            </w:r>
            <w:r w:rsidR="005B54C4">
              <w:t>approximately</w:t>
            </w:r>
            <w:r>
              <w:t xml:space="preserve"> 75 per cent of acute bronchitis is treated with antibiotics despite evidence that indicates the rate should be near zero. In an international comparison, Australia’s rate of dispensed antimicrobials is double that of the Netherlands, which has one of the lowest rates in the world, and is otherwise higher than Canada (by over 80 per cent), the United States (by over 40 per cent) and most European countries. Furthermore, within Australia, the rate </w:t>
            </w:r>
            <w:r w:rsidR="00C92F58">
              <w:t>that</w:t>
            </w:r>
            <w:r>
              <w:t xml:space="preserve"> antimicrobials (including antibiotics) are dispensed varies by over 11 times between the area with the highest rate and the area with the lowest rate. Such a high rate of geographic variation is indirect evidence of overuse. </w:t>
            </w:r>
          </w:p>
          <w:p w14:paraId="38FFDF2F" w14:textId="77777777" w:rsidR="008017D2" w:rsidRDefault="008017D2" w:rsidP="008017D2">
            <w:pPr>
              <w:pStyle w:val="Box"/>
            </w:pPr>
            <w:r>
              <w:t xml:space="preserve">This and numerous other variations in specific types of health care are reported in the Australian Atlas of Healthcare Variation by the Australian Commission on Safety and Quality in Health Care. While variation can often reflect need, the sustained and high degree of variation in Australia indicates a significant proportion of the variation is unwarranted and thereby harming or not improving health and therefore diverting resources from more effective health care. </w:t>
            </w:r>
          </w:p>
          <w:p w14:paraId="38FFDF30" w14:textId="77777777" w:rsidR="008017D2" w:rsidRDefault="008017D2" w:rsidP="008017D2">
            <w:pPr>
              <w:pStyle w:val="Box"/>
            </w:pPr>
            <w:r>
              <w:t xml:space="preserve">Duplication of medical tests is another example of low value care in Australia. The Commonwealth Fund’s international health policy survey indicates that medical tests are duplicated for over </w:t>
            </w:r>
            <w:r w:rsidR="0012404B">
              <w:t>10 </w:t>
            </w:r>
            <w:r>
              <w:t>per cent of unwell adults. A higher proportion of unwell adults report that the results of their medical tests were not available in time for their GP appointment, detracting from the value of the tests.</w:t>
            </w:r>
          </w:p>
          <w:p w14:paraId="38FFDF31" w14:textId="77777777" w:rsidR="008017D2" w:rsidRDefault="008017D2" w:rsidP="008017D2">
            <w:pPr>
              <w:pStyle w:val="Box"/>
            </w:pPr>
            <w:r>
              <w:t>US studies have estimated that overuse accounts for at least 6</w:t>
            </w:r>
            <w:r>
              <w:noBreakHyphen/>
              <w:t>8 per cent of total health care spending (based on direct measurement of overuse) and could be as high as 29</w:t>
            </w:r>
            <w:r w:rsidR="0012404B">
              <w:t> </w:t>
            </w:r>
            <w:r>
              <w:t>per cent (based on geographical variation). It is unlikely that the extent of overuse would be lower in Australia. Australia’s internationally high rate of antimicrobial use has already been mentioned. It is also notable that Australia’s recently released guidelines discouraging arthroscopic surgery for patients with knee osteoarthritis is well over a decade behind the United States and the United Kingdom.</w:t>
            </w:r>
          </w:p>
        </w:tc>
      </w:tr>
      <w:tr w:rsidR="008017D2" w14:paraId="38FFDF34" w14:textId="77777777" w:rsidTr="008017D2">
        <w:tc>
          <w:tcPr>
            <w:tcW w:w="5000" w:type="pct"/>
            <w:tcBorders>
              <w:top w:val="nil"/>
              <w:left w:val="nil"/>
              <w:bottom w:val="nil"/>
              <w:right w:val="nil"/>
            </w:tcBorders>
            <w:shd w:val="clear" w:color="auto" w:fill="F2F2F2"/>
          </w:tcPr>
          <w:p w14:paraId="38FFDF33" w14:textId="77777777" w:rsidR="008017D2" w:rsidRDefault="008017D2" w:rsidP="008017D2">
            <w:pPr>
              <w:pStyle w:val="BoxSource"/>
            </w:pPr>
            <w:r>
              <w:rPr>
                <w:i/>
              </w:rPr>
              <w:t>Sources</w:t>
            </w:r>
            <w:r w:rsidRPr="00167F06">
              <w:t xml:space="preserve">: </w:t>
            </w:r>
            <w:r>
              <w:t>ACSQHC </w:t>
            </w:r>
            <w:r w:rsidRPr="00882CA2">
              <w:rPr>
                <w:rFonts w:cs="Arial"/>
              </w:rPr>
              <w:t>(2015, 2017a, 2017b)</w:t>
            </w:r>
            <w:r>
              <w:t>; Brownlee et al. </w:t>
            </w:r>
            <w:r w:rsidRPr="0016294D">
              <w:rPr>
                <w:rFonts w:cs="Arial"/>
              </w:rPr>
              <w:t>(2017)</w:t>
            </w:r>
            <w:r>
              <w:t>; CMS </w:t>
            </w:r>
            <w:r w:rsidRPr="00882CA2">
              <w:rPr>
                <w:rFonts w:cs="Arial"/>
              </w:rPr>
              <w:t>(2004)</w:t>
            </w:r>
            <w:r>
              <w:t>; Elshaug </w:t>
            </w:r>
            <w:r w:rsidRPr="0016294D">
              <w:rPr>
                <w:rFonts w:cs="Arial"/>
              </w:rPr>
              <w:t>(2012)</w:t>
            </w:r>
            <w:r>
              <w:t>; Hansen et al. </w:t>
            </w:r>
            <w:r w:rsidRPr="007B6BE4">
              <w:rPr>
                <w:rFonts w:cs="Arial"/>
              </w:rPr>
              <w:t>(2015)</w:t>
            </w:r>
            <w:r>
              <w:t>; Mossialos et al. </w:t>
            </w:r>
            <w:r w:rsidRPr="0016294D">
              <w:rPr>
                <w:rFonts w:cs="Arial"/>
              </w:rPr>
              <w:t>(2017)</w:t>
            </w:r>
            <w:r>
              <w:t>; NICE </w:t>
            </w:r>
            <w:r w:rsidRPr="00882CA2">
              <w:rPr>
                <w:rFonts w:cs="Arial"/>
              </w:rPr>
              <w:t>(2008, 2014)</w:t>
            </w:r>
            <w:r>
              <w:t>; Schoen et al. </w:t>
            </w:r>
            <w:r w:rsidRPr="00982D6D">
              <w:rPr>
                <w:rFonts w:cs="Arial"/>
              </w:rPr>
              <w:t>(2009)</w:t>
            </w:r>
            <w:r>
              <w:t>.</w:t>
            </w:r>
          </w:p>
        </w:tc>
      </w:tr>
      <w:tr w:rsidR="008017D2" w14:paraId="38FFDF36" w14:textId="77777777" w:rsidTr="008017D2">
        <w:tc>
          <w:tcPr>
            <w:tcW w:w="5000" w:type="pct"/>
            <w:tcBorders>
              <w:top w:val="nil"/>
              <w:left w:val="nil"/>
              <w:bottom w:val="single" w:sz="6" w:space="0" w:color="78A22F"/>
              <w:right w:val="nil"/>
            </w:tcBorders>
            <w:shd w:val="clear" w:color="auto" w:fill="F2F2F2"/>
          </w:tcPr>
          <w:p w14:paraId="38FFDF35" w14:textId="77777777" w:rsidR="008017D2" w:rsidRDefault="008017D2" w:rsidP="008017D2">
            <w:pPr>
              <w:pStyle w:val="Box"/>
              <w:spacing w:before="0" w:line="120" w:lineRule="exact"/>
            </w:pPr>
          </w:p>
        </w:tc>
      </w:tr>
      <w:tr w:rsidR="008017D2" w:rsidRPr="000863A5" w14:paraId="38FFDF38" w14:textId="77777777" w:rsidTr="008017D2">
        <w:tc>
          <w:tcPr>
            <w:tcW w:w="5000" w:type="pct"/>
            <w:tcBorders>
              <w:top w:val="single" w:sz="6" w:space="0" w:color="78A22F"/>
              <w:left w:val="nil"/>
              <w:bottom w:val="nil"/>
              <w:right w:val="nil"/>
            </w:tcBorders>
          </w:tcPr>
          <w:p w14:paraId="38FFDF37" w14:textId="77777777" w:rsidR="008017D2" w:rsidRPr="00626D32" w:rsidRDefault="008017D2" w:rsidP="008017D2">
            <w:pPr>
              <w:pStyle w:val="BoxSpaceBelow"/>
            </w:pPr>
          </w:p>
        </w:tc>
      </w:tr>
    </w:tbl>
    <w:p w14:paraId="38FFDF39" w14:textId="77777777" w:rsidR="009868F6" w:rsidRDefault="009868F6" w:rsidP="009868F6">
      <w:pPr>
        <w:pStyle w:val="Heading5"/>
      </w:pPr>
      <w:r>
        <w:t>The impact of removing the subsidy of PHI ancillaries</w:t>
      </w:r>
    </w:p>
    <w:p w14:paraId="38FFDF3A" w14:textId="77777777" w:rsidR="006B1EEA" w:rsidRDefault="006B1EEA" w:rsidP="009868F6">
      <w:pPr>
        <w:pStyle w:val="BodyText"/>
      </w:pPr>
      <w:r>
        <w:t xml:space="preserve">The </w:t>
      </w:r>
      <w:r w:rsidR="009D5A34">
        <w:t xml:space="preserve">Productivity </w:t>
      </w:r>
      <w:r>
        <w:t xml:space="preserve">Commission estimates the net economic impact of removing the subsidy of PHI ancillaries </w:t>
      </w:r>
      <w:r w:rsidR="00990DB5">
        <w:t xml:space="preserve">by estimating the </w:t>
      </w:r>
      <w:r>
        <w:t xml:space="preserve">deadweight economic burden </w:t>
      </w:r>
      <w:r w:rsidR="00990DB5">
        <w:t>associated with</w:t>
      </w:r>
      <w:r>
        <w:t xml:space="preserve"> the subsidy</w:t>
      </w:r>
      <w:r w:rsidR="003D7A48">
        <w:t xml:space="preserve"> </w:t>
      </w:r>
      <w:r w:rsidR="00990DB5">
        <w:t>and estimating the low value care that may be funded by the subsidy</w:t>
      </w:r>
      <w:r w:rsidR="00982E64">
        <w:t> </w:t>
      </w:r>
      <w:r>
        <w:t>(table 13).</w:t>
      </w:r>
    </w:p>
    <w:p w14:paraId="38FFDF3B" w14:textId="2ADB5F2B" w:rsidR="002A14C5" w:rsidRDefault="002A14C5" w:rsidP="002A14C5">
      <w:pPr>
        <w:pStyle w:val="BodyText"/>
      </w:pPr>
      <w:r>
        <w:t>The value of the subsidy paid for PHI ancillaries is estimated by assuming that the subsidy accounts for almost 25 per cent of the budget item ‘</w:t>
      </w:r>
      <w:r w:rsidRPr="006B1EEA">
        <w:rPr>
          <w:i/>
        </w:rPr>
        <w:t>Private Health Insurance Act 2007</w:t>
      </w:r>
      <w:r>
        <w:t xml:space="preserve"> – incentive payments and rebate’ reported by the Department of Health (</w:t>
      </w:r>
      <w:r w:rsidRPr="001028C8">
        <w:rPr>
          <w:szCs w:val="24"/>
        </w:rPr>
        <w:t>(DoH 2017, table</w:t>
      </w:r>
      <w:r w:rsidR="00B53B29">
        <w:rPr>
          <w:szCs w:val="24"/>
        </w:rPr>
        <w:t> </w:t>
      </w:r>
      <w:r w:rsidRPr="001028C8">
        <w:rPr>
          <w:szCs w:val="24"/>
        </w:rPr>
        <w:t>2.4.1)</w:t>
      </w:r>
      <w:r>
        <w:t>. This assumed proportion of the government rebate and incentive payment is, in the absence of better information, based on the share of ancillaries in the total benefits paid by Private Health Insurers in the twelve months to March 2017 reported by Australian Prudential Regulation Authority </w:t>
      </w:r>
      <w:r w:rsidRPr="001778DD">
        <w:t>(2017)</w:t>
      </w:r>
      <w:r>
        <w:t>. The value of the subsidy of ancillaries is assumed to grow with the forward budget estimates to 2019</w:t>
      </w:r>
      <w:r>
        <w:noBreakHyphen/>
        <w:t>20, and then to grow with the real growth in total health expenditure. Under this assumption, the value of the subsidy is estimated to be $1.7 billion in 2020, rising to over $4 billion by 2040.</w:t>
      </w:r>
    </w:p>
    <w:p w14:paraId="38FFDF3C" w14:textId="77777777" w:rsidR="002A14C5" w:rsidRDefault="002A14C5" w:rsidP="002A14C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2A14C5" w14:paraId="38FFDF3E" w14:textId="77777777" w:rsidTr="00365B0A">
        <w:tc>
          <w:tcPr>
            <w:tcW w:w="5000" w:type="pct"/>
            <w:tcBorders>
              <w:top w:val="single" w:sz="6" w:space="0" w:color="78A22F"/>
              <w:left w:val="nil"/>
              <w:bottom w:val="nil"/>
              <w:right w:val="nil"/>
            </w:tcBorders>
            <w:shd w:val="clear" w:color="auto" w:fill="F2F2F2"/>
          </w:tcPr>
          <w:p w14:paraId="38FFDF3D" w14:textId="77777777" w:rsidR="002A14C5" w:rsidRDefault="002A14C5" w:rsidP="00365B0A">
            <w:pPr>
              <w:pStyle w:val="BoxTitle"/>
            </w:pPr>
            <w:r>
              <w:rPr>
                <w:b w:val="0"/>
              </w:rPr>
              <w:t>Box 5</w:t>
            </w:r>
            <w:r w:rsidR="00951759">
              <w:tab/>
            </w:r>
            <w:r>
              <w:t xml:space="preserve">The deadweight burden in the taxation system of low value care </w:t>
            </w:r>
          </w:p>
        </w:tc>
      </w:tr>
      <w:tr w:rsidR="002A14C5" w14:paraId="38FFDF40" w14:textId="77777777" w:rsidTr="00365B0A">
        <w:tc>
          <w:tcPr>
            <w:tcW w:w="5000" w:type="pct"/>
            <w:tcBorders>
              <w:top w:val="nil"/>
              <w:left w:val="nil"/>
              <w:bottom w:val="nil"/>
              <w:right w:val="nil"/>
            </w:tcBorders>
            <w:shd w:val="clear" w:color="auto" w:fill="F2F2F2"/>
          </w:tcPr>
          <w:p w14:paraId="38FFDF3F" w14:textId="77777777" w:rsidR="002A14C5" w:rsidRDefault="002A14C5" w:rsidP="00365B0A">
            <w:pPr>
              <w:pStyle w:val="Box"/>
            </w:pPr>
            <w:r w:rsidRPr="00935DB6">
              <w:t xml:space="preserve">Taxpayers bear any inflated costs when spending is publicly funded or subsidised. The second round effects of the taxes that must be levied to raise the required revenue frustrate investment and labour supply across the economy generally. Income taxes are generally the first resort for revenue shortfalls for the Australian Government under current policy settings, and the most recent estimates suggests that they impose </w:t>
            </w:r>
            <w:r>
              <w:t>about</w:t>
            </w:r>
            <w:r w:rsidRPr="00935DB6">
              <w:t xml:space="preserve"> a $200–$390 million ‘deadweight’ economic burden for every one billion dollars of unjustified taxpayer funded expenditures — ‘waste on waste’. State revenue is also a large source of funding for health care, and the taxes they impose are often also inefficient (such as insurance taxes and stamp duties). Therefore, even if the deadweight costs per additional dollar of tax collected were at the bottom end of the most recent estimates, it is plausible that there are hundreds of millions of dollars of hidden costs annually in addition to the direct costs of the waste itself.</w:t>
            </w:r>
          </w:p>
        </w:tc>
      </w:tr>
      <w:tr w:rsidR="002A14C5" w14:paraId="38FFDF42" w14:textId="77777777" w:rsidTr="00365B0A">
        <w:tc>
          <w:tcPr>
            <w:tcW w:w="5000" w:type="pct"/>
            <w:tcBorders>
              <w:top w:val="nil"/>
              <w:left w:val="nil"/>
              <w:bottom w:val="nil"/>
              <w:right w:val="nil"/>
            </w:tcBorders>
            <w:shd w:val="clear" w:color="auto" w:fill="F2F2F2"/>
          </w:tcPr>
          <w:p w14:paraId="38FFDF41" w14:textId="77777777" w:rsidR="002A14C5" w:rsidRDefault="002A14C5" w:rsidP="00365B0A">
            <w:pPr>
              <w:pStyle w:val="BoxSource"/>
            </w:pPr>
            <w:r>
              <w:rPr>
                <w:i/>
              </w:rPr>
              <w:t>Sources</w:t>
            </w:r>
            <w:r w:rsidRPr="00167F06">
              <w:t>:</w:t>
            </w:r>
            <w:r>
              <w:t xml:space="preserve"> Cao et al. </w:t>
            </w:r>
            <w:r w:rsidRPr="007B194B">
              <w:rPr>
                <w:rFonts w:cs="Arial"/>
              </w:rPr>
              <w:t>(2015)</w:t>
            </w:r>
            <w:r>
              <w:t>; Murphy </w:t>
            </w:r>
            <w:r w:rsidRPr="00783D38">
              <w:rPr>
                <w:rFonts w:cs="Arial"/>
              </w:rPr>
              <w:t>(2016)</w:t>
            </w:r>
            <w:r>
              <w:t>.</w:t>
            </w:r>
          </w:p>
        </w:tc>
      </w:tr>
      <w:tr w:rsidR="002A14C5" w14:paraId="38FFDF44" w14:textId="77777777" w:rsidTr="00365B0A">
        <w:tc>
          <w:tcPr>
            <w:tcW w:w="5000" w:type="pct"/>
            <w:tcBorders>
              <w:top w:val="nil"/>
              <w:left w:val="nil"/>
              <w:bottom w:val="single" w:sz="6" w:space="0" w:color="78A22F"/>
              <w:right w:val="nil"/>
            </w:tcBorders>
            <w:shd w:val="clear" w:color="auto" w:fill="F2F2F2"/>
          </w:tcPr>
          <w:p w14:paraId="38FFDF43" w14:textId="77777777" w:rsidR="002A14C5" w:rsidRDefault="002A14C5" w:rsidP="00365B0A">
            <w:pPr>
              <w:pStyle w:val="Box"/>
              <w:spacing w:before="0" w:line="120" w:lineRule="exact"/>
            </w:pPr>
          </w:p>
        </w:tc>
      </w:tr>
      <w:tr w:rsidR="002A14C5" w:rsidRPr="000863A5" w14:paraId="38FFDF46" w14:textId="77777777" w:rsidTr="00365B0A">
        <w:tc>
          <w:tcPr>
            <w:tcW w:w="5000" w:type="pct"/>
            <w:tcBorders>
              <w:top w:val="single" w:sz="6" w:space="0" w:color="78A22F"/>
              <w:left w:val="nil"/>
              <w:bottom w:val="nil"/>
              <w:right w:val="nil"/>
            </w:tcBorders>
          </w:tcPr>
          <w:p w14:paraId="38FFDF45" w14:textId="77777777" w:rsidR="002A14C5" w:rsidRPr="00626D32" w:rsidRDefault="002A14C5" w:rsidP="00365B0A">
            <w:pPr>
              <w:pStyle w:val="BoxSpaceBelow"/>
            </w:pPr>
          </w:p>
        </w:tc>
      </w:tr>
    </w:tbl>
    <w:p w14:paraId="38FFDF47" w14:textId="2492B9FF" w:rsidR="002C2931" w:rsidRDefault="00DD1E7B" w:rsidP="002C2931">
      <w:pPr>
        <w:pStyle w:val="BodyText"/>
      </w:pPr>
      <w:r>
        <w:t>T</w:t>
      </w:r>
      <w:r w:rsidR="002C2931">
        <w:t>he</w:t>
      </w:r>
      <w:r w:rsidR="006B1EEA">
        <w:t>re is a</w:t>
      </w:r>
      <w:r w:rsidR="002C2931">
        <w:t xml:space="preserve"> deadweight </w:t>
      </w:r>
      <w:r w:rsidR="005B54C4">
        <w:t>burden</w:t>
      </w:r>
      <w:r w:rsidR="002C2931">
        <w:t xml:space="preserve"> associated with raising the tax revenue (via income taxation) to the </w:t>
      </w:r>
      <w:r w:rsidR="007A371D">
        <w:t xml:space="preserve">estimated </w:t>
      </w:r>
      <w:r w:rsidR="002C2931">
        <w:t>value of the subsidy of ancillaries.</w:t>
      </w:r>
      <w:r w:rsidR="006B1EEA">
        <w:t xml:space="preserve"> Drawing on the literature summarised in </w:t>
      </w:r>
      <w:r w:rsidR="00995E17">
        <w:t>b</w:t>
      </w:r>
      <w:r w:rsidR="006B1EEA">
        <w:t xml:space="preserve">ox 5 above, it is </w:t>
      </w:r>
      <w:r w:rsidR="00990DB5">
        <w:t xml:space="preserve">assumed that the deadweight </w:t>
      </w:r>
      <w:r w:rsidR="005B54C4">
        <w:t>burden</w:t>
      </w:r>
      <w:r w:rsidR="00990DB5">
        <w:t xml:space="preserve"> amounts to $295</w:t>
      </w:r>
      <w:r w:rsidR="0012404B">
        <w:t> </w:t>
      </w:r>
      <w:r w:rsidR="00990DB5">
        <w:t xml:space="preserve">million for every one billion dollars of the subsidy. Based on this assumption, it is </w:t>
      </w:r>
      <w:r w:rsidR="001778DD">
        <w:t>estimated</w:t>
      </w:r>
      <w:r w:rsidR="006B1EEA">
        <w:t xml:space="preserve"> that the </w:t>
      </w:r>
      <w:r w:rsidR="006A644C">
        <w:t xml:space="preserve">gain from removing the </w:t>
      </w:r>
      <w:r w:rsidR="006B1EEA">
        <w:t xml:space="preserve">deadweight </w:t>
      </w:r>
      <w:r w:rsidR="006A644C">
        <w:t>burden</w:t>
      </w:r>
      <w:r w:rsidR="006B1EEA">
        <w:t xml:space="preserve"> </w:t>
      </w:r>
      <w:r w:rsidR="001778DD">
        <w:t xml:space="preserve">could be </w:t>
      </w:r>
      <w:r w:rsidR="005B54C4">
        <w:t>approximately $</w:t>
      </w:r>
      <w:r w:rsidR="0010434C">
        <w:t>4</w:t>
      </w:r>
      <w:r w:rsidR="001778DD">
        <w:t>00 million a year by 202</w:t>
      </w:r>
      <w:r w:rsidR="0010434C">
        <w:t>0</w:t>
      </w:r>
      <w:r w:rsidR="006A644C">
        <w:t>, rising to over one billion dollars a year by 2040</w:t>
      </w:r>
      <w:r w:rsidR="006B1EEA">
        <w:t>.</w:t>
      </w:r>
      <w:r w:rsidR="002C2931">
        <w:t xml:space="preserve"> </w:t>
      </w:r>
    </w:p>
    <w:p w14:paraId="38FFDF48" w14:textId="77777777" w:rsidR="006B1EEA" w:rsidRDefault="006B1EEA" w:rsidP="006B1E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6B1EEA" w14:paraId="38FFDF4B" w14:textId="77777777" w:rsidTr="0070126F">
        <w:tc>
          <w:tcPr>
            <w:tcW w:w="5000" w:type="pct"/>
            <w:tcBorders>
              <w:top w:val="single" w:sz="6" w:space="0" w:color="78A22F"/>
              <w:left w:val="nil"/>
              <w:bottom w:val="nil"/>
              <w:right w:val="nil"/>
            </w:tcBorders>
            <w:shd w:val="clear" w:color="auto" w:fill="auto"/>
          </w:tcPr>
          <w:p w14:paraId="38FFDF49" w14:textId="77777777" w:rsidR="006B1EEA" w:rsidRDefault="006B1EEA" w:rsidP="0070126F">
            <w:pPr>
              <w:pStyle w:val="TableTitle"/>
            </w:pPr>
            <w:r>
              <w:rPr>
                <w:b w:val="0"/>
              </w:rPr>
              <w:t>Table 13</w:t>
            </w:r>
            <w:r>
              <w:tab/>
              <w:t>Deriving the net economic impact of removing the subsidy of PHI ancillaries</w:t>
            </w:r>
          </w:p>
          <w:p w14:paraId="38FFDF4A" w14:textId="77777777" w:rsidR="006B1EEA" w:rsidRPr="00784A05" w:rsidRDefault="006B1EEA" w:rsidP="0070126F">
            <w:pPr>
              <w:pStyle w:val="Subtitle"/>
            </w:pPr>
            <w:r>
              <w:t>2016 prices</w:t>
            </w:r>
          </w:p>
        </w:tc>
      </w:tr>
      <w:tr w:rsidR="006B1EEA" w14:paraId="38FFDF69" w14:textId="77777777" w:rsidTr="0070126F">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574"/>
              <w:gridCol w:w="687"/>
              <w:gridCol w:w="868"/>
              <w:gridCol w:w="888"/>
              <w:gridCol w:w="888"/>
              <w:gridCol w:w="884"/>
            </w:tblGrid>
            <w:tr w:rsidR="006B1EEA" w14:paraId="38FFDF52" w14:textId="77777777" w:rsidTr="008A13D7">
              <w:trPr>
                <w:tblHeader/>
              </w:trPr>
              <w:tc>
                <w:tcPr>
                  <w:tcW w:w="2602" w:type="pct"/>
                  <w:tcBorders>
                    <w:top w:val="single" w:sz="6" w:space="0" w:color="BFBFBF"/>
                    <w:bottom w:val="single" w:sz="6" w:space="0" w:color="BFBFBF"/>
                  </w:tcBorders>
                  <w:shd w:val="clear" w:color="auto" w:fill="auto"/>
                  <w:tcMar>
                    <w:top w:w="28" w:type="dxa"/>
                  </w:tcMar>
                </w:tcPr>
                <w:p w14:paraId="38FFDF4C" w14:textId="77777777" w:rsidR="006B1EEA" w:rsidRDefault="006B1EEA" w:rsidP="0070126F">
                  <w:pPr>
                    <w:pStyle w:val="TableColumnHeading"/>
                    <w:jc w:val="left"/>
                  </w:pPr>
                </w:p>
              </w:tc>
              <w:tc>
                <w:tcPr>
                  <w:tcW w:w="391" w:type="pct"/>
                  <w:tcBorders>
                    <w:top w:val="single" w:sz="6" w:space="0" w:color="BFBFBF"/>
                    <w:bottom w:val="single" w:sz="6" w:space="0" w:color="BFBFBF"/>
                  </w:tcBorders>
                </w:tcPr>
                <w:p w14:paraId="38FFDF4D" w14:textId="77777777" w:rsidR="006B1EEA" w:rsidRDefault="006B1EEA" w:rsidP="0070126F">
                  <w:pPr>
                    <w:pStyle w:val="TableColumnHeading"/>
                  </w:pPr>
                  <w:r>
                    <w:t>Units</w:t>
                  </w:r>
                </w:p>
              </w:tc>
              <w:tc>
                <w:tcPr>
                  <w:tcW w:w="494" w:type="pct"/>
                  <w:tcBorders>
                    <w:top w:val="single" w:sz="6" w:space="0" w:color="BFBFBF"/>
                    <w:bottom w:val="single" w:sz="6" w:space="0" w:color="BFBFBF"/>
                  </w:tcBorders>
                  <w:shd w:val="clear" w:color="auto" w:fill="auto"/>
                  <w:tcMar>
                    <w:top w:w="28" w:type="dxa"/>
                  </w:tcMar>
                </w:tcPr>
                <w:p w14:paraId="38FFDF4E" w14:textId="77777777" w:rsidR="006B1EEA" w:rsidRDefault="006B1EEA" w:rsidP="0070126F">
                  <w:pPr>
                    <w:pStyle w:val="TableColumnHeading"/>
                  </w:pPr>
                  <w:r>
                    <w:t>2020</w:t>
                  </w:r>
                </w:p>
              </w:tc>
              <w:tc>
                <w:tcPr>
                  <w:tcW w:w="505" w:type="pct"/>
                  <w:tcBorders>
                    <w:top w:val="single" w:sz="6" w:space="0" w:color="BFBFBF"/>
                    <w:bottom w:val="single" w:sz="6" w:space="0" w:color="BFBFBF"/>
                  </w:tcBorders>
                </w:tcPr>
                <w:p w14:paraId="38FFDF4F" w14:textId="77777777" w:rsidR="006B1EEA" w:rsidRDefault="006B1EEA" w:rsidP="0070126F">
                  <w:pPr>
                    <w:pStyle w:val="TableColumnHeading"/>
                    <w:ind w:right="28"/>
                  </w:pPr>
                  <w:r>
                    <w:t>2025</w:t>
                  </w:r>
                </w:p>
              </w:tc>
              <w:tc>
                <w:tcPr>
                  <w:tcW w:w="505" w:type="pct"/>
                  <w:tcBorders>
                    <w:top w:val="single" w:sz="6" w:space="0" w:color="BFBFBF"/>
                    <w:bottom w:val="single" w:sz="6" w:space="0" w:color="BFBFBF"/>
                  </w:tcBorders>
                </w:tcPr>
                <w:p w14:paraId="38FFDF50" w14:textId="77777777" w:rsidR="006B1EEA" w:rsidRDefault="006B1EEA" w:rsidP="0070126F">
                  <w:pPr>
                    <w:pStyle w:val="TableColumnHeading"/>
                    <w:ind w:right="28"/>
                  </w:pPr>
                  <w:r>
                    <w:t>2030</w:t>
                  </w:r>
                </w:p>
              </w:tc>
              <w:tc>
                <w:tcPr>
                  <w:tcW w:w="503" w:type="pct"/>
                  <w:tcBorders>
                    <w:top w:val="single" w:sz="6" w:space="0" w:color="BFBFBF"/>
                    <w:bottom w:val="single" w:sz="6" w:space="0" w:color="BFBFBF"/>
                  </w:tcBorders>
                  <w:shd w:val="clear" w:color="auto" w:fill="auto"/>
                  <w:tcMar>
                    <w:top w:w="28" w:type="dxa"/>
                  </w:tcMar>
                </w:tcPr>
                <w:p w14:paraId="38FFDF51" w14:textId="77777777" w:rsidR="006B1EEA" w:rsidRDefault="006B1EEA" w:rsidP="0070126F">
                  <w:pPr>
                    <w:pStyle w:val="TableColumnHeading"/>
                    <w:ind w:right="28"/>
                  </w:pPr>
                  <w:r>
                    <w:t>2040</w:t>
                  </w:r>
                </w:p>
              </w:tc>
            </w:tr>
            <w:tr w:rsidR="006A644C" w14:paraId="38FFDF59" w14:textId="77777777" w:rsidTr="008A13D7">
              <w:tc>
                <w:tcPr>
                  <w:tcW w:w="2602" w:type="pct"/>
                  <w:tcBorders>
                    <w:top w:val="single" w:sz="6" w:space="0" w:color="BFBFBF"/>
                  </w:tcBorders>
                </w:tcPr>
                <w:p w14:paraId="38FFDF53" w14:textId="77777777" w:rsidR="006A644C" w:rsidRDefault="005B54C4" w:rsidP="005B54C4">
                  <w:pPr>
                    <w:pStyle w:val="TableBodyText"/>
                    <w:jc w:val="left"/>
                  </w:pPr>
                  <w:r>
                    <w:t>Economic impact of removing</w:t>
                  </w:r>
                  <w:r w:rsidR="006A644C">
                    <w:t xml:space="preserve"> </w:t>
                  </w:r>
                  <w:r>
                    <w:t>the</w:t>
                  </w:r>
                  <w:r w:rsidR="006A644C">
                    <w:t xml:space="preserve"> subsidy</w:t>
                  </w:r>
                </w:p>
              </w:tc>
              <w:tc>
                <w:tcPr>
                  <w:tcW w:w="391" w:type="pct"/>
                  <w:tcBorders>
                    <w:top w:val="single" w:sz="6" w:space="0" w:color="BFBFBF"/>
                  </w:tcBorders>
                </w:tcPr>
                <w:p w14:paraId="38FFDF54" w14:textId="77777777" w:rsidR="006A644C" w:rsidRDefault="006A644C" w:rsidP="0070126F">
                  <w:pPr>
                    <w:pStyle w:val="TableBodyText"/>
                  </w:pPr>
                  <w:r>
                    <w:t>$m</w:t>
                  </w:r>
                </w:p>
              </w:tc>
              <w:tc>
                <w:tcPr>
                  <w:tcW w:w="494" w:type="pct"/>
                  <w:tcBorders>
                    <w:top w:val="single" w:sz="6" w:space="0" w:color="BFBFBF"/>
                  </w:tcBorders>
                </w:tcPr>
                <w:p w14:paraId="38FFDF55" w14:textId="2750D086" w:rsidR="006A644C" w:rsidRPr="00A63972" w:rsidRDefault="005B54C4" w:rsidP="00A63972">
                  <w:pPr>
                    <w:pStyle w:val="TableBodyText"/>
                  </w:pPr>
                  <w:r w:rsidRPr="00A63972">
                    <w:t>6</w:t>
                  </w:r>
                  <w:r w:rsidR="0010434C">
                    <w:t>11</w:t>
                  </w:r>
                </w:p>
              </w:tc>
              <w:tc>
                <w:tcPr>
                  <w:tcW w:w="505" w:type="pct"/>
                  <w:tcBorders>
                    <w:top w:val="single" w:sz="6" w:space="0" w:color="BFBFBF"/>
                  </w:tcBorders>
                </w:tcPr>
                <w:p w14:paraId="38FFDF56" w14:textId="4BED4DF8" w:rsidR="006A644C" w:rsidRPr="00A63972" w:rsidRDefault="00FA3FD4" w:rsidP="00A63972">
                  <w:pPr>
                    <w:pStyle w:val="TableBodyText"/>
                  </w:pPr>
                  <w:r>
                    <w:t>767</w:t>
                  </w:r>
                </w:p>
              </w:tc>
              <w:tc>
                <w:tcPr>
                  <w:tcW w:w="505" w:type="pct"/>
                  <w:tcBorders>
                    <w:top w:val="single" w:sz="6" w:space="0" w:color="BFBFBF"/>
                  </w:tcBorders>
                </w:tcPr>
                <w:p w14:paraId="38FFDF57" w14:textId="0DF30401" w:rsidR="006A644C" w:rsidRPr="00A63972" w:rsidRDefault="00FA3FD4" w:rsidP="00A63972">
                  <w:pPr>
                    <w:pStyle w:val="TableBodyText"/>
                  </w:pPr>
                  <w:r>
                    <w:t>963</w:t>
                  </w:r>
                </w:p>
              </w:tc>
              <w:tc>
                <w:tcPr>
                  <w:tcW w:w="503" w:type="pct"/>
                  <w:tcBorders>
                    <w:top w:val="single" w:sz="6" w:space="0" w:color="BFBFBF"/>
                  </w:tcBorders>
                </w:tcPr>
                <w:p w14:paraId="38FFDF58" w14:textId="538B41AE" w:rsidR="006A644C" w:rsidRPr="00A63972" w:rsidRDefault="005B54C4">
                  <w:pPr>
                    <w:pStyle w:val="TableBodyText"/>
                  </w:pPr>
                  <w:r w:rsidRPr="00A63972">
                    <w:t>1 </w:t>
                  </w:r>
                  <w:r w:rsidR="00FA3FD4">
                    <w:t>516</w:t>
                  </w:r>
                  <w:r w:rsidR="00FA3FD4" w:rsidRPr="00A63972">
                    <w:t xml:space="preserve"> </w:t>
                  </w:r>
                </w:p>
              </w:tc>
            </w:tr>
            <w:tr w:rsidR="006B1EEA" w14:paraId="38FFDF60" w14:textId="77777777" w:rsidTr="008A13D7">
              <w:tc>
                <w:tcPr>
                  <w:tcW w:w="2602" w:type="pct"/>
                </w:tcPr>
                <w:p w14:paraId="38FFDF5A" w14:textId="77777777" w:rsidR="006B1EEA" w:rsidRDefault="006A644C" w:rsidP="00A63972">
                  <w:pPr>
                    <w:pStyle w:val="TableBodyText"/>
                    <w:jc w:val="left"/>
                  </w:pPr>
                  <w:r>
                    <w:t xml:space="preserve"> from </w:t>
                  </w:r>
                  <w:r w:rsidR="00990DB5">
                    <w:t xml:space="preserve">removal of </w:t>
                  </w:r>
                  <w:r>
                    <w:t>d</w:t>
                  </w:r>
                  <w:r w:rsidR="006B1EEA">
                    <w:t xml:space="preserve">eadweight </w:t>
                  </w:r>
                  <w:r w:rsidR="005B54C4">
                    <w:t>burden</w:t>
                  </w:r>
                </w:p>
              </w:tc>
              <w:tc>
                <w:tcPr>
                  <w:tcW w:w="391" w:type="pct"/>
                </w:tcPr>
                <w:p w14:paraId="38FFDF5B" w14:textId="77777777" w:rsidR="006B1EEA" w:rsidRDefault="006B1EEA" w:rsidP="0070126F">
                  <w:pPr>
                    <w:pStyle w:val="TableBodyText"/>
                  </w:pPr>
                  <w:r>
                    <w:t>$m</w:t>
                  </w:r>
                </w:p>
              </w:tc>
              <w:tc>
                <w:tcPr>
                  <w:tcW w:w="494" w:type="pct"/>
                </w:tcPr>
                <w:p w14:paraId="38FFDF5C" w14:textId="29C24020" w:rsidR="006B1EEA" w:rsidRPr="00A63972" w:rsidRDefault="006A644C" w:rsidP="00A63972">
                  <w:pPr>
                    <w:pStyle w:val="TableBodyText"/>
                  </w:pPr>
                  <w:r w:rsidRPr="00A63972">
                    <w:t>4</w:t>
                  </w:r>
                  <w:r w:rsidR="00FA3FD4">
                    <w:t>44</w:t>
                  </w:r>
                </w:p>
              </w:tc>
              <w:tc>
                <w:tcPr>
                  <w:tcW w:w="505" w:type="pct"/>
                </w:tcPr>
                <w:p w14:paraId="38FFDF5D" w14:textId="035A5788" w:rsidR="006B1EEA" w:rsidRPr="00A63972" w:rsidRDefault="00FA3FD4" w:rsidP="00A63972">
                  <w:pPr>
                    <w:pStyle w:val="TableBodyText"/>
                  </w:pPr>
                  <w:r>
                    <w:t>557</w:t>
                  </w:r>
                </w:p>
              </w:tc>
              <w:tc>
                <w:tcPr>
                  <w:tcW w:w="505" w:type="pct"/>
                </w:tcPr>
                <w:p w14:paraId="38FFDF5E" w14:textId="228EF7B8" w:rsidR="006B1EEA" w:rsidRPr="00A63972" w:rsidRDefault="00FA3FD4" w:rsidP="00A63972">
                  <w:pPr>
                    <w:pStyle w:val="TableBodyText"/>
                  </w:pPr>
                  <w:r>
                    <w:t>699</w:t>
                  </w:r>
                </w:p>
              </w:tc>
              <w:tc>
                <w:tcPr>
                  <w:tcW w:w="503" w:type="pct"/>
                </w:tcPr>
                <w:p w14:paraId="38FFDF5F" w14:textId="70EF5F69" w:rsidR="006B1EEA" w:rsidRPr="00A63972" w:rsidRDefault="006A644C" w:rsidP="00A63972">
                  <w:pPr>
                    <w:pStyle w:val="TableBodyText"/>
                  </w:pPr>
                  <w:r w:rsidRPr="00A63972">
                    <w:t>1 </w:t>
                  </w:r>
                  <w:r w:rsidR="00FA3FD4">
                    <w:t>102</w:t>
                  </w:r>
                </w:p>
              </w:tc>
            </w:tr>
            <w:tr w:rsidR="006A644C" w14:paraId="38FFDF67" w14:textId="77777777" w:rsidTr="008A13D7">
              <w:tc>
                <w:tcPr>
                  <w:tcW w:w="2602" w:type="pct"/>
                  <w:tcBorders>
                    <w:bottom w:val="single" w:sz="4" w:space="0" w:color="BFBFBF" w:themeColor="background2"/>
                  </w:tcBorders>
                </w:tcPr>
                <w:p w14:paraId="38FFDF61" w14:textId="77777777" w:rsidR="006A644C" w:rsidRDefault="006A644C" w:rsidP="00D744E2">
                  <w:pPr>
                    <w:pStyle w:val="TableBodyText"/>
                    <w:jc w:val="left"/>
                  </w:pPr>
                  <w:r>
                    <w:t xml:space="preserve"> </w:t>
                  </w:r>
                  <w:r w:rsidR="00990DB5">
                    <w:t>from a</w:t>
                  </w:r>
                  <w:r>
                    <w:t>ssumed low value care</w:t>
                  </w:r>
                  <w:r w:rsidRPr="008E77FE">
                    <w:rPr>
                      <w:rStyle w:val="NoteLabel"/>
                    </w:rPr>
                    <w:t>a</w:t>
                  </w:r>
                </w:p>
              </w:tc>
              <w:tc>
                <w:tcPr>
                  <w:tcW w:w="391" w:type="pct"/>
                  <w:tcBorders>
                    <w:bottom w:val="single" w:sz="4" w:space="0" w:color="BFBFBF" w:themeColor="background2"/>
                  </w:tcBorders>
                </w:tcPr>
                <w:p w14:paraId="38FFDF62" w14:textId="77777777" w:rsidR="006A644C" w:rsidRDefault="006A644C" w:rsidP="0070126F">
                  <w:pPr>
                    <w:pStyle w:val="TableBodyText"/>
                  </w:pPr>
                  <w:r>
                    <w:t>$m</w:t>
                  </w:r>
                </w:p>
              </w:tc>
              <w:tc>
                <w:tcPr>
                  <w:tcW w:w="494" w:type="pct"/>
                  <w:tcBorders>
                    <w:bottom w:val="single" w:sz="4" w:space="0" w:color="BFBFBF" w:themeColor="background2"/>
                  </w:tcBorders>
                </w:tcPr>
                <w:p w14:paraId="38FFDF63" w14:textId="77777777" w:rsidR="006A644C" w:rsidRPr="00A63972" w:rsidRDefault="006A644C" w:rsidP="00A63972">
                  <w:pPr>
                    <w:pStyle w:val="TableBodyText"/>
                  </w:pPr>
                  <w:r w:rsidRPr="00A63972">
                    <w:t>167</w:t>
                  </w:r>
                </w:p>
              </w:tc>
              <w:tc>
                <w:tcPr>
                  <w:tcW w:w="505" w:type="pct"/>
                  <w:tcBorders>
                    <w:bottom w:val="single" w:sz="4" w:space="0" w:color="BFBFBF" w:themeColor="background2"/>
                  </w:tcBorders>
                </w:tcPr>
                <w:p w14:paraId="38FFDF64" w14:textId="77777777" w:rsidR="006A644C" w:rsidRPr="00A63972" w:rsidRDefault="006A644C" w:rsidP="00A63972">
                  <w:pPr>
                    <w:pStyle w:val="TableBodyText"/>
                  </w:pPr>
                  <w:r w:rsidRPr="00A63972">
                    <w:t>210</w:t>
                  </w:r>
                </w:p>
              </w:tc>
              <w:tc>
                <w:tcPr>
                  <w:tcW w:w="505" w:type="pct"/>
                  <w:tcBorders>
                    <w:bottom w:val="single" w:sz="4" w:space="0" w:color="BFBFBF" w:themeColor="background2"/>
                  </w:tcBorders>
                </w:tcPr>
                <w:p w14:paraId="38FFDF65" w14:textId="77777777" w:rsidR="006A644C" w:rsidRPr="00A63972" w:rsidRDefault="006A644C" w:rsidP="00A63972">
                  <w:pPr>
                    <w:pStyle w:val="TableBodyText"/>
                  </w:pPr>
                  <w:r w:rsidRPr="00A63972">
                    <w:t>263</w:t>
                  </w:r>
                </w:p>
              </w:tc>
              <w:tc>
                <w:tcPr>
                  <w:tcW w:w="503" w:type="pct"/>
                  <w:tcBorders>
                    <w:bottom w:val="single" w:sz="4" w:space="0" w:color="BFBFBF" w:themeColor="background2"/>
                  </w:tcBorders>
                </w:tcPr>
                <w:p w14:paraId="38FFDF66" w14:textId="77777777" w:rsidR="006A644C" w:rsidRPr="00A63972" w:rsidRDefault="006A644C" w:rsidP="00A63972">
                  <w:pPr>
                    <w:pStyle w:val="TableBodyText"/>
                  </w:pPr>
                  <w:r w:rsidRPr="00A63972">
                    <w:t>415</w:t>
                  </w:r>
                </w:p>
              </w:tc>
            </w:tr>
          </w:tbl>
          <w:p w14:paraId="38FFDF68" w14:textId="77777777" w:rsidR="006B1EEA" w:rsidRDefault="006B1EEA" w:rsidP="0070126F">
            <w:pPr>
              <w:pStyle w:val="Box"/>
            </w:pPr>
          </w:p>
        </w:tc>
      </w:tr>
      <w:tr w:rsidR="006B1EEA" w14:paraId="38FFDF6B" w14:textId="77777777" w:rsidTr="0070126F">
        <w:tc>
          <w:tcPr>
            <w:tcW w:w="5000" w:type="pct"/>
            <w:tcBorders>
              <w:top w:val="nil"/>
              <w:left w:val="nil"/>
              <w:bottom w:val="nil"/>
              <w:right w:val="nil"/>
            </w:tcBorders>
            <w:shd w:val="clear" w:color="auto" w:fill="auto"/>
          </w:tcPr>
          <w:p w14:paraId="38FFDF6A" w14:textId="77777777" w:rsidR="006B1EEA" w:rsidRDefault="006B1EEA" w:rsidP="006A644C">
            <w:pPr>
              <w:pStyle w:val="Note"/>
              <w:rPr>
                <w:i/>
              </w:rPr>
            </w:pPr>
            <w:r w:rsidRPr="008E77FE">
              <w:rPr>
                <w:rStyle w:val="NoteLabel"/>
              </w:rPr>
              <w:t>a</w:t>
            </w:r>
            <w:r>
              <w:t xml:space="preserve"> The dividend from reducing low value care is calculated as ten per cent of </w:t>
            </w:r>
            <w:r w:rsidR="006A644C">
              <w:t>the estimated value of the government subsidy of ancillaries.</w:t>
            </w:r>
          </w:p>
        </w:tc>
      </w:tr>
      <w:tr w:rsidR="006B1EEA" w14:paraId="38FFDF6D" w14:textId="77777777" w:rsidTr="0070126F">
        <w:tc>
          <w:tcPr>
            <w:tcW w:w="5000" w:type="pct"/>
            <w:tcBorders>
              <w:top w:val="nil"/>
              <w:left w:val="nil"/>
              <w:bottom w:val="nil"/>
              <w:right w:val="nil"/>
            </w:tcBorders>
            <w:shd w:val="clear" w:color="auto" w:fill="auto"/>
          </w:tcPr>
          <w:p w14:paraId="38FFDF6C" w14:textId="77777777" w:rsidR="006B1EEA" w:rsidRDefault="006B1EEA" w:rsidP="0070126F">
            <w:pPr>
              <w:pStyle w:val="Source"/>
            </w:pPr>
            <w:r>
              <w:rPr>
                <w:i/>
              </w:rPr>
              <w:t>Source</w:t>
            </w:r>
            <w:r w:rsidRPr="00167F06">
              <w:t xml:space="preserve">: </w:t>
            </w:r>
            <w:r w:rsidR="00A321BD">
              <w:t xml:space="preserve">Productivity </w:t>
            </w:r>
            <w:r>
              <w:t>Commission estimates.</w:t>
            </w:r>
          </w:p>
        </w:tc>
      </w:tr>
      <w:tr w:rsidR="006B1EEA" w14:paraId="38FFDF6F" w14:textId="77777777" w:rsidTr="0070126F">
        <w:tc>
          <w:tcPr>
            <w:tcW w:w="5000" w:type="pct"/>
            <w:tcBorders>
              <w:top w:val="nil"/>
              <w:left w:val="nil"/>
              <w:bottom w:val="single" w:sz="6" w:space="0" w:color="78A22F"/>
              <w:right w:val="nil"/>
            </w:tcBorders>
            <w:shd w:val="clear" w:color="auto" w:fill="auto"/>
          </w:tcPr>
          <w:p w14:paraId="38FFDF6E" w14:textId="77777777" w:rsidR="006B1EEA" w:rsidRDefault="006B1EEA" w:rsidP="0070126F">
            <w:pPr>
              <w:pStyle w:val="Box"/>
              <w:spacing w:before="0" w:line="120" w:lineRule="exact"/>
            </w:pPr>
          </w:p>
        </w:tc>
      </w:tr>
      <w:tr w:rsidR="006B1EEA" w:rsidRPr="000863A5" w14:paraId="38FFDF71" w14:textId="77777777" w:rsidTr="0070126F">
        <w:tc>
          <w:tcPr>
            <w:tcW w:w="5000" w:type="pct"/>
            <w:tcBorders>
              <w:top w:val="single" w:sz="6" w:space="0" w:color="78A22F"/>
              <w:left w:val="nil"/>
              <w:bottom w:val="nil"/>
              <w:right w:val="nil"/>
            </w:tcBorders>
          </w:tcPr>
          <w:p w14:paraId="38FFDF70" w14:textId="77777777" w:rsidR="006B1EEA" w:rsidRPr="00626D32" w:rsidRDefault="006B1EEA" w:rsidP="0070126F">
            <w:pPr>
              <w:pStyle w:val="BoxSpaceBelow"/>
            </w:pPr>
          </w:p>
        </w:tc>
      </w:tr>
    </w:tbl>
    <w:p w14:paraId="38FFDF72" w14:textId="5DE3E851" w:rsidR="00A63972" w:rsidRDefault="002C2931" w:rsidP="009868F6">
      <w:pPr>
        <w:pStyle w:val="BodyText"/>
      </w:pPr>
      <w:r>
        <w:t xml:space="preserve">A proportion of </w:t>
      </w:r>
      <w:r w:rsidR="00922EC3">
        <w:t xml:space="preserve">the subsidy of </w:t>
      </w:r>
      <w:r>
        <w:t>P</w:t>
      </w:r>
      <w:r w:rsidR="007A371D">
        <w:t>HI</w:t>
      </w:r>
      <w:r w:rsidR="00922EC3">
        <w:t xml:space="preserve"> </w:t>
      </w:r>
      <w:r>
        <w:t xml:space="preserve">ancillaries is likely to </w:t>
      </w:r>
      <w:r w:rsidR="00922EC3">
        <w:t>fund</w:t>
      </w:r>
      <w:r>
        <w:t xml:space="preserve"> low value care. </w:t>
      </w:r>
      <w:r w:rsidR="006B1EEA">
        <w:t xml:space="preserve">While that proportion could be significant, </w:t>
      </w:r>
      <w:r>
        <w:t xml:space="preserve">there is </w:t>
      </w:r>
      <w:r w:rsidR="006B1EEA">
        <w:t>little</w:t>
      </w:r>
      <w:r>
        <w:t xml:space="preserve"> information to indicate what that proportion may be</w:t>
      </w:r>
      <w:r w:rsidR="00922EC3">
        <w:t>. Therefore</w:t>
      </w:r>
      <w:r w:rsidR="006B1EEA">
        <w:t xml:space="preserve">, </w:t>
      </w:r>
      <w:r w:rsidR="00922EC3">
        <w:t xml:space="preserve">the </w:t>
      </w:r>
      <w:r w:rsidR="009D5A34">
        <w:t xml:space="preserve">Productivity </w:t>
      </w:r>
      <w:r w:rsidR="00922EC3">
        <w:t>Commission</w:t>
      </w:r>
      <w:r w:rsidR="006A644C">
        <w:t xml:space="preserve"> assumes the proportion to be </w:t>
      </w:r>
      <w:r w:rsidR="0012404B">
        <w:t>10 </w:t>
      </w:r>
      <w:r w:rsidR="006A644C">
        <w:t xml:space="preserve">per cent, consistent with the assumption made for other forms of health care spending. </w:t>
      </w:r>
      <w:r w:rsidR="005B54C4">
        <w:t xml:space="preserve">Low value care funded by the subsidy on ancillaries is therefore estimated to </w:t>
      </w:r>
      <w:r w:rsidR="00A63972">
        <w:t>be a</w:t>
      </w:r>
      <w:r w:rsidR="00FA3FD4">
        <w:t>lmost</w:t>
      </w:r>
      <w:r w:rsidR="00A63972">
        <w:t xml:space="preserve"> $200 million in 202</w:t>
      </w:r>
      <w:r w:rsidR="00582E60">
        <w:t>0</w:t>
      </w:r>
      <w:r w:rsidR="00A63972">
        <w:t xml:space="preserve">, rising to about $400 million by 2040. </w:t>
      </w:r>
    </w:p>
    <w:p w14:paraId="38FFDF73" w14:textId="1199344F" w:rsidR="001C0AED" w:rsidRDefault="00A63972" w:rsidP="00120072">
      <w:pPr>
        <w:pStyle w:val="BodyText"/>
      </w:pPr>
      <w:r>
        <w:t>The net economic benefit of removing the subsidy on PHI ancillaries therefore rises from approximately $</w:t>
      </w:r>
      <w:r w:rsidR="00FA3FD4">
        <w:t>6</w:t>
      </w:r>
      <w:r>
        <w:t>00 million initially, to about $1.</w:t>
      </w:r>
      <w:r w:rsidR="00FA3FD4">
        <w:t>5</w:t>
      </w:r>
      <w:r>
        <w:t xml:space="preserve"> billion by 2040 and continues to grow with the expansion of the economy.</w:t>
      </w:r>
      <w:r w:rsidR="00A33DFF">
        <w:br w:type="page"/>
      </w:r>
    </w:p>
    <w:p w14:paraId="38FFDF74" w14:textId="77777777" w:rsidR="000912F9" w:rsidRDefault="008E4498" w:rsidP="00032125">
      <w:pPr>
        <w:pStyle w:val="Heading1nochapterno"/>
      </w:pPr>
      <w:bookmarkStart w:id="11" w:name="_Toc489363165"/>
      <w:r w:rsidRPr="008E4498">
        <w:t>References</w:t>
      </w:r>
      <w:bookmarkEnd w:id="11"/>
    </w:p>
    <w:p w14:paraId="38FFDF75" w14:textId="77777777" w:rsidR="00987022" w:rsidRPr="00987022" w:rsidRDefault="00987022" w:rsidP="00032125">
      <w:pPr>
        <w:pStyle w:val="Reference"/>
      </w:pPr>
      <w:r w:rsidRPr="00987022">
        <w:t xml:space="preserve">ABS (Australian Bureau of Statistics) 2006, </w:t>
      </w:r>
      <w:r w:rsidRPr="00987022">
        <w:rPr>
          <w:i/>
          <w:iCs/>
        </w:rPr>
        <w:t>How Australians use their time, 2006</w:t>
      </w:r>
      <w:r w:rsidRPr="00987022">
        <w:t>, Cat. no</w:t>
      </w:r>
      <w:r w:rsidR="00C66E22">
        <w:t>.</w:t>
      </w:r>
      <w:r w:rsidRPr="00987022">
        <w:t xml:space="preserve"> 4153.0.</w:t>
      </w:r>
    </w:p>
    <w:p w14:paraId="38FFDF76" w14:textId="54ADD730" w:rsidR="00987022" w:rsidRPr="00987022" w:rsidRDefault="00987022" w:rsidP="00032125">
      <w:pPr>
        <w:pStyle w:val="Reference"/>
      </w:pPr>
      <w:r w:rsidRPr="00987022">
        <w:t xml:space="preserve">—— (2015, </w:t>
      </w:r>
      <w:r w:rsidRPr="00987022">
        <w:rPr>
          <w:i/>
          <w:iCs/>
        </w:rPr>
        <w:t>National Health Survey: First Results, 2014</w:t>
      </w:r>
      <w:r w:rsidR="00B53B29">
        <w:rPr>
          <w:i/>
          <w:iCs/>
        </w:rPr>
        <w:noBreakHyphen/>
      </w:r>
      <w:r w:rsidRPr="00987022">
        <w:rPr>
          <w:i/>
          <w:iCs/>
        </w:rPr>
        <w:t>15</w:t>
      </w:r>
      <w:r w:rsidRPr="00987022">
        <w:t>, 8 December, Cat. no</w:t>
      </w:r>
      <w:r w:rsidR="00C66E22">
        <w:t>.</w:t>
      </w:r>
      <w:r w:rsidRPr="00987022">
        <w:t xml:space="preserve"> 4364.0.55.001.</w:t>
      </w:r>
    </w:p>
    <w:p w14:paraId="38FFDF77" w14:textId="352D6D09" w:rsidR="00987022" w:rsidRPr="00987022" w:rsidRDefault="00987022" w:rsidP="00032125">
      <w:pPr>
        <w:pStyle w:val="Reference"/>
      </w:pPr>
      <w:r w:rsidRPr="00987022">
        <w:t xml:space="preserve">—— (2016, </w:t>
      </w:r>
      <w:r w:rsidRPr="00987022">
        <w:rPr>
          <w:i/>
          <w:iCs/>
        </w:rPr>
        <w:t>Disability, Ageing and Carers, Australia: Summary of Findings, 2015</w:t>
      </w:r>
      <w:r w:rsidRPr="00987022">
        <w:t>, 18 October, Cat. no</w:t>
      </w:r>
      <w:r w:rsidR="00C66E22">
        <w:t>.</w:t>
      </w:r>
      <w:r w:rsidRPr="00987022">
        <w:t xml:space="preserve"> 4430.0.</w:t>
      </w:r>
    </w:p>
    <w:p w14:paraId="38FFDF78" w14:textId="77777777" w:rsidR="00987022" w:rsidRPr="00987022" w:rsidRDefault="00987022" w:rsidP="00032125">
      <w:pPr>
        <w:pStyle w:val="Reference"/>
      </w:pPr>
      <w:r w:rsidRPr="00987022">
        <w:t xml:space="preserve">ACSQHC (Australian Commission on Safety and Quality in Health Care) 2015, </w:t>
      </w:r>
      <w:r w:rsidRPr="00987022">
        <w:rPr>
          <w:i/>
          <w:iCs/>
        </w:rPr>
        <w:t>Australian Atlas of Healthcare Variation</w:t>
      </w:r>
      <w:r w:rsidRPr="00987022">
        <w:t>, November.</w:t>
      </w:r>
    </w:p>
    <w:p w14:paraId="38FFDF79" w14:textId="5A52951A" w:rsidR="00987022" w:rsidRPr="00987022" w:rsidRDefault="00987022" w:rsidP="00032125">
      <w:pPr>
        <w:pStyle w:val="Reference"/>
      </w:pPr>
      <w:r w:rsidRPr="00987022">
        <w:t xml:space="preserve">—— (2017a, </w:t>
      </w:r>
      <w:r w:rsidRPr="00987022">
        <w:rPr>
          <w:i/>
          <w:iCs/>
        </w:rPr>
        <w:t>New Clinical Care Standard sets the benchmark for treating knee osteoarthritis</w:t>
      </w:r>
      <w:r w:rsidRPr="00987022">
        <w:t>, Media Release, 19 May, www.safetyandquality.gov.au/media_releases/a-new-clinical-care-standard-for-osteoarthritis-of-the-knee/ (accessed 12</w:t>
      </w:r>
      <w:r w:rsidR="00B53B29">
        <w:t> </w:t>
      </w:r>
      <w:r w:rsidRPr="00987022">
        <w:t>June 2017).</w:t>
      </w:r>
    </w:p>
    <w:p w14:paraId="38FFDF7A" w14:textId="22D795F6" w:rsidR="00987022" w:rsidRPr="00987022" w:rsidRDefault="00987022" w:rsidP="00032125">
      <w:pPr>
        <w:pStyle w:val="Reference"/>
      </w:pPr>
      <w:r w:rsidRPr="00987022">
        <w:t xml:space="preserve">—— (2017b, </w:t>
      </w:r>
      <w:r w:rsidRPr="00987022">
        <w:rPr>
          <w:i/>
          <w:iCs/>
        </w:rPr>
        <w:t>Osteoarthritis of the Knee Clinical Care Standard</w:t>
      </w:r>
      <w:r w:rsidRPr="00987022">
        <w:t>, May.</w:t>
      </w:r>
    </w:p>
    <w:p w14:paraId="38FFDF7B" w14:textId="6EE85F98" w:rsidR="00987022" w:rsidRPr="00987022" w:rsidRDefault="00987022" w:rsidP="00032125">
      <w:pPr>
        <w:pStyle w:val="Reference"/>
      </w:pPr>
      <w:r w:rsidRPr="00987022">
        <w:t xml:space="preserve">AIHW (Australian Institute of Health and Welfare) 2016a, </w:t>
      </w:r>
      <w:r w:rsidRPr="00987022">
        <w:rPr>
          <w:i/>
          <w:iCs/>
        </w:rPr>
        <w:t>Admitted patient care 2014</w:t>
      </w:r>
      <w:r w:rsidR="00B53B29">
        <w:rPr>
          <w:i/>
          <w:iCs/>
        </w:rPr>
        <w:noBreakHyphen/>
      </w:r>
      <w:r w:rsidRPr="00987022">
        <w:rPr>
          <w:i/>
          <w:iCs/>
        </w:rPr>
        <w:t>15: Australian hospital statistics</w:t>
      </w:r>
      <w:r w:rsidRPr="00987022">
        <w:t>, 68, Health services series.</w:t>
      </w:r>
    </w:p>
    <w:p w14:paraId="38FFDF7C" w14:textId="620B3F34" w:rsidR="00987022" w:rsidRPr="00987022" w:rsidRDefault="00987022" w:rsidP="00032125">
      <w:pPr>
        <w:pStyle w:val="Reference"/>
      </w:pPr>
      <w:r w:rsidRPr="00987022">
        <w:t xml:space="preserve">—— (2016b, </w:t>
      </w:r>
      <w:r w:rsidRPr="00987022">
        <w:rPr>
          <w:i/>
          <w:iCs/>
        </w:rPr>
        <w:t>Health Expenditure in Australia 2014</w:t>
      </w:r>
      <w:r w:rsidR="00B53B29">
        <w:rPr>
          <w:i/>
          <w:iCs/>
        </w:rPr>
        <w:noBreakHyphen/>
      </w:r>
      <w:r w:rsidRPr="00987022">
        <w:rPr>
          <w:i/>
          <w:iCs/>
        </w:rPr>
        <w:t>15</w:t>
      </w:r>
      <w:r w:rsidRPr="00987022">
        <w:t>, Health and welfare expenditure series no</w:t>
      </w:r>
      <w:r w:rsidR="00C66E22">
        <w:t>.</w:t>
      </w:r>
      <w:r w:rsidRPr="00987022">
        <w:t xml:space="preserve"> 57. Cat. no</w:t>
      </w:r>
      <w:r w:rsidR="00C66E22">
        <w:t>.</w:t>
      </w:r>
      <w:r w:rsidRPr="00987022">
        <w:t xml:space="preserve"> HWE 67.</w:t>
      </w:r>
    </w:p>
    <w:p w14:paraId="38FFDF7D" w14:textId="0127D292" w:rsidR="00987022" w:rsidRPr="00987022" w:rsidRDefault="00987022" w:rsidP="00032125">
      <w:pPr>
        <w:pStyle w:val="Reference"/>
      </w:pPr>
      <w:r w:rsidRPr="00987022">
        <w:t xml:space="preserve">—— (2016c, </w:t>
      </w:r>
      <w:r w:rsidRPr="00987022">
        <w:rPr>
          <w:i/>
          <w:iCs/>
        </w:rPr>
        <w:t>Hospital resources 2014</w:t>
      </w:r>
      <w:r w:rsidR="00B53B29">
        <w:rPr>
          <w:i/>
          <w:iCs/>
        </w:rPr>
        <w:noBreakHyphen/>
      </w:r>
      <w:r w:rsidRPr="00987022">
        <w:rPr>
          <w:i/>
          <w:iCs/>
        </w:rPr>
        <w:t>15: Australian hospital statistics</w:t>
      </w:r>
      <w:r w:rsidRPr="00987022">
        <w:t>, July, 71, Health services series.</w:t>
      </w:r>
    </w:p>
    <w:p w14:paraId="38FFDF7E" w14:textId="77777777" w:rsidR="00987022" w:rsidRPr="00987022" w:rsidRDefault="00987022" w:rsidP="00032125">
      <w:pPr>
        <w:pStyle w:val="Reference"/>
      </w:pPr>
      <w:r w:rsidRPr="00987022">
        <w:t xml:space="preserve">APRA (Australian Prudential Regulation Authority) 2017, </w:t>
      </w:r>
      <w:r w:rsidRPr="00987022">
        <w:rPr>
          <w:i/>
          <w:iCs/>
        </w:rPr>
        <w:t>Private Health Insurance Quarterly Statistics, March 2017</w:t>
      </w:r>
      <w:r w:rsidRPr="00987022">
        <w:t>, Statistics, May.</w:t>
      </w:r>
    </w:p>
    <w:p w14:paraId="38FFDF7F" w14:textId="77777777" w:rsidR="00987022" w:rsidRPr="00987022" w:rsidRDefault="00987022" w:rsidP="00032125">
      <w:pPr>
        <w:pStyle w:val="Reference"/>
      </w:pPr>
      <w:r w:rsidRPr="00987022">
        <w:t xml:space="preserve">Australian Government 2015, </w:t>
      </w:r>
      <w:r w:rsidRPr="00987022">
        <w:rPr>
          <w:i/>
          <w:iCs/>
        </w:rPr>
        <w:t>2015 Intergenerational Report: Australia in 2055</w:t>
      </w:r>
      <w:r w:rsidRPr="00987022">
        <w:t>, March.</w:t>
      </w:r>
    </w:p>
    <w:p w14:paraId="38FFDF80" w14:textId="77777777" w:rsidR="00987022" w:rsidRPr="00987022" w:rsidRDefault="00987022" w:rsidP="00032125">
      <w:pPr>
        <w:pStyle w:val="Reference"/>
      </w:pPr>
      <w:r w:rsidRPr="00987022">
        <w:t xml:space="preserve">Berwick, D.M., Nolan, T.W. and Whittington, J. 2008, ‘The triple aim: care, health, and cost’, </w:t>
      </w:r>
      <w:r w:rsidRPr="00987022">
        <w:rPr>
          <w:i/>
          <w:iCs/>
        </w:rPr>
        <w:t>Health Affairs (Project Hope)</w:t>
      </w:r>
      <w:r w:rsidRPr="00987022">
        <w:t>, vol. 27, no. 3, pp. 759–769.</w:t>
      </w:r>
    </w:p>
    <w:p w14:paraId="38FFDF81" w14:textId="77777777" w:rsidR="00987022" w:rsidRPr="00987022" w:rsidRDefault="00987022" w:rsidP="00032125">
      <w:pPr>
        <w:pStyle w:val="Reference"/>
      </w:pPr>
      <w:r w:rsidRPr="00987022">
        <w:t xml:space="preserve">Bodenheimer, T. and Sinsky, C. 2014, ‘From Triple to Quadruple Aim: Care of the Patient Requires Care of the Provider’, </w:t>
      </w:r>
      <w:r w:rsidRPr="00987022">
        <w:rPr>
          <w:i/>
          <w:iCs/>
        </w:rPr>
        <w:t>The Annals of Family Medicine</w:t>
      </w:r>
      <w:r w:rsidRPr="00987022">
        <w:t>, vol. 12, no. 6, pp. 573–576.</w:t>
      </w:r>
    </w:p>
    <w:p w14:paraId="38FFDF82" w14:textId="77777777" w:rsidR="00987022" w:rsidRPr="00987022" w:rsidRDefault="00987022" w:rsidP="00032125">
      <w:pPr>
        <w:pStyle w:val="Reference"/>
      </w:pPr>
      <w:r w:rsidRPr="00987022">
        <w:t xml:space="preserve">Bradford, W.D. 2001, ‘Stochastic Frontier Estimation of Cost Models within the Hospital’, </w:t>
      </w:r>
      <w:r w:rsidRPr="00987022">
        <w:rPr>
          <w:i/>
          <w:iCs/>
        </w:rPr>
        <w:t>Review of Economics and Statistics</w:t>
      </w:r>
      <w:r w:rsidRPr="00987022">
        <w:t>, vol. 83, no. 2, pp. 302–309.</w:t>
      </w:r>
    </w:p>
    <w:p w14:paraId="38FFDF83" w14:textId="77777777" w:rsidR="00987022" w:rsidRPr="00987022" w:rsidRDefault="00987022" w:rsidP="00032125">
      <w:pPr>
        <w:pStyle w:val="Reference"/>
      </w:pPr>
      <w:r w:rsidRPr="00987022">
        <w:t xml:space="preserve">Brownlee, S., Chalkidou, K., Doust, J., Elshaug, A.G., Glasziou, P., Heath, I., Nagpal, S., Saini, V., Srivastava, D., Chalmers, K. and Korenstein, D. 2017, ‘Evidence for overuse of medical services around the world’, </w:t>
      </w:r>
      <w:r w:rsidRPr="00987022">
        <w:rPr>
          <w:i/>
          <w:iCs/>
        </w:rPr>
        <w:t>Lancet</w:t>
      </w:r>
      <w:r w:rsidRPr="00987022">
        <w:t>, vol. 390, no. 10090, pp. 156–168.</w:t>
      </w:r>
    </w:p>
    <w:p w14:paraId="38FFDF84" w14:textId="5672428C" w:rsidR="00987022" w:rsidRPr="00987022" w:rsidRDefault="00987022" w:rsidP="00032125">
      <w:pPr>
        <w:pStyle w:val="Reference"/>
      </w:pPr>
      <w:r w:rsidRPr="00987022">
        <w:t xml:space="preserve">Bureau of Transport Statistics 2014, </w:t>
      </w:r>
      <w:r w:rsidRPr="00987022">
        <w:rPr>
          <w:i/>
          <w:iCs/>
        </w:rPr>
        <w:t>Household Travel Survey Report: Sydney 2012</w:t>
      </w:r>
      <w:r w:rsidR="00B53B29">
        <w:rPr>
          <w:i/>
          <w:iCs/>
        </w:rPr>
        <w:noBreakHyphen/>
      </w:r>
      <w:r w:rsidRPr="00987022">
        <w:rPr>
          <w:i/>
          <w:iCs/>
        </w:rPr>
        <w:t>13</w:t>
      </w:r>
      <w:r w:rsidRPr="00987022">
        <w:t>, November, NSW Department of Transport.</w:t>
      </w:r>
    </w:p>
    <w:p w14:paraId="38FFDF85" w14:textId="77777777" w:rsidR="00987022" w:rsidRPr="00987022" w:rsidRDefault="00987022" w:rsidP="00032125">
      <w:pPr>
        <w:pStyle w:val="Reference"/>
      </w:pPr>
      <w:r w:rsidRPr="00987022">
        <w:t xml:space="preserve">Cai, L. and Kalb, G. 2006, ‘Health status and labour force participation: evidence from Australia’, </w:t>
      </w:r>
      <w:r w:rsidRPr="00987022">
        <w:rPr>
          <w:i/>
          <w:iCs/>
        </w:rPr>
        <w:t>Health Economics</w:t>
      </w:r>
      <w:r w:rsidRPr="00987022">
        <w:t>, vol. 15, no. 3, pp. 241–261.</w:t>
      </w:r>
    </w:p>
    <w:p w14:paraId="38FFDF86" w14:textId="388DD0B8" w:rsidR="00987022" w:rsidRPr="00987022" w:rsidRDefault="00987022" w:rsidP="00032125">
      <w:pPr>
        <w:pStyle w:val="Reference"/>
      </w:pPr>
      <w:r w:rsidRPr="00987022">
        <w:t xml:space="preserve">Cao, L., Hosking, A., Kouparitsas, M., Mulllaly, D., Rimmer, X., Shi, Q., Stark, W. and Wende, S. 2015, </w:t>
      </w:r>
      <w:r w:rsidRPr="00987022">
        <w:rPr>
          <w:i/>
          <w:iCs/>
        </w:rPr>
        <w:t>Understanding the economy</w:t>
      </w:r>
      <w:r w:rsidR="00B53B29">
        <w:rPr>
          <w:i/>
          <w:iCs/>
        </w:rPr>
        <w:noBreakHyphen/>
      </w:r>
      <w:r w:rsidRPr="00987022">
        <w:rPr>
          <w:i/>
          <w:iCs/>
        </w:rPr>
        <w:t>wide efficiency and incidence of major Australian taxes</w:t>
      </w:r>
      <w:r w:rsidRPr="00987022">
        <w:t>, Treasury Working Paper.</w:t>
      </w:r>
    </w:p>
    <w:p w14:paraId="38FFDF87" w14:textId="77777777" w:rsidR="00987022" w:rsidRPr="00987022" w:rsidRDefault="00987022" w:rsidP="00032125">
      <w:pPr>
        <w:pStyle w:val="Reference"/>
      </w:pPr>
      <w:r w:rsidRPr="00987022">
        <w:t xml:space="preserve">CMS (Centers for Medicare and Medicaid Services) 2004, </w:t>
      </w:r>
      <w:r w:rsidRPr="00987022">
        <w:rPr>
          <w:i/>
          <w:iCs/>
        </w:rPr>
        <w:t>National Coverage Determination (NCD) for Arthroscopic Lavage and Arthroscopic Debridement for the Osteoarthritic Knee (150.9)</w:t>
      </w:r>
      <w:r w:rsidRPr="00987022">
        <w:t>, 100–3, United States.</w:t>
      </w:r>
    </w:p>
    <w:p w14:paraId="38FFDF88" w14:textId="2BAC2AB4" w:rsidR="00987022" w:rsidRPr="00987022" w:rsidRDefault="00987022" w:rsidP="00032125">
      <w:pPr>
        <w:pStyle w:val="Reference"/>
      </w:pPr>
      <w:r w:rsidRPr="00987022">
        <w:t xml:space="preserve">DoH (Department of Health) 2017, </w:t>
      </w:r>
      <w:r w:rsidRPr="00987022">
        <w:rPr>
          <w:i/>
          <w:iCs/>
        </w:rPr>
        <w:t>Portfolio Budget Statements 2017</w:t>
      </w:r>
      <w:r w:rsidR="00B53B29">
        <w:rPr>
          <w:i/>
          <w:iCs/>
        </w:rPr>
        <w:noBreakHyphen/>
      </w:r>
      <w:r w:rsidRPr="00987022">
        <w:rPr>
          <w:i/>
          <w:iCs/>
        </w:rPr>
        <w:t>18: Budget Related Paper No. 1.10: Health Portfolio</w:t>
      </w:r>
      <w:r w:rsidRPr="00987022">
        <w:t>, Australian Government.</w:t>
      </w:r>
    </w:p>
    <w:p w14:paraId="38FFDF89" w14:textId="05713C21" w:rsidR="00987022" w:rsidRPr="00987022" w:rsidRDefault="00987022" w:rsidP="00032125">
      <w:pPr>
        <w:pStyle w:val="Reference"/>
      </w:pPr>
      <w:r w:rsidRPr="00987022">
        <w:t>Elshaug, A.G., Watt, A.M., Mundy, L. and Willis, C.D. 2012, ‘Over 150 potentially low</w:t>
      </w:r>
      <w:r w:rsidR="00B53B29">
        <w:noBreakHyphen/>
      </w:r>
      <w:r w:rsidRPr="00987022">
        <w:t xml:space="preserve">value health care practices: an Australian study’, </w:t>
      </w:r>
      <w:r w:rsidRPr="00987022">
        <w:rPr>
          <w:i/>
          <w:iCs/>
        </w:rPr>
        <w:t>Medical Journal of Australia</w:t>
      </w:r>
      <w:r w:rsidRPr="00987022">
        <w:t>, vol. 197, no. 10.</w:t>
      </w:r>
    </w:p>
    <w:p w14:paraId="38FFDF8A" w14:textId="77777777" w:rsidR="00987022" w:rsidRPr="00987022" w:rsidRDefault="00987022" w:rsidP="00032125">
      <w:pPr>
        <w:pStyle w:val="Reference"/>
      </w:pPr>
      <w:r w:rsidRPr="00987022">
        <w:t xml:space="preserve">Ford, E.W., Huerta, T.R., Thompson, M.A. and Patry, R. 2011, ‘The Impact of Accelerating Electronic Prescribing on Hospitals’ Productivity Levels: Can Health Information Technology Bend the Curve?’, </w:t>
      </w:r>
      <w:r w:rsidRPr="00987022">
        <w:rPr>
          <w:i/>
          <w:iCs/>
        </w:rPr>
        <w:t>Inquiry</w:t>
      </w:r>
      <w:r w:rsidRPr="00987022">
        <w:t>, no. 4, p. 304.</w:t>
      </w:r>
    </w:p>
    <w:p w14:paraId="38FFDF8B" w14:textId="17849179" w:rsidR="00987022" w:rsidRPr="00987022" w:rsidRDefault="00987022" w:rsidP="00032125">
      <w:pPr>
        <w:pStyle w:val="Reference"/>
      </w:pPr>
      <w:r w:rsidRPr="00987022">
        <w:t xml:space="preserve">Gabbitas, O. and Salma, U. 2016, </w:t>
      </w:r>
      <w:r w:rsidRPr="00987022">
        <w:rPr>
          <w:i/>
          <w:iCs/>
        </w:rPr>
        <w:t>VUMR Modelling Reference Case, 2009</w:t>
      </w:r>
      <w:r w:rsidR="00B53B29">
        <w:rPr>
          <w:i/>
          <w:iCs/>
        </w:rPr>
        <w:noBreakHyphen/>
      </w:r>
      <w:r w:rsidRPr="00987022">
        <w:rPr>
          <w:i/>
          <w:iCs/>
        </w:rPr>
        <w:t>10 to 2059</w:t>
      </w:r>
      <w:r w:rsidR="00B53B29">
        <w:rPr>
          <w:i/>
          <w:iCs/>
        </w:rPr>
        <w:noBreakHyphen/>
      </w:r>
      <w:r w:rsidRPr="00987022">
        <w:rPr>
          <w:i/>
          <w:iCs/>
        </w:rPr>
        <w:t>60</w:t>
      </w:r>
      <w:r w:rsidRPr="00987022">
        <w:t>, Staff Working Paper, 28 November, Productivity Commission.</w:t>
      </w:r>
    </w:p>
    <w:p w14:paraId="38FFDF8C" w14:textId="537537B3" w:rsidR="00987022" w:rsidRPr="00987022" w:rsidRDefault="00987022" w:rsidP="00032125">
      <w:pPr>
        <w:pStyle w:val="Reference"/>
      </w:pPr>
      <w:r w:rsidRPr="00987022">
        <w:t xml:space="preserve">Griffith, C. 2016, ‘GP2U: Smartphone app brings the doctor to your phone’, </w:t>
      </w:r>
      <w:r w:rsidRPr="00987022">
        <w:rPr>
          <w:i/>
          <w:iCs/>
        </w:rPr>
        <w:t>The Australian</w:t>
      </w:r>
      <w:r w:rsidRPr="00987022">
        <w:t>, at.theaustralian.com.au/link/cf5fdfe057b532ba544a6693ccb3f982?domain=theaustralian.com.au (accessed 23</w:t>
      </w:r>
      <w:r w:rsidR="00B53B29">
        <w:t> </w:t>
      </w:r>
      <w:r w:rsidRPr="00987022">
        <w:t>June 2017).</w:t>
      </w:r>
    </w:p>
    <w:p w14:paraId="38FFDF8D" w14:textId="7CE5F15F" w:rsidR="00987022" w:rsidRPr="00987022" w:rsidRDefault="00987022" w:rsidP="00032125">
      <w:pPr>
        <w:pStyle w:val="Reference"/>
      </w:pPr>
      <w:r w:rsidRPr="00987022">
        <w:t xml:space="preserve">Haas, M. and de Abreu Lourenco, R. 2016, </w:t>
      </w:r>
      <w:r w:rsidRPr="00987022">
        <w:rPr>
          <w:i/>
          <w:iCs/>
        </w:rPr>
        <w:t>The REFinE</w:t>
      </w:r>
      <w:r w:rsidR="00B53B29">
        <w:rPr>
          <w:i/>
          <w:iCs/>
        </w:rPr>
        <w:noBreakHyphen/>
      </w:r>
      <w:r w:rsidRPr="00987022">
        <w:rPr>
          <w:i/>
          <w:iCs/>
        </w:rPr>
        <w:t>PHC Report on Patient Experiences of Primary Care</w:t>
      </w:r>
      <w:r w:rsidRPr="00987022">
        <w:t>, University of Technology Sydney.</w:t>
      </w:r>
    </w:p>
    <w:p w14:paraId="38FFDF8E" w14:textId="77777777" w:rsidR="00987022" w:rsidRPr="00987022" w:rsidRDefault="00987022" w:rsidP="00032125">
      <w:pPr>
        <w:pStyle w:val="Reference"/>
      </w:pPr>
      <w:r w:rsidRPr="00987022">
        <w:t xml:space="preserve">Hansen, M.P., Hoffmann, T.C., McCullough, A.R., van Driel, M.L. and Del Mar, C.B. 2015, ‘Antibiotic resistance: What are the opportunities for primary care in alleviating the crisis?’, </w:t>
      </w:r>
      <w:r w:rsidRPr="00987022">
        <w:rPr>
          <w:i/>
          <w:iCs/>
        </w:rPr>
        <w:t>Frontiers in Public Health</w:t>
      </w:r>
      <w:r w:rsidRPr="00987022">
        <w:t>, vol. 3, no. 35.</w:t>
      </w:r>
    </w:p>
    <w:p w14:paraId="38FFDF8F" w14:textId="7EF79C3E" w:rsidR="00987022" w:rsidRPr="00987022" w:rsidRDefault="00987022" w:rsidP="00032125">
      <w:pPr>
        <w:pStyle w:val="Reference"/>
      </w:pPr>
      <w:r w:rsidRPr="00987022">
        <w:t xml:space="preserve">HealthPathways Community 2017, </w:t>
      </w:r>
      <w:r w:rsidRPr="00987022">
        <w:rPr>
          <w:i/>
          <w:iCs/>
        </w:rPr>
        <w:t>HealthPathways websites</w:t>
      </w:r>
      <w:r w:rsidRPr="00987022">
        <w:t>, HealthPathways Community home page, www.healthpathwayscommunity.org/ (accessed 25</w:t>
      </w:r>
      <w:r w:rsidR="00B53B29">
        <w:t> </w:t>
      </w:r>
      <w:r w:rsidRPr="00987022">
        <w:t>May 2017).</w:t>
      </w:r>
    </w:p>
    <w:p w14:paraId="38FFDF90" w14:textId="77777777" w:rsidR="00987022" w:rsidRPr="00987022" w:rsidRDefault="00987022" w:rsidP="00032125">
      <w:pPr>
        <w:pStyle w:val="Reference"/>
      </w:pPr>
      <w:r w:rsidRPr="00987022">
        <w:t xml:space="preserve">Mossialos, E., Djordjevic, A., Osborn, R. and Sarnak, D. 2017, </w:t>
      </w:r>
      <w:r w:rsidRPr="00987022">
        <w:rPr>
          <w:i/>
          <w:iCs/>
        </w:rPr>
        <w:t>International Profiles of Health Care Systems</w:t>
      </w:r>
      <w:r w:rsidRPr="00987022">
        <w:t>, 31 May, The Commonwealth Fund, New York.</w:t>
      </w:r>
    </w:p>
    <w:p w14:paraId="38FFDF91" w14:textId="1E5882C0" w:rsidR="00987022" w:rsidRPr="00987022" w:rsidRDefault="00987022" w:rsidP="00032125">
      <w:pPr>
        <w:pStyle w:val="Reference"/>
      </w:pPr>
      <w:r w:rsidRPr="00987022">
        <w:t xml:space="preserve">Murphy, C. 2016, </w:t>
      </w:r>
      <w:r w:rsidRPr="00987022">
        <w:rPr>
          <w:i/>
          <w:iCs/>
        </w:rPr>
        <w:t>Efficiency of the tax system: a marginal excess burden analysis</w:t>
      </w:r>
      <w:r w:rsidRPr="00987022">
        <w:t>, TTPI</w:t>
      </w:r>
      <w:r w:rsidR="00B53B29">
        <w:noBreakHyphen/>
      </w:r>
      <w:r w:rsidRPr="00987022">
        <w:t>Working paper 4/2016, ANU Crawford School of Public Policy.</w:t>
      </w:r>
    </w:p>
    <w:p w14:paraId="38FFDF92" w14:textId="101716B8" w:rsidR="00987022" w:rsidRPr="00987022" w:rsidRDefault="00987022" w:rsidP="00032125">
      <w:pPr>
        <w:pStyle w:val="Reference"/>
      </w:pPr>
      <w:r w:rsidRPr="00987022">
        <w:t xml:space="preserve">NHPA (National Health Performance Authority) 2015, </w:t>
      </w:r>
      <w:r w:rsidRPr="00987022">
        <w:rPr>
          <w:i/>
          <w:iCs/>
        </w:rPr>
        <w:t>Healthy Communities: Potentially preventable hospitalisations in 2013</w:t>
      </w:r>
      <w:r w:rsidR="00B53B29">
        <w:rPr>
          <w:i/>
          <w:iCs/>
        </w:rPr>
        <w:noBreakHyphen/>
      </w:r>
      <w:r w:rsidRPr="00987022">
        <w:rPr>
          <w:i/>
          <w:iCs/>
        </w:rPr>
        <w:t>14</w:t>
      </w:r>
      <w:r w:rsidRPr="00987022">
        <w:t>, December.</w:t>
      </w:r>
    </w:p>
    <w:p w14:paraId="38FFDF93" w14:textId="77777777" w:rsidR="00987022" w:rsidRPr="00987022" w:rsidRDefault="00987022" w:rsidP="00032125">
      <w:pPr>
        <w:pStyle w:val="Reference"/>
      </w:pPr>
      <w:r w:rsidRPr="00987022">
        <w:t xml:space="preserve">NICE (National Institute for Health and Clinical Excellence) 2008, </w:t>
      </w:r>
      <w:r w:rsidRPr="00987022">
        <w:rPr>
          <w:i/>
          <w:iCs/>
        </w:rPr>
        <w:t>Osteoarthritis: the care and management of osteoarthritis in adults</w:t>
      </w:r>
      <w:r w:rsidRPr="00987022">
        <w:t>, Clinical Guideline, CG59, London.</w:t>
      </w:r>
    </w:p>
    <w:p w14:paraId="38FFDF94" w14:textId="4A8CE33A" w:rsidR="00987022" w:rsidRPr="00987022" w:rsidRDefault="00987022" w:rsidP="00032125">
      <w:pPr>
        <w:pStyle w:val="Reference"/>
      </w:pPr>
      <w:r w:rsidRPr="00987022">
        <w:t xml:space="preserve">—— (2014, </w:t>
      </w:r>
      <w:r w:rsidRPr="00987022">
        <w:rPr>
          <w:i/>
          <w:iCs/>
        </w:rPr>
        <w:t>Osteoarthritis: care and management</w:t>
      </w:r>
      <w:r w:rsidRPr="00987022">
        <w:t>, Clinical Guideline, CG177, London.</w:t>
      </w:r>
    </w:p>
    <w:p w14:paraId="38FFDF95" w14:textId="77777777" w:rsidR="00987022" w:rsidRPr="00987022" w:rsidRDefault="00987022" w:rsidP="00032125">
      <w:pPr>
        <w:pStyle w:val="Reference"/>
      </w:pPr>
      <w:r w:rsidRPr="00987022">
        <w:t xml:space="preserve">Parasuraman, A., Zeithaml, V.A. and Berry, L.L. 1985, ‘A conceptual model of service quality and its implications for future research’, </w:t>
      </w:r>
      <w:r w:rsidRPr="00987022">
        <w:rPr>
          <w:i/>
          <w:iCs/>
        </w:rPr>
        <w:t>Journal of Marketing</w:t>
      </w:r>
      <w:r w:rsidRPr="00987022">
        <w:t>, vol. 49, Fall, pp. 41–50.</w:t>
      </w:r>
    </w:p>
    <w:p w14:paraId="38FFDF96" w14:textId="77777777" w:rsidR="00987022" w:rsidRPr="00987022" w:rsidRDefault="00987022" w:rsidP="00032125">
      <w:pPr>
        <w:pStyle w:val="Reference"/>
      </w:pPr>
      <w:r w:rsidRPr="00987022">
        <w:t xml:space="preserve">PC (Productivity Commission) 2013, </w:t>
      </w:r>
      <w:r w:rsidRPr="00987022">
        <w:rPr>
          <w:i/>
          <w:iCs/>
        </w:rPr>
        <w:t>An Ageing Australia: Preparing for the Future</w:t>
      </w:r>
      <w:r w:rsidRPr="00987022">
        <w:t>, Research Paper.</w:t>
      </w:r>
    </w:p>
    <w:p w14:paraId="38FFDF97" w14:textId="77777777" w:rsidR="00987022" w:rsidRPr="00987022" w:rsidRDefault="00987022" w:rsidP="00032125">
      <w:pPr>
        <w:pStyle w:val="Reference"/>
      </w:pPr>
      <w:r w:rsidRPr="00987022">
        <w:t xml:space="preserve">Ray, K., Chari, A., Engberg, J., Bertolet, M. and Mehrotra, A. 2015, ‘Disparities in time spent seeking medical care in the united states’, </w:t>
      </w:r>
      <w:r w:rsidRPr="00987022">
        <w:rPr>
          <w:i/>
          <w:iCs/>
        </w:rPr>
        <w:t>JAMA Internal Medicine</w:t>
      </w:r>
      <w:r w:rsidRPr="00987022">
        <w:t>, vol. 175, no. 12, pp. 1983–1986.</w:t>
      </w:r>
    </w:p>
    <w:p w14:paraId="38FFDF98" w14:textId="77777777" w:rsidR="00987022" w:rsidRPr="00987022" w:rsidRDefault="00987022" w:rsidP="00032125">
      <w:pPr>
        <w:pStyle w:val="Reference"/>
      </w:pPr>
      <w:r w:rsidRPr="00987022">
        <w:t xml:space="preserve">Schoen et al. 2009, ‘In Chronic Condition: Experiences Of Patients With Complex Health Care Needs, In Eight Countries, 2008’, </w:t>
      </w:r>
      <w:r w:rsidRPr="00987022">
        <w:rPr>
          <w:i/>
          <w:iCs/>
        </w:rPr>
        <w:t>Health Affairs</w:t>
      </w:r>
      <w:r w:rsidRPr="00987022">
        <w:t>, vol. 28, no. 1, pp. w1–w16.</w:t>
      </w:r>
    </w:p>
    <w:p w14:paraId="38FFDF99" w14:textId="0133DDCF" w:rsidR="00987022" w:rsidRPr="00987022" w:rsidRDefault="00987022" w:rsidP="00032125">
      <w:pPr>
        <w:pStyle w:val="Reference"/>
      </w:pPr>
      <w:r w:rsidRPr="00987022">
        <w:t xml:space="preserve">SEMPHN (South Eastern Melbourne Primary Health Network) 2017, </w:t>
      </w:r>
      <w:r w:rsidRPr="00987022">
        <w:rPr>
          <w:i/>
          <w:iCs/>
        </w:rPr>
        <w:t xml:space="preserve">Online Clinical Pathways </w:t>
      </w:r>
      <w:r w:rsidR="00B53B29">
        <w:rPr>
          <w:i/>
          <w:iCs/>
        </w:rPr>
        <w:noBreakHyphen/>
      </w:r>
      <w:r w:rsidRPr="00987022">
        <w:rPr>
          <w:i/>
          <w:iCs/>
        </w:rPr>
        <w:t xml:space="preserve"> SEMPHN</w:t>
      </w:r>
      <w:r w:rsidRPr="00987022">
        <w:t>, South Eastern Melbourne PHN, www.semphn.org.au/resources/pathways.html (accessed 25</w:t>
      </w:r>
      <w:r w:rsidR="00B53B29">
        <w:t> </w:t>
      </w:r>
      <w:r w:rsidRPr="00987022">
        <w:t>May 2017).</w:t>
      </w:r>
    </w:p>
    <w:p w14:paraId="38FFDF9A" w14:textId="77777777" w:rsidR="00987022" w:rsidRPr="00987022" w:rsidRDefault="00987022" w:rsidP="00032125">
      <w:pPr>
        <w:pStyle w:val="Reference"/>
      </w:pPr>
      <w:r w:rsidRPr="00987022">
        <w:t xml:space="preserve">Timmins, N. and Ham, C. 2013, </w:t>
      </w:r>
      <w:r w:rsidRPr="00987022">
        <w:rPr>
          <w:i/>
          <w:iCs/>
        </w:rPr>
        <w:t>The quest for integrated health and social care. A case study in Canterbury, New Zealand</w:t>
      </w:r>
      <w:r w:rsidRPr="00987022">
        <w:t>, 12 September, The King’s Fund, London.</w:t>
      </w:r>
    </w:p>
    <w:p w14:paraId="38FFDF9B" w14:textId="18B27F12" w:rsidR="00987022" w:rsidRPr="00987022" w:rsidRDefault="00987022" w:rsidP="00032125">
      <w:pPr>
        <w:pStyle w:val="Reference"/>
      </w:pPr>
      <w:r w:rsidRPr="00987022">
        <w:t xml:space="preserve">Tonic Health Media 2017, </w:t>
      </w:r>
      <w:r w:rsidRPr="00987022">
        <w:rPr>
          <w:i/>
          <w:iCs/>
        </w:rPr>
        <w:t>GP Practice &amp; Pharmacy Information</w:t>
      </w:r>
      <w:r w:rsidRPr="00987022">
        <w:t>, www.tonichealthmedia.com.au/about-us/ (accessed 23</w:t>
      </w:r>
      <w:r w:rsidR="00B53B29">
        <w:t> </w:t>
      </w:r>
      <w:r w:rsidRPr="00987022">
        <w:t>June 2017).</w:t>
      </w:r>
    </w:p>
    <w:p w14:paraId="38FFDF9C" w14:textId="77777777" w:rsidR="00987022" w:rsidRPr="00987022" w:rsidRDefault="00987022" w:rsidP="00032125">
      <w:pPr>
        <w:pStyle w:val="Reference"/>
      </w:pPr>
      <w:r w:rsidRPr="00987022">
        <w:t xml:space="preserve">Verikios, G., Dixon, P.B., Rimmer, M.T. and Harris, A.H. 2015, ‘Improving health in an advanced economy: An economywide analysis for Australia’, </w:t>
      </w:r>
      <w:r w:rsidRPr="00987022">
        <w:rPr>
          <w:i/>
          <w:iCs/>
        </w:rPr>
        <w:t>Economic Modelling</w:t>
      </w:r>
      <w:r w:rsidRPr="00987022">
        <w:t>, vol. 46, pp. 250–261.</w:t>
      </w:r>
    </w:p>
    <w:p w14:paraId="38FFDF9D" w14:textId="5628FC9B" w:rsidR="00987022" w:rsidRPr="00987022" w:rsidRDefault="00987022" w:rsidP="00032125">
      <w:pPr>
        <w:pStyle w:val="Reference"/>
      </w:pPr>
      <w:r w:rsidRPr="00987022">
        <w:t xml:space="preserve">Vic DoHHS (Victorian Department of Health and Human Services) 2016, </w:t>
      </w:r>
      <w:r w:rsidRPr="00987022">
        <w:rPr>
          <w:i/>
          <w:iCs/>
        </w:rPr>
        <w:t>Hospital capital planning module</w:t>
      </w:r>
      <w:r w:rsidRPr="00987022">
        <w:t>, Infrastructure Planning and Delivery Guidelines, www.capital.health.vic.gov.au/Project_proposals/Benchmarking/Hospital_capital_planning_module/ (accessed 23</w:t>
      </w:r>
      <w:r w:rsidR="00B53B29">
        <w:t> </w:t>
      </w:r>
      <w:r w:rsidRPr="00987022">
        <w:t>June 2017).</w:t>
      </w:r>
    </w:p>
    <w:p w14:paraId="38FFDF9E" w14:textId="77777777" w:rsidR="008E4498" w:rsidRPr="008E4498" w:rsidRDefault="00987022" w:rsidP="00032125">
      <w:pPr>
        <w:pStyle w:val="Reference"/>
      </w:pPr>
      <w:r w:rsidRPr="00987022">
        <w:t xml:space="preserve">Zucchelli, E., Jones, A.M., Rice, N. and Harris, A. 2010, ‘The Effects of Health Shocks on Labour Market Exits: Evidence from the HILDA Survey’, </w:t>
      </w:r>
      <w:r w:rsidRPr="00987022">
        <w:rPr>
          <w:i/>
          <w:iCs/>
        </w:rPr>
        <w:t>Australian Journal of Labour Economics</w:t>
      </w:r>
      <w:r w:rsidRPr="00987022">
        <w:t>, vol. 13, no. 2, pp. 191–218.</w:t>
      </w:r>
    </w:p>
    <w:sectPr w:rsidR="008E4498" w:rsidRPr="008E4498" w:rsidSect="00BE43A6">
      <w:headerReference w:type="even" r:id="rId20"/>
      <w:headerReference w:type="default" r:id="rId21"/>
      <w:footerReference w:type="even" r:id="rId22"/>
      <w:footerReference w:type="default" r:id="rId23"/>
      <w:type w:val="evenPage"/>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8B9C8" w14:textId="77777777" w:rsidR="00DB1716" w:rsidRDefault="00DB1716">
      <w:r>
        <w:separator/>
      </w:r>
    </w:p>
  </w:endnote>
  <w:endnote w:type="continuationSeparator" w:id="0">
    <w:p w14:paraId="42F47139" w14:textId="77777777" w:rsidR="00DB1716" w:rsidRDefault="00DB1716">
      <w:r>
        <w:continuationSeparator/>
      </w:r>
    </w:p>
  </w:endnote>
  <w:endnote w:type="continuationNotice" w:id="1">
    <w:p w14:paraId="78D3859D" w14:textId="77777777" w:rsidR="00DB1716" w:rsidRDefault="00DB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B1716" w14:paraId="38FFDFBA" w14:textId="77777777" w:rsidTr="005F48ED">
      <w:trPr>
        <w:trHeight w:hRule="exact" w:val="567"/>
      </w:trPr>
      <w:tc>
        <w:tcPr>
          <w:tcW w:w="510" w:type="dxa"/>
        </w:tcPr>
        <w:p w14:paraId="38FFDFB7" w14:textId="77777777" w:rsidR="00DB1716" w:rsidRPr="00A24443" w:rsidRDefault="00DB171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38FFDFB8" w14:textId="77777777" w:rsidR="00DB1716" w:rsidRPr="0013739A" w:rsidRDefault="00DB1716"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14:paraId="38FFDFB9" w14:textId="77777777" w:rsidR="00DB1716" w:rsidRDefault="00DB1716" w:rsidP="0019293B">
          <w:pPr>
            <w:pStyle w:val="Footer"/>
          </w:pPr>
        </w:p>
      </w:tc>
    </w:tr>
  </w:tbl>
  <w:p w14:paraId="38FFDFBB" w14:textId="77777777" w:rsidR="00DB1716" w:rsidRDefault="00DB1716"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B1716" w14:paraId="38FFDFBF" w14:textId="77777777" w:rsidTr="005F48ED">
      <w:trPr>
        <w:trHeight w:hRule="exact" w:val="567"/>
      </w:trPr>
      <w:tc>
        <w:tcPr>
          <w:tcW w:w="510" w:type="dxa"/>
        </w:tcPr>
        <w:p w14:paraId="38FFDFBC" w14:textId="77777777" w:rsidR="00DB1716" w:rsidRDefault="00DB1716">
          <w:pPr>
            <w:pStyle w:val="Footer"/>
            <w:ind w:right="360" w:firstLine="360"/>
          </w:pPr>
        </w:p>
      </w:tc>
      <w:tc>
        <w:tcPr>
          <w:tcW w:w="7767" w:type="dxa"/>
        </w:tcPr>
        <w:p w14:paraId="38FFDFBD" w14:textId="2CE95928" w:rsidR="00DB1716" w:rsidRPr="00BA5B14" w:rsidRDefault="00DB1716" w:rsidP="00A72E03">
          <w:pPr>
            <w:pStyle w:val="Footer"/>
            <w:jc w:val="right"/>
            <w:rPr>
              <w:rFonts w:cs="Arial"/>
            </w:rPr>
          </w:pPr>
          <w:r>
            <w:rPr>
              <w:rFonts w:cs="Arial"/>
            </w:rPr>
            <w:t>SP 6 – Impacts of health recommendations</w:t>
          </w:r>
        </w:p>
      </w:tc>
      <w:tc>
        <w:tcPr>
          <w:tcW w:w="510" w:type="dxa"/>
        </w:tcPr>
        <w:p w14:paraId="38FFDFBE" w14:textId="77777777" w:rsidR="00DB1716" w:rsidRPr="00A24443" w:rsidRDefault="00DB171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D6338">
            <w:rPr>
              <w:rStyle w:val="PageNumber"/>
              <w:caps w:val="0"/>
              <w:noProof/>
            </w:rPr>
            <w:t>1</w:t>
          </w:r>
          <w:r w:rsidRPr="00A24443">
            <w:rPr>
              <w:rStyle w:val="PageNumber"/>
              <w:caps w:val="0"/>
            </w:rPr>
            <w:fldChar w:fldCharType="end"/>
          </w:r>
        </w:p>
      </w:tc>
    </w:tr>
  </w:tbl>
  <w:p w14:paraId="38FFDFC0" w14:textId="77777777" w:rsidR="00DB1716" w:rsidRDefault="00DB1716">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B1716" w14:paraId="38FFDFCC" w14:textId="77777777" w:rsidTr="005F48ED">
      <w:trPr>
        <w:trHeight w:hRule="exact" w:val="567"/>
      </w:trPr>
      <w:tc>
        <w:tcPr>
          <w:tcW w:w="510" w:type="dxa"/>
        </w:tcPr>
        <w:p w14:paraId="38FFDFC9" w14:textId="77777777" w:rsidR="00DB1716" w:rsidRPr="00A24443" w:rsidRDefault="00DB171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D6338">
            <w:rPr>
              <w:rStyle w:val="PageNumber"/>
              <w:caps w:val="0"/>
              <w:noProof/>
            </w:rPr>
            <w:t>2</w:t>
          </w:r>
          <w:r w:rsidRPr="00A24443">
            <w:rPr>
              <w:rStyle w:val="PageNumber"/>
              <w:caps w:val="0"/>
            </w:rPr>
            <w:fldChar w:fldCharType="end"/>
          </w:r>
        </w:p>
      </w:tc>
      <w:tc>
        <w:tcPr>
          <w:tcW w:w="7767" w:type="dxa"/>
        </w:tcPr>
        <w:p w14:paraId="38FFDFCA" w14:textId="77777777" w:rsidR="00DB1716" w:rsidRPr="0013739A" w:rsidRDefault="00DB1716" w:rsidP="0013739A">
          <w:pPr>
            <w:pStyle w:val="Footer"/>
            <w:rPr>
              <w:rFonts w:cs="Arial"/>
            </w:rPr>
          </w:pPr>
          <w:r>
            <w:rPr>
              <w:rFonts w:cs="Arial"/>
            </w:rPr>
            <w:t>productivity review</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14:paraId="38FFDFCB" w14:textId="77777777" w:rsidR="00DB1716" w:rsidRDefault="00DB1716" w:rsidP="0019293B">
          <w:pPr>
            <w:pStyle w:val="Footer"/>
          </w:pPr>
        </w:p>
      </w:tc>
    </w:tr>
  </w:tbl>
  <w:p w14:paraId="38FFDFCD" w14:textId="77777777" w:rsidR="00DB1716" w:rsidRDefault="00DB1716"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B1716" w14:paraId="38FFDFD1" w14:textId="77777777" w:rsidTr="005F48ED">
      <w:trPr>
        <w:trHeight w:hRule="exact" w:val="567"/>
      </w:trPr>
      <w:tc>
        <w:tcPr>
          <w:tcW w:w="510" w:type="dxa"/>
        </w:tcPr>
        <w:p w14:paraId="38FFDFCE" w14:textId="77777777" w:rsidR="00DB1716" w:rsidRDefault="00DB1716">
          <w:pPr>
            <w:pStyle w:val="Footer"/>
            <w:ind w:right="360" w:firstLine="360"/>
          </w:pPr>
        </w:p>
      </w:tc>
      <w:tc>
        <w:tcPr>
          <w:tcW w:w="7767" w:type="dxa"/>
        </w:tcPr>
        <w:p w14:paraId="38FFDFCF" w14:textId="0F0E1D1D" w:rsidR="00DB1716" w:rsidRPr="00BA5B14" w:rsidRDefault="00DB1716">
          <w:pPr>
            <w:pStyle w:val="Footer"/>
            <w:jc w:val="right"/>
            <w:rPr>
              <w:rFonts w:cs="Arial"/>
            </w:rPr>
          </w:pPr>
          <w:r>
            <w:rPr>
              <w:rFonts w:cs="Arial"/>
            </w:rPr>
            <w:t>SP 6 – Impacts of health recommendations</w:t>
          </w:r>
        </w:p>
      </w:tc>
      <w:tc>
        <w:tcPr>
          <w:tcW w:w="510" w:type="dxa"/>
        </w:tcPr>
        <w:p w14:paraId="38FFDFD0" w14:textId="77777777" w:rsidR="00DB1716" w:rsidRPr="00A24443" w:rsidRDefault="00DB171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D6338">
            <w:rPr>
              <w:rStyle w:val="PageNumber"/>
              <w:caps w:val="0"/>
              <w:noProof/>
            </w:rPr>
            <w:t>3</w:t>
          </w:r>
          <w:r w:rsidRPr="00A24443">
            <w:rPr>
              <w:rStyle w:val="PageNumber"/>
              <w:caps w:val="0"/>
            </w:rPr>
            <w:fldChar w:fldCharType="end"/>
          </w:r>
        </w:p>
      </w:tc>
    </w:tr>
  </w:tbl>
  <w:p w14:paraId="38FFDFD2" w14:textId="77777777" w:rsidR="00DB1716" w:rsidRDefault="00DB171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E1EF1" w14:textId="77777777" w:rsidR="00DB1716" w:rsidRDefault="00DB1716">
      <w:r>
        <w:separator/>
      </w:r>
    </w:p>
  </w:footnote>
  <w:footnote w:type="continuationSeparator" w:id="0">
    <w:p w14:paraId="756BC509" w14:textId="77777777" w:rsidR="00DB1716" w:rsidRDefault="00DB1716">
      <w:r>
        <w:continuationSeparator/>
      </w:r>
    </w:p>
  </w:footnote>
  <w:footnote w:type="continuationNotice" w:id="1">
    <w:p w14:paraId="4EED2671" w14:textId="77777777" w:rsidR="00DB1716" w:rsidRDefault="00DB1716"/>
  </w:footnote>
  <w:footnote w:id="2">
    <w:p w14:paraId="38FFDFD3" w14:textId="77777777" w:rsidR="00DB1716" w:rsidRDefault="00DB1716">
      <w:pPr>
        <w:pStyle w:val="FootnoteText"/>
      </w:pPr>
      <w:r w:rsidRPr="002F6D96">
        <w:rPr>
          <w:rStyle w:val="FootnoteReference"/>
        </w:rPr>
        <w:footnoteRef/>
      </w:r>
      <w:r>
        <w:tab/>
        <w:t>There is evidence that technological innovations can reduce health system costs, after allowing for the time it takes to learn the new technology </w:t>
      </w:r>
      <w:r w:rsidRPr="008D6B88">
        <w:rPr>
          <w:szCs w:val="24"/>
        </w:rPr>
        <w:t>(for example, Bradford 2001; Ford et al. 2011)</w:t>
      </w:r>
      <w:r>
        <w:t>. But while potentially very important, there is little Australian data to inform the quantification of such an effect.</w:t>
      </w:r>
    </w:p>
  </w:footnote>
  <w:footnote w:id="3">
    <w:p w14:paraId="38FFDFD4" w14:textId="77777777" w:rsidR="00DB1716" w:rsidRDefault="00DB1716">
      <w:pPr>
        <w:pStyle w:val="FootnoteText"/>
      </w:pPr>
      <w:r w:rsidRPr="002F6D96">
        <w:rPr>
          <w:rStyle w:val="FootnoteReference"/>
        </w:rPr>
        <w:footnoteRef/>
      </w:r>
      <w:r>
        <w:tab/>
      </w:r>
      <w:r w:rsidRPr="00567DF9">
        <w:t>For example, unpublished estimates by the Western Sydney Diabetes program indicate that while a program aimed at prevention involves greater upfront investment costs, the longer term benefits are ultimately significantly greater than a program of disease management (Western Sydney Diabetes initiative, pers. comm., 15</w:t>
      </w:r>
      <w:r>
        <w:t> </w:t>
      </w:r>
      <w:r w:rsidRPr="00567DF9">
        <w:t>March</w:t>
      </w:r>
      <w:r>
        <w:t> </w:t>
      </w:r>
      <w:r w:rsidRPr="00567DF9">
        <w:t>2017</w:t>
      </w:r>
      <w:r w:rsidRPr="00C50999">
        <w:t>)</w:t>
      </w:r>
      <w:r>
        <w:t>.</w:t>
      </w:r>
    </w:p>
  </w:footnote>
  <w:footnote w:id="4">
    <w:p w14:paraId="38FFDFD5" w14:textId="77777777" w:rsidR="00DB1716" w:rsidRDefault="00DB1716" w:rsidP="006B5202">
      <w:pPr>
        <w:pStyle w:val="FootnoteText"/>
      </w:pPr>
      <w:r w:rsidRPr="002F6D96">
        <w:rPr>
          <w:rStyle w:val="FootnoteReference"/>
        </w:rPr>
        <w:footnoteRef/>
      </w:r>
      <w:r>
        <w:tab/>
      </w:r>
      <w:r w:rsidRPr="00A956DF">
        <w:t>The first three aims were popularised by the Institute for Healthcare Improvement, beginning with the work of Berwick, Nolan and Whittington</w:t>
      </w:r>
      <w:r>
        <w:t> </w:t>
      </w:r>
      <w:r w:rsidRPr="00C20BBE">
        <w:t>(2008)</w:t>
      </w:r>
      <w:r w:rsidRPr="00A956DF">
        <w:t>.</w:t>
      </w:r>
      <w:r>
        <w:t xml:space="preserve"> </w:t>
      </w:r>
      <w:r w:rsidRPr="00A956DF">
        <w:t>Bodenheimer and Sinsky</w:t>
      </w:r>
      <w:r>
        <w:t> </w:t>
      </w:r>
      <w:r w:rsidRPr="00C20BBE">
        <w:t>(2014)</w:t>
      </w:r>
      <w:r>
        <w:t xml:space="preserve"> proposed the</w:t>
      </w:r>
      <w:r w:rsidRPr="00A956DF">
        <w:t xml:space="preserve"> fourth aim</w:t>
      </w:r>
      <w:r>
        <w:t>,</w:t>
      </w:r>
      <w:r w:rsidRPr="00A956DF">
        <w:t xml:space="preserve"> </w:t>
      </w:r>
      <w:r>
        <w:t>including because the burnout of health care professionals</w:t>
      </w:r>
      <w:r w:rsidRPr="00A956DF">
        <w:t xml:space="preserve"> </w:t>
      </w:r>
      <w:r>
        <w:t xml:space="preserve">has been found to undermine </w:t>
      </w:r>
      <w:r w:rsidRPr="00A956DF">
        <w:t xml:space="preserve">the </w:t>
      </w:r>
      <w:r>
        <w:t xml:space="preserve">care given to </w:t>
      </w:r>
      <w:r w:rsidRPr="00A956DF">
        <w:t>patients</w:t>
      </w:r>
      <w:r>
        <w:t>.</w:t>
      </w:r>
    </w:p>
  </w:footnote>
  <w:footnote w:id="5">
    <w:p w14:paraId="38FFDFD6" w14:textId="77777777" w:rsidR="00DB1716" w:rsidRDefault="00DB1716" w:rsidP="00BC4ACF">
      <w:pPr>
        <w:pStyle w:val="FootnoteText"/>
      </w:pPr>
      <w:r w:rsidRPr="002F6D96">
        <w:rPr>
          <w:rStyle w:val="FootnoteReference"/>
        </w:rPr>
        <w:footnoteRef/>
      </w:r>
      <w:r>
        <w:tab/>
        <w:t>Timeliness of service is one measure of the quality of a service in the seminal work of Parasuraman, Zeithaml and Berry</w:t>
      </w:r>
      <w:r w:rsidRPr="003B3C98">
        <w:t> </w:t>
      </w:r>
      <w:r w:rsidRPr="009D7EE3">
        <w:t>(1985)</w:t>
      </w:r>
      <w:r w:rsidRPr="003B3C98">
        <w:t>.</w:t>
      </w:r>
    </w:p>
  </w:footnote>
  <w:footnote w:id="6">
    <w:p w14:paraId="38FFDFD7" w14:textId="77777777" w:rsidR="00DB1716" w:rsidRDefault="00DB1716" w:rsidP="00A40D8D">
      <w:pPr>
        <w:pStyle w:val="FootnoteText"/>
      </w:pPr>
      <w:r w:rsidRPr="002F6D96">
        <w:rPr>
          <w:rStyle w:val="FootnoteReference"/>
        </w:rPr>
        <w:footnoteRef/>
      </w:r>
      <w:r>
        <w:tab/>
        <w:t>Growth in government expenditure on health over the period to 2040 has been estimated to range between 2.8 and 3.8 per cent a year on average, depending on policy settings </w:t>
      </w:r>
      <w:r w:rsidRPr="00370E4C">
        <w:rPr>
          <w:szCs w:val="24"/>
        </w:rPr>
        <w:t>(Australian Government 2015; PC 2013)</w:t>
      </w:r>
      <w:r>
        <w:t>.</w:t>
      </w:r>
    </w:p>
  </w:footnote>
  <w:footnote w:id="7">
    <w:p w14:paraId="38FFDFD8" w14:textId="77777777" w:rsidR="00DB1716" w:rsidRDefault="00DB1716">
      <w:pPr>
        <w:pStyle w:val="FootnoteText"/>
      </w:pPr>
      <w:r w:rsidRPr="002F6D96">
        <w:rPr>
          <w:rStyle w:val="FootnoteReference"/>
        </w:rPr>
        <w:footnoteRef/>
      </w:r>
      <w:r>
        <w:tab/>
        <w:t>S</w:t>
      </w:r>
      <w:r w:rsidRPr="00783D38">
        <w:t xml:space="preserve">upporting papers are available on the </w:t>
      </w:r>
      <w:r>
        <w:t xml:space="preserve">Productivity </w:t>
      </w:r>
      <w:r w:rsidRPr="00783D38">
        <w:t xml:space="preserve">Commission’s website at www.pc.gov.au and are referenced throughout this </w:t>
      </w:r>
      <w:r>
        <w:t>paper</w:t>
      </w:r>
      <w:r w:rsidRPr="00783D38">
        <w:t xml:space="preserve"> using the abbreviatio</w:t>
      </w:r>
      <w:r>
        <w:t>n ‘SP’ and the relevant number.</w:t>
      </w:r>
    </w:p>
  </w:footnote>
  <w:footnote w:id="8">
    <w:p w14:paraId="38FFDFD9" w14:textId="77777777" w:rsidR="00DB1716" w:rsidRDefault="00DB1716" w:rsidP="00DA3DC7">
      <w:pPr>
        <w:pStyle w:val="FootnoteText"/>
      </w:pPr>
      <w:r w:rsidRPr="002F6D96">
        <w:rPr>
          <w:rStyle w:val="FootnoteReference"/>
        </w:rPr>
        <w:footnoteRef/>
      </w:r>
      <w:r>
        <w:tab/>
      </w:r>
      <w:r w:rsidRPr="00BE5994">
        <w:t xml:space="preserve">This decline in effectiveness over time is consistent with </w:t>
      </w:r>
      <w:r>
        <w:t>declining</w:t>
      </w:r>
      <w:r w:rsidRPr="00BE5994">
        <w:t xml:space="preserve"> marginal </w:t>
      </w:r>
      <w:r>
        <w:t>returns</w:t>
      </w:r>
      <w:r w:rsidRPr="00BE5994">
        <w:t xml:space="preserve"> as investors focus on the most promising investments first. Conversely, there is evidence in the literature that the gains from innovations rise in the medium term as a result of learning by doing effects</w:t>
      </w:r>
      <w:r>
        <w:t> </w:t>
      </w:r>
      <w:r w:rsidRPr="008D6B88">
        <w:rPr>
          <w:szCs w:val="24"/>
        </w:rPr>
        <w:t>(Bradford 2001)</w:t>
      </w:r>
      <w:r w:rsidRPr="00BE5994">
        <w:t>.</w:t>
      </w:r>
    </w:p>
  </w:footnote>
  <w:footnote w:id="9">
    <w:p w14:paraId="38FFDFDA" w14:textId="77777777" w:rsidR="00DB1716" w:rsidRDefault="00DB1716" w:rsidP="00B8594D">
      <w:pPr>
        <w:pStyle w:val="FootnoteText"/>
      </w:pPr>
      <w:r w:rsidRPr="002F6D96">
        <w:rPr>
          <w:rStyle w:val="FootnoteReference"/>
        </w:rPr>
        <w:footnoteRef/>
      </w:r>
      <w:r>
        <w:tab/>
        <w:t>In 2015</w:t>
      </w:r>
      <w:r w:rsidRPr="00B172A2">
        <w:t>, 2.7</w:t>
      </w:r>
      <w:r>
        <w:t> </w:t>
      </w:r>
      <w:r w:rsidRPr="00B172A2">
        <w:t>million Australians provided informal care, predominantly for family members</w:t>
      </w:r>
      <w:r>
        <w:t> </w:t>
      </w:r>
      <w:r w:rsidRPr="00032422">
        <w:rPr>
          <w:szCs w:val="24"/>
        </w:rPr>
        <w:t>(ABS 2016)</w:t>
      </w:r>
      <w:r w:rsidRPr="00B172A2">
        <w:t>. This impacts on their capacity to participate in the workforce. For those aged between 15 and 64 years, the workforce participation rates of primary carers (56.3</w:t>
      </w:r>
      <w:r>
        <w:t> </w:t>
      </w:r>
      <w:r w:rsidRPr="00B172A2">
        <w:t>per cent), and of other carers (77.2</w:t>
      </w:r>
      <w:r>
        <w:t> </w:t>
      </w:r>
      <w:r w:rsidRPr="00B172A2">
        <w:t>per cent), are significantly lower than that of those without caring responsibilities (80.3</w:t>
      </w:r>
      <w:r>
        <w:t> </w:t>
      </w:r>
      <w:r w:rsidRPr="00B172A2">
        <w:t>per 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DB1716" w14:paraId="38FFDFB1" w14:textId="77777777">
      <w:tc>
        <w:tcPr>
          <w:tcW w:w="2155" w:type="dxa"/>
          <w:tcBorders>
            <w:top w:val="single" w:sz="24" w:space="0" w:color="auto"/>
          </w:tcBorders>
        </w:tcPr>
        <w:p w14:paraId="38FFDFAF" w14:textId="77777777" w:rsidR="00DB1716" w:rsidRDefault="00DB1716" w:rsidP="0019293B">
          <w:pPr>
            <w:pStyle w:val="HeaderEven"/>
          </w:pPr>
        </w:p>
      </w:tc>
      <w:tc>
        <w:tcPr>
          <w:tcW w:w="6634" w:type="dxa"/>
          <w:tcBorders>
            <w:top w:val="single" w:sz="6" w:space="0" w:color="auto"/>
          </w:tcBorders>
        </w:tcPr>
        <w:p w14:paraId="38FFDFB0" w14:textId="77777777" w:rsidR="00DB1716" w:rsidRDefault="00DB1716" w:rsidP="0019293B">
          <w:pPr>
            <w:pStyle w:val="HeaderEven"/>
          </w:pPr>
        </w:p>
      </w:tc>
    </w:tr>
  </w:tbl>
  <w:p w14:paraId="38FFDFB2" w14:textId="77777777" w:rsidR="00DB1716" w:rsidRDefault="00DB1716"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B1716" w14:paraId="38FFDFB5" w14:textId="77777777">
      <w:tc>
        <w:tcPr>
          <w:tcW w:w="6634" w:type="dxa"/>
          <w:tcBorders>
            <w:top w:val="single" w:sz="6" w:space="0" w:color="auto"/>
          </w:tcBorders>
        </w:tcPr>
        <w:p w14:paraId="38FFDFB3" w14:textId="77777777" w:rsidR="00DB1716" w:rsidRDefault="00DB1716" w:rsidP="00E669E2">
          <w:pPr>
            <w:pStyle w:val="HeaderOdd"/>
          </w:pPr>
        </w:p>
      </w:tc>
      <w:tc>
        <w:tcPr>
          <w:tcW w:w="2155" w:type="dxa"/>
          <w:tcBorders>
            <w:top w:val="single" w:sz="24" w:space="0" w:color="auto"/>
          </w:tcBorders>
        </w:tcPr>
        <w:p w14:paraId="38FFDFB4" w14:textId="77777777" w:rsidR="00DB1716" w:rsidRDefault="00DB1716" w:rsidP="00E669E2">
          <w:pPr>
            <w:pStyle w:val="HeaderOdd"/>
          </w:pPr>
        </w:p>
      </w:tc>
    </w:tr>
  </w:tbl>
  <w:p w14:paraId="38FFDFB6" w14:textId="77777777" w:rsidR="00DB1716" w:rsidRDefault="00DB1716"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DB1716" w14:paraId="38FFDFC3" w14:textId="77777777">
      <w:tc>
        <w:tcPr>
          <w:tcW w:w="2155" w:type="dxa"/>
          <w:tcBorders>
            <w:top w:val="single" w:sz="24" w:space="0" w:color="auto"/>
          </w:tcBorders>
        </w:tcPr>
        <w:p w14:paraId="38FFDFC1" w14:textId="77777777" w:rsidR="00DB1716" w:rsidRDefault="00DB1716" w:rsidP="0019293B">
          <w:pPr>
            <w:pStyle w:val="HeaderEven"/>
          </w:pPr>
        </w:p>
      </w:tc>
      <w:tc>
        <w:tcPr>
          <w:tcW w:w="6634" w:type="dxa"/>
          <w:tcBorders>
            <w:top w:val="single" w:sz="6" w:space="0" w:color="auto"/>
          </w:tcBorders>
        </w:tcPr>
        <w:p w14:paraId="38FFDFC2" w14:textId="77777777" w:rsidR="00DB1716" w:rsidRDefault="00DB1716" w:rsidP="0019293B">
          <w:pPr>
            <w:pStyle w:val="HeaderEven"/>
          </w:pPr>
        </w:p>
      </w:tc>
    </w:tr>
  </w:tbl>
  <w:p w14:paraId="38FFDFC4" w14:textId="77777777" w:rsidR="00DB1716" w:rsidRDefault="00DB1716"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B1716" w14:paraId="38FFDFC7" w14:textId="77777777">
      <w:tc>
        <w:tcPr>
          <w:tcW w:w="6634" w:type="dxa"/>
          <w:tcBorders>
            <w:top w:val="single" w:sz="6" w:space="0" w:color="auto"/>
          </w:tcBorders>
        </w:tcPr>
        <w:p w14:paraId="38FFDFC5" w14:textId="77777777" w:rsidR="00DB1716" w:rsidRDefault="00DB1716" w:rsidP="00E669E2">
          <w:pPr>
            <w:pStyle w:val="HeaderOdd"/>
          </w:pPr>
        </w:p>
      </w:tc>
      <w:tc>
        <w:tcPr>
          <w:tcW w:w="2155" w:type="dxa"/>
          <w:tcBorders>
            <w:top w:val="single" w:sz="24" w:space="0" w:color="auto"/>
          </w:tcBorders>
        </w:tcPr>
        <w:p w14:paraId="38FFDFC6" w14:textId="77777777" w:rsidR="00DB1716" w:rsidRDefault="00DB1716" w:rsidP="00E669E2">
          <w:pPr>
            <w:pStyle w:val="HeaderOdd"/>
          </w:pPr>
        </w:p>
      </w:tc>
    </w:tr>
  </w:tbl>
  <w:p w14:paraId="38FFDFC8" w14:textId="77777777" w:rsidR="00DB1716" w:rsidRDefault="00DB171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E5C780E"/>
    <w:multiLevelType w:val="hybridMultilevel"/>
    <w:tmpl w:val="8584AB64"/>
    <w:lvl w:ilvl="0" w:tplc="E51884B4">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7F105D8"/>
    <w:multiLevelType w:val="hybridMultilevel"/>
    <w:tmpl w:val="B95ED99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972A66"/>
    <w:multiLevelType w:val="hybridMultilevel"/>
    <w:tmpl w:val="9FFC34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2"/>
  </w:num>
  <w:num w:numId="3">
    <w:abstractNumId w:val="16"/>
  </w:num>
  <w:num w:numId="4">
    <w:abstractNumId w:val="3"/>
  </w:num>
  <w:num w:numId="5">
    <w:abstractNumId w:val="21"/>
  </w:num>
  <w:num w:numId="6">
    <w:abstractNumId w:val="18"/>
  </w:num>
  <w:num w:numId="7">
    <w:abstractNumId w:val="7"/>
  </w:num>
  <w:num w:numId="8">
    <w:abstractNumId w:val="17"/>
  </w:num>
  <w:num w:numId="9">
    <w:abstractNumId w:val="6"/>
  </w:num>
  <w:num w:numId="10">
    <w:abstractNumId w:val="5"/>
  </w:num>
  <w:num w:numId="11">
    <w:abstractNumId w:val="10"/>
  </w:num>
  <w:num w:numId="12">
    <w:abstractNumId w:val="12"/>
  </w:num>
  <w:num w:numId="13">
    <w:abstractNumId w:val="4"/>
  </w:num>
  <w:num w:numId="14">
    <w:abstractNumId w:val="19"/>
  </w:num>
  <w:num w:numId="15">
    <w:abstractNumId w:val="22"/>
  </w:num>
  <w:num w:numId="16">
    <w:abstractNumId w:val="14"/>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8"/>
  </w:num>
  <w:num w:numId="22">
    <w:abstractNumId w:val="11"/>
  </w:num>
  <w:num w:numId="23">
    <w:abstractNumId w:val="15"/>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SP 9 - Impacts of health recommendations"/>
    <w:docVar w:name="ShortReportTitle" w:val="Productivity Review"/>
  </w:docVars>
  <w:rsids>
    <w:rsidRoot w:val="009F71AE"/>
    <w:rsid w:val="000128D6"/>
    <w:rsid w:val="00016F67"/>
    <w:rsid w:val="0002186F"/>
    <w:rsid w:val="000227D5"/>
    <w:rsid w:val="000242E3"/>
    <w:rsid w:val="000245AA"/>
    <w:rsid w:val="000253A0"/>
    <w:rsid w:val="00032125"/>
    <w:rsid w:val="00032422"/>
    <w:rsid w:val="0003664B"/>
    <w:rsid w:val="00040194"/>
    <w:rsid w:val="0004111F"/>
    <w:rsid w:val="0004145B"/>
    <w:rsid w:val="00043049"/>
    <w:rsid w:val="00043164"/>
    <w:rsid w:val="000449C1"/>
    <w:rsid w:val="000450E3"/>
    <w:rsid w:val="0005498D"/>
    <w:rsid w:val="00055077"/>
    <w:rsid w:val="0005614E"/>
    <w:rsid w:val="000565B3"/>
    <w:rsid w:val="00063751"/>
    <w:rsid w:val="0006481B"/>
    <w:rsid w:val="000649D7"/>
    <w:rsid w:val="00064BC5"/>
    <w:rsid w:val="0006536A"/>
    <w:rsid w:val="0007150B"/>
    <w:rsid w:val="00081863"/>
    <w:rsid w:val="00084C74"/>
    <w:rsid w:val="00086D79"/>
    <w:rsid w:val="0009032B"/>
    <w:rsid w:val="000912F9"/>
    <w:rsid w:val="000938F5"/>
    <w:rsid w:val="00095663"/>
    <w:rsid w:val="00096E55"/>
    <w:rsid w:val="0009783E"/>
    <w:rsid w:val="000A415E"/>
    <w:rsid w:val="000A625E"/>
    <w:rsid w:val="000B04B8"/>
    <w:rsid w:val="000B1022"/>
    <w:rsid w:val="000B255F"/>
    <w:rsid w:val="000B3781"/>
    <w:rsid w:val="000B507D"/>
    <w:rsid w:val="000B601B"/>
    <w:rsid w:val="000C12EB"/>
    <w:rsid w:val="000C207E"/>
    <w:rsid w:val="000C3EC4"/>
    <w:rsid w:val="000C79F6"/>
    <w:rsid w:val="000D23B1"/>
    <w:rsid w:val="000D3C3E"/>
    <w:rsid w:val="000D41E9"/>
    <w:rsid w:val="000E1032"/>
    <w:rsid w:val="000E7756"/>
    <w:rsid w:val="000F0035"/>
    <w:rsid w:val="000F04E7"/>
    <w:rsid w:val="000F060A"/>
    <w:rsid w:val="000F24C3"/>
    <w:rsid w:val="000F2FD9"/>
    <w:rsid w:val="000F420B"/>
    <w:rsid w:val="000F539C"/>
    <w:rsid w:val="000F7D02"/>
    <w:rsid w:val="001028C8"/>
    <w:rsid w:val="00102EC3"/>
    <w:rsid w:val="0010434C"/>
    <w:rsid w:val="0010505D"/>
    <w:rsid w:val="00110116"/>
    <w:rsid w:val="00110CCD"/>
    <w:rsid w:val="00111FD3"/>
    <w:rsid w:val="00111FF4"/>
    <w:rsid w:val="00120072"/>
    <w:rsid w:val="0012305C"/>
    <w:rsid w:val="0012404B"/>
    <w:rsid w:val="00124383"/>
    <w:rsid w:val="00124386"/>
    <w:rsid w:val="00124EB1"/>
    <w:rsid w:val="00126EB8"/>
    <w:rsid w:val="001274D4"/>
    <w:rsid w:val="00127C10"/>
    <w:rsid w:val="00130E88"/>
    <w:rsid w:val="001312F8"/>
    <w:rsid w:val="00134567"/>
    <w:rsid w:val="0013550F"/>
    <w:rsid w:val="001363AA"/>
    <w:rsid w:val="001369E4"/>
    <w:rsid w:val="0013739A"/>
    <w:rsid w:val="00141F36"/>
    <w:rsid w:val="00142165"/>
    <w:rsid w:val="00145B9F"/>
    <w:rsid w:val="00146091"/>
    <w:rsid w:val="00153683"/>
    <w:rsid w:val="00161C31"/>
    <w:rsid w:val="00162434"/>
    <w:rsid w:val="0016294D"/>
    <w:rsid w:val="00165364"/>
    <w:rsid w:val="0016543F"/>
    <w:rsid w:val="00170A0F"/>
    <w:rsid w:val="00174FEC"/>
    <w:rsid w:val="001778DD"/>
    <w:rsid w:val="00183E82"/>
    <w:rsid w:val="00185628"/>
    <w:rsid w:val="001878BB"/>
    <w:rsid w:val="00190CB7"/>
    <w:rsid w:val="00191AE0"/>
    <w:rsid w:val="0019293B"/>
    <w:rsid w:val="00194072"/>
    <w:rsid w:val="0019426B"/>
    <w:rsid w:val="001A353A"/>
    <w:rsid w:val="001A5318"/>
    <w:rsid w:val="001A6A4B"/>
    <w:rsid w:val="001A748F"/>
    <w:rsid w:val="001C0024"/>
    <w:rsid w:val="001C0865"/>
    <w:rsid w:val="001C0AED"/>
    <w:rsid w:val="001C1B80"/>
    <w:rsid w:val="001C3ABA"/>
    <w:rsid w:val="001C5111"/>
    <w:rsid w:val="001C6E0C"/>
    <w:rsid w:val="001C77EE"/>
    <w:rsid w:val="001C7AAA"/>
    <w:rsid w:val="001D06F1"/>
    <w:rsid w:val="001E0FE8"/>
    <w:rsid w:val="001E2CE9"/>
    <w:rsid w:val="001E7BE8"/>
    <w:rsid w:val="001F0248"/>
    <w:rsid w:val="001F3EB3"/>
    <w:rsid w:val="001F4629"/>
    <w:rsid w:val="001F4F86"/>
    <w:rsid w:val="00202748"/>
    <w:rsid w:val="00202C2C"/>
    <w:rsid w:val="00203050"/>
    <w:rsid w:val="002135AB"/>
    <w:rsid w:val="002144BE"/>
    <w:rsid w:val="002214DC"/>
    <w:rsid w:val="00224074"/>
    <w:rsid w:val="00225890"/>
    <w:rsid w:val="00226374"/>
    <w:rsid w:val="00230F68"/>
    <w:rsid w:val="00232F2C"/>
    <w:rsid w:val="00242279"/>
    <w:rsid w:val="00242E1E"/>
    <w:rsid w:val="00243997"/>
    <w:rsid w:val="0024516C"/>
    <w:rsid w:val="00245C82"/>
    <w:rsid w:val="002475AB"/>
    <w:rsid w:val="00251CF6"/>
    <w:rsid w:val="00257AC6"/>
    <w:rsid w:val="00257B64"/>
    <w:rsid w:val="00263850"/>
    <w:rsid w:val="002646A5"/>
    <w:rsid w:val="002724BA"/>
    <w:rsid w:val="002748C5"/>
    <w:rsid w:val="00274A5C"/>
    <w:rsid w:val="0029029A"/>
    <w:rsid w:val="00291B40"/>
    <w:rsid w:val="00293070"/>
    <w:rsid w:val="00296755"/>
    <w:rsid w:val="002A14C5"/>
    <w:rsid w:val="002A6505"/>
    <w:rsid w:val="002B1A26"/>
    <w:rsid w:val="002B393F"/>
    <w:rsid w:val="002B4008"/>
    <w:rsid w:val="002B7D46"/>
    <w:rsid w:val="002C1EF6"/>
    <w:rsid w:val="002C2931"/>
    <w:rsid w:val="002C4310"/>
    <w:rsid w:val="002C439F"/>
    <w:rsid w:val="002C4651"/>
    <w:rsid w:val="002D07E1"/>
    <w:rsid w:val="002D089C"/>
    <w:rsid w:val="002D0C42"/>
    <w:rsid w:val="002D0E8E"/>
    <w:rsid w:val="002D5C29"/>
    <w:rsid w:val="002D6421"/>
    <w:rsid w:val="002E14F2"/>
    <w:rsid w:val="002E47D6"/>
    <w:rsid w:val="002E58DC"/>
    <w:rsid w:val="002F21FF"/>
    <w:rsid w:val="002F2D22"/>
    <w:rsid w:val="002F4A33"/>
    <w:rsid w:val="002F6D96"/>
    <w:rsid w:val="00300A1C"/>
    <w:rsid w:val="00300E40"/>
    <w:rsid w:val="00301189"/>
    <w:rsid w:val="00301E4A"/>
    <w:rsid w:val="003056ED"/>
    <w:rsid w:val="0030730B"/>
    <w:rsid w:val="00310CCE"/>
    <w:rsid w:val="00313432"/>
    <w:rsid w:val="003151ED"/>
    <w:rsid w:val="00315708"/>
    <w:rsid w:val="003168B8"/>
    <w:rsid w:val="00320306"/>
    <w:rsid w:val="00322D64"/>
    <w:rsid w:val="003235F6"/>
    <w:rsid w:val="00323E09"/>
    <w:rsid w:val="00333932"/>
    <w:rsid w:val="003345BC"/>
    <w:rsid w:val="00334CF4"/>
    <w:rsid w:val="003350D8"/>
    <w:rsid w:val="00340C4D"/>
    <w:rsid w:val="00342D26"/>
    <w:rsid w:val="00344E4F"/>
    <w:rsid w:val="00345AA3"/>
    <w:rsid w:val="00346808"/>
    <w:rsid w:val="003518AA"/>
    <w:rsid w:val="00352165"/>
    <w:rsid w:val="00353182"/>
    <w:rsid w:val="003561D3"/>
    <w:rsid w:val="003565D9"/>
    <w:rsid w:val="003602E1"/>
    <w:rsid w:val="00365B0A"/>
    <w:rsid w:val="00367101"/>
    <w:rsid w:val="00367D1A"/>
    <w:rsid w:val="00370179"/>
    <w:rsid w:val="0037026F"/>
    <w:rsid w:val="00370E4C"/>
    <w:rsid w:val="00371240"/>
    <w:rsid w:val="00371B2F"/>
    <w:rsid w:val="00371E51"/>
    <w:rsid w:val="0037408C"/>
    <w:rsid w:val="00374731"/>
    <w:rsid w:val="003754AA"/>
    <w:rsid w:val="00376E59"/>
    <w:rsid w:val="0037756F"/>
    <w:rsid w:val="00377EC1"/>
    <w:rsid w:val="00380340"/>
    <w:rsid w:val="003907AC"/>
    <w:rsid w:val="00391311"/>
    <w:rsid w:val="003917B2"/>
    <w:rsid w:val="003919F9"/>
    <w:rsid w:val="003920CF"/>
    <w:rsid w:val="00396455"/>
    <w:rsid w:val="00396849"/>
    <w:rsid w:val="003969BF"/>
    <w:rsid w:val="00396ABF"/>
    <w:rsid w:val="00397581"/>
    <w:rsid w:val="003A1E95"/>
    <w:rsid w:val="003A342C"/>
    <w:rsid w:val="003A6A15"/>
    <w:rsid w:val="003B23C2"/>
    <w:rsid w:val="003B3C98"/>
    <w:rsid w:val="003B442F"/>
    <w:rsid w:val="003B561E"/>
    <w:rsid w:val="003B6C26"/>
    <w:rsid w:val="003C2B5F"/>
    <w:rsid w:val="003C3288"/>
    <w:rsid w:val="003C38B5"/>
    <w:rsid w:val="003C3E7C"/>
    <w:rsid w:val="003C5D99"/>
    <w:rsid w:val="003D1087"/>
    <w:rsid w:val="003D5673"/>
    <w:rsid w:val="003D7A48"/>
    <w:rsid w:val="003E0FAC"/>
    <w:rsid w:val="003E1681"/>
    <w:rsid w:val="003E17DF"/>
    <w:rsid w:val="003E1EFD"/>
    <w:rsid w:val="003E2F59"/>
    <w:rsid w:val="003E68B0"/>
    <w:rsid w:val="003E6CE6"/>
    <w:rsid w:val="003E746B"/>
    <w:rsid w:val="003F0789"/>
    <w:rsid w:val="003F3A2D"/>
    <w:rsid w:val="003F7104"/>
    <w:rsid w:val="0040013C"/>
    <w:rsid w:val="00401882"/>
    <w:rsid w:val="004026B0"/>
    <w:rsid w:val="00402D08"/>
    <w:rsid w:val="0040437E"/>
    <w:rsid w:val="00407DA2"/>
    <w:rsid w:val="004100C8"/>
    <w:rsid w:val="00410246"/>
    <w:rsid w:val="00411DBD"/>
    <w:rsid w:val="00412ACE"/>
    <w:rsid w:val="00412D32"/>
    <w:rsid w:val="004145D2"/>
    <w:rsid w:val="00415B7B"/>
    <w:rsid w:val="00420787"/>
    <w:rsid w:val="00423074"/>
    <w:rsid w:val="004249A4"/>
    <w:rsid w:val="00426CB4"/>
    <w:rsid w:val="00431249"/>
    <w:rsid w:val="004328F7"/>
    <w:rsid w:val="00434C19"/>
    <w:rsid w:val="00437AC5"/>
    <w:rsid w:val="00443B92"/>
    <w:rsid w:val="00443BC7"/>
    <w:rsid w:val="00446193"/>
    <w:rsid w:val="00450810"/>
    <w:rsid w:val="004519EB"/>
    <w:rsid w:val="00454460"/>
    <w:rsid w:val="00460F20"/>
    <w:rsid w:val="00462C59"/>
    <w:rsid w:val="00470737"/>
    <w:rsid w:val="004735CF"/>
    <w:rsid w:val="00476381"/>
    <w:rsid w:val="00477144"/>
    <w:rsid w:val="00487B37"/>
    <w:rsid w:val="00491380"/>
    <w:rsid w:val="004935F7"/>
    <w:rsid w:val="00493EAD"/>
    <w:rsid w:val="0049459F"/>
    <w:rsid w:val="00496B52"/>
    <w:rsid w:val="004A38DD"/>
    <w:rsid w:val="004A5B93"/>
    <w:rsid w:val="004A6098"/>
    <w:rsid w:val="004B10D5"/>
    <w:rsid w:val="004B19A6"/>
    <w:rsid w:val="004B43AE"/>
    <w:rsid w:val="004B526C"/>
    <w:rsid w:val="004C149C"/>
    <w:rsid w:val="004C1B2F"/>
    <w:rsid w:val="004C30ED"/>
    <w:rsid w:val="004C3E83"/>
    <w:rsid w:val="004D1DD0"/>
    <w:rsid w:val="004D5675"/>
    <w:rsid w:val="004E1596"/>
    <w:rsid w:val="004E3E1A"/>
    <w:rsid w:val="004E462C"/>
    <w:rsid w:val="004F78CB"/>
    <w:rsid w:val="00501018"/>
    <w:rsid w:val="00512694"/>
    <w:rsid w:val="00512C42"/>
    <w:rsid w:val="00517795"/>
    <w:rsid w:val="00523639"/>
    <w:rsid w:val="00527F60"/>
    <w:rsid w:val="00531B58"/>
    <w:rsid w:val="00531FE5"/>
    <w:rsid w:val="005371D2"/>
    <w:rsid w:val="005402FA"/>
    <w:rsid w:val="005444A1"/>
    <w:rsid w:val="00551857"/>
    <w:rsid w:val="00551DCE"/>
    <w:rsid w:val="00552A84"/>
    <w:rsid w:val="00553DFC"/>
    <w:rsid w:val="00556C1D"/>
    <w:rsid w:val="00560826"/>
    <w:rsid w:val="00560EDC"/>
    <w:rsid w:val="00561C4C"/>
    <w:rsid w:val="00567DF9"/>
    <w:rsid w:val="005729BD"/>
    <w:rsid w:val="00572C86"/>
    <w:rsid w:val="00573437"/>
    <w:rsid w:val="00573BE3"/>
    <w:rsid w:val="00575D6B"/>
    <w:rsid w:val="00580154"/>
    <w:rsid w:val="00581EA1"/>
    <w:rsid w:val="00582E60"/>
    <w:rsid w:val="00583C39"/>
    <w:rsid w:val="00584518"/>
    <w:rsid w:val="00586A90"/>
    <w:rsid w:val="00586E09"/>
    <w:rsid w:val="00587EB1"/>
    <w:rsid w:val="00587EBF"/>
    <w:rsid w:val="00587F28"/>
    <w:rsid w:val="005909CF"/>
    <w:rsid w:val="00591E71"/>
    <w:rsid w:val="005A0D41"/>
    <w:rsid w:val="005A338F"/>
    <w:rsid w:val="005A6401"/>
    <w:rsid w:val="005A7155"/>
    <w:rsid w:val="005A7E31"/>
    <w:rsid w:val="005B09FF"/>
    <w:rsid w:val="005B1174"/>
    <w:rsid w:val="005B524E"/>
    <w:rsid w:val="005B54C4"/>
    <w:rsid w:val="005B79D3"/>
    <w:rsid w:val="005C32A0"/>
    <w:rsid w:val="005C45CD"/>
    <w:rsid w:val="005C66BA"/>
    <w:rsid w:val="005D0441"/>
    <w:rsid w:val="005D133C"/>
    <w:rsid w:val="005D329F"/>
    <w:rsid w:val="005D5292"/>
    <w:rsid w:val="005E224C"/>
    <w:rsid w:val="005E25B1"/>
    <w:rsid w:val="005F1BDA"/>
    <w:rsid w:val="005F48ED"/>
    <w:rsid w:val="00601E24"/>
    <w:rsid w:val="00602DBB"/>
    <w:rsid w:val="00603050"/>
    <w:rsid w:val="00605D4B"/>
    <w:rsid w:val="00606E78"/>
    <w:rsid w:val="00607BF1"/>
    <w:rsid w:val="00607C5A"/>
    <w:rsid w:val="00612342"/>
    <w:rsid w:val="00614C78"/>
    <w:rsid w:val="00621CAC"/>
    <w:rsid w:val="00623305"/>
    <w:rsid w:val="00624023"/>
    <w:rsid w:val="00625429"/>
    <w:rsid w:val="00626899"/>
    <w:rsid w:val="00626DC8"/>
    <w:rsid w:val="00630D4D"/>
    <w:rsid w:val="00631A6D"/>
    <w:rsid w:val="006320F5"/>
    <w:rsid w:val="00632A74"/>
    <w:rsid w:val="0063322D"/>
    <w:rsid w:val="00633B88"/>
    <w:rsid w:val="00636040"/>
    <w:rsid w:val="00640721"/>
    <w:rsid w:val="00646801"/>
    <w:rsid w:val="00652504"/>
    <w:rsid w:val="00654D42"/>
    <w:rsid w:val="006569DD"/>
    <w:rsid w:val="00660BA0"/>
    <w:rsid w:val="00662DFE"/>
    <w:rsid w:val="006661E1"/>
    <w:rsid w:val="0066656D"/>
    <w:rsid w:val="00666E02"/>
    <w:rsid w:val="00672AA6"/>
    <w:rsid w:val="00673297"/>
    <w:rsid w:val="00676B64"/>
    <w:rsid w:val="00681AF8"/>
    <w:rsid w:val="00682CD7"/>
    <w:rsid w:val="00686BD8"/>
    <w:rsid w:val="006A02E3"/>
    <w:rsid w:val="006A369E"/>
    <w:rsid w:val="006A4655"/>
    <w:rsid w:val="006A644C"/>
    <w:rsid w:val="006B1EEA"/>
    <w:rsid w:val="006B2B3C"/>
    <w:rsid w:val="006B2C83"/>
    <w:rsid w:val="006B2C92"/>
    <w:rsid w:val="006B32F7"/>
    <w:rsid w:val="006B3655"/>
    <w:rsid w:val="006B5202"/>
    <w:rsid w:val="006B573C"/>
    <w:rsid w:val="006B5B96"/>
    <w:rsid w:val="006C1D81"/>
    <w:rsid w:val="006C3114"/>
    <w:rsid w:val="006C38B4"/>
    <w:rsid w:val="006C7038"/>
    <w:rsid w:val="006D3764"/>
    <w:rsid w:val="006D55F7"/>
    <w:rsid w:val="006D6507"/>
    <w:rsid w:val="006E126F"/>
    <w:rsid w:val="006E2393"/>
    <w:rsid w:val="006E27D8"/>
    <w:rsid w:val="006E3889"/>
    <w:rsid w:val="006E4F62"/>
    <w:rsid w:val="006E73EF"/>
    <w:rsid w:val="006F1367"/>
    <w:rsid w:val="006F2A19"/>
    <w:rsid w:val="0070126F"/>
    <w:rsid w:val="0070252A"/>
    <w:rsid w:val="007039E3"/>
    <w:rsid w:val="007069D3"/>
    <w:rsid w:val="007071A0"/>
    <w:rsid w:val="007079C9"/>
    <w:rsid w:val="00713382"/>
    <w:rsid w:val="00714D4D"/>
    <w:rsid w:val="00716531"/>
    <w:rsid w:val="00721D9F"/>
    <w:rsid w:val="00726283"/>
    <w:rsid w:val="0072658D"/>
    <w:rsid w:val="007266D3"/>
    <w:rsid w:val="0072745D"/>
    <w:rsid w:val="00730A3D"/>
    <w:rsid w:val="00732029"/>
    <w:rsid w:val="007424AB"/>
    <w:rsid w:val="0074347D"/>
    <w:rsid w:val="0074422F"/>
    <w:rsid w:val="00747CFE"/>
    <w:rsid w:val="00747D09"/>
    <w:rsid w:val="00752357"/>
    <w:rsid w:val="00752757"/>
    <w:rsid w:val="00755F27"/>
    <w:rsid w:val="00757536"/>
    <w:rsid w:val="007604BB"/>
    <w:rsid w:val="0076058C"/>
    <w:rsid w:val="0076241E"/>
    <w:rsid w:val="0076497E"/>
    <w:rsid w:val="0076555D"/>
    <w:rsid w:val="007672D8"/>
    <w:rsid w:val="00772909"/>
    <w:rsid w:val="007820AA"/>
    <w:rsid w:val="00783D38"/>
    <w:rsid w:val="00785232"/>
    <w:rsid w:val="00786168"/>
    <w:rsid w:val="00787863"/>
    <w:rsid w:val="00791657"/>
    <w:rsid w:val="00794B63"/>
    <w:rsid w:val="0079701E"/>
    <w:rsid w:val="007A05EF"/>
    <w:rsid w:val="007A0937"/>
    <w:rsid w:val="007A09D4"/>
    <w:rsid w:val="007A1FE4"/>
    <w:rsid w:val="007A21EB"/>
    <w:rsid w:val="007A371D"/>
    <w:rsid w:val="007A38E8"/>
    <w:rsid w:val="007A7606"/>
    <w:rsid w:val="007A7A0F"/>
    <w:rsid w:val="007B1023"/>
    <w:rsid w:val="007B194B"/>
    <w:rsid w:val="007B1A93"/>
    <w:rsid w:val="007B6BE4"/>
    <w:rsid w:val="007B7EFE"/>
    <w:rsid w:val="007C36C9"/>
    <w:rsid w:val="007C52E2"/>
    <w:rsid w:val="007C6DA4"/>
    <w:rsid w:val="007D0D7A"/>
    <w:rsid w:val="007D5072"/>
    <w:rsid w:val="007D6401"/>
    <w:rsid w:val="007D7166"/>
    <w:rsid w:val="007E01E4"/>
    <w:rsid w:val="007E5885"/>
    <w:rsid w:val="007E7A12"/>
    <w:rsid w:val="007F3BE1"/>
    <w:rsid w:val="007F7107"/>
    <w:rsid w:val="00800D0C"/>
    <w:rsid w:val="00800D4C"/>
    <w:rsid w:val="008017D2"/>
    <w:rsid w:val="00803B56"/>
    <w:rsid w:val="00805A48"/>
    <w:rsid w:val="0081030F"/>
    <w:rsid w:val="00812F4A"/>
    <w:rsid w:val="008134EE"/>
    <w:rsid w:val="0082087D"/>
    <w:rsid w:val="008257E2"/>
    <w:rsid w:val="008259E2"/>
    <w:rsid w:val="00827923"/>
    <w:rsid w:val="008324BE"/>
    <w:rsid w:val="00832CD5"/>
    <w:rsid w:val="00835771"/>
    <w:rsid w:val="00837CCB"/>
    <w:rsid w:val="008414AB"/>
    <w:rsid w:val="00842933"/>
    <w:rsid w:val="00850B63"/>
    <w:rsid w:val="00853627"/>
    <w:rsid w:val="008543E5"/>
    <w:rsid w:val="00855518"/>
    <w:rsid w:val="0085638C"/>
    <w:rsid w:val="0085673F"/>
    <w:rsid w:val="0086082C"/>
    <w:rsid w:val="0086375B"/>
    <w:rsid w:val="00864ADC"/>
    <w:rsid w:val="0087082B"/>
    <w:rsid w:val="00871B81"/>
    <w:rsid w:val="00871C7C"/>
    <w:rsid w:val="008747C7"/>
    <w:rsid w:val="0088009D"/>
    <w:rsid w:val="00880153"/>
    <w:rsid w:val="00880F97"/>
    <w:rsid w:val="0088133A"/>
    <w:rsid w:val="00882CA2"/>
    <w:rsid w:val="00887625"/>
    <w:rsid w:val="0088780D"/>
    <w:rsid w:val="00887CD3"/>
    <w:rsid w:val="0089285E"/>
    <w:rsid w:val="0089436C"/>
    <w:rsid w:val="00894A39"/>
    <w:rsid w:val="008956C0"/>
    <w:rsid w:val="00895C1B"/>
    <w:rsid w:val="008A13D7"/>
    <w:rsid w:val="008A57F3"/>
    <w:rsid w:val="008B375E"/>
    <w:rsid w:val="008B4722"/>
    <w:rsid w:val="008C0211"/>
    <w:rsid w:val="008D0D74"/>
    <w:rsid w:val="008D365C"/>
    <w:rsid w:val="008D51E7"/>
    <w:rsid w:val="008D6B88"/>
    <w:rsid w:val="008D7622"/>
    <w:rsid w:val="008E2B3B"/>
    <w:rsid w:val="008E4498"/>
    <w:rsid w:val="008E6A9F"/>
    <w:rsid w:val="008F1501"/>
    <w:rsid w:val="008F6BB6"/>
    <w:rsid w:val="008F71BB"/>
    <w:rsid w:val="009021A6"/>
    <w:rsid w:val="009030BF"/>
    <w:rsid w:val="00903B52"/>
    <w:rsid w:val="009041DE"/>
    <w:rsid w:val="0090783C"/>
    <w:rsid w:val="0091012E"/>
    <w:rsid w:val="0091032F"/>
    <w:rsid w:val="00910372"/>
    <w:rsid w:val="00911542"/>
    <w:rsid w:val="009119E7"/>
    <w:rsid w:val="0091319A"/>
    <w:rsid w:val="00914368"/>
    <w:rsid w:val="00922314"/>
    <w:rsid w:val="00922EC3"/>
    <w:rsid w:val="00927EBA"/>
    <w:rsid w:val="00931076"/>
    <w:rsid w:val="009345D9"/>
    <w:rsid w:val="00934B15"/>
    <w:rsid w:val="00935DB6"/>
    <w:rsid w:val="00940C87"/>
    <w:rsid w:val="00940CB7"/>
    <w:rsid w:val="00942B62"/>
    <w:rsid w:val="009461F0"/>
    <w:rsid w:val="0094659B"/>
    <w:rsid w:val="00951759"/>
    <w:rsid w:val="009527D3"/>
    <w:rsid w:val="0095323B"/>
    <w:rsid w:val="00953F3D"/>
    <w:rsid w:val="00954F8C"/>
    <w:rsid w:val="00955133"/>
    <w:rsid w:val="0095605B"/>
    <w:rsid w:val="00956A0C"/>
    <w:rsid w:val="00956BD9"/>
    <w:rsid w:val="00957ECA"/>
    <w:rsid w:val="00961873"/>
    <w:rsid w:val="00962489"/>
    <w:rsid w:val="00964148"/>
    <w:rsid w:val="0096468B"/>
    <w:rsid w:val="00967C13"/>
    <w:rsid w:val="00967CD3"/>
    <w:rsid w:val="00975055"/>
    <w:rsid w:val="009758DE"/>
    <w:rsid w:val="0098110D"/>
    <w:rsid w:val="00982D6D"/>
    <w:rsid w:val="00982E64"/>
    <w:rsid w:val="00984292"/>
    <w:rsid w:val="00985FFC"/>
    <w:rsid w:val="009868F6"/>
    <w:rsid w:val="00987022"/>
    <w:rsid w:val="00990C2C"/>
    <w:rsid w:val="00990DB5"/>
    <w:rsid w:val="009941F4"/>
    <w:rsid w:val="00995E17"/>
    <w:rsid w:val="009A1211"/>
    <w:rsid w:val="009A1DA8"/>
    <w:rsid w:val="009A5171"/>
    <w:rsid w:val="009A5552"/>
    <w:rsid w:val="009A69D0"/>
    <w:rsid w:val="009A7D0A"/>
    <w:rsid w:val="009C13A7"/>
    <w:rsid w:val="009C2EA8"/>
    <w:rsid w:val="009C418E"/>
    <w:rsid w:val="009D0E01"/>
    <w:rsid w:val="009D1A7C"/>
    <w:rsid w:val="009D3349"/>
    <w:rsid w:val="009D53F6"/>
    <w:rsid w:val="009D5A34"/>
    <w:rsid w:val="009D76C1"/>
    <w:rsid w:val="009D7EE3"/>
    <w:rsid w:val="009E056A"/>
    <w:rsid w:val="009E1844"/>
    <w:rsid w:val="009E3F18"/>
    <w:rsid w:val="009E4C64"/>
    <w:rsid w:val="009E6AAF"/>
    <w:rsid w:val="009F05BC"/>
    <w:rsid w:val="009F0D1B"/>
    <w:rsid w:val="009F36FD"/>
    <w:rsid w:val="009F47AC"/>
    <w:rsid w:val="009F5BBD"/>
    <w:rsid w:val="009F696D"/>
    <w:rsid w:val="009F6BC6"/>
    <w:rsid w:val="009F71AE"/>
    <w:rsid w:val="009F74EF"/>
    <w:rsid w:val="00A027EE"/>
    <w:rsid w:val="00A02826"/>
    <w:rsid w:val="00A053C9"/>
    <w:rsid w:val="00A12865"/>
    <w:rsid w:val="00A14AC5"/>
    <w:rsid w:val="00A15D5A"/>
    <w:rsid w:val="00A17328"/>
    <w:rsid w:val="00A21BC0"/>
    <w:rsid w:val="00A23A20"/>
    <w:rsid w:val="00A23E2F"/>
    <w:rsid w:val="00A24443"/>
    <w:rsid w:val="00A268B9"/>
    <w:rsid w:val="00A2703A"/>
    <w:rsid w:val="00A321BD"/>
    <w:rsid w:val="00A33DFF"/>
    <w:rsid w:val="00A349DD"/>
    <w:rsid w:val="00A35115"/>
    <w:rsid w:val="00A36D9A"/>
    <w:rsid w:val="00A40D8D"/>
    <w:rsid w:val="00A451DC"/>
    <w:rsid w:val="00A554AB"/>
    <w:rsid w:val="00A57062"/>
    <w:rsid w:val="00A63972"/>
    <w:rsid w:val="00A6562D"/>
    <w:rsid w:val="00A675BF"/>
    <w:rsid w:val="00A67781"/>
    <w:rsid w:val="00A72E03"/>
    <w:rsid w:val="00A73C4A"/>
    <w:rsid w:val="00A761F9"/>
    <w:rsid w:val="00A80218"/>
    <w:rsid w:val="00A86C79"/>
    <w:rsid w:val="00A86F49"/>
    <w:rsid w:val="00A91125"/>
    <w:rsid w:val="00A923F8"/>
    <w:rsid w:val="00A92B53"/>
    <w:rsid w:val="00A94FA6"/>
    <w:rsid w:val="00A956DF"/>
    <w:rsid w:val="00A95E7E"/>
    <w:rsid w:val="00A96F36"/>
    <w:rsid w:val="00A97B53"/>
    <w:rsid w:val="00AA0AF2"/>
    <w:rsid w:val="00AA130C"/>
    <w:rsid w:val="00AA1B21"/>
    <w:rsid w:val="00AA1F8B"/>
    <w:rsid w:val="00AA49A0"/>
    <w:rsid w:val="00AA6710"/>
    <w:rsid w:val="00AA6C0F"/>
    <w:rsid w:val="00AB0681"/>
    <w:rsid w:val="00AB1163"/>
    <w:rsid w:val="00AB19BA"/>
    <w:rsid w:val="00AB3545"/>
    <w:rsid w:val="00AB6AC7"/>
    <w:rsid w:val="00AB7A49"/>
    <w:rsid w:val="00AC3A15"/>
    <w:rsid w:val="00AC4691"/>
    <w:rsid w:val="00AC625A"/>
    <w:rsid w:val="00AD2FB1"/>
    <w:rsid w:val="00AD3DE1"/>
    <w:rsid w:val="00AD4DCC"/>
    <w:rsid w:val="00AD4FA0"/>
    <w:rsid w:val="00AD520B"/>
    <w:rsid w:val="00AE3BCC"/>
    <w:rsid w:val="00AE5EEC"/>
    <w:rsid w:val="00AE6C27"/>
    <w:rsid w:val="00AF213F"/>
    <w:rsid w:val="00AF270E"/>
    <w:rsid w:val="00AF3831"/>
    <w:rsid w:val="00B033FB"/>
    <w:rsid w:val="00B035EE"/>
    <w:rsid w:val="00B044BA"/>
    <w:rsid w:val="00B0688D"/>
    <w:rsid w:val="00B10B15"/>
    <w:rsid w:val="00B114B1"/>
    <w:rsid w:val="00B20A0D"/>
    <w:rsid w:val="00B223C5"/>
    <w:rsid w:val="00B23C00"/>
    <w:rsid w:val="00B24229"/>
    <w:rsid w:val="00B254F9"/>
    <w:rsid w:val="00B27144"/>
    <w:rsid w:val="00B27E64"/>
    <w:rsid w:val="00B35794"/>
    <w:rsid w:val="00B425C3"/>
    <w:rsid w:val="00B4373D"/>
    <w:rsid w:val="00B43A83"/>
    <w:rsid w:val="00B440AD"/>
    <w:rsid w:val="00B45DF3"/>
    <w:rsid w:val="00B479BB"/>
    <w:rsid w:val="00B52F48"/>
    <w:rsid w:val="00B53B29"/>
    <w:rsid w:val="00B53E7E"/>
    <w:rsid w:val="00B54352"/>
    <w:rsid w:val="00B54F7E"/>
    <w:rsid w:val="00B55047"/>
    <w:rsid w:val="00B55803"/>
    <w:rsid w:val="00B564B2"/>
    <w:rsid w:val="00B60EC8"/>
    <w:rsid w:val="00B6131E"/>
    <w:rsid w:val="00B6342E"/>
    <w:rsid w:val="00B65449"/>
    <w:rsid w:val="00B70225"/>
    <w:rsid w:val="00B703B3"/>
    <w:rsid w:val="00B7113F"/>
    <w:rsid w:val="00B8559A"/>
    <w:rsid w:val="00B8594D"/>
    <w:rsid w:val="00B86C2B"/>
    <w:rsid w:val="00B94858"/>
    <w:rsid w:val="00B95806"/>
    <w:rsid w:val="00B95A66"/>
    <w:rsid w:val="00BA0774"/>
    <w:rsid w:val="00BA2BCF"/>
    <w:rsid w:val="00BA39C2"/>
    <w:rsid w:val="00BA42D8"/>
    <w:rsid w:val="00BA5B14"/>
    <w:rsid w:val="00BA7356"/>
    <w:rsid w:val="00BA73B6"/>
    <w:rsid w:val="00BA7E27"/>
    <w:rsid w:val="00BB16FF"/>
    <w:rsid w:val="00BB2603"/>
    <w:rsid w:val="00BB2839"/>
    <w:rsid w:val="00BB3D40"/>
    <w:rsid w:val="00BB4FCD"/>
    <w:rsid w:val="00BB6B0D"/>
    <w:rsid w:val="00BB77A8"/>
    <w:rsid w:val="00BC04E9"/>
    <w:rsid w:val="00BC4ACF"/>
    <w:rsid w:val="00BC710D"/>
    <w:rsid w:val="00BD13EA"/>
    <w:rsid w:val="00BE1317"/>
    <w:rsid w:val="00BE1D87"/>
    <w:rsid w:val="00BE2461"/>
    <w:rsid w:val="00BE3808"/>
    <w:rsid w:val="00BE43A6"/>
    <w:rsid w:val="00BE4767"/>
    <w:rsid w:val="00BE5994"/>
    <w:rsid w:val="00BF362E"/>
    <w:rsid w:val="00C03B88"/>
    <w:rsid w:val="00C062E9"/>
    <w:rsid w:val="00C07B64"/>
    <w:rsid w:val="00C10DBB"/>
    <w:rsid w:val="00C13721"/>
    <w:rsid w:val="00C14FE4"/>
    <w:rsid w:val="00C17A5C"/>
    <w:rsid w:val="00C20323"/>
    <w:rsid w:val="00C206FD"/>
    <w:rsid w:val="00C20BBE"/>
    <w:rsid w:val="00C23A12"/>
    <w:rsid w:val="00C24C09"/>
    <w:rsid w:val="00C24D25"/>
    <w:rsid w:val="00C253F7"/>
    <w:rsid w:val="00C3066D"/>
    <w:rsid w:val="00C33AE8"/>
    <w:rsid w:val="00C36B4E"/>
    <w:rsid w:val="00C40DBC"/>
    <w:rsid w:val="00C45D6E"/>
    <w:rsid w:val="00C479B9"/>
    <w:rsid w:val="00C50999"/>
    <w:rsid w:val="00C50E9B"/>
    <w:rsid w:val="00C52416"/>
    <w:rsid w:val="00C543F4"/>
    <w:rsid w:val="00C5698D"/>
    <w:rsid w:val="00C57864"/>
    <w:rsid w:val="00C6291C"/>
    <w:rsid w:val="00C633CB"/>
    <w:rsid w:val="00C65E93"/>
    <w:rsid w:val="00C664CD"/>
    <w:rsid w:val="00C66E22"/>
    <w:rsid w:val="00C736B7"/>
    <w:rsid w:val="00C756D7"/>
    <w:rsid w:val="00C7579B"/>
    <w:rsid w:val="00C76ED7"/>
    <w:rsid w:val="00C8005D"/>
    <w:rsid w:val="00C80809"/>
    <w:rsid w:val="00C81D4A"/>
    <w:rsid w:val="00C8762C"/>
    <w:rsid w:val="00C87F44"/>
    <w:rsid w:val="00C92126"/>
    <w:rsid w:val="00C92F58"/>
    <w:rsid w:val="00C96285"/>
    <w:rsid w:val="00CA00F9"/>
    <w:rsid w:val="00CA1DA7"/>
    <w:rsid w:val="00CA2961"/>
    <w:rsid w:val="00CA33DA"/>
    <w:rsid w:val="00CA3709"/>
    <w:rsid w:val="00CA73AD"/>
    <w:rsid w:val="00CA7787"/>
    <w:rsid w:val="00CB189C"/>
    <w:rsid w:val="00CB2DD6"/>
    <w:rsid w:val="00CB3391"/>
    <w:rsid w:val="00CB50D7"/>
    <w:rsid w:val="00CB7177"/>
    <w:rsid w:val="00CB7CED"/>
    <w:rsid w:val="00CC070F"/>
    <w:rsid w:val="00CC1998"/>
    <w:rsid w:val="00CC405B"/>
    <w:rsid w:val="00CC4946"/>
    <w:rsid w:val="00CC64A1"/>
    <w:rsid w:val="00CC6A2C"/>
    <w:rsid w:val="00CD40EA"/>
    <w:rsid w:val="00CD545E"/>
    <w:rsid w:val="00CD57C4"/>
    <w:rsid w:val="00CE0361"/>
    <w:rsid w:val="00CE0648"/>
    <w:rsid w:val="00CE6B20"/>
    <w:rsid w:val="00CF04C9"/>
    <w:rsid w:val="00CF1BAC"/>
    <w:rsid w:val="00CF3453"/>
    <w:rsid w:val="00CF3B11"/>
    <w:rsid w:val="00CF47F6"/>
    <w:rsid w:val="00CF596C"/>
    <w:rsid w:val="00D04FA5"/>
    <w:rsid w:val="00D12217"/>
    <w:rsid w:val="00D1497E"/>
    <w:rsid w:val="00D26D1D"/>
    <w:rsid w:val="00D270A4"/>
    <w:rsid w:val="00D31FE9"/>
    <w:rsid w:val="00D32CB1"/>
    <w:rsid w:val="00D34E1B"/>
    <w:rsid w:val="00D37456"/>
    <w:rsid w:val="00D376BA"/>
    <w:rsid w:val="00D434A0"/>
    <w:rsid w:val="00D441A1"/>
    <w:rsid w:val="00D45634"/>
    <w:rsid w:val="00D46A75"/>
    <w:rsid w:val="00D54853"/>
    <w:rsid w:val="00D5568A"/>
    <w:rsid w:val="00D602AE"/>
    <w:rsid w:val="00D613CC"/>
    <w:rsid w:val="00D61ACD"/>
    <w:rsid w:val="00D63D73"/>
    <w:rsid w:val="00D643D3"/>
    <w:rsid w:val="00D64452"/>
    <w:rsid w:val="00D6563D"/>
    <w:rsid w:val="00D66E1E"/>
    <w:rsid w:val="00D70276"/>
    <w:rsid w:val="00D70696"/>
    <w:rsid w:val="00D744E2"/>
    <w:rsid w:val="00D75722"/>
    <w:rsid w:val="00D76E18"/>
    <w:rsid w:val="00D77F61"/>
    <w:rsid w:val="00D80CF5"/>
    <w:rsid w:val="00D86D6B"/>
    <w:rsid w:val="00D90579"/>
    <w:rsid w:val="00DA3152"/>
    <w:rsid w:val="00DA3DC7"/>
    <w:rsid w:val="00DA4BBC"/>
    <w:rsid w:val="00DA5BBA"/>
    <w:rsid w:val="00DB1716"/>
    <w:rsid w:val="00DB26D2"/>
    <w:rsid w:val="00DB674B"/>
    <w:rsid w:val="00DB67C9"/>
    <w:rsid w:val="00DC0C95"/>
    <w:rsid w:val="00DC4F0B"/>
    <w:rsid w:val="00DD03F3"/>
    <w:rsid w:val="00DD14A3"/>
    <w:rsid w:val="00DD1C3D"/>
    <w:rsid w:val="00DD1E7B"/>
    <w:rsid w:val="00DD6580"/>
    <w:rsid w:val="00DD7FE1"/>
    <w:rsid w:val="00DE0AA6"/>
    <w:rsid w:val="00DE1B9C"/>
    <w:rsid w:val="00DE1E8A"/>
    <w:rsid w:val="00DE2284"/>
    <w:rsid w:val="00DE7169"/>
    <w:rsid w:val="00DF0F75"/>
    <w:rsid w:val="00DF39BF"/>
    <w:rsid w:val="00E01D7F"/>
    <w:rsid w:val="00E044E7"/>
    <w:rsid w:val="00E05C03"/>
    <w:rsid w:val="00E05DA7"/>
    <w:rsid w:val="00E07F52"/>
    <w:rsid w:val="00E17C72"/>
    <w:rsid w:val="00E20778"/>
    <w:rsid w:val="00E21FC6"/>
    <w:rsid w:val="00E25C25"/>
    <w:rsid w:val="00E25DFE"/>
    <w:rsid w:val="00E27546"/>
    <w:rsid w:val="00E34255"/>
    <w:rsid w:val="00E342BA"/>
    <w:rsid w:val="00E350F9"/>
    <w:rsid w:val="00E360E9"/>
    <w:rsid w:val="00E3643D"/>
    <w:rsid w:val="00E431A9"/>
    <w:rsid w:val="00E44F64"/>
    <w:rsid w:val="00E50529"/>
    <w:rsid w:val="00E547E0"/>
    <w:rsid w:val="00E62880"/>
    <w:rsid w:val="00E669E2"/>
    <w:rsid w:val="00E7038E"/>
    <w:rsid w:val="00E74C58"/>
    <w:rsid w:val="00E76135"/>
    <w:rsid w:val="00E77D37"/>
    <w:rsid w:val="00E82588"/>
    <w:rsid w:val="00E82F4F"/>
    <w:rsid w:val="00E8504D"/>
    <w:rsid w:val="00E8619E"/>
    <w:rsid w:val="00E864DF"/>
    <w:rsid w:val="00E87ED6"/>
    <w:rsid w:val="00E910EF"/>
    <w:rsid w:val="00E97D72"/>
    <w:rsid w:val="00E97F81"/>
    <w:rsid w:val="00EA02AC"/>
    <w:rsid w:val="00EA5C65"/>
    <w:rsid w:val="00EA6BA6"/>
    <w:rsid w:val="00EB2CC3"/>
    <w:rsid w:val="00EB4FAC"/>
    <w:rsid w:val="00EB6813"/>
    <w:rsid w:val="00EB6A0E"/>
    <w:rsid w:val="00EC2844"/>
    <w:rsid w:val="00EC5500"/>
    <w:rsid w:val="00ED0524"/>
    <w:rsid w:val="00ED18F8"/>
    <w:rsid w:val="00ED4538"/>
    <w:rsid w:val="00ED6338"/>
    <w:rsid w:val="00ED72EC"/>
    <w:rsid w:val="00ED74BF"/>
    <w:rsid w:val="00EE6EDA"/>
    <w:rsid w:val="00EE778E"/>
    <w:rsid w:val="00EF0C64"/>
    <w:rsid w:val="00EF112C"/>
    <w:rsid w:val="00EF3475"/>
    <w:rsid w:val="00EF3CA6"/>
    <w:rsid w:val="00EF6719"/>
    <w:rsid w:val="00EF6C6C"/>
    <w:rsid w:val="00F007EE"/>
    <w:rsid w:val="00F03298"/>
    <w:rsid w:val="00F056FC"/>
    <w:rsid w:val="00F05757"/>
    <w:rsid w:val="00F05B28"/>
    <w:rsid w:val="00F05C71"/>
    <w:rsid w:val="00F0632F"/>
    <w:rsid w:val="00F069AE"/>
    <w:rsid w:val="00F10476"/>
    <w:rsid w:val="00F12B06"/>
    <w:rsid w:val="00F135D8"/>
    <w:rsid w:val="00F159BD"/>
    <w:rsid w:val="00F1663B"/>
    <w:rsid w:val="00F2098A"/>
    <w:rsid w:val="00F21354"/>
    <w:rsid w:val="00F22470"/>
    <w:rsid w:val="00F300EC"/>
    <w:rsid w:val="00F31299"/>
    <w:rsid w:val="00F3534A"/>
    <w:rsid w:val="00F35BFB"/>
    <w:rsid w:val="00F36ACC"/>
    <w:rsid w:val="00F40406"/>
    <w:rsid w:val="00F42A6C"/>
    <w:rsid w:val="00F47BF3"/>
    <w:rsid w:val="00F51609"/>
    <w:rsid w:val="00F53E33"/>
    <w:rsid w:val="00F55C25"/>
    <w:rsid w:val="00F57F90"/>
    <w:rsid w:val="00F61B23"/>
    <w:rsid w:val="00F63867"/>
    <w:rsid w:val="00F64B62"/>
    <w:rsid w:val="00F73727"/>
    <w:rsid w:val="00F765FA"/>
    <w:rsid w:val="00F766A7"/>
    <w:rsid w:val="00F81006"/>
    <w:rsid w:val="00F81CD1"/>
    <w:rsid w:val="00F82CA6"/>
    <w:rsid w:val="00F850D7"/>
    <w:rsid w:val="00F85325"/>
    <w:rsid w:val="00F86CEE"/>
    <w:rsid w:val="00F87BBE"/>
    <w:rsid w:val="00F901C2"/>
    <w:rsid w:val="00F9073A"/>
    <w:rsid w:val="00FA3B6D"/>
    <w:rsid w:val="00FA3CB3"/>
    <w:rsid w:val="00FA3FD4"/>
    <w:rsid w:val="00FA6940"/>
    <w:rsid w:val="00FB01E0"/>
    <w:rsid w:val="00FB42A5"/>
    <w:rsid w:val="00FB4E2F"/>
    <w:rsid w:val="00FC2BDE"/>
    <w:rsid w:val="00FC4A1A"/>
    <w:rsid w:val="00FC5916"/>
    <w:rsid w:val="00FD1417"/>
    <w:rsid w:val="00FD1DD1"/>
    <w:rsid w:val="00FD22B1"/>
    <w:rsid w:val="00FD33F1"/>
    <w:rsid w:val="00FD3566"/>
    <w:rsid w:val="00FE1E35"/>
    <w:rsid w:val="00FE3326"/>
    <w:rsid w:val="00FE3B93"/>
    <w:rsid w:val="00FE45C7"/>
    <w:rsid w:val="00FE4DB7"/>
    <w:rsid w:val="00FE5397"/>
    <w:rsid w:val="00FE5964"/>
    <w:rsid w:val="00FE6D27"/>
    <w:rsid w:val="00FF302D"/>
    <w:rsid w:val="00FF6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8FFDC42"/>
  <w15:docId w15:val="{599C5A5E-C9D3-45BD-9B64-7E10A8A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7144"/>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2Char">
    <w:name w:val="Heading 2 Char"/>
    <w:basedOn w:val="DefaultParagraphFont"/>
    <w:link w:val="Heading2"/>
    <w:rsid w:val="00575D6B"/>
    <w:rPr>
      <w:rFonts w:ascii="Arial" w:hAnsi="Arial"/>
      <w:b/>
      <w:sz w:val="32"/>
    </w:rPr>
  </w:style>
  <w:style w:type="character" w:customStyle="1" w:styleId="Heading3Char">
    <w:name w:val="Heading 3 Char"/>
    <w:basedOn w:val="DefaultParagraphFont"/>
    <w:link w:val="Heading3"/>
    <w:rsid w:val="00170A0F"/>
    <w:rPr>
      <w:rFonts w:ascii="Arial" w:hAnsi="Arial"/>
      <w:b/>
      <w:sz w:val="26"/>
    </w:rPr>
  </w:style>
  <w:style w:type="paragraph" w:styleId="ListParagraph">
    <w:name w:val="List Paragraph"/>
    <w:basedOn w:val="Normal"/>
    <w:uiPriority w:val="34"/>
    <w:qFormat/>
    <w:rsid w:val="006B573C"/>
    <w:pPr>
      <w:ind w:left="720"/>
    </w:pPr>
    <w:rPr>
      <w:rFonts w:ascii="Calibri" w:eastAsiaTheme="minorHAnsi" w:hAnsi="Calibri"/>
      <w:sz w:val="22"/>
      <w:szCs w:val="22"/>
      <w:lang w:eastAsia="en-US"/>
    </w:rPr>
  </w:style>
  <w:style w:type="paragraph" w:styleId="CommentSubject">
    <w:name w:val="annotation subject"/>
    <w:basedOn w:val="CommentText"/>
    <w:next w:val="CommentText"/>
    <w:link w:val="CommentSubjectChar"/>
    <w:semiHidden/>
    <w:unhideWhenUsed/>
    <w:rsid w:val="0018562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85628"/>
    <w:rPr>
      <w:szCs w:val="24"/>
    </w:rPr>
  </w:style>
  <w:style w:type="character" w:customStyle="1" w:styleId="CommentSubjectChar">
    <w:name w:val="Comment Subject Char"/>
    <w:basedOn w:val="CommentTextChar"/>
    <w:link w:val="CommentSubject"/>
    <w:semiHidden/>
    <w:rsid w:val="00185628"/>
    <w:rPr>
      <w:b/>
      <w:bCs/>
      <w:szCs w:val="24"/>
    </w:rPr>
  </w:style>
  <w:style w:type="paragraph" w:styleId="Revision">
    <w:name w:val="Revision"/>
    <w:hidden/>
    <w:uiPriority w:val="99"/>
    <w:semiHidden/>
    <w:rsid w:val="00145B9F"/>
    <w:rPr>
      <w:sz w:val="24"/>
      <w:szCs w:val="24"/>
    </w:rPr>
  </w:style>
  <w:style w:type="paragraph" w:styleId="Bibliography">
    <w:name w:val="Bibliography"/>
    <w:basedOn w:val="Normal"/>
    <w:next w:val="Normal"/>
    <w:uiPriority w:val="37"/>
    <w:unhideWhenUsed/>
    <w:rsid w:val="005C45CD"/>
    <w:pPr>
      <w:spacing w:after="240"/>
      <w:ind w:left="720" w:hanging="720"/>
    </w:pPr>
  </w:style>
  <w:style w:type="character" w:styleId="EndnoteReference">
    <w:name w:val="endnote reference"/>
    <w:basedOn w:val="DefaultParagraphFont"/>
    <w:semiHidden/>
    <w:unhideWhenUsed/>
    <w:rsid w:val="00911542"/>
    <w:rPr>
      <w:vertAlign w:val="superscript"/>
    </w:rPr>
  </w:style>
  <w:style w:type="paragraph" w:customStyle="1" w:styleId="Copyrightsubtitle">
    <w:name w:val="Copyright subtitle"/>
    <w:basedOn w:val="BodyText"/>
    <w:rsid w:val="00FE6D27"/>
    <w:rPr>
      <w:rFonts w:ascii="Arial" w:hAnsi="Arial"/>
      <w:b/>
      <w:sz w:val="22"/>
      <w:szCs w:val="25"/>
    </w:rPr>
  </w:style>
  <w:style w:type="paragraph" w:customStyle="1" w:styleId="Copyrightbodytext">
    <w:name w:val="Copyright bodytext"/>
    <w:basedOn w:val="BodyText"/>
    <w:link w:val="CopyrightbodytextChar"/>
    <w:qFormat/>
    <w:rsid w:val="00FE6D27"/>
    <w:pPr>
      <w:spacing w:before="60"/>
    </w:pPr>
  </w:style>
  <w:style w:type="character" w:customStyle="1" w:styleId="CopyrightbodytextChar">
    <w:name w:val="Copyright bodytext Char"/>
    <w:basedOn w:val="BodyTextChar"/>
    <w:link w:val="Copyrightbodytext"/>
    <w:rsid w:val="00FE6D27"/>
    <w:rPr>
      <w:sz w:val="24"/>
    </w:rPr>
  </w:style>
  <w:style w:type="character" w:styleId="Hyperlink">
    <w:name w:val="Hyperlink"/>
    <w:basedOn w:val="DefaultParagraphFont"/>
    <w:uiPriority w:val="99"/>
    <w:unhideWhenUsed/>
    <w:rsid w:val="00FE6D27"/>
    <w:rPr>
      <w:color w:val="78A22F" w:themeColor="hyperlink"/>
      <w:u w:val="single"/>
    </w:rPr>
  </w:style>
  <w:style w:type="paragraph" w:customStyle="1" w:styleId="Heading1NotTOC">
    <w:name w:val="Heading 1 Not TOC"/>
    <w:basedOn w:val="Heading1"/>
    <w:next w:val="BodyText"/>
    <w:rsid w:val="00BE43A6"/>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771888">
      <w:bodyDiv w:val="1"/>
      <w:marLeft w:val="0"/>
      <w:marRight w:val="0"/>
      <w:marTop w:val="0"/>
      <w:marBottom w:val="0"/>
      <w:divBdr>
        <w:top w:val="none" w:sz="0" w:space="0" w:color="auto"/>
        <w:left w:val="none" w:sz="0" w:space="0" w:color="auto"/>
        <w:bottom w:val="none" w:sz="0" w:space="0" w:color="auto"/>
        <w:right w:val="none" w:sz="0" w:space="0" w:color="auto"/>
      </w:divBdr>
    </w:div>
    <w:div w:id="871573866">
      <w:bodyDiv w:val="1"/>
      <w:marLeft w:val="0"/>
      <w:marRight w:val="0"/>
      <w:marTop w:val="0"/>
      <w:marBottom w:val="0"/>
      <w:divBdr>
        <w:top w:val="none" w:sz="0" w:space="0" w:color="auto"/>
        <w:left w:val="none" w:sz="0" w:space="0" w:color="auto"/>
        <w:bottom w:val="none" w:sz="0" w:space="0" w:color="auto"/>
        <w:right w:val="none" w:sz="0" w:space="0" w:color="auto"/>
      </w:divBdr>
    </w:div>
    <w:div w:id="94623273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87728109">
      <w:bodyDiv w:val="1"/>
      <w:marLeft w:val="0"/>
      <w:marRight w:val="0"/>
      <w:marTop w:val="0"/>
      <w:marBottom w:val="0"/>
      <w:divBdr>
        <w:top w:val="none" w:sz="0" w:space="0" w:color="auto"/>
        <w:left w:val="none" w:sz="0" w:space="0" w:color="auto"/>
        <w:bottom w:val="none" w:sz="0" w:space="0" w:color="auto"/>
        <w:right w:val="none" w:sz="0" w:space="0" w:color="auto"/>
      </w:divBdr>
    </w:div>
    <w:div w:id="2088768301">
      <w:bodyDiv w:val="1"/>
      <w:marLeft w:val="0"/>
      <w:marRight w:val="0"/>
      <w:marTop w:val="0"/>
      <w:marBottom w:val="0"/>
      <w:divBdr>
        <w:top w:val="none" w:sz="0" w:space="0" w:color="auto"/>
        <w:left w:val="none" w:sz="0" w:space="0" w:color="auto"/>
        <w:bottom w:val="none" w:sz="0" w:space="0" w:color="auto"/>
        <w:right w:val="none" w:sz="0" w:space="0" w:color="auto"/>
      </w:divBdr>
    </w:div>
    <w:div w:id="21288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4"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Draft_x0020_Report_x0020_Status xmlns="3f4bcce7-ac1a-4c9d-aa3e-7e77695652db">
      <Value>In initial draft state</Value>
      <Value>Compiled</Value>
    </Draft_x0020_Report_x0020_Status>
    <TaxCatchAll xmlns="3f4bcce7-ac1a-4c9d-aa3e-7e77695652db">
      <Value>270</Value>
    </TaxCatchAll>
    <TaxKeywordTaxHTField xmlns="3f4bcce7-ac1a-4c9d-aa3e-7e77695652db">
      <Terms xmlns="http://schemas.microsoft.com/office/infopath/2007/PartnerControls"/>
    </TaxKeywordTaxHTField>
  </documentManagement>
</p:properties>
</file>

<file path=customXml/item6.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46109-931E-4415-ABDF-7E5EB1C00320}">
  <ds:schemaRefs>
    <ds:schemaRef ds:uri="Microsoft.SharePoint.Taxonomy.ContentTypeSync"/>
  </ds:schemaRefs>
</ds:datastoreItem>
</file>

<file path=customXml/itemProps2.xml><?xml version="1.0" encoding="utf-8"?>
<ds:datastoreItem xmlns:ds="http://schemas.openxmlformats.org/officeDocument/2006/customXml" ds:itemID="{A6C1C0CE-4B68-4673-9CE2-F6AA5F221F4F}">
  <ds:schemaRefs>
    <ds:schemaRef ds:uri="http://schemas.microsoft.com/office/2006/metadata/customXsn"/>
  </ds:schemaRefs>
</ds:datastoreItem>
</file>

<file path=customXml/itemProps3.xml><?xml version="1.0" encoding="utf-8"?>
<ds:datastoreItem xmlns:ds="http://schemas.openxmlformats.org/officeDocument/2006/customXml" ds:itemID="{7EDD1D56-C8CD-4C2F-A9A6-DC87BAC3FB2B}">
  <ds:schemaRefs>
    <ds:schemaRef ds:uri="http://schemas.microsoft.com/sharepoint/events"/>
  </ds:schemaRefs>
</ds:datastoreItem>
</file>

<file path=customXml/itemProps4.xml><?xml version="1.0" encoding="utf-8"?>
<ds:datastoreItem xmlns:ds="http://schemas.openxmlformats.org/officeDocument/2006/customXml" ds:itemID="{553DE0B1-97C9-46AE-A225-0D4941EF2913}">
  <ds:schemaRefs>
    <ds:schemaRef ds:uri="http://schemas.microsoft.com/sharepoint/v3/contenttype/forms"/>
  </ds:schemaRefs>
</ds:datastoreItem>
</file>

<file path=customXml/itemProps5.xml><?xml version="1.0" encoding="utf-8"?>
<ds:datastoreItem xmlns:ds="http://schemas.openxmlformats.org/officeDocument/2006/customXml" ds:itemID="{CCE7D610-BA7F-4A0A-8F73-4BD12EC0F384}">
  <ds:schemaRefs>
    <ds:schemaRef ds:uri="http://schemas.microsoft.com/office/2006/metadata/properties"/>
    <ds:schemaRef ds:uri="http://schemas.microsoft.com/sharepoint/v3"/>
    <ds:schemaRef ds:uri="http://purl.org/dc/terms/"/>
    <ds:schemaRef ds:uri="3f4bcce7-ac1a-4c9d-aa3e-7e77695652d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58261C01-AF3B-4A4E-BD53-174963D97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59D967-0E98-43E3-8DDF-81A0EB83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8878</Words>
  <Characters>47143</Characters>
  <Application>Microsoft Office Word</Application>
  <DocSecurity>0</DocSecurity>
  <Lines>1240</Lines>
  <Paragraphs>718</Paragraphs>
  <ScaleCrop>false</ScaleCrop>
  <HeadingPairs>
    <vt:vector size="2" baseType="variant">
      <vt:variant>
        <vt:lpstr>Title</vt:lpstr>
      </vt:variant>
      <vt:variant>
        <vt:i4>1</vt:i4>
      </vt:variant>
    </vt:vector>
  </HeadingPairs>
  <TitlesOfParts>
    <vt:vector size="1" baseType="lpstr">
      <vt:lpstr>Supporting paper 6: Impacts of health recommendations</vt:lpstr>
    </vt:vector>
  </TitlesOfParts>
  <Company>Productivity Commission</Company>
  <LinksUpToDate>false</LinksUpToDate>
  <CharactersWithSpaces>55303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6: Impacts of health recommendations</dc:title>
  <dc:subject/>
  <dc:creator>Productivity Commission</dc:creator>
  <cp:keywords/>
  <dc:description/>
  <cp:lastModifiedBy>Productivity Commission</cp:lastModifiedBy>
  <cp:revision>3</cp:revision>
  <dcterms:created xsi:type="dcterms:W3CDTF">2017-08-01T05:26:00Z</dcterms:created>
  <dcterms:modified xsi:type="dcterms:W3CDTF">2017-10-05T00:22:00Z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 Tag">
    <vt:lpwstr>270;#Final Report|2ba7de50-4c1d-4453-9bfb-2c08018fad73</vt:lpwstr>
  </property>
  <property fmtid="{D5CDD505-2E9C-101B-9397-08002B2CF9AE}" pid="3" name="TaxKeyword">
    <vt:lpwstr/>
  </property>
  <property fmtid="{D5CDD505-2E9C-101B-9397-08002B2CF9AE}" pid="4" name="ZOTERO_PREF_2">
    <vt:lpwstr> value="true"/&gt;&lt;pref name="automaticJournalAbbreviations" value="true"/&gt;&lt;pref name="noteType" value=""/&gt;&lt;/prefs&gt;&lt;/data&gt;</vt:lpwstr>
  </property>
  <property fmtid="{D5CDD505-2E9C-101B-9397-08002B2CF9AE}" pid="5" name="ContentTypeId">
    <vt:lpwstr>0x0101007916246811615643A710C6FEAFF56A871104006E3BDAB9F67AF64BB2EC3946D13B8675</vt:lpwstr>
  </property>
  <property fmtid="{D5CDD505-2E9C-101B-9397-08002B2CF9AE}" pid="6" name="ZOTERO_PREF_1">
    <vt:lpwstr>&lt;data data-version="3" zotero-version="4.0.29.10"&gt;&lt;session id="F05ZAXnM"/&gt;&lt;style id="http://www.zotero.org/styles/unisa-harvard" hasBibliography="1" bibliographyStyleHasBeenSet="1"/&gt;&lt;prefs&gt;&lt;pref name="fieldType" value="Field"/&gt;&lt;pref name="storeReferences"</vt:lpwstr>
  </property>
</Properties>
</file>