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D4757" w14:textId="77777777" w:rsidR="002039E5" w:rsidRPr="008F3113" w:rsidRDefault="002039E5" w:rsidP="002039E5">
      <w:pPr>
        <w:pStyle w:val="Heading1"/>
        <w:rPr>
          <w:color w:val="FFFFFF" w:themeColor="background1"/>
        </w:rPr>
      </w:pPr>
      <w:bookmarkStart w:id="0" w:name="_Toc489363493"/>
      <w:bookmarkStart w:id="1" w:name="_Toc489364869"/>
      <w:r>
        <w:rPr>
          <w:noProof/>
          <w:color w:val="FFFFFF" w:themeColor="background1"/>
        </w:rPr>
        <w:drawing>
          <wp:anchor distT="0" distB="0" distL="114300" distR="114300" simplePos="0" relativeHeight="251658240" behindDoc="0" locked="0" layoutInCell="1" allowOverlap="1" wp14:anchorId="47432B99" wp14:editId="69642A63">
            <wp:simplePos x="0" y="0"/>
            <wp:positionH relativeFrom="page">
              <wp:align>center</wp:align>
            </wp:positionH>
            <wp:positionV relativeFrom="page">
              <wp:align>center</wp:align>
            </wp:positionV>
            <wp:extent cx="7558767" cy="10691998"/>
            <wp:effectExtent l="0" t="0" r="4445" b="0"/>
            <wp:wrapNone/>
            <wp:docPr id="1" name="Picture 1" descr="Cover of Supporting paper 8: Upskilling and re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rod-review-supporting-papers1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r w:rsidRPr="008F3113">
        <w:rPr>
          <w:color w:val="FFFFFF" w:themeColor="background1"/>
        </w:rPr>
        <w:t>Upskilling and retraining</w:t>
      </w:r>
      <w:bookmarkEnd w:id="0"/>
      <w:bookmarkEnd w:id="1"/>
    </w:p>
    <w:p w14:paraId="0D46CCA5" w14:textId="77777777" w:rsidR="002039E5" w:rsidRDefault="002039E5" w:rsidP="002039E5">
      <w:pPr>
        <w:pStyle w:val="BodyText"/>
        <w:rPr>
          <w:rFonts w:ascii="Arial" w:hAnsi="Arial"/>
          <w:sz w:val="22"/>
          <w:szCs w:val="26"/>
        </w:rPr>
      </w:pPr>
      <w:r w:rsidRPr="008F3113">
        <w:rPr>
          <w:color w:val="FFFFFF" w:themeColor="background1"/>
        </w:rPr>
        <w:t>Shifting the Dial: 5 year Productivity Review — Supporting Paper No.11, Canberra, August 2017</w:t>
      </w:r>
      <w:r>
        <w:br w:type="page"/>
      </w:r>
    </w:p>
    <w:p w14:paraId="702588F7" w14:textId="77777777" w:rsidR="002039E5" w:rsidRDefault="002039E5" w:rsidP="002039E5">
      <w:pPr>
        <w:pStyle w:val="Copyrightsubtitle"/>
        <w:spacing w:before="0"/>
      </w:pPr>
      <w:r>
        <w:lastRenderedPageBreak/>
        <w:fldChar w:fldCharType="begin"/>
      </w:r>
      <w:r>
        <w:instrText>SYMBOL 227 \f "Symbol"</w:instrText>
      </w:r>
      <w:r>
        <w:fldChar w:fldCharType="end"/>
      </w:r>
      <w:r>
        <w:t xml:space="preserve"> Commonwealth of Australia 2017</w:t>
      </w:r>
    </w:p>
    <w:p w14:paraId="6B046051" w14:textId="77777777" w:rsidR="002039E5" w:rsidRDefault="002039E5" w:rsidP="002039E5">
      <w:pPr>
        <w:pStyle w:val="BodyText"/>
        <w:tabs>
          <w:tab w:val="left" w:pos="851"/>
        </w:tabs>
        <w:spacing w:before="80" w:after="80"/>
        <w:jc w:val="left"/>
        <w:rPr>
          <w:b/>
        </w:rPr>
      </w:pPr>
      <w:r>
        <w:rPr>
          <w:b/>
        </w:rPr>
        <w:t>ISBN</w:t>
      </w:r>
      <w:r>
        <w:rPr>
          <w:b/>
        </w:rPr>
        <w:tab/>
      </w:r>
      <w:r w:rsidRPr="00926D38">
        <w:rPr>
          <w:b/>
        </w:rPr>
        <w:t>978-1-74037-636-5</w:t>
      </w:r>
      <w:r>
        <w:rPr>
          <w:b/>
        </w:rPr>
        <w:t xml:space="preserve"> (PDF)</w:t>
      </w:r>
    </w:p>
    <w:p w14:paraId="21EFF58B" w14:textId="77777777" w:rsidR="002039E5" w:rsidRDefault="002039E5" w:rsidP="002039E5">
      <w:pPr>
        <w:pStyle w:val="BodyText"/>
        <w:spacing w:before="120" w:after="120"/>
      </w:pPr>
      <w:r>
        <w:rPr>
          <w:noProof/>
          <w:sz w:val="22"/>
          <w:szCs w:val="22"/>
        </w:rPr>
        <w:drawing>
          <wp:inline distT="0" distB="0" distL="0" distR="0" wp14:anchorId="67B19CEE" wp14:editId="23DE328D">
            <wp:extent cx="843915" cy="293370"/>
            <wp:effectExtent l="0" t="0" r="0" b="0"/>
            <wp:docPr id="5" name="Picture 5"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 BY licen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3915" cy="293370"/>
                    </a:xfrm>
                    <a:prstGeom prst="rect">
                      <a:avLst/>
                    </a:prstGeom>
                    <a:noFill/>
                    <a:ln>
                      <a:noFill/>
                    </a:ln>
                  </pic:spPr>
                </pic:pic>
              </a:graphicData>
            </a:graphic>
          </wp:inline>
        </w:drawing>
      </w:r>
    </w:p>
    <w:p w14:paraId="0DABA18D" w14:textId="23C8A20A" w:rsidR="002039E5" w:rsidRDefault="002039E5" w:rsidP="002039E5">
      <w:pPr>
        <w:pStyle w:val="Copyrightbodytext"/>
      </w:pPr>
      <w:r>
        <w:t xml:space="preserve">Except for the Commonwealth Coat of Arms and content supplied by third parties, this copyright work is licensed under a Creative Commons Attribution 3.0 Australia licence. To view a copy of this licence, visit </w:t>
      </w:r>
      <w:r w:rsidRPr="00D65BEF">
        <w:t>http://creativecommons.org/licenses/by/3.0/au</w:t>
      </w:r>
      <w:r>
        <w:rPr>
          <w:szCs w:val="24"/>
        </w:rPr>
        <w:t>.</w:t>
      </w:r>
      <w:r>
        <w:t xml:space="preserve"> In essence, you are free to copy, communicate and adapt the work, as long as you attribute the work to the Productivity Commission (but not in any way that suggests the Commission endorses you or your use) and abide by the other licence terms.</w:t>
      </w:r>
    </w:p>
    <w:p w14:paraId="0C615FB7" w14:textId="77777777" w:rsidR="002039E5" w:rsidRDefault="002039E5" w:rsidP="002039E5">
      <w:pPr>
        <w:pStyle w:val="Copyrightsubtitle"/>
        <w:spacing w:before="160"/>
      </w:pPr>
      <w:r>
        <w:t>Use of the Commonwealth Coat of Arms</w:t>
      </w:r>
    </w:p>
    <w:p w14:paraId="0EA19985" w14:textId="5C26F8FE" w:rsidR="002039E5" w:rsidRDefault="002039E5" w:rsidP="002039E5">
      <w:pPr>
        <w:pStyle w:val="Copyrightbodytext"/>
      </w:pPr>
      <w:r>
        <w:t>For terms of use of the Coat of Arms visit the ‘</w:t>
      </w:r>
      <w:r w:rsidRPr="00D65BEF">
        <w:t>It’s an Honour</w:t>
      </w:r>
      <w:r>
        <w:t xml:space="preserve">’ website: </w:t>
      </w:r>
      <w:r w:rsidRPr="00D65BEF">
        <w:t>http://www.itsanhonour.gov.au</w:t>
      </w:r>
    </w:p>
    <w:p w14:paraId="688B32F8" w14:textId="77777777" w:rsidR="002039E5" w:rsidRDefault="002039E5" w:rsidP="002039E5">
      <w:pPr>
        <w:pStyle w:val="Copyrightsubtitle"/>
        <w:spacing w:before="160"/>
      </w:pPr>
      <w:r>
        <w:t>Third party copyright</w:t>
      </w:r>
    </w:p>
    <w:p w14:paraId="3F2F4204" w14:textId="77777777" w:rsidR="002039E5" w:rsidRDefault="002039E5" w:rsidP="002039E5">
      <w:pPr>
        <w:pStyle w:val="Copyrightbodytext"/>
      </w:pPr>
      <w:r>
        <w:t>Wherever a third party holds copyright in this material, the copyright remains with that party. Their permission may be required to use the material, please contact them directly.</w:t>
      </w:r>
    </w:p>
    <w:p w14:paraId="130458D7" w14:textId="77777777" w:rsidR="002039E5" w:rsidRDefault="002039E5" w:rsidP="002039E5">
      <w:pPr>
        <w:pStyle w:val="Copyrightsubtitle"/>
        <w:spacing w:before="200"/>
      </w:pPr>
      <w:r>
        <w:t>Attribution</w:t>
      </w:r>
    </w:p>
    <w:p w14:paraId="28D0EB3A" w14:textId="16AD806C" w:rsidR="002039E5" w:rsidRPr="008A3857" w:rsidRDefault="002039E5" w:rsidP="002039E5">
      <w:pPr>
        <w:pStyle w:val="Copyrightbodytext"/>
      </w:pPr>
      <w:r w:rsidRPr="008A3857">
        <w:t xml:space="preserve">This work should be attributed as follows, </w:t>
      </w:r>
      <w:r>
        <w:rPr>
          <w:i/>
        </w:rPr>
        <w:t>Source: Productivity Commission, ‘</w:t>
      </w:r>
      <w:r w:rsidR="0084099D">
        <w:rPr>
          <w:i/>
        </w:rPr>
        <w:t>Upskilling and R</w:t>
      </w:r>
      <w:r w:rsidR="0084099D" w:rsidRPr="009405AC">
        <w:rPr>
          <w:i/>
        </w:rPr>
        <w:t>etraining</w:t>
      </w:r>
      <w:r>
        <w:rPr>
          <w:i/>
        </w:rPr>
        <w:t>, Shifting the Dial: 5 year Productivity Review</w:t>
      </w:r>
      <w:r w:rsidR="0084099D">
        <w:t xml:space="preserve">, </w:t>
      </w:r>
      <w:r>
        <w:rPr>
          <w:i/>
        </w:rPr>
        <w:t xml:space="preserve">Supporting Paper No. </w:t>
      </w:r>
      <w:r w:rsidR="001A77AF">
        <w:rPr>
          <w:i/>
        </w:rPr>
        <w:t>8</w:t>
      </w:r>
      <w:r>
        <w:rPr>
          <w:i/>
        </w:rPr>
        <w:t>.</w:t>
      </w:r>
    </w:p>
    <w:p w14:paraId="71DCCF9B" w14:textId="1B3C0379" w:rsidR="002039E5" w:rsidRPr="008A3857" w:rsidRDefault="002039E5" w:rsidP="002039E5">
      <w:pPr>
        <w:pStyle w:val="Copyrightbodytext"/>
      </w:pPr>
      <w:r w:rsidRPr="008A3857">
        <w:t xml:space="preserve">If you have adapted, modified or transformed this work in anyway, please use the following, </w:t>
      </w:r>
      <w:r w:rsidRPr="008E242D">
        <w:rPr>
          <w:i/>
        </w:rPr>
        <w:t>Source: based on Productivity Commission</w:t>
      </w:r>
      <w:r>
        <w:rPr>
          <w:i/>
        </w:rPr>
        <w:t xml:space="preserve"> data,</w:t>
      </w:r>
      <w:r w:rsidRPr="00FA5F03">
        <w:rPr>
          <w:i/>
        </w:rPr>
        <w:t xml:space="preserve"> </w:t>
      </w:r>
      <w:r w:rsidR="0084099D">
        <w:rPr>
          <w:i/>
        </w:rPr>
        <w:t>Upskilling and R</w:t>
      </w:r>
      <w:r w:rsidR="0084099D" w:rsidRPr="009405AC">
        <w:rPr>
          <w:i/>
        </w:rPr>
        <w:t>etraining</w:t>
      </w:r>
      <w:r>
        <w:rPr>
          <w:i/>
        </w:rPr>
        <w:t>, Shifting the Dial: 5 year Productivity Review</w:t>
      </w:r>
      <w:r w:rsidR="0084099D">
        <w:t xml:space="preserve">, </w:t>
      </w:r>
      <w:r>
        <w:rPr>
          <w:i/>
        </w:rPr>
        <w:t xml:space="preserve">Supporting Paper No. </w:t>
      </w:r>
      <w:r w:rsidR="001A77AF">
        <w:rPr>
          <w:i/>
        </w:rPr>
        <w:t>8</w:t>
      </w:r>
      <w:r>
        <w:rPr>
          <w:i/>
        </w:rPr>
        <w:t>.</w:t>
      </w:r>
    </w:p>
    <w:p w14:paraId="3F156EB6" w14:textId="77777777" w:rsidR="002039E5" w:rsidRDefault="002039E5" w:rsidP="002039E5">
      <w:pPr>
        <w:pStyle w:val="Copyrightsubtitle"/>
        <w:spacing w:before="160"/>
      </w:pPr>
      <w:r>
        <w:t>An appropriate reference for this publication is:</w:t>
      </w:r>
    </w:p>
    <w:p w14:paraId="34450A45" w14:textId="5AD54A22" w:rsidR="002039E5" w:rsidRDefault="002039E5" w:rsidP="002039E5">
      <w:pPr>
        <w:pStyle w:val="Copyrightbodytext"/>
        <w:rPr>
          <w:b/>
        </w:rPr>
      </w:pPr>
      <w:r>
        <w:t xml:space="preserve">Productivity Commission 2017, </w:t>
      </w:r>
      <w:r w:rsidR="0084099D">
        <w:rPr>
          <w:i/>
        </w:rPr>
        <w:t>Upskilling and R</w:t>
      </w:r>
      <w:r w:rsidRPr="009405AC">
        <w:rPr>
          <w:i/>
        </w:rPr>
        <w:t>etraining</w:t>
      </w:r>
      <w:r>
        <w:rPr>
          <w:i/>
        </w:rPr>
        <w:t xml:space="preserve">, </w:t>
      </w:r>
      <w:r>
        <w:t xml:space="preserve">Shifting the Dial: 5 year </w:t>
      </w:r>
      <w:r w:rsidRPr="00713D24">
        <w:t>Productivity Review</w:t>
      </w:r>
      <w:r w:rsidR="0084099D">
        <w:t xml:space="preserve">, </w:t>
      </w:r>
      <w:r w:rsidR="000C6553">
        <w:t>Supporting Paper No. </w:t>
      </w:r>
      <w:r w:rsidR="001A77AF">
        <w:t>8</w:t>
      </w:r>
      <w:r w:rsidRPr="00713D24">
        <w:t>, Canberra.</w:t>
      </w:r>
    </w:p>
    <w:p w14:paraId="57A7BDD9" w14:textId="77777777" w:rsidR="002039E5" w:rsidRDefault="002039E5" w:rsidP="002039E5">
      <w:pPr>
        <w:pStyle w:val="Copyrightsubtitle"/>
        <w:spacing w:before="160"/>
      </w:pPr>
      <w:r>
        <w:t>Publications enquiries</w:t>
      </w:r>
    </w:p>
    <w:p w14:paraId="592B244B" w14:textId="265D8DCF" w:rsidR="002039E5" w:rsidRDefault="002039E5" w:rsidP="002039E5">
      <w:pPr>
        <w:pStyle w:val="Copyrightbodytext"/>
        <w:rPr>
          <w:szCs w:val="24"/>
        </w:rPr>
      </w:pPr>
      <w:r>
        <w:t xml:space="preserve">Media and Publications, </w:t>
      </w:r>
      <w:r>
        <w:rPr>
          <w:szCs w:val="24"/>
        </w:rPr>
        <w:t xml:space="preserve">phone: (03) 9653 2244 or email: </w:t>
      </w:r>
      <w:r w:rsidRPr="00D65BEF">
        <w:rPr>
          <w:szCs w:val="24"/>
        </w:rPr>
        <w:t>maps@pc.gov.au</w:t>
      </w:r>
    </w:p>
    <w:p w14:paraId="671C31C0" w14:textId="77777777" w:rsidR="002039E5" w:rsidRDefault="002039E5" w:rsidP="002039E5">
      <w:pPr>
        <w:pStyle w:val="BoxSpaceAbove"/>
        <w:spacing w:before="80"/>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Description w:val="Table used for design layout."/>
      </w:tblPr>
      <w:tblGrid>
        <w:gridCol w:w="8771"/>
      </w:tblGrid>
      <w:tr w:rsidR="002039E5" w14:paraId="00A66F6C" w14:textId="77777777" w:rsidTr="00C00AC2">
        <w:tc>
          <w:tcPr>
            <w:tcW w:w="8771" w:type="dxa"/>
            <w:tcBorders>
              <w:top w:val="single" w:sz="6" w:space="0" w:color="78A22F"/>
              <w:left w:val="nil"/>
              <w:bottom w:val="nil"/>
              <w:right w:val="nil"/>
            </w:tcBorders>
            <w:shd w:val="clear" w:color="auto" w:fill="F2F2F2" w:themeFill="background1" w:themeFillShade="F2"/>
            <w:hideMark/>
          </w:tcPr>
          <w:p w14:paraId="3FAD9128" w14:textId="77777777" w:rsidR="002039E5" w:rsidRDefault="002039E5" w:rsidP="00700957">
            <w:pPr>
              <w:pStyle w:val="BoxTitle"/>
              <w:rPr>
                <w:sz w:val="22"/>
                <w:szCs w:val="22"/>
                <w:lang w:eastAsia="en-US"/>
              </w:rPr>
            </w:pPr>
            <w:r>
              <w:rPr>
                <w:sz w:val="22"/>
                <w:szCs w:val="22"/>
                <w:lang w:eastAsia="en-US"/>
              </w:rPr>
              <w:t>The Productivity Commission</w:t>
            </w:r>
          </w:p>
        </w:tc>
      </w:tr>
      <w:tr w:rsidR="002039E5" w14:paraId="56F32767" w14:textId="77777777" w:rsidTr="00C00AC2">
        <w:tc>
          <w:tcPr>
            <w:tcW w:w="8771" w:type="dxa"/>
            <w:tcBorders>
              <w:top w:val="nil"/>
              <w:left w:val="nil"/>
              <w:bottom w:val="nil"/>
              <w:right w:val="nil"/>
            </w:tcBorders>
            <w:shd w:val="clear" w:color="auto" w:fill="F2F2F2" w:themeFill="background1" w:themeFillShade="F2"/>
            <w:hideMark/>
          </w:tcPr>
          <w:p w14:paraId="0C0D2514" w14:textId="5E162179" w:rsidR="002039E5" w:rsidRDefault="002039E5" w:rsidP="00700957">
            <w:pPr>
              <w:pStyle w:val="Box"/>
              <w:spacing w:before="60"/>
              <w:rPr>
                <w:lang w:eastAsia="en-US"/>
              </w:rPr>
            </w:pPr>
            <w:r>
              <w:rPr>
                <w:lang w:eastAsia="en-US"/>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w:t>
            </w:r>
            <w:r w:rsidR="00B2375A">
              <w:rPr>
                <w:lang w:eastAsia="en-US"/>
              </w:rPr>
              <w:noBreakHyphen/>
            </w:r>
            <w:r>
              <w:rPr>
                <w:lang w:eastAsia="en-US"/>
              </w:rPr>
              <w:t>term interest of the Australian community.</w:t>
            </w:r>
          </w:p>
          <w:p w14:paraId="6F54357F" w14:textId="77777777" w:rsidR="002039E5" w:rsidRDefault="002039E5" w:rsidP="00700957">
            <w:pPr>
              <w:pStyle w:val="Box"/>
              <w:spacing w:before="60"/>
              <w:rPr>
                <w:lang w:eastAsia="en-US"/>
              </w:rPr>
            </w:pPr>
            <w:r>
              <w:rPr>
                <w:lang w:eastAsia="en-US"/>
              </w:rPr>
              <w:t>The Commission’s independence is underpinned by an Act of Parliament. Its processes and outputs are open to public scrutiny and are driven by concern for the wellbeing of the community as a whole.</w:t>
            </w:r>
          </w:p>
          <w:p w14:paraId="0C954E8D" w14:textId="0EF1AF8A" w:rsidR="002039E5" w:rsidRDefault="002039E5" w:rsidP="00700957">
            <w:pPr>
              <w:pStyle w:val="Box"/>
              <w:spacing w:before="60"/>
              <w:rPr>
                <w:lang w:eastAsia="en-US"/>
              </w:rPr>
            </w:pPr>
            <w:r>
              <w:rPr>
                <w:szCs w:val="24"/>
                <w:lang w:eastAsia="en-US"/>
              </w:rPr>
              <w:t>Further information on the Productivity Commission can be obtained from the Commission’s website (</w:t>
            </w:r>
            <w:r w:rsidRPr="00D65BEF">
              <w:rPr>
                <w:lang w:eastAsia="en-US"/>
              </w:rPr>
              <w:t>www.pc.gov.au</w:t>
            </w:r>
            <w:r>
              <w:rPr>
                <w:szCs w:val="24"/>
                <w:lang w:eastAsia="en-US"/>
              </w:rPr>
              <w:t>).</w:t>
            </w:r>
          </w:p>
        </w:tc>
      </w:tr>
      <w:tr w:rsidR="002039E5" w14:paraId="07BA073B" w14:textId="77777777" w:rsidTr="00C00AC2">
        <w:tc>
          <w:tcPr>
            <w:tcW w:w="8771" w:type="dxa"/>
            <w:tcBorders>
              <w:top w:val="nil"/>
              <w:left w:val="nil"/>
              <w:bottom w:val="single" w:sz="6" w:space="0" w:color="78A22F"/>
              <w:right w:val="nil"/>
            </w:tcBorders>
            <w:shd w:val="clear" w:color="auto" w:fill="F2F2F2" w:themeFill="background1" w:themeFillShade="F2"/>
          </w:tcPr>
          <w:p w14:paraId="493B6C64" w14:textId="77777777" w:rsidR="002039E5" w:rsidRDefault="002039E5" w:rsidP="00700957">
            <w:pPr>
              <w:pStyle w:val="Box"/>
              <w:spacing w:before="0" w:line="120" w:lineRule="exact"/>
              <w:rPr>
                <w:lang w:eastAsia="en-US"/>
              </w:rPr>
            </w:pPr>
          </w:p>
        </w:tc>
      </w:tr>
    </w:tbl>
    <w:p w14:paraId="4EF01883" w14:textId="37742FB1" w:rsidR="002039E5" w:rsidRDefault="002039E5">
      <w:pPr>
        <w:rPr>
          <w:szCs w:val="20"/>
        </w:rPr>
      </w:pPr>
    </w:p>
    <w:p w14:paraId="61AFC3E9" w14:textId="77777777" w:rsidR="002039E5" w:rsidRDefault="002039E5">
      <w:pPr>
        <w:rPr>
          <w:szCs w:val="20"/>
        </w:rPr>
        <w:sectPr w:rsidR="002039E5" w:rsidSect="008F710B">
          <w:pgSz w:w="11907" w:h="16840" w:code="9"/>
          <w:pgMar w:top="1984" w:right="1304" w:bottom="1247" w:left="1814" w:header="1701" w:footer="397" w:gutter="0"/>
          <w:pgNumType w:start="1" w:chapSep="period"/>
          <w:cols w:space="720"/>
          <w:docGrid w:linePitch="326"/>
        </w:sectPr>
      </w:pPr>
    </w:p>
    <w:p w14:paraId="044B03BC" w14:textId="22E49D24" w:rsidR="00F32D2C" w:rsidRDefault="002039E5" w:rsidP="00DF19CB">
      <w:pPr>
        <w:pStyle w:val="Chapter"/>
        <w:spacing w:before="120" w:after="840"/>
      </w:pPr>
      <w:bookmarkStart w:id="2" w:name="_Toc489363494"/>
      <w:bookmarkStart w:id="3" w:name="_Toc489364870"/>
      <w:r>
        <w:lastRenderedPageBreak/>
        <w:t>Content</w:t>
      </w:r>
      <w:bookmarkEnd w:id="2"/>
      <w:bookmarkEnd w:id="3"/>
    </w:p>
    <w:p w14:paraId="0F883B6E" w14:textId="4124BF09" w:rsidR="00696F68" w:rsidRPr="00707036" w:rsidRDefault="00696F68" w:rsidP="00696F68">
      <w:pPr>
        <w:pStyle w:val="TOC1"/>
      </w:pPr>
      <w:r w:rsidRPr="00707036">
        <w:t>Key points</w:t>
      </w:r>
      <w:r w:rsidRPr="00707036">
        <w:tab/>
        <w:t>2</w:t>
      </w:r>
    </w:p>
    <w:p w14:paraId="785C966B" w14:textId="77777777" w:rsidR="00696F68" w:rsidRDefault="00696F68" w:rsidP="00696F68">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Risks and pressures in the labour market</w:t>
      </w:r>
      <w:r>
        <w:rPr>
          <w:noProof/>
        </w:rPr>
        <w:tab/>
        <w:t>3</w:t>
      </w:r>
    </w:p>
    <w:p w14:paraId="13036E33" w14:textId="77777777" w:rsidR="00696F68" w:rsidRDefault="00696F68" w:rsidP="00696F68">
      <w:pPr>
        <w:pStyle w:val="TOC2"/>
        <w:tabs>
          <w:tab w:val="left" w:pos="1134"/>
        </w:tabs>
        <w:spacing w:before="100"/>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Jobs, change and future living standards</w:t>
      </w:r>
      <w:r>
        <w:rPr>
          <w:noProof/>
        </w:rPr>
        <w:tab/>
        <w:t>3</w:t>
      </w:r>
    </w:p>
    <w:p w14:paraId="05A76097" w14:textId="77777777" w:rsidR="00696F68" w:rsidRDefault="00696F68" w:rsidP="00696F68">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Automation and future work</w:t>
      </w:r>
      <w:r>
        <w:rPr>
          <w:noProof/>
        </w:rPr>
        <w:tab/>
        <w:t>9</w:t>
      </w:r>
    </w:p>
    <w:p w14:paraId="01312DF7" w14:textId="77777777" w:rsidR="00696F68" w:rsidRDefault="00696F68" w:rsidP="00696F68">
      <w:pPr>
        <w:pStyle w:val="TOC2"/>
        <w:tabs>
          <w:tab w:val="left" w:pos="1134"/>
        </w:tabs>
        <w:spacing w:before="100"/>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Some see high risks for many segments of the labour market</w:t>
      </w:r>
      <w:r>
        <w:rPr>
          <w:noProof/>
        </w:rPr>
        <w:tab/>
        <w:t>9</w:t>
      </w:r>
    </w:p>
    <w:p w14:paraId="56BD1D8B" w14:textId="77777777" w:rsidR="00696F68" w:rsidRDefault="00696F68" w:rsidP="00696F68">
      <w:pPr>
        <w:pStyle w:val="TOC2"/>
        <w:tabs>
          <w:tab w:val="left" w:pos="1134"/>
        </w:tabs>
        <w:spacing w:before="100"/>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But the actual effects will likely be less severe and more amenable to policy action</w:t>
      </w:r>
      <w:r>
        <w:rPr>
          <w:noProof/>
        </w:rPr>
        <w:tab/>
        <w:t>10</w:t>
      </w:r>
    </w:p>
    <w:p w14:paraId="30233BE8" w14:textId="77777777" w:rsidR="00696F68" w:rsidRDefault="00696F68" w:rsidP="00696F68">
      <w:pPr>
        <w:pStyle w:val="TOC2"/>
        <w:tabs>
          <w:tab w:val="left" w:pos="1134"/>
        </w:tabs>
        <w:spacing w:before="100"/>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Claims may be overstated but still grounds for concern</w:t>
      </w:r>
      <w:r>
        <w:rPr>
          <w:noProof/>
        </w:rPr>
        <w:tab/>
        <w:t>13</w:t>
      </w:r>
    </w:p>
    <w:p w14:paraId="52BE137D" w14:textId="77777777" w:rsidR="00696F68" w:rsidRDefault="00696F68" w:rsidP="00696F68">
      <w:pPr>
        <w:pStyle w:val="TOC2"/>
        <w:tabs>
          <w:tab w:val="left" w:pos="1134"/>
        </w:tabs>
        <w:spacing w:before="100"/>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Other developments that affect occupations</w:t>
      </w:r>
      <w:r>
        <w:rPr>
          <w:noProof/>
        </w:rPr>
        <w:tab/>
        <w:t>15</w:t>
      </w:r>
    </w:p>
    <w:p w14:paraId="60FE84F0" w14:textId="1C0271EE" w:rsidR="00696F68" w:rsidRDefault="00696F68" w:rsidP="00696F68">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Digitalisation is changing the nature of firms</w:t>
      </w:r>
      <w:r>
        <w:rPr>
          <w:noProof/>
        </w:rPr>
        <w:tab/>
        <w:t>1</w:t>
      </w:r>
      <w:r w:rsidR="000C6553">
        <w:rPr>
          <w:noProof/>
        </w:rPr>
        <w:t>7</w:t>
      </w:r>
    </w:p>
    <w:p w14:paraId="1F3EE5EC" w14:textId="032D0D72" w:rsidR="00696F68" w:rsidRDefault="00696F68" w:rsidP="00696F68">
      <w:pPr>
        <w:pStyle w:val="TOC2"/>
        <w:tabs>
          <w:tab w:val="left" w:pos="1134"/>
        </w:tabs>
        <w:spacing w:before="100"/>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Offshoring</w:t>
      </w:r>
      <w:r>
        <w:rPr>
          <w:noProof/>
        </w:rPr>
        <w:tab/>
        <w:t>1</w:t>
      </w:r>
      <w:r w:rsidR="000C6553">
        <w:rPr>
          <w:noProof/>
        </w:rPr>
        <w:t>7</w:t>
      </w:r>
    </w:p>
    <w:p w14:paraId="4B075671" w14:textId="06E5D23D" w:rsidR="00696F68" w:rsidRDefault="00696F68" w:rsidP="00696F68">
      <w:pPr>
        <w:pStyle w:val="TOC2"/>
        <w:tabs>
          <w:tab w:val="left" w:pos="1134"/>
        </w:tabs>
        <w:spacing w:before="100"/>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The gig economy</w:t>
      </w:r>
      <w:r>
        <w:rPr>
          <w:noProof/>
        </w:rPr>
        <w:tab/>
        <w:t>1</w:t>
      </w:r>
      <w:r w:rsidR="000C6553">
        <w:rPr>
          <w:noProof/>
        </w:rPr>
        <w:t>8</w:t>
      </w:r>
    </w:p>
    <w:p w14:paraId="738C005E" w14:textId="682011FB" w:rsidR="00696F68" w:rsidRDefault="00696F68" w:rsidP="00696F68">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The obstacles to lifelong education and training</w:t>
      </w:r>
      <w:r>
        <w:rPr>
          <w:noProof/>
        </w:rPr>
        <w:tab/>
      </w:r>
      <w:r w:rsidR="000C6553">
        <w:rPr>
          <w:noProof/>
        </w:rPr>
        <w:t>21</w:t>
      </w:r>
    </w:p>
    <w:p w14:paraId="5CF715C0" w14:textId="1D995FCE" w:rsidR="00696F68" w:rsidRDefault="00696F68" w:rsidP="00696F68">
      <w:pPr>
        <w:pStyle w:val="TOC2"/>
        <w:tabs>
          <w:tab w:val="left" w:pos="1134"/>
        </w:tabs>
        <w:spacing w:before="100"/>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Time and financial cost barriers: will training bring sufficient labour market benefits to justify the costs?</w:t>
      </w:r>
      <w:r>
        <w:rPr>
          <w:noProof/>
        </w:rPr>
        <w:tab/>
      </w:r>
      <w:r w:rsidR="000C6553">
        <w:rPr>
          <w:noProof/>
        </w:rPr>
        <w:t>21</w:t>
      </w:r>
    </w:p>
    <w:p w14:paraId="0E0A4D7B" w14:textId="4DB11282" w:rsidR="00696F68" w:rsidRDefault="00696F68" w:rsidP="00696F68">
      <w:pPr>
        <w:pStyle w:val="TOC2"/>
        <w:tabs>
          <w:tab w:val="left" w:pos="1134"/>
        </w:tabs>
        <w:spacing w:before="100"/>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Employee attitudes as a barrier to training</w:t>
      </w:r>
      <w:r>
        <w:rPr>
          <w:noProof/>
        </w:rPr>
        <w:tab/>
        <w:t>2</w:t>
      </w:r>
      <w:r w:rsidR="000C6553">
        <w:rPr>
          <w:noProof/>
        </w:rPr>
        <w:t>2</w:t>
      </w:r>
    </w:p>
    <w:p w14:paraId="3C4B1C49" w14:textId="0CF680ED" w:rsidR="00696F68" w:rsidRDefault="00696F68" w:rsidP="00696F68">
      <w:pPr>
        <w:pStyle w:val="TOC2"/>
        <w:tabs>
          <w:tab w:val="left" w:pos="1134"/>
        </w:tabs>
        <w:spacing w:before="100"/>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Employers’ attitudes to older workers present barriers to training</w:t>
      </w:r>
      <w:r>
        <w:rPr>
          <w:noProof/>
        </w:rPr>
        <w:tab/>
        <w:t>2</w:t>
      </w:r>
      <w:r w:rsidR="000C6553">
        <w:rPr>
          <w:noProof/>
        </w:rPr>
        <w:t>3</w:t>
      </w:r>
    </w:p>
    <w:p w14:paraId="2888E3A1" w14:textId="6FD3C02E" w:rsidR="00696F68" w:rsidRDefault="00696F68" w:rsidP="00696F68">
      <w:pPr>
        <w:pStyle w:val="TOC1"/>
        <w:rPr>
          <w:rFonts w:asciiTheme="minorHAnsi" w:eastAsiaTheme="minorEastAsia" w:hAnsiTheme="minorHAnsi" w:cstheme="minorBidi"/>
          <w:b w:val="0"/>
          <w:noProof/>
          <w:sz w:val="22"/>
          <w:szCs w:val="22"/>
          <w:lang w:eastAsia="en-AU"/>
        </w:rPr>
      </w:pPr>
      <w:r>
        <w:rPr>
          <w:noProof/>
        </w:rPr>
        <w:t>5</w:t>
      </w:r>
      <w:r>
        <w:rPr>
          <w:rFonts w:asciiTheme="minorHAnsi" w:eastAsiaTheme="minorEastAsia" w:hAnsiTheme="minorHAnsi" w:cstheme="minorBidi"/>
          <w:b w:val="0"/>
          <w:noProof/>
          <w:sz w:val="22"/>
          <w:szCs w:val="22"/>
          <w:lang w:eastAsia="en-AU"/>
        </w:rPr>
        <w:tab/>
      </w:r>
      <w:r>
        <w:rPr>
          <w:noProof/>
        </w:rPr>
        <w:t>What options are available to government?</w:t>
      </w:r>
      <w:r>
        <w:rPr>
          <w:noProof/>
        </w:rPr>
        <w:tab/>
        <w:t>2</w:t>
      </w:r>
      <w:r w:rsidR="000C6553">
        <w:rPr>
          <w:noProof/>
        </w:rPr>
        <w:t>5</w:t>
      </w:r>
    </w:p>
    <w:p w14:paraId="2691596D" w14:textId="32B3AABE" w:rsidR="00696F68" w:rsidRDefault="00696F68" w:rsidP="00696F68">
      <w:pPr>
        <w:pStyle w:val="TOC2"/>
        <w:tabs>
          <w:tab w:val="left" w:pos="1134"/>
        </w:tabs>
        <w:spacing w:before="100"/>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Measures to reduce the barriers to upskilling and retraining</w:t>
      </w:r>
      <w:r>
        <w:rPr>
          <w:noProof/>
        </w:rPr>
        <w:tab/>
        <w:t>2</w:t>
      </w:r>
      <w:r w:rsidR="000C6553">
        <w:rPr>
          <w:noProof/>
        </w:rPr>
        <w:t>5</w:t>
      </w:r>
    </w:p>
    <w:p w14:paraId="31207E72" w14:textId="096EB87E" w:rsidR="00696F68" w:rsidRDefault="00696F68" w:rsidP="00696F68">
      <w:pPr>
        <w:pStyle w:val="TOC2"/>
        <w:tabs>
          <w:tab w:val="left" w:pos="1134"/>
        </w:tabs>
        <w:spacing w:before="100"/>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Lacking a trigger to prompt some workers to retrain</w:t>
      </w:r>
      <w:r>
        <w:rPr>
          <w:noProof/>
        </w:rPr>
        <w:tab/>
        <w:t>2</w:t>
      </w:r>
      <w:r w:rsidR="000C6553">
        <w:rPr>
          <w:noProof/>
        </w:rPr>
        <w:t>9</w:t>
      </w:r>
    </w:p>
    <w:p w14:paraId="469F98B5" w14:textId="0D493DDC" w:rsidR="00696F68" w:rsidRDefault="00696F68" w:rsidP="00696F68">
      <w:pPr>
        <w:pStyle w:val="TOC1"/>
        <w:rPr>
          <w:rFonts w:asciiTheme="minorHAnsi" w:eastAsiaTheme="minorEastAsia" w:hAnsiTheme="minorHAnsi" w:cstheme="minorBidi"/>
          <w:b w:val="0"/>
          <w:noProof/>
          <w:sz w:val="22"/>
          <w:szCs w:val="22"/>
          <w:lang w:eastAsia="en-AU"/>
        </w:rPr>
      </w:pPr>
      <w:r>
        <w:rPr>
          <w:noProof/>
        </w:rPr>
        <w:t>A</w:t>
      </w:r>
      <w:r>
        <w:rPr>
          <w:rFonts w:asciiTheme="minorHAnsi" w:eastAsiaTheme="minorEastAsia" w:hAnsiTheme="minorHAnsi" w:cstheme="minorBidi"/>
          <w:b w:val="0"/>
          <w:noProof/>
          <w:sz w:val="22"/>
          <w:szCs w:val="22"/>
          <w:lang w:eastAsia="en-AU"/>
        </w:rPr>
        <w:tab/>
      </w:r>
      <w:r>
        <w:rPr>
          <w:noProof/>
        </w:rPr>
        <w:t>Factors contributing to the lengthening of working lives</w:t>
      </w:r>
      <w:r>
        <w:rPr>
          <w:noProof/>
        </w:rPr>
        <w:tab/>
      </w:r>
      <w:r w:rsidR="000C6553">
        <w:rPr>
          <w:noProof/>
        </w:rPr>
        <w:t>31</w:t>
      </w:r>
    </w:p>
    <w:p w14:paraId="73B2218E" w14:textId="43FB719C" w:rsidR="00696F68" w:rsidRDefault="00696F68" w:rsidP="00696F68">
      <w:pPr>
        <w:pStyle w:val="TOC1"/>
        <w:rPr>
          <w:rFonts w:asciiTheme="minorHAnsi" w:eastAsiaTheme="minorEastAsia" w:hAnsiTheme="minorHAnsi" w:cstheme="minorBidi"/>
          <w:b w:val="0"/>
          <w:noProof/>
          <w:sz w:val="22"/>
          <w:szCs w:val="22"/>
          <w:lang w:eastAsia="en-AU"/>
        </w:rPr>
      </w:pPr>
      <w:r>
        <w:rPr>
          <w:noProof/>
        </w:rPr>
        <w:t>B</w:t>
      </w:r>
      <w:r>
        <w:rPr>
          <w:rFonts w:asciiTheme="minorHAnsi" w:eastAsiaTheme="minorEastAsia" w:hAnsiTheme="minorHAnsi" w:cstheme="minorBidi"/>
          <w:b w:val="0"/>
          <w:noProof/>
          <w:sz w:val="22"/>
          <w:szCs w:val="22"/>
          <w:lang w:eastAsia="en-AU"/>
        </w:rPr>
        <w:tab/>
      </w:r>
      <w:r>
        <w:rPr>
          <w:noProof/>
        </w:rPr>
        <w:t>Performance of the schools sector is troubling</w:t>
      </w:r>
      <w:r>
        <w:rPr>
          <w:noProof/>
        </w:rPr>
        <w:tab/>
        <w:t>3</w:t>
      </w:r>
      <w:r w:rsidR="000C6553">
        <w:rPr>
          <w:noProof/>
        </w:rPr>
        <w:t>3</w:t>
      </w:r>
    </w:p>
    <w:p w14:paraId="13BE4192" w14:textId="1102C8FF" w:rsidR="00696F68" w:rsidRDefault="00696F68" w:rsidP="00696F68">
      <w:pPr>
        <w:pStyle w:val="TOC1"/>
        <w:rPr>
          <w:rFonts w:asciiTheme="minorHAnsi" w:eastAsiaTheme="minorEastAsia" w:hAnsiTheme="minorHAnsi" w:cstheme="minorBidi"/>
          <w:b w:val="0"/>
          <w:noProof/>
          <w:sz w:val="22"/>
          <w:szCs w:val="22"/>
          <w:lang w:eastAsia="en-AU"/>
        </w:rPr>
      </w:pPr>
      <w:r>
        <w:rPr>
          <w:noProof/>
        </w:rPr>
        <w:t>C</w:t>
      </w:r>
      <w:r>
        <w:rPr>
          <w:rFonts w:asciiTheme="minorHAnsi" w:eastAsiaTheme="minorEastAsia" w:hAnsiTheme="minorHAnsi" w:cstheme="minorBidi"/>
          <w:b w:val="0"/>
          <w:noProof/>
          <w:sz w:val="22"/>
          <w:szCs w:val="22"/>
          <w:lang w:eastAsia="en-AU"/>
        </w:rPr>
        <w:tab/>
      </w:r>
      <w:r>
        <w:rPr>
          <w:noProof/>
        </w:rPr>
        <w:t>Other developments that affect occupations</w:t>
      </w:r>
      <w:r>
        <w:rPr>
          <w:noProof/>
        </w:rPr>
        <w:tab/>
        <w:t>3</w:t>
      </w:r>
      <w:r w:rsidR="00C2113F">
        <w:rPr>
          <w:noProof/>
        </w:rPr>
        <w:t>7</w:t>
      </w:r>
    </w:p>
    <w:p w14:paraId="04E6309F" w14:textId="2E79194F" w:rsidR="00696F68" w:rsidRDefault="00696F68" w:rsidP="00696F68">
      <w:pPr>
        <w:pStyle w:val="TOC1"/>
        <w:rPr>
          <w:rFonts w:asciiTheme="minorHAnsi" w:eastAsiaTheme="minorEastAsia" w:hAnsiTheme="minorHAnsi" w:cstheme="minorBidi"/>
          <w:b w:val="0"/>
          <w:noProof/>
          <w:sz w:val="22"/>
          <w:szCs w:val="22"/>
          <w:lang w:eastAsia="en-AU"/>
        </w:rPr>
      </w:pPr>
      <w:r>
        <w:rPr>
          <w:noProof/>
        </w:rPr>
        <w:t>D</w:t>
      </w:r>
      <w:r>
        <w:rPr>
          <w:rFonts w:asciiTheme="minorHAnsi" w:eastAsiaTheme="minorEastAsia" w:hAnsiTheme="minorHAnsi" w:cstheme="minorBidi"/>
          <w:b w:val="0"/>
          <w:noProof/>
          <w:sz w:val="22"/>
          <w:szCs w:val="22"/>
          <w:lang w:eastAsia="en-AU"/>
        </w:rPr>
        <w:tab/>
      </w:r>
      <w:r>
        <w:rPr>
          <w:noProof/>
        </w:rPr>
        <w:t>Other possible policy options to overcome barriers</w:t>
      </w:r>
      <w:r w:rsidR="00C2113F">
        <w:rPr>
          <w:noProof/>
        </w:rPr>
        <w:t xml:space="preserve"> to upskilling and retraining</w:t>
      </w:r>
      <w:r w:rsidR="00C2113F">
        <w:rPr>
          <w:noProof/>
        </w:rPr>
        <w:tab/>
        <w:t>39</w:t>
      </w:r>
    </w:p>
    <w:p w14:paraId="7B4EEAD3" w14:textId="62CC6F67" w:rsidR="00696F68" w:rsidRPr="00696F68" w:rsidRDefault="00696F68" w:rsidP="00696F68">
      <w:pPr>
        <w:pStyle w:val="TOC1"/>
        <w:rPr>
          <w:rFonts w:asciiTheme="minorHAnsi" w:eastAsiaTheme="minorEastAsia" w:hAnsiTheme="minorHAnsi" w:cstheme="minorBidi"/>
          <w:b w:val="0"/>
          <w:noProof/>
          <w:sz w:val="22"/>
          <w:szCs w:val="22"/>
          <w:lang w:eastAsia="en-AU"/>
        </w:rPr>
      </w:pPr>
      <w:r>
        <w:rPr>
          <w:noProof/>
        </w:rPr>
        <w:t>References</w:t>
      </w:r>
      <w:r>
        <w:rPr>
          <w:noProof/>
        </w:rPr>
        <w:tab/>
      </w:r>
      <w:r w:rsidR="000C6553">
        <w:rPr>
          <w:noProof/>
        </w:rPr>
        <w:t>43</w:t>
      </w:r>
    </w:p>
    <w:p w14:paraId="35583A58" w14:textId="50A7E881" w:rsidR="001A6195" w:rsidRDefault="001A6195" w:rsidP="00707036">
      <w:pPr>
        <w:pStyle w:val="TOC1"/>
        <w:rPr>
          <w:szCs w:val="20"/>
        </w:rPr>
      </w:pPr>
    </w:p>
    <w:p w14:paraId="34EE6417" w14:textId="77777777" w:rsidR="00700957" w:rsidRDefault="00700957" w:rsidP="00700957">
      <w:pPr>
        <w:pStyle w:val="BodyText"/>
        <w:sectPr w:rsidR="00700957" w:rsidSect="008F710B">
          <w:headerReference w:type="even" r:id="rId15"/>
          <w:headerReference w:type="default" r:id="rId16"/>
          <w:footerReference w:type="even" r:id="rId17"/>
          <w:footerReference w:type="default" r:id="rId18"/>
          <w:pgSz w:w="11907" w:h="16840" w:code="9"/>
          <w:pgMar w:top="1984" w:right="1304" w:bottom="1247" w:left="1814" w:header="1701" w:footer="397" w:gutter="0"/>
          <w:pgNumType w:start="1" w:chapSep="period"/>
          <w:cols w:space="720"/>
          <w:docGrid w:linePitch="326"/>
        </w:sectPr>
      </w:pPr>
      <w:bookmarkStart w:id="4" w:name="begin"/>
      <w:bookmarkEnd w:id="4"/>
    </w:p>
    <w:p w14:paraId="2D235C3C" w14:textId="34A97BC4" w:rsidR="007B4298" w:rsidRDefault="007B4298" w:rsidP="00470F1F">
      <w:pPr>
        <w:pStyle w:val="BoxSpaceAbove"/>
        <w:spacing w:before="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7B4298" w14:paraId="5B6C3267" w14:textId="77777777" w:rsidTr="00311A23">
        <w:tc>
          <w:tcPr>
            <w:tcW w:w="5000" w:type="pct"/>
            <w:tcBorders>
              <w:top w:val="single" w:sz="6" w:space="0" w:color="78A22F"/>
              <w:left w:val="nil"/>
              <w:bottom w:val="nil"/>
              <w:right w:val="nil"/>
            </w:tcBorders>
            <w:shd w:val="clear" w:color="auto" w:fill="F2F2F2"/>
          </w:tcPr>
          <w:p w14:paraId="4096273D" w14:textId="34A97BC4" w:rsidR="007B4298" w:rsidRDefault="007B4298">
            <w:pPr>
              <w:pStyle w:val="BoxTitle"/>
            </w:pPr>
            <w:r>
              <w:t>Key points</w:t>
            </w:r>
          </w:p>
        </w:tc>
      </w:tr>
      <w:tr w:rsidR="007B4298" w14:paraId="1E8C1717" w14:textId="77777777" w:rsidTr="00311A23">
        <w:tc>
          <w:tcPr>
            <w:tcW w:w="5000" w:type="pct"/>
            <w:tcBorders>
              <w:top w:val="nil"/>
              <w:left w:val="nil"/>
              <w:bottom w:val="nil"/>
              <w:right w:val="nil"/>
            </w:tcBorders>
            <w:shd w:val="clear" w:color="auto" w:fill="F2F2F2"/>
          </w:tcPr>
          <w:p w14:paraId="5828E8BA" w14:textId="26A24DAE" w:rsidR="007B4298" w:rsidRPr="00BB4198" w:rsidRDefault="007B4298" w:rsidP="00F573A4">
            <w:pPr>
              <w:pStyle w:val="KeyPointsListBullet"/>
            </w:pPr>
            <w:r w:rsidRPr="00BB4198">
              <w:t>Technol</w:t>
            </w:r>
            <w:r w:rsidR="00AB1DCF" w:rsidRPr="00BB4198">
              <w:t xml:space="preserve">ogical </w:t>
            </w:r>
            <w:r w:rsidRPr="00BB4198">
              <w:t>advances will create new job opportunities but will also displace some jobs, including occupations previously considered ‘irreplaceable’. If the education system, and those in or entering the workforce</w:t>
            </w:r>
            <w:r w:rsidR="00BB4198" w:rsidRPr="009C5814">
              <w:t>,</w:t>
            </w:r>
            <w:r w:rsidRPr="009C5814">
              <w:t xml:space="preserve"> are not responsive to changing skill needs, there is a risk of higher unemployment, underemployment and lower </w:t>
            </w:r>
            <w:proofErr w:type="spellStart"/>
            <w:r w:rsidRPr="009C5814">
              <w:t>earning</w:t>
            </w:r>
            <w:proofErr w:type="spellEnd"/>
            <w:r w:rsidRPr="009C5814">
              <w:t xml:space="preserve"> prospect</w:t>
            </w:r>
            <w:r w:rsidRPr="00C64543">
              <w:t>s, which in turn are likely to reduce engagement in the labour market.</w:t>
            </w:r>
          </w:p>
          <w:p w14:paraId="095658B7" w14:textId="278FC169" w:rsidR="007B4298" w:rsidRPr="00C30728" w:rsidRDefault="007B4298" w:rsidP="00F573A4">
            <w:pPr>
              <w:pStyle w:val="KeyPointsListBullet"/>
            </w:pPr>
            <w:r w:rsidRPr="00BB4198">
              <w:t>Improving the employability of workers through upskilling and retraining is a necessary response to the combin</w:t>
            </w:r>
            <w:r w:rsidRPr="009C5814">
              <w:t>ed effect of an ageing workforce and technological change. However, negative stereotypes and myths about older workers’ abilities and their willingness to learn new skills create barriers to training opportunities. These need to be addressed if the economy is to benefit from their skills and experience through greater participat</w:t>
            </w:r>
            <w:r w:rsidRPr="00C30728">
              <w:t xml:space="preserve">ion in the labour market. </w:t>
            </w:r>
          </w:p>
          <w:p w14:paraId="50961602" w14:textId="5D230567" w:rsidR="007B4298" w:rsidRDefault="007B4298" w:rsidP="00F573A4">
            <w:pPr>
              <w:pStyle w:val="KeyPointsListBullet"/>
            </w:pPr>
            <w:r w:rsidRPr="00BB4198">
              <w:t xml:space="preserve">There are no easy ways of ensuring that the current workforce has the relevant skills, particularly given the uncertainty about the </w:t>
            </w:r>
            <w:r w:rsidR="0069311F" w:rsidRPr="00BB4198">
              <w:t>effect</w:t>
            </w:r>
            <w:r w:rsidRPr="00BB4198">
              <w:t xml:space="preserve"> of technology on the usefulness of existing skills and occupations</w:t>
            </w:r>
            <w:r>
              <w:t>. However, a number of the reforms canvassed in chapter</w:t>
            </w:r>
            <w:r w:rsidR="00133C69">
              <w:t> </w:t>
            </w:r>
            <w:r w:rsidR="001A77AF">
              <w:t xml:space="preserve">3 </w:t>
            </w:r>
            <w:r>
              <w:t>of the main report will reduce barriers and assist people to upskill and retrain, including:</w:t>
            </w:r>
          </w:p>
          <w:p w14:paraId="28D7270A" w14:textId="15ED4A0E" w:rsidR="007B4298" w:rsidRDefault="007B4298" w:rsidP="00F573A4">
            <w:pPr>
              <w:pStyle w:val="KeyPointsListBullet2"/>
            </w:pPr>
            <w:r>
              <w:t>ensuring the schooling system delivers strong foundations not only helps with jobs and income prospects of young people</w:t>
            </w:r>
            <w:r w:rsidR="00BB4198">
              <w:t>,</w:t>
            </w:r>
            <w:r>
              <w:t xml:space="preserve"> but also provides a strong basis for education and training throughout life</w:t>
            </w:r>
          </w:p>
          <w:p w14:paraId="1101F61E" w14:textId="77777777" w:rsidR="007B4298" w:rsidRDefault="007B4298" w:rsidP="00F573A4">
            <w:pPr>
              <w:pStyle w:val="KeyPointsListBullet2"/>
            </w:pPr>
            <w:proofErr w:type="gramStart"/>
            <w:r>
              <w:t>establishing</w:t>
            </w:r>
            <w:proofErr w:type="gramEnd"/>
            <w:r>
              <w:t xml:space="preserve"> an independent system that enables recognition of, and trust in, new ways of acquiring knowledge and skills that may stimulate further upskilling and retraining. The lower costs and greater flexibility of these new approaches may be particularly relevant for people who have existing job and family commitments</w:t>
            </w:r>
          </w:p>
          <w:p w14:paraId="134B9120" w14:textId="58F0FD8B" w:rsidR="007B4298" w:rsidRDefault="00A62447" w:rsidP="00F573A4">
            <w:pPr>
              <w:pStyle w:val="KeyPointsListBullet2"/>
            </w:pPr>
            <w:proofErr w:type="gramStart"/>
            <w:r w:rsidRPr="00A62447">
              <w:t>introducing</w:t>
            </w:r>
            <w:proofErr w:type="gramEnd"/>
            <w:r w:rsidRPr="00A62447">
              <w:t xml:space="preserve"> graded assessment may assist future learning pathways for students wanting to upgrade their </w:t>
            </w:r>
            <w:r w:rsidR="00A74FD2">
              <w:t>V</w:t>
            </w:r>
            <w:r w:rsidRPr="00A62447">
              <w:t>ET qualification to a university degree.</w:t>
            </w:r>
            <w:r w:rsidR="00BB3B14">
              <w:t xml:space="preserve"> </w:t>
            </w:r>
          </w:p>
          <w:p w14:paraId="550B4341" w14:textId="341E9DB9" w:rsidR="007B4298" w:rsidRPr="000B1F66" w:rsidRDefault="007B4298" w:rsidP="00F573A4">
            <w:pPr>
              <w:pStyle w:val="KeyPointsListBullet"/>
            </w:pPr>
            <w:r>
              <w:t>In addition, c</w:t>
            </w:r>
            <w:r w:rsidRPr="003F2CB7">
              <w:t xml:space="preserve">onsolidation of the </w:t>
            </w:r>
            <w:r>
              <w:t>growing</w:t>
            </w:r>
            <w:r w:rsidRPr="003F2CB7">
              <w:t xml:space="preserve"> number of </w:t>
            </w:r>
            <w:r>
              <w:t xml:space="preserve">government </w:t>
            </w:r>
            <w:r w:rsidRPr="003F2CB7">
              <w:t xml:space="preserve">websites to assist people considering particular occupations and looking to undertake training </w:t>
            </w:r>
            <w:r>
              <w:t>should</w:t>
            </w:r>
            <w:r w:rsidRPr="003F2CB7">
              <w:t xml:space="preserve"> make it easier to navigate for the end user</w:t>
            </w:r>
            <w:r>
              <w:t xml:space="preserve">. Some of these users may be </w:t>
            </w:r>
            <w:r w:rsidRPr="003F2CB7">
              <w:t xml:space="preserve">workers who have </w:t>
            </w:r>
            <w:r w:rsidR="00BB4198" w:rsidRPr="003F2CB7">
              <w:t xml:space="preserve">not </w:t>
            </w:r>
            <w:r w:rsidRPr="003F2CB7">
              <w:t xml:space="preserve">had much contact with the education and training system for a number of years. </w:t>
            </w:r>
          </w:p>
          <w:p w14:paraId="2C1FEB28" w14:textId="77777777" w:rsidR="007B4298" w:rsidRDefault="007B4298" w:rsidP="00F573A4">
            <w:pPr>
              <w:pStyle w:val="KeyPointsListBullet"/>
            </w:pPr>
            <w:r w:rsidRPr="00F30FDF">
              <w:t xml:space="preserve">The </w:t>
            </w:r>
            <w:r w:rsidRPr="00A066FB">
              <w:t>investment</w:t>
            </w:r>
            <w:r w:rsidRPr="00F30FDF">
              <w:t xml:space="preserve"> approach </w:t>
            </w:r>
            <w:r>
              <w:t xml:space="preserve">to welfare reform used for young adults at greater risk of welfare dependency </w:t>
            </w:r>
            <w:r w:rsidRPr="00F30FDF">
              <w:t xml:space="preserve">may </w:t>
            </w:r>
            <w:r>
              <w:t xml:space="preserve">also </w:t>
            </w:r>
            <w:r w:rsidRPr="00F30FDF">
              <w:t>have lessons for the development of employment and skill initiatives focused on older cohorts at high risk of losing their jobs due to structural adjustment.</w:t>
            </w:r>
          </w:p>
          <w:p w14:paraId="60D6767A" w14:textId="4071EB67" w:rsidR="007B4298" w:rsidRDefault="007B4298" w:rsidP="00F573A4">
            <w:pPr>
              <w:pStyle w:val="KeyPointsListBullet"/>
            </w:pPr>
            <w:r>
              <w:t xml:space="preserve">There are a range of other initiatives used internationally, such as career advice, learning accounts and tax </w:t>
            </w:r>
            <w:proofErr w:type="gramStart"/>
            <w:r>
              <w:t>incentives, that</w:t>
            </w:r>
            <w:proofErr w:type="gramEnd"/>
            <w:r>
              <w:t xml:space="preserve"> may have merit. However, the rationale, objective, policy design, effectiveness and costs of such measure should be carefully examined prior to their introduction.</w:t>
            </w:r>
          </w:p>
        </w:tc>
      </w:tr>
      <w:tr w:rsidR="007B4298" w14:paraId="42953DF4" w14:textId="77777777" w:rsidTr="00311A23">
        <w:tc>
          <w:tcPr>
            <w:tcW w:w="5000" w:type="pct"/>
            <w:tcBorders>
              <w:top w:val="nil"/>
              <w:left w:val="nil"/>
              <w:bottom w:val="single" w:sz="6" w:space="0" w:color="78A22F"/>
              <w:right w:val="nil"/>
            </w:tcBorders>
            <w:shd w:val="clear" w:color="auto" w:fill="F2F2F2"/>
          </w:tcPr>
          <w:p w14:paraId="4E0C2286" w14:textId="77777777" w:rsidR="007B4298" w:rsidRDefault="007B4298">
            <w:pPr>
              <w:pStyle w:val="Box"/>
              <w:spacing w:before="0" w:line="120" w:lineRule="exact"/>
            </w:pPr>
          </w:p>
        </w:tc>
      </w:tr>
      <w:tr w:rsidR="007B4298" w:rsidRPr="000863A5" w14:paraId="4B075BB7" w14:textId="77777777" w:rsidTr="00311A23">
        <w:tc>
          <w:tcPr>
            <w:tcW w:w="5000" w:type="pct"/>
            <w:tcBorders>
              <w:top w:val="single" w:sz="6" w:space="0" w:color="78A22F"/>
              <w:left w:val="nil"/>
              <w:bottom w:val="nil"/>
              <w:right w:val="nil"/>
            </w:tcBorders>
          </w:tcPr>
          <w:p w14:paraId="72769A38" w14:textId="7EC799B9" w:rsidR="007B4298" w:rsidRPr="00626D32" w:rsidRDefault="007B4298" w:rsidP="00311A23">
            <w:pPr>
              <w:pStyle w:val="BoxSpaceBelow"/>
            </w:pPr>
          </w:p>
        </w:tc>
      </w:tr>
    </w:tbl>
    <w:p w14:paraId="568A347F" w14:textId="77777777" w:rsidR="0013422F" w:rsidRPr="0013422F" w:rsidRDefault="0013422F" w:rsidP="0013422F">
      <w:pPr>
        <w:pStyle w:val="BodyText"/>
      </w:pPr>
      <w:r>
        <w:br w:type="page"/>
      </w:r>
    </w:p>
    <w:p w14:paraId="341A8FA9" w14:textId="6E4EF2A7" w:rsidR="00014209" w:rsidRPr="00F16721" w:rsidRDefault="00A95832" w:rsidP="00916E2C">
      <w:pPr>
        <w:pStyle w:val="Heading1"/>
        <w:spacing w:after="680"/>
      </w:pPr>
      <w:bookmarkStart w:id="5" w:name="_Toc489363495"/>
      <w:bookmarkStart w:id="6" w:name="_Toc489364871"/>
      <w:r w:rsidRPr="00F16721">
        <w:lastRenderedPageBreak/>
        <w:t>1</w:t>
      </w:r>
      <w:r w:rsidR="00014209" w:rsidRPr="00F16721">
        <w:tab/>
      </w:r>
      <w:r w:rsidR="00FD1E56" w:rsidRPr="00F16721">
        <w:t>Risks and pressures in the labour market</w:t>
      </w:r>
      <w:bookmarkEnd w:id="5"/>
      <w:bookmarkEnd w:id="6"/>
      <w:r w:rsidR="00FF2EEA" w:rsidRPr="00F16721">
        <w:t xml:space="preserve"> </w:t>
      </w:r>
    </w:p>
    <w:p w14:paraId="53E8B70E" w14:textId="707B7A8E" w:rsidR="001D2C32" w:rsidRDefault="001D2C32" w:rsidP="001D2C32">
      <w:pPr>
        <w:pStyle w:val="Heading2"/>
      </w:pPr>
      <w:bookmarkStart w:id="7" w:name="_Toc489363496"/>
      <w:bookmarkStart w:id="8" w:name="_Toc489364872"/>
      <w:r>
        <w:t>1.1</w:t>
      </w:r>
      <w:r>
        <w:tab/>
        <w:t>Jobs, change and future living standards</w:t>
      </w:r>
      <w:bookmarkEnd w:id="7"/>
      <w:bookmarkEnd w:id="8"/>
    </w:p>
    <w:p w14:paraId="3C2E6D05" w14:textId="601ED14F" w:rsidR="00244CD1" w:rsidRPr="00244CD1" w:rsidRDefault="00244CD1" w:rsidP="00244CD1">
      <w:pPr>
        <w:pStyle w:val="BodyText"/>
      </w:pPr>
      <w:r w:rsidRPr="00244CD1">
        <w:t>Jobs matter.</w:t>
      </w:r>
    </w:p>
    <w:p w14:paraId="31BD22FA" w14:textId="708BE115" w:rsidR="00455DB7" w:rsidRDefault="00244CD1" w:rsidP="0005052B">
      <w:pPr>
        <w:pStyle w:val="BodyText"/>
      </w:pPr>
      <w:r w:rsidRPr="00244CD1">
        <w:t>For almost all of us, they are more than a source of income, extending to the provision of opportunities for social interaction; a source of self</w:t>
      </w:r>
      <w:r w:rsidR="00133C69">
        <w:noBreakHyphen/>
      </w:r>
      <w:r w:rsidRPr="00244CD1">
        <w:t xml:space="preserve">esteem; or a feeling of contribution to a profession or community. </w:t>
      </w:r>
    </w:p>
    <w:p w14:paraId="78962D94" w14:textId="0874D788" w:rsidR="0005052B" w:rsidRDefault="001C6812" w:rsidP="0005052B">
      <w:pPr>
        <w:pStyle w:val="BodyText"/>
      </w:pPr>
      <w:r>
        <w:t>From an economy</w:t>
      </w:r>
      <w:r w:rsidR="00BB4198">
        <w:noBreakHyphen/>
      </w:r>
      <w:r w:rsidR="00DB1EFC">
        <w:t xml:space="preserve">wide viewpoint, </w:t>
      </w:r>
      <w:r w:rsidR="002A6544">
        <w:t>growing</w:t>
      </w:r>
      <w:r w:rsidR="00244CD1">
        <w:t xml:space="preserve"> employment </w:t>
      </w:r>
      <w:r w:rsidR="002A6544">
        <w:t xml:space="preserve">rates </w:t>
      </w:r>
      <w:r w:rsidR="00244CD1">
        <w:t xml:space="preserve">and </w:t>
      </w:r>
      <w:r w:rsidR="002A6544">
        <w:t xml:space="preserve">higher </w:t>
      </w:r>
      <w:r w:rsidR="00244CD1">
        <w:t>labour market participation</w:t>
      </w:r>
      <w:r w:rsidR="003C093E">
        <w:t xml:space="preserve"> are primary sources of improve</w:t>
      </w:r>
      <w:r w:rsidR="00DE6888">
        <w:t>d</w:t>
      </w:r>
      <w:r w:rsidR="00244CD1">
        <w:t xml:space="preserve"> </w:t>
      </w:r>
      <w:r w:rsidR="003C093E">
        <w:t xml:space="preserve">living standards along with the </w:t>
      </w:r>
      <w:r w:rsidR="009332E6">
        <w:t xml:space="preserve">increasing </w:t>
      </w:r>
      <w:r w:rsidR="003C093E">
        <w:t>skills</w:t>
      </w:r>
      <w:r w:rsidR="009332E6">
        <w:t xml:space="preserve"> and capabilities of workers</w:t>
      </w:r>
      <w:r w:rsidR="003C093E">
        <w:t xml:space="preserve">. </w:t>
      </w:r>
      <w:r w:rsidR="009332E6">
        <w:t>E</w:t>
      </w:r>
      <w:r w:rsidR="00887477">
        <w:t xml:space="preserve">ncouraging </w:t>
      </w:r>
      <w:r w:rsidR="003039E5">
        <w:t>labour market participation</w:t>
      </w:r>
      <w:r w:rsidR="009332E6">
        <w:t>, skills formation and supporting a well</w:t>
      </w:r>
      <w:r w:rsidR="00133C69">
        <w:noBreakHyphen/>
      </w:r>
      <w:r w:rsidR="009332E6">
        <w:t>functioning</w:t>
      </w:r>
      <w:r w:rsidR="003039E5">
        <w:t xml:space="preserve"> </w:t>
      </w:r>
      <w:r w:rsidR="009332E6">
        <w:t>labour market are</w:t>
      </w:r>
      <w:r w:rsidR="003039E5">
        <w:t xml:space="preserve"> vital</w:t>
      </w:r>
      <w:r w:rsidR="009332E6">
        <w:t xml:space="preserve"> steps</w:t>
      </w:r>
      <w:r w:rsidR="00A6225B">
        <w:t xml:space="preserve"> that governments can take</w:t>
      </w:r>
      <w:r w:rsidR="009332E6">
        <w:t xml:space="preserve"> to </w:t>
      </w:r>
      <w:r w:rsidR="003039E5">
        <w:t>ensur</w:t>
      </w:r>
      <w:r w:rsidR="00A6225B">
        <w:t>e</w:t>
      </w:r>
      <w:r w:rsidR="003039E5">
        <w:t xml:space="preserve"> that society can maintain</w:t>
      </w:r>
      <w:r w:rsidR="008136CE">
        <w:t xml:space="preserve"> or improve</w:t>
      </w:r>
      <w:r w:rsidR="003039E5">
        <w:t xml:space="preserve"> </w:t>
      </w:r>
      <w:r w:rsidR="00AE5B3E">
        <w:t>its standard of living, particular</w:t>
      </w:r>
      <w:r w:rsidR="00887477">
        <w:t>ly</w:t>
      </w:r>
      <w:r w:rsidR="00AE5B3E">
        <w:t xml:space="preserve"> in the context of an ageing population. </w:t>
      </w:r>
    </w:p>
    <w:p w14:paraId="5850DF2E" w14:textId="77777777" w:rsidR="00055194" w:rsidRDefault="00642395" w:rsidP="00596AB7">
      <w:pPr>
        <w:pStyle w:val="BodyText"/>
      </w:pPr>
      <w:r>
        <w:t xml:space="preserve">But </w:t>
      </w:r>
      <w:r w:rsidRPr="00AE5B3E">
        <w:t>labour markets do not stand still.</w:t>
      </w:r>
      <w:r>
        <w:t xml:space="preserve"> </w:t>
      </w:r>
    </w:p>
    <w:p w14:paraId="70FFFAFB" w14:textId="318ED9D4" w:rsidR="00C50001" w:rsidRDefault="00C50001" w:rsidP="00596AB7">
      <w:pPr>
        <w:pStyle w:val="BodyText"/>
      </w:pPr>
      <w:r>
        <w:t>Occupations, skills and jobs come … and they go. More than a century ago, lamplighters, icemen, and telegraph operators fell into decline. In the middle of the last century, dunny men and bread delivery vans started to disappear. Towards the end of the century, switchboard operators, typists and TV repairmen became rarer and rarer. Travel agents, bank tellers and supermarket cashiers still exist as occupations, but opportunities in these occupations are diminishing.</w:t>
      </w:r>
    </w:p>
    <w:p w14:paraId="59C37796" w14:textId="05AC232C" w:rsidR="00C50001" w:rsidRDefault="00641737" w:rsidP="00C50001">
      <w:pPr>
        <w:pStyle w:val="BodyText"/>
      </w:pPr>
      <w:r>
        <w:t>S</w:t>
      </w:r>
      <w:r w:rsidR="00055194">
        <w:t>ome jobs and occupations may be disappearing</w:t>
      </w:r>
      <w:r w:rsidR="001C6812">
        <w:t>,</w:t>
      </w:r>
      <w:r>
        <w:t xml:space="preserve"> but </w:t>
      </w:r>
      <w:r w:rsidR="00C50001">
        <w:t>technology</w:t>
      </w:r>
      <w:r w:rsidR="00055194">
        <w:t xml:space="preserve"> </w:t>
      </w:r>
      <w:r w:rsidR="00C50001">
        <w:t xml:space="preserve">and changing consumer preferences </w:t>
      </w:r>
      <w:r w:rsidR="00055194">
        <w:t xml:space="preserve">are driving </w:t>
      </w:r>
      <w:r w:rsidR="00C50001">
        <w:t>demand for new skills and jobs.</w:t>
      </w:r>
    </w:p>
    <w:p w14:paraId="3ACF96F9" w14:textId="5E9A1C39" w:rsidR="00C50001" w:rsidRDefault="00C50001" w:rsidP="00C50001">
      <w:pPr>
        <w:pStyle w:val="ListBullet"/>
      </w:pPr>
      <w:r>
        <w:t>High</w:t>
      </w:r>
      <w:r w:rsidR="00133C69">
        <w:noBreakHyphen/>
      </w:r>
      <w:r>
        <w:t>skilled jobs tend to be complementary to new technology — raising productivity and the demand for suitably skilled workers. The productivity savings result in lower prices for consumers, higher wages for employees or higher profit</w:t>
      </w:r>
      <w:r w:rsidR="00C85F06">
        <w:t xml:space="preserve">s, leading to increased demand and more jobs. </w:t>
      </w:r>
    </w:p>
    <w:p w14:paraId="233DDD56" w14:textId="19D54A22" w:rsidR="00C50001" w:rsidRDefault="00C50001" w:rsidP="001F38EF">
      <w:pPr>
        <w:pStyle w:val="ListBullet"/>
      </w:pPr>
      <w:r>
        <w:t xml:space="preserve">With lifestyle and demographic changes and rising incomes, consumers are increasingly seeking new products and services, particularly when it enhances convenience. </w:t>
      </w:r>
      <w:r w:rsidR="00C85F06">
        <w:t xml:space="preserve">The </w:t>
      </w:r>
      <w:proofErr w:type="spellStart"/>
      <w:r w:rsidR="00C85F06">
        <w:t>internet</w:t>
      </w:r>
      <w:proofErr w:type="spellEnd"/>
      <w:r w:rsidR="00C85F06">
        <w:t>, f</w:t>
      </w:r>
      <w:r>
        <w:t>or example, is driving this demand and creating new jobs and occupations, primarily in the services sector.</w:t>
      </w:r>
      <w:r w:rsidR="00755C2A">
        <w:t xml:space="preserve"> </w:t>
      </w:r>
      <w:r w:rsidR="00DC7E4D" w:rsidRPr="00DC7E4D">
        <w:t xml:space="preserve">Demographic change has also increased the demand for workers in the care sector, including aged care and childcare. </w:t>
      </w:r>
    </w:p>
    <w:p w14:paraId="4EFCC443" w14:textId="7B5B2EA9" w:rsidR="007A30C2" w:rsidRDefault="00883BEE" w:rsidP="00596AB7">
      <w:pPr>
        <w:pStyle w:val="BodyText"/>
      </w:pPr>
      <w:r>
        <w:t xml:space="preserve">History has shown that over the long run, </w:t>
      </w:r>
      <w:r w:rsidRPr="00224AC5">
        <w:t xml:space="preserve">technology </w:t>
      </w:r>
      <w:r>
        <w:t xml:space="preserve">and other labour market changes </w:t>
      </w:r>
      <w:r w:rsidRPr="00224AC5">
        <w:t>ha</w:t>
      </w:r>
      <w:r>
        <w:t>ve</w:t>
      </w:r>
      <w:r w:rsidRPr="00224AC5">
        <w:t xml:space="preserve"> been a friend to </w:t>
      </w:r>
      <w:r>
        <w:t>many</w:t>
      </w:r>
      <w:r w:rsidRPr="00224AC5">
        <w:t xml:space="preserve"> employees, </w:t>
      </w:r>
      <w:r>
        <w:t>removing jobs that are</w:t>
      </w:r>
      <w:r w:rsidRPr="00506AB0">
        <w:t xml:space="preserve"> </w:t>
      </w:r>
      <w:r>
        <w:t xml:space="preserve">often </w:t>
      </w:r>
      <w:r w:rsidRPr="00506AB0">
        <w:t xml:space="preserve">unpleasant, physically </w:t>
      </w:r>
      <w:r w:rsidRPr="00506AB0">
        <w:lastRenderedPageBreak/>
        <w:t>tiring, dangerous or tedious.</w:t>
      </w:r>
      <w:r>
        <w:t xml:space="preserve"> O</w:t>
      </w:r>
      <w:r w:rsidRPr="00211D1A">
        <w:t xml:space="preserve">verall employment persistently grew despite </w:t>
      </w:r>
      <w:r>
        <w:t>these fundamental technology changes</w:t>
      </w:r>
      <w:r w:rsidR="00E113A7">
        <w:t xml:space="preserve"> </w:t>
      </w:r>
      <w:r w:rsidR="00E113A7" w:rsidRPr="00E113A7">
        <w:rPr>
          <w:szCs w:val="24"/>
        </w:rPr>
        <w:t>(PC 2016a)</w:t>
      </w:r>
      <w:r w:rsidRPr="00211D1A">
        <w:t>.</w:t>
      </w:r>
      <w:r>
        <w:t xml:space="preserve"> </w:t>
      </w:r>
    </w:p>
    <w:p w14:paraId="48291891" w14:textId="6BC8890D" w:rsidR="0027233E" w:rsidRDefault="00F36023" w:rsidP="0027233E">
      <w:pPr>
        <w:pStyle w:val="Heading3"/>
      </w:pPr>
      <w:r>
        <w:t>Profound labour market change on the horizon or manageable risk?</w:t>
      </w:r>
    </w:p>
    <w:p w14:paraId="402949D9" w14:textId="2F54E598" w:rsidR="00C85F06" w:rsidRDefault="00C85F06" w:rsidP="00596AB7">
      <w:pPr>
        <w:pStyle w:val="BodyText"/>
      </w:pPr>
      <w:r>
        <w:t>W</w:t>
      </w:r>
      <w:r w:rsidRPr="00DD3ACC">
        <w:t xml:space="preserve">hile the speed and magnitude of </w:t>
      </w:r>
      <w:r>
        <w:t xml:space="preserve">future technological </w:t>
      </w:r>
      <w:r w:rsidRPr="00DD3ACC">
        <w:t>change is contested</w:t>
      </w:r>
      <w:r>
        <w:t>, e</w:t>
      </w:r>
      <w:r w:rsidRPr="00DD3ACC">
        <w:t xml:space="preserve">ven the most conservative estimates </w:t>
      </w:r>
      <w:r>
        <w:t xml:space="preserve">suggest that the nature of occupations and jobs are likely to change sufficiently quickly that </w:t>
      </w:r>
      <w:r w:rsidR="00922C72">
        <w:t xml:space="preserve">some </w:t>
      </w:r>
      <w:r>
        <w:t>skills will become redundant</w:t>
      </w:r>
      <w:r w:rsidR="00922C72">
        <w:t>,</w:t>
      </w:r>
      <w:r>
        <w:t xml:space="preserve"> </w:t>
      </w:r>
      <w:r w:rsidR="00DD25C6">
        <w:t>with</w:t>
      </w:r>
      <w:r>
        <w:t xml:space="preserve"> workers vulnerable to unemployment, underemployment, </w:t>
      </w:r>
      <w:proofErr w:type="gramStart"/>
      <w:r>
        <w:t>poor</w:t>
      </w:r>
      <w:proofErr w:type="gramEnd"/>
      <w:r>
        <w:t xml:space="preserve"> skills utilisation and lower incomes. </w:t>
      </w:r>
      <w:r w:rsidR="00E41267">
        <w:t>The potential acceleration of automation into occupations previously not considered feasible mean</w:t>
      </w:r>
      <w:r w:rsidR="00C64543">
        <w:t>s</w:t>
      </w:r>
      <w:r w:rsidR="00E41267">
        <w:t xml:space="preserve"> that a wider group of people may be affected</w:t>
      </w:r>
      <w:r w:rsidR="0027233E">
        <w:t xml:space="preserve"> by structural change</w:t>
      </w:r>
      <w:r w:rsidR="006B2ADC">
        <w:t xml:space="preserve"> (chapter</w:t>
      </w:r>
      <w:r w:rsidR="00133C69">
        <w:t> </w:t>
      </w:r>
      <w:r w:rsidR="00E113A7">
        <w:t>2</w:t>
      </w:r>
      <w:r w:rsidR="00C64543">
        <w:t xml:space="preserve"> below</w:t>
      </w:r>
      <w:r w:rsidR="006B2ADC">
        <w:t>)</w:t>
      </w:r>
      <w:r w:rsidR="0027233E">
        <w:t xml:space="preserve">. </w:t>
      </w:r>
    </w:p>
    <w:p w14:paraId="2B438416" w14:textId="01F3EAF5" w:rsidR="00C1139A" w:rsidRDefault="00F36023" w:rsidP="00A27034">
      <w:pPr>
        <w:pStyle w:val="BodyText"/>
      </w:pPr>
      <w:r>
        <w:t xml:space="preserve">Outsourcing is also presenting risks for the nature of jobs. </w:t>
      </w:r>
      <w:r w:rsidR="00C1139A">
        <w:t>There is increased scope to offshore jobs</w:t>
      </w:r>
      <w:r w:rsidR="00BD31B3">
        <w:t xml:space="preserve"> in the services sector</w:t>
      </w:r>
      <w:r w:rsidR="00C1139A">
        <w:t xml:space="preserve">, including in areas previously expected to be safe from outsourcing (such as </w:t>
      </w:r>
      <w:r w:rsidR="00E113A7">
        <w:t xml:space="preserve">jobs in </w:t>
      </w:r>
      <w:r w:rsidR="00C1139A">
        <w:t>human resources). And firms —</w:t>
      </w:r>
      <w:r w:rsidR="0027233E">
        <w:t xml:space="preserve"> </w:t>
      </w:r>
      <w:r w:rsidR="00C1139A">
        <w:t>enabled by exchange platforms like Freelancer — are able to contract out short</w:t>
      </w:r>
      <w:r w:rsidR="00C1139A">
        <w:noBreakHyphen/>
        <w:t>term, discreet tasks. The prevalence of the gig economy is often grossly exaggerated. Nevertheless, it may grow in significance, with a greater proportion of workers thus relying on a portfolio of work rather than long</w:t>
      </w:r>
      <w:r w:rsidR="00C1139A">
        <w:noBreakHyphen/>
        <w:t xml:space="preserve">term employment with a limited number of employers </w:t>
      </w:r>
      <w:r w:rsidR="0039034F">
        <w:t>(chapter</w:t>
      </w:r>
      <w:r w:rsidR="00133C69">
        <w:t> </w:t>
      </w:r>
      <w:r w:rsidR="00E113A7">
        <w:t>3</w:t>
      </w:r>
      <w:r w:rsidR="00C64543">
        <w:t xml:space="preserve"> below</w:t>
      </w:r>
      <w:r w:rsidR="0039034F">
        <w:t>)</w:t>
      </w:r>
      <w:r w:rsidR="00C1139A">
        <w:t xml:space="preserve">. </w:t>
      </w:r>
    </w:p>
    <w:p w14:paraId="6F8B9E17" w14:textId="143C82A2" w:rsidR="009F652B" w:rsidRDefault="000117F4" w:rsidP="000117F4">
      <w:pPr>
        <w:pStyle w:val="BodyText"/>
      </w:pPr>
      <w:r>
        <w:t>People are also working longer and retiring later. This trend is likely to continue</w:t>
      </w:r>
      <w:r w:rsidR="00DD25C6">
        <w:t xml:space="preserve"> (appendix </w:t>
      </w:r>
      <w:r w:rsidR="00784F18">
        <w:t>A</w:t>
      </w:r>
      <w:r w:rsidR="00C64543">
        <w:t xml:space="preserve"> below</w:t>
      </w:r>
      <w:r w:rsidR="00DD25C6">
        <w:t>)</w:t>
      </w:r>
      <w:r>
        <w:t>. As noted above</w:t>
      </w:r>
      <w:r w:rsidR="00F63F8D">
        <w:t xml:space="preserve">, </w:t>
      </w:r>
      <w:r>
        <w:t>this is generally considered good</w:t>
      </w:r>
      <w:r w:rsidR="00C64543">
        <w:t>,</w:t>
      </w:r>
      <w:r>
        <w:t xml:space="preserve"> as jobs provide income, purpose and social connections</w:t>
      </w:r>
      <w:r w:rsidR="00C64543">
        <w:t>,</w:t>
      </w:r>
      <w:r w:rsidR="006E088B">
        <w:t xml:space="preserve"> along with the broader economy</w:t>
      </w:r>
      <w:r w:rsidR="00C64543">
        <w:noBreakHyphen/>
      </w:r>
      <w:r w:rsidR="006E088B">
        <w:t>wide benefits</w:t>
      </w:r>
      <w:r>
        <w:t>.</w:t>
      </w:r>
      <w:r w:rsidR="006E088B">
        <w:t xml:space="preserve"> </w:t>
      </w:r>
      <w:r w:rsidR="00F76808">
        <w:t xml:space="preserve">But the increased need and desire </w:t>
      </w:r>
      <w:r w:rsidR="009F652B">
        <w:t>to maintain strong labour market attachment</w:t>
      </w:r>
      <w:r w:rsidR="001D2E27">
        <w:t xml:space="preserve"> also brings risks of </w:t>
      </w:r>
      <w:r w:rsidR="006B2ADC">
        <w:t>vulnerabilities</w:t>
      </w:r>
      <w:r w:rsidR="00C64543">
        <w:t>,</w:t>
      </w:r>
      <w:r w:rsidR="006B2ADC">
        <w:t xml:space="preserve"> as</w:t>
      </w:r>
      <w:r w:rsidR="00BD31B3">
        <w:t xml:space="preserve"> </w:t>
      </w:r>
      <w:r w:rsidR="00922C72">
        <w:t xml:space="preserve">it is not always possible for </w:t>
      </w:r>
      <w:r w:rsidR="00BD31B3">
        <w:t xml:space="preserve">people </w:t>
      </w:r>
      <w:r w:rsidR="00922C72">
        <w:t xml:space="preserve">to </w:t>
      </w:r>
      <w:r w:rsidR="006B2ADC">
        <w:t>work longer</w:t>
      </w:r>
      <w:r w:rsidR="009F652B">
        <w:t>.</w:t>
      </w:r>
      <w:r w:rsidR="00A5480E" w:rsidRPr="00214E24">
        <w:rPr>
          <w:rStyle w:val="FootnoteReference"/>
        </w:rPr>
        <w:footnoteReference w:id="2"/>
      </w:r>
      <w:r w:rsidR="009F652B">
        <w:t xml:space="preserve"> Workers in jobs that have a highly physical component (such as labouring or nursing) or whose skills have become redundant, may not be able to continue in these role</w:t>
      </w:r>
      <w:r w:rsidR="00BD31B3">
        <w:t>s</w:t>
      </w:r>
      <w:r w:rsidR="009F652B">
        <w:t xml:space="preserve"> </w:t>
      </w:r>
      <w:r w:rsidR="00951B39">
        <w:t xml:space="preserve">to the age </w:t>
      </w:r>
      <w:r w:rsidR="002B217D">
        <w:t>when</w:t>
      </w:r>
      <w:r w:rsidR="00951B39">
        <w:t xml:space="preserve"> they are eligible to access retirement benefits.</w:t>
      </w:r>
      <w:r w:rsidR="009F652B" w:rsidRPr="00214E24">
        <w:rPr>
          <w:rStyle w:val="FootnoteReference"/>
        </w:rPr>
        <w:footnoteReference w:id="3"/>
      </w:r>
      <w:r w:rsidR="009F652B">
        <w:t xml:space="preserve"> </w:t>
      </w:r>
      <w:r w:rsidR="00A025CC">
        <w:t xml:space="preserve">Instead, they may have a material period in which they need to work in alternative jobs, with some workers requiring upskilling or retraining to make this change. </w:t>
      </w:r>
      <w:r w:rsidR="009F652B">
        <w:t>Recent tightening of eligibility of social security payment</w:t>
      </w:r>
      <w:r w:rsidR="00BD31B3">
        <w:t>s</w:t>
      </w:r>
      <w:r w:rsidR="009F652B">
        <w:t xml:space="preserve">, such as the increase in pension age, has heightened </w:t>
      </w:r>
      <w:r w:rsidR="00370204">
        <w:t xml:space="preserve">income </w:t>
      </w:r>
      <w:r w:rsidR="009F652B">
        <w:t>risk</w:t>
      </w:r>
      <w:r w:rsidR="00370204">
        <w:t>s</w:t>
      </w:r>
      <w:r w:rsidR="009F652B">
        <w:t xml:space="preserve"> associated with redundancy </w:t>
      </w:r>
      <w:r w:rsidR="00DD25C6">
        <w:t xml:space="preserve">for older workers. </w:t>
      </w:r>
    </w:p>
    <w:p w14:paraId="58607C51" w14:textId="445A122F" w:rsidR="00EC5AAD" w:rsidRDefault="00132C75" w:rsidP="00EC5AAD">
      <w:pPr>
        <w:pStyle w:val="BodyText"/>
      </w:pPr>
      <w:r>
        <w:t>Collective</w:t>
      </w:r>
      <w:r w:rsidR="00A90823">
        <w:t>l</w:t>
      </w:r>
      <w:r>
        <w:t>y, t</w:t>
      </w:r>
      <w:r w:rsidR="00370204">
        <w:t>hese risk</w:t>
      </w:r>
      <w:r w:rsidR="008A2874">
        <w:t>s</w:t>
      </w:r>
      <w:r w:rsidR="00370204">
        <w:t xml:space="preserve"> </w:t>
      </w:r>
      <w:r w:rsidR="00A90823">
        <w:t xml:space="preserve">threaten employment </w:t>
      </w:r>
      <w:r w:rsidR="00EC5AAD">
        <w:t>opportunities</w:t>
      </w:r>
      <w:r w:rsidR="00C64543">
        <w:t>,</w:t>
      </w:r>
      <w:r w:rsidR="00EC5AAD">
        <w:t xml:space="preserve"> along with </w:t>
      </w:r>
      <w:r w:rsidR="00A90823">
        <w:t>participation rates and Australia’s standard of living.</w:t>
      </w:r>
      <w:r w:rsidR="00EC5AAD">
        <w:t xml:space="preserve"> </w:t>
      </w:r>
      <w:r w:rsidR="000F2C44">
        <w:t xml:space="preserve">Some view these </w:t>
      </w:r>
      <w:r w:rsidR="00EC5AAD">
        <w:t xml:space="preserve">changes in the labour market as a </w:t>
      </w:r>
      <w:r w:rsidR="00760FEF">
        <w:t xml:space="preserve">looming </w:t>
      </w:r>
      <w:r w:rsidR="00EC5AAD">
        <w:t>crisis</w:t>
      </w:r>
      <w:r w:rsidR="000F2C44">
        <w:t>, while others</w:t>
      </w:r>
      <w:r w:rsidR="00EC5AAD">
        <w:t xml:space="preserve"> </w:t>
      </w:r>
      <w:r w:rsidR="000F2C44">
        <w:t>see them</w:t>
      </w:r>
      <w:r w:rsidR="00EC5AAD">
        <w:t xml:space="preserve"> </w:t>
      </w:r>
      <w:r w:rsidR="00760FEF">
        <w:t>as</w:t>
      </w:r>
      <w:r w:rsidR="00EC5AAD">
        <w:t xml:space="preserve"> </w:t>
      </w:r>
      <w:r w:rsidR="000F2C44">
        <w:t xml:space="preserve">a </w:t>
      </w:r>
      <w:r w:rsidR="00EC5AAD">
        <w:t xml:space="preserve">sign that </w:t>
      </w:r>
      <w:r w:rsidR="008A2874">
        <w:t xml:space="preserve">there is a need for </w:t>
      </w:r>
      <w:r w:rsidR="00EC5AAD">
        <w:t xml:space="preserve">a transition process to deal with any potential </w:t>
      </w:r>
      <w:r w:rsidR="00784F18">
        <w:t>obstacles and barriers</w:t>
      </w:r>
      <w:r w:rsidR="00EC5AAD">
        <w:t xml:space="preserve"> </w:t>
      </w:r>
      <w:r w:rsidR="000F2C44" w:rsidRPr="000F2C44">
        <w:rPr>
          <w:szCs w:val="24"/>
        </w:rPr>
        <w:t>(Dunlop 2016; Ferrier, Burke and Selby Smith 2008; PC 2013)</w:t>
      </w:r>
      <w:r w:rsidR="00EC5AAD">
        <w:t xml:space="preserve">. </w:t>
      </w:r>
    </w:p>
    <w:p w14:paraId="17EAA533" w14:textId="7300A8F6" w:rsidR="00006491" w:rsidRDefault="00006491" w:rsidP="00006491">
      <w:pPr>
        <w:pStyle w:val="BodyText"/>
      </w:pPr>
      <w:r>
        <w:t>A comprehensive assessment of the ways to foster greater participation and employment, in light of these risks, would consider all aspects of a well</w:t>
      </w:r>
      <w:r w:rsidR="00133C69">
        <w:noBreakHyphen/>
      </w:r>
      <w:r>
        <w:t>functioning labour market (participation, mobility, regulation and skills formation)</w:t>
      </w:r>
      <w:r w:rsidR="008A2874">
        <w:t>,</w:t>
      </w:r>
      <w:r>
        <w:t xml:space="preserve"> as well as the interaction of government policies (such as superannuation and pension eligibility age) in achieving this aim (figure</w:t>
      </w:r>
      <w:r w:rsidR="00133C69">
        <w:t> </w:t>
      </w:r>
      <w:r>
        <w:t xml:space="preserve">1.1). </w:t>
      </w:r>
    </w:p>
    <w:p w14:paraId="180E54B0" w14:textId="77777777" w:rsidR="00006491" w:rsidRDefault="00006491" w:rsidP="0010018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73"/>
      </w:tblGrid>
      <w:tr w:rsidR="00006491" w:rsidRPr="00176D3F" w14:paraId="6B1C2FE1" w14:textId="77777777" w:rsidTr="007A0DAE">
        <w:trPr>
          <w:tblHeader/>
        </w:trPr>
        <w:tc>
          <w:tcPr>
            <w:tcW w:w="5000" w:type="pct"/>
            <w:tcBorders>
              <w:top w:val="single" w:sz="6" w:space="0" w:color="78A22F"/>
              <w:left w:val="nil"/>
              <w:bottom w:val="nil"/>
              <w:right w:val="nil"/>
            </w:tcBorders>
            <w:shd w:val="clear" w:color="auto" w:fill="auto"/>
          </w:tcPr>
          <w:p w14:paraId="78D3A98B" w14:textId="77777777" w:rsidR="00006491" w:rsidRPr="00176D3F" w:rsidRDefault="00006491" w:rsidP="00AB35AB">
            <w:pPr>
              <w:pStyle w:val="FigureTitle"/>
            </w:pPr>
            <w:r w:rsidRPr="00784A05">
              <w:rPr>
                <w:b w:val="0"/>
              </w:rPr>
              <w:t>Figure</w:t>
            </w:r>
            <w:r>
              <w:rPr>
                <w:b w:val="0"/>
              </w:rPr>
              <w:t xml:space="preserve"> 1.1</w:t>
            </w:r>
            <w:r>
              <w:tab/>
              <w:t>A well</w:t>
            </w:r>
            <w:r>
              <w:noBreakHyphen/>
              <w:t>functioning labour market</w:t>
            </w:r>
          </w:p>
        </w:tc>
      </w:tr>
      <w:tr w:rsidR="007A0DAE" w14:paraId="4F6EA363" w14:textId="77777777" w:rsidTr="007A0DAE">
        <w:tc>
          <w:tcPr>
            <w:tcW w:w="5000" w:type="pct"/>
            <w:tcBorders>
              <w:top w:val="nil"/>
              <w:left w:val="nil"/>
              <w:bottom w:val="nil"/>
              <w:right w:val="nil"/>
            </w:tcBorders>
            <w:tcMar>
              <w:top w:w="28" w:type="dxa"/>
              <w:bottom w:w="28" w:type="dxa"/>
            </w:tcMar>
          </w:tcPr>
          <w:p w14:paraId="3D4D0968" w14:textId="4E86248B" w:rsidR="007A0DAE" w:rsidRDefault="007A0DAE" w:rsidP="007A0DAE">
            <w:pPr>
              <w:pStyle w:val="Figure"/>
            </w:pPr>
            <w:r>
              <w:rPr>
                <w:rFonts w:ascii="Arial" w:hAnsi="Arial" w:cs="Arial"/>
                <w:noProof/>
                <w:sz w:val="18"/>
                <w:szCs w:val="18"/>
              </w:rPr>
              <w:drawing>
                <wp:inline distT="0" distB="0" distL="0" distR="0" wp14:anchorId="1AFF9EA6" wp14:editId="11393503">
                  <wp:extent cx="4876800" cy="4381500"/>
                  <wp:effectExtent l="0" t="0" r="0" b="0"/>
                  <wp:docPr id="2" name="Picture 2" descr="This figure depicts the ingredients of a well-functioning labour market system. It has four components: 1) minimal barriers to work to encourage participation 2) regulation that provides workers protection for wages, conditions and safety, 3) an open, high quality education system that supports skills formation relevant in the labour market, and 4) labour mobility: workers can find work and change jobs read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76800" cy="4381500"/>
                          </a:xfrm>
                          <a:prstGeom prst="rect">
                            <a:avLst/>
                          </a:prstGeom>
                          <a:noFill/>
                          <a:ln>
                            <a:noFill/>
                          </a:ln>
                        </pic:spPr>
                      </pic:pic>
                    </a:graphicData>
                  </a:graphic>
                </wp:inline>
              </w:drawing>
            </w:r>
          </w:p>
        </w:tc>
      </w:tr>
      <w:tr w:rsidR="007A0DAE" w14:paraId="39779DDD" w14:textId="77777777" w:rsidTr="00AB35AB">
        <w:tc>
          <w:tcPr>
            <w:tcW w:w="5000" w:type="pct"/>
            <w:tcBorders>
              <w:top w:val="nil"/>
              <w:left w:val="nil"/>
              <w:bottom w:val="single" w:sz="6" w:space="0" w:color="78A22F"/>
              <w:right w:val="nil"/>
            </w:tcBorders>
            <w:shd w:val="clear" w:color="auto" w:fill="auto"/>
          </w:tcPr>
          <w:p w14:paraId="627EE72D" w14:textId="77777777" w:rsidR="007A0DAE" w:rsidRDefault="007A0DAE" w:rsidP="007A0DAE">
            <w:pPr>
              <w:pStyle w:val="Figurespace"/>
            </w:pPr>
          </w:p>
        </w:tc>
      </w:tr>
      <w:tr w:rsidR="007A0DAE" w:rsidRPr="00626D32" w14:paraId="5B403EA3" w14:textId="77777777" w:rsidTr="00AB35AB">
        <w:tc>
          <w:tcPr>
            <w:tcW w:w="5000" w:type="pct"/>
            <w:tcBorders>
              <w:top w:val="single" w:sz="6" w:space="0" w:color="78A22F"/>
              <w:left w:val="nil"/>
              <w:bottom w:val="nil"/>
              <w:right w:val="nil"/>
            </w:tcBorders>
          </w:tcPr>
          <w:p w14:paraId="3CEFEC12" w14:textId="13EDA7E4" w:rsidR="007A0DAE" w:rsidRPr="00626D32" w:rsidRDefault="007A0DAE" w:rsidP="007A0DAE">
            <w:pPr>
              <w:pStyle w:val="BoxSpaceBelow"/>
            </w:pPr>
          </w:p>
        </w:tc>
      </w:tr>
    </w:tbl>
    <w:p w14:paraId="30DDFCDA" w14:textId="1AD2B7F4" w:rsidR="00B3229E" w:rsidRDefault="007E65C5" w:rsidP="007E65C5">
      <w:pPr>
        <w:pStyle w:val="BodyText"/>
      </w:pPr>
      <w:r>
        <w:t>This paper examines one element of this wider issue:</w:t>
      </w:r>
      <w:r w:rsidR="00214E24">
        <w:t xml:space="preserve"> skills formation</w:t>
      </w:r>
      <w:r w:rsidR="002262AC">
        <w:t xml:space="preserve"> for working</w:t>
      </w:r>
      <w:r w:rsidR="00A647C3">
        <w:noBreakHyphen/>
      </w:r>
      <w:r w:rsidR="002262AC">
        <w:t>age individuals</w:t>
      </w:r>
      <w:r w:rsidR="001A6195">
        <w:t xml:space="preserve">. </w:t>
      </w:r>
      <w:r w:rsidR="00214E24">
        <w:t xml:space="preserve">In particular, </w:t>
      </w:r>
      <w:r w:rsidR="008A2874">
        <w:t xml:space="preserve">it investigates the </w:t>
      </w:r>
      <w:r>
        <w:t>role can governments play in creating an environment to cultivate and encourage retraining and upskilling of the population to foster an extended (retiring later and less involuntary retirement) and fuller working life (less periods of unemployment and less underemployment).</w:t>
      </w:r>
      <w:r w:rsidR="00214E24">
        <w:t xml:space="preserve"> </w:t>
      </w:r>
    </w:p>
    <w:p w14:paraId="37EDD86F" w14:textId="59318C69" w:rsidR="00BB3B14" w:rsidRDefault="00BB3B14" w:rsidP="00BB3B14">
      <w:pPr>
        <w:pStyle w:val="BodyText"/>
      </w:pPr>
      <w:r>
        <w:t xml:space="preserve">While the estimated </w:t>
      </w:r>
      <w:r w:rsidR="00F52B57">
        <w:t>effects</w:t>
      </w:r>
      <w:r>
        <w:t xml:space="preserve"> on GDP of increased participation of older workers are significant (box 1.1), concerns over the </w:t>
      </w:r>
      <w:r w:rsidR="00F52B57">
        <w:t>effects</w:t>
      </w:r>
      <w:r>
        <w:t xml:space="preserve"> of ageing on material living standards do not per se justify policy initiatives to increase involvement by older people in work. People value retirement and the leisure it brings. Indeed, Figgis </w:t>
      </w:r>
      <w:r w:rsidRPr="006945ED">
        <w:t>(2012)</w:t>
      </w:r>
      <w:r>
        <w:t xml:space="preserve"> highlighted that many non</w:t>
      </w:r>
      <w:r>
        <w:noBreakHyphen/>
        <w:t xml:space="preserve">professional or low skilled workers viewed retirement as a ‘relief’ and that work was something that was ‘suffered’ </w:t>
      </w:r>
      <w:r w:rsidRPr="00BE177C">
        <w:t>(p.</w:t>
      </w:r>
      <w:r w:rsidR="00A647C3">
        <w:t> </w:t>
      </w:r>
      <w:r w:rsidRPr="00BE177C">
        <w:t>10)</w:t>
      </w:r>
      <w:r>
        <w:t>. However, the economic and social benefits of more enduring participation are genuine if people’s choices of retirement are involuntary</w:t>
      </w:r>
      <w:r w:rsidR="00E35CC3">
        <w:t xml:space="preserve"> and</w:t>
      </w:r>
      <w:r>
        <w:t xml:space="preserve"> reflect avoidable obstacles, such as obsolescent skills.</w:t>
      </w:r>
    </w:p>
    <w:p w14:paraId="5AF6E026" w14:textId="1F4E8BEE" w:rsidR="00506305" w:rsidRDefault="00506305" w:rsidP="0050630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506305" w14:paraId="04ECFA40" w14:textId="77777777" w:rsidTr="00D16B8A">
        <w:tc>
          <w:tcPr>
            <w:tcW w:w="5000" w:type="pct"/>
            <w:tcBorders>
              <w:top w:val="single" w:sz="6" w:space="0" w:color="78A22F"/>
              <w:left w:val="nil"/>
              <w:bottom w:val="nil"/>
              <w:right w:val="nil"/>
            </w:tcBorders>
            <w:shd w:val="clear" w:color="auto" w:fill="F2F2F2"/>
          </w:tcPr>
          <w:p w14:paraId="4C0207AB" w14:textId="39E8BE24" w:rsidR="00506305" w:rsidRDefault="00506305" w:rsidP="00427D10">
            <w:pPr>
              <w:pStyle w:val="BoxTitle"/>
            </w:pPr>
            <w:r>
              <w:rPr>
                <w:b w:val="0"/>
              </w:rPr>
              <w:t xml:space="preserve">Box </w:t>
            </w:r>
            <w:r w:rsidR="00427D10">
              <w:rPr>
                <w:b w:val="0"/>
              </w:rPr>
              <w:t>1.1</w:t>
            </w:r>
            <w:r>
              <w:tab/>
            </w:r>
            <w:r w:rsidRPr="005F33A2">
              <w:t>Greater participation will bring siz</w:t>
            </w:r>
            <w:r>
              <w:t>a</w:t>
            </w:r>
            <w:r w:rsidRPr="005F33A2">
              <w:t>ble economic effects</w:t>
            </w:r>
          </w:p>
        </w:tc>
      </w:tr>
      <w:tr w:rsidR="00506305" w14:paraId="592AC774" w14:textId="77777777" w:rsidTr="00D16B8A">
        <w:tc>
          <w:tcPr>
            <w:tcW w:w="5000" w:type="pct"/>
            <w:tcBorders>
              <w:top w:val="nil"/>
              <w:left w:val="nil"/>
              <w:bottom w:val="nil"/>
              <w:right w:val="nil"/>
            </w:tcBorders>
            <w:shd w:val="clear" w:color="auto" w:fill="F2F2F2"/>
          </w:tcPr>
          <w:p w14:paraId="12491589" w14:textId="7558B9F9" w:rsidR="00506305" w:rsidRDefault="00506305" w:rsidP="00D16B8A">
            <w:pPr>
              <w:pStyle w:val="Box"/>
            </w:pPr>
            <w:r>
              <w:t xml:space="preserve">The economic </w:t>
            </w:r>
            <w:r w:rsidR="00F52B57">
              <w:t>effects</w:t>
            </w:r>
            <w:r>
              <w:t xml:space="preserve"> of greater participation in the labour force can be high. </w:t>
            </w:r>
          </w:p>
          <w:p w14:paraId="18CBE9A9" w14:textId="59F03F9C" w:rsidR="00506305" w:rsidRDefault="00506305" w:rsidP="00D16B8A">
            <w:pPr>
              <w:pStyle w:val="BoxListBullet"/>
            </w:pPr>
            <w:r>
              <w:t>PwC estimate that if Australia’s employment rate for workers aged 55 years plus (</w:t>
            </w:r>
            <w:r w:rsidR="006702BC">
              <w:t>52 per </w:t>
            </w:r>
            <w:r>
              <w:t>cent) was to increase to Swedish levels (</w:t>
            </w:r>
            <w:r w:rsidR="006702BC">
              <w:t>74 </w:t>
            </w:r>
            <w:r>
              <w:t>per</w:t>
            </w:r>
            <w:r w:rsidR="006702BC">
              <w:t> </w:t>
            </w:r>
            <w:r>
              <w:t xml:space="preserve">cent), the potential gains could be </w:t>
            </w:r>
            <w:r w:rsidR="003477CD">
              <w:t>about</w:t>
            </w:r>
            <w:r>
              <w:t xml:space="preserve"> $69 billion or 4.7 per cent of GDP </w:t>
            </w:r>
            <w:r w:rsidRPr="0028725B">
              <w:rPr>
                <w:szCs w:val="24"/>
              </w:rPr>
              <w:t>(PwC 2016)</w:t>
            </w:r>
            <w:r>
              <w:t>.</w:t>
            </w:r>
          </w:p>
          <w:p w14:paraId="61CFB768" w14:textId="491DE656" w:rsidR="00506305" w:rsidRDefault="00506305" w:rsidP="00D16B8A">
            <w:pPr>
              <w:pStyle w:val="BoxListBullet"/>
            </w:pPr>
            <w:r>
              <w:t>The Grattan Institute estimated that a seven per cent increase in the mature age labour force participation rate (to bring it to a rate that would still be less than New Zealand</w:t>
            </w:r>
            <w:r w:rsidR="00E35CC3">
              <w:t>’s</w:t>
            </w:r>
            <w:r>
              <w:t xml:space="preserve">) would raise GDP in 2022 by about $25 billion or 1.4 per cent </w:t>
            </w:r>
            <w:r w:rsidR="00016F36" w:rsidRPr="00016F36">
              <w:rPr>
                <w:rFonts w:cs="Arial"/>
                <w:szCs w:val="24"/>
              </w:rPr>
              <w:t xml:space="preserve">(Daley, </w:t>
            </w:r>
            <w:proofErr w:type="spellStart"/>
            <w:r w:rsidR="00016F36" w:rsidRPr="00016F36">
              <w:rPr>
                <w:rFonts w:cs="Arial"/>
                <w:szCs w:val="24"/>
              </w:rPr>
              <w:t>McGannon</w:t>
            </w:r>
            <w:proofErr w:type="spellEnd"/>
            <w:r w:rsidR="00016F36" w:rsidRPr="00016F36">
              <w:rPr>
                <w:rFonts w:cs="Arial"/>
                <w:szCs w:val="24"/>
              </w:rPr>
              <w:t xml:space="preserve"> and </w:t>
            </w:r>
            <w:proofErr w:type="spellStart"/>
            <w:r w:rsidR="00016F36" w:rsidRPr="00016F36">
              <w:rPr>
                <w:rFonts w:cs="Arial"/>
                <w:szCs w:val="24"/>
              </w:rPr>
              <w:t>Ginnivan</w:t>
            </w:r>
            <w:proofErr w:type="spellEnd"/>
            <w:r w:rsidR="00016F36" w:rsidRPr="00016F36">
              <w:rPr>
                <w:rFonts w:cs="Arial"/>
                <w:szCs w:val="24"/>
              </w:rPr>
              <w:t> 2012)</w:t>
            </w:r>
            <w:r>
              <w:t xml:space="preserve">. </w:t>
            </w:r>
          </w:p>
          <w:p w14:paraId="78BC07C4" w14:textId="5466EE1B" w:rsidR="00506305" w:rsidRDefault="00506305" w:rsidP="00D16B8A">
            <w:pPr>
              <w:pStyle w:val="BoxListBullet"/>
            </w:pPr>
            <w:r>
              <w:t xml:space="preserve">Deloitte Access Economics </w:t>
            </w:r>
            <w:r w:rsidRPr="009746B6">
              <w:t>(2012)</w:t>
            </w:r>
            <w:r>
              <w:t xml:space="preserve"> estimated that a</w:t>
            </w:r>
            <w:r w:rsidRPr="009746B6">
              <w:t xml:space="preserve">n extra </w:t>
            </w:r>
            <w:r>
              <w:t>three</w:t>
            </w:r>
            <w:r w:rsidRPr="009746B6">
              <w:t xml:space="preserve"> percentage point </w:t>
            </w:r>
            <w:r>
              <w:t>increase in</w:t>
            </w:r>
            <w:r w:rsidRPr="009746B6">
              <w:t xml:space="preserve"> participation among workers aged 55 and over would result in a $33</w:t>
            </w:r>
            <w:r>
              <w:t> </w:t>
            </w:r>
            <w:r w:rsidRPr="009746B6">
              <w:t>billion boost to GDP – or 1.6</w:t>
            </w:r>
            <w:r>
              <w:t> per cent</w:t>
            </w:r>
            <w:r w:rsidRPr="009746B6">
              <w:t xml:space="preserve"> of national income</w:t>
            </w:r>
            <w:r>
              <w:t>.</w:t>
            </w:r>
          </w:p>
          <w:p w14:paraId="6082D520" w14:textId="425B8F7E" w:rsidR="00506305" w:rsidRDefault="00506305" w:rsidP="00D16B8A">
            <w:pPr>
              <w:pStyle w:val="Box"/>
            </w:pPr>
            <w:r>
              <w:t>While these exercises highlight the potential economic effects of higher labour force participation or employment</w:t>
            </w:r>
            <w:r w:rsidR="00837E4D">
              <w:t>,</w:t>
            </w:r>
            <w:r>
              <w:t xml:space="preserve"> they model quite large changes</w:t>
            </w:r>
            <w:r w:rsidR="006702BC">
              <w:t>, but</w:t>
            </w:r>
            <w:r>
              <w:t xml:space="preserve"> with limited evidence on how such changes would be achieved</w:t>
            </w:r>
            <w:r w:rsidR="002505B8">
              <w:t xml:space="preserve"> (with the exception of the Grattan Institute’s analysis)</w:t>
            </w:r>
            <w:r>
              <w:t xml:space="preserve">. </w:t>
            </w:r>
          </w:p>
          <w:p w14:paraId="16370E42" w14:textId="6632D49E" w:rsidR="00506305" w:rsidRDefault="00506305" w:rsidP="00486C60">
            <w:pPr>
              <w:pStyle w:val="Box"/>
            </w:pPr>
            <w:r>
              <w:t>Workers reap personal benefits (financial and non</w:t>
            </w:r>
            <w:r>
              <w:noBreakHyphen/>
              <w:t xml:space="preserve">financial) from staying in the workforce longer. Generally, working provides </w:t>
            </w:r>
            <w:r w:rsidRPr="00D404B8">
              <w:t xml:space="preserve">an income that is above the pension </w:t>
            </w:r>
            <w:r>
              <w:t>allowance</w:t>
            </w:r>
            <w:r w:rsidRPr="00D404B8">
              <w:t xml:space="preserve"> and </w:t>
            </w:r>
            <w:r w:rsidR="006702BC">
              <w:t xml:space="preserve">is </w:t>
            </w:r>
            <w:r>
              <w:t xml:space="preserve">an avenue for contributing </w:t>
            </w:r>
            <w:r w:rsidRPr="00D404B8">
              <w:t>to superannuation</w:t>
            </w:r>
            <w:r>
              <w:t xml:space="preserve"> balances, which provides for greater income in the future </w:t>
            </w:r>
            <w:r w:rsidRPr="00DD0229">
              <w:rPr>
                <w:szCs w:val="24"/>
              </w:rPr>
              <w:t>(AHRC 2012)</w:t>
            </w:r>
            <w:r w:rsidRPr="00D404B8">
              <w:t>.</w:t>
            </w:r>
            <w:r>
              <w:t xml:space="preserve"> </w:t>
            </w:r>
            <w:r w:rsidR="003477CD">
              <w:t>Approximately</w:t>
            </w:r>
            <w:r>
              <w:t xml:space="preserve"> three quarters of people in older low</w:t>
            </w:r>
            <w:r>
              <w:noBreakHyphen/>
              <w:t xml:space="preserve">income households received at least 90 per cent of their cash income from government payments, mainly the age pension </w:t>
            </w:r>
            <w:r w:rsidRPr="00DD502D">
              <w:rPr>
                <w:szCs w:val="24"/>
              </w:rPr>
              <w:t>(AHRC 2016)</w:t>
            </w:r>
            <w:r>
              <w:t xml:space="preserve">. </w:t>
            </w:r>
            <w:r w:rsidR="006702BC">
              <w:t xml:space="preserve">Working may also provide </w:t>
            </w:r>
            <w:r>
              <w:t>non</w:t>
            </w:r>
            <w:r>
              <w:noBreakHyphen/>
              <w:t>financial benefits</w:t>
            </w:r>
            <w:r w:rsidR="006702BC">
              <w:t xml:space="preserve">, such as </w:t>
            </w:r>
            <w:r>
              <w:t>purpose and meaning to daily life</w:t>
            </w:r>
            <w:r w:rsidR="00486C60">
              <w:t>, as well as</w:t>
            </w:r>
            <w:r w:rsidDel="00486C60">
              <w:t xml:space="preserve"> </w:t>
            </w:r>
            <w:r>
              <w:t>social interaction</w:t>
            </w:r>
            <w:r w:rsidR="006702BC">
              <w:t>,</w:t>
            </w:r>
            <w:r>
              <w:t xml:space="preserve"> which can help boost </w:t>
            </w:r>
            <w:r w:rsidR="006702BC">
              <w:t xml:space="preserve">people’s </w:t>
            </w:r>
            <w:r>
              <w:t>confidence and self</w:t>
            </w:r>
            <w:r>
              <w:noBreakHyphen/>
              <w:t xml:space="preserve">esteem </w:t>
            </w:r>
            <w:r w:rsidRPr="000F2B54">
              <w:rPr>
                <w:szCs w:val="24"/>
              </w:rPr>
              <w:t>(</w:t>
            </w:r>
            <w:proofErr w:type="spellStart"/>
            <w:r w:rsidRPr="000F2B54">
              <w:rPr>
                <w:szCs w:val="24"/>
              </w:rPr>
              <w:t>Aylward</w:t>
            </w:r>
            <w:proofErr w:type="spellEnd"/>
            <w:r w:rsidRPr="000F2B54">
              <w:rPr>
                <w:szCs w:val="24"/>
              </w:rPr>
              <w:t> 2015; Davenport and Kirby 2016)</w:t>
            </w:r>
            <w:r>
              <w:t>.</w:t>
            </w:r>
            <w:r w:rsidR="00A647C3">
              <w:t xml:space="preserve"> </w:t>
            </w:r>
          </w:p>
        </w:tc>
      </w:tr>
      <w:tr w:rsidR="00506305" w14:paraId="0162E904" w14:textId="77777777" w:rsidTr="00D16B8A">
        <w:tc>
          <w:tcPr>
            <w:tcW w:w="5000" w:type="pct"/>
            <w:tcBorders>
              <w:top w:val="nil"/>
              <w:left w:val="nil"/>
              <w:bottom w:val="single" w:sz="6" w:space="0" w:color="78A22F"/>
              <w:right w:val="nil"/>
            </w:tcBorders>
            <w:shd w:val="clear" w:color="auto" w:fill="F2F2F2"/>
          </w:tcPr>
          <w:p w14:paraId="59327FEF" w14:textId="77777777" w:rsidR="00506305" w:rsidRDefault="00506305" w:rsidP="00D16B8A">
            <w:pPr>
              <w:pStyle w:val="Box"/>
              <w:spacing w:before="0" w:line="120" w:lineRule="exact"/>
            </w:pPr>
          </w:p>
        </w:tc>
      </w:tr>
      <w:tr w:rsidR="00506305" w:rsidRPr="000863A5" w14:paraId="5C798371" w14:textId="77777777" w:rsidTr="00D16B8A">
        <w:tc>
          <w:tcPr>
            <w:tcW w:w="5000" w:type="pct"/>
            <w:tcBorders>
              <w:top w:val="single" w:sz="6" w:space="0" w:color="78A22F"/>
              <w:left w:val="nil"/>
              <w:bottom w:val="nil"/>
              <w:right w:val="nil"/>
            </w:tcBorders>
          </w:tcPr>
          <w:p w14:paraId="4A91F53A" w14:textId="235AE27C" w:rsidR="00506305" w:rsidRPr="00626D32" w:rsidRDefault="00506305" w:rsidP="00D16B8A">
            <w:pPr>
              <w:pStyle w:val="BoxSpaceBelow"/>
            </w:pPr>
          </w:p>
        </w:tc>
      </w:tr>
    </w:tbl>
    <w:p w14:paraId="7AA059E1" w14:textId="563BC050" w:rsidR="00B3229E" w:rsidRDefault="00B3229E" w:rsidP="00B3229E">
      <w:pPr>
        <w:pStyle w:val="BodyText"/>
      </w:pPr>
      <w:r>
        <w:t>The main premise of this paper is that</w:t>
      </w:r>
      <w:r w:rsidR="00BE7F26">
        <w:t>,</w:t>
      </w:r>
      <w:r>
        <w:t xml:space="preserve"> given the likelihood of continued structural change, it is worthwhile encouraging training and education of those in the labour force </w:t>
      </w:r>
      <w:r w:rsidR="006702BC">
        <w:t xml:space="preserve">because it benefits </w:t>
      </w:r>
      <w:r>
        <w:t>both workers and the wider economy. This reflects the Commission’s view that the threats and opportunities posed by new technologies and markets to existing occupations will be manageable and, combined with people working longer, will increase the payoff to upskilling and retraining of workers</w:t>
      </w:r>
      <w:r w:rsidR="00073D14">
        <w:t xml:space="preserve"> (figure</w:t>
      </w:r>
      <w:r w:rsidR="00A647C3">
        <w:t> </w:t>
      </w:r>
      <w:r w:rsidR="00073D14">
        <w:t>1.2)</w:t>
      </w:r>
      <w:r>
        <w:t>. But workers, particularly older workers, face barriers to upskilling and retraining</w:t>
      </w:r>
      <w:r w:rsidR="006702BC">
        <w:t>,</w:t>
      </w:r>
      <w:r>
        <w:t xml:space="preserve"> potentially limiting the uptake of worthwhile skills formation. A more detailed understanding of the main pressures and barriers faced by workers is outlined in chapters 2 to 4</w:t>
      </w:r>
      <w:r w:rsidR="00BE7F26">
        <w:t xml:space="preserve"> below</w:t>
      </w:r>
      <w:r>
        <w:t>.</w:t>
      </w:r>
    </w:p>
    <w:p w14:paraId="259529C5" w14:textId="77777777" w:rsidR="00BB3B14" w:rsidRDefault="00BB3B14" w:rsidP="00BB3B1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73D14" w14:paraId="0AFCC875" w14:textId="77777777" w:rsidTr="00700957">
        <w:trPr>
          <w:tblHeader/>
        </w:trPr>
        <w:tc>
          <w:tcPr>
            <w:tcW w:w="8789" w:type="dxa"/>
            <w:tcBorders>
              <w:top w:val="single" w:sz="6" w:space="0" w:color="78A22F"/>
              <w:left w:val="nil"/>
              <w:bottom w:val="nil"/>
              <w:right w:val="nil"/>
            </w:tcBorders>
            <w:shd w:val="clear" w:color="auto" w:fill="auto"/>
          </w:tcPr>
          <w:p w14:paraId="4465A877" w14:textId="6CE9C307" w:rsidR="00073D14" w:rsidRPr="00176D3F" w:rsidRDefault="00073D14" w:rsidP="00073D14">
            <w:pPr>
              <w:pStyle w:val="FigureTitle"/>
            </w:pPr>
            <w:r w:rsidRPr="00D15D0D">
              <w:rPr>
                <w:b w:val="0"/>
              </w:rPr>
              <w:t>Figure</w:t>
            </w:r>
            <w:r w:rsidRPr="00784A05">
              <w:rPr>
                <w:b w:val="0"/>
              </w:rPr>
              <w:t xml:space="preserve"> </w:t>
            </w:r>
            <w:r>
              <w:rPr>
                <w:b w:val="0"/>
              </w:rPr>
              <w:t>1.2</w:t>
            </w:r>
            <w:r>
              <w:tab/>
              <w:t xml:space="preserve">Skills formation for existing workers — drivers and </w:t>
            </w:r>
            <w:r w:rsidRPr="00AA7C8B">
              <w:t>implications</w:t>
            </w:r>
            <w:r>
              <w:t xml:space="preserve"> </w:t>
            </w:r>
          </w:p>
        </w:tc>
      </w:tr>
      <w:tr w:rsidR="00073D14" w14:paraId="63513000" w14:textId="77777777" w:rsidTr="00700957">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073D14" w:rsidRPr="00B1465D" w14:paraId="69A68AA3" w14:textId="77777777" w:rsidTr="001F38EF">
              <w:trPr>
                <w:tblHeader/>
                <w:jc w:val="center"/>
              </w:trPr>
              <w:tc>
                <w:tcPr>
                  <w:tcW w:w="5000" w:type="pct"/>
                  <w:tcBorders>
                    <w:top w:val="nil"/>
                    <w:bottom w:val="nil"/>
                  </w:tcBorders>
                </w:tcPr>
                <w:p w14:paraId="1EA2E136" w14:textId="7AFDBC9F" w:rsidR="00073D14" w:rsidRPr="00B1465D" w:rsidRDefault="007A0DAE" w:rsidP="001F38EF">
                  <w:pPr>
                    <w:pStyle w:val="Figure"/>
                    <w:spacing w:before="60" w:after="60"/>
                    <w:rPr>
                      <w:rFonts w:ascii="Arial" w:hAnsi="Arial" w:cs="Arial"/>
                      <w:sz w:val="18"/>
                      <w:szCs w:val="18"/>
                    </w:rPr>
                  </w:pPr>
                  <w:r>
                    <w:rPr>
                      <w:rFonts w:ascii="Arial" w:hAnsi="Arial" w:cs="Arial"/>
                      <w:noProof/>
                      <w:sz w:val="18"/>
                      <w:szCs w:val="18"/>
                    </w:rPr>
                    <w:drawing>
                      <wp:inline distT="0" distB="0" distL="0" distR="0" wp14:anchorId="70397455" wp14:editId="3C16781A">
                        <wp:extent cx="5410200" cy="4943475"/>
                        <wp:effectExtent l="0" t="0" r="0" b="9525"/>
                        <wp:docPr id="3" name="Picture 3" descr="This figure depicts the four trends that affect the skills formation of people in the workforce having already completed their initial education.  &#10;Trend 1: Risk for jobs, wages and underemployment from automation of routine skills, changing nature of the firm, technologies affecting professions and changes to demand. &#10;Trend 2:  Longer working lives: greater health expectancy, changes to the tax/transfer system, preferences to work longer and people doing less physically demanding jobs mean that people have longer working lives.  &#10;Trend 3: Performance of the front-end of the education system: the quality of school education, vocational education and training and higher education will influence whether people need to undertake more education and training. &#10;Trend 4: Declining costs of education: new technologies are bringing down the financial cost of education and training as well as increasing flexibility.&#10;These trends raise the premium from acquiring new skills, help reduce the social impact of redundant skills, provide more time to pay off further investments in training, as well as improve the efficiency of lifetime skills form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0200" cy="4943475"/>
                                </a:xfrm>
                                <a:prstGeom prst="rect">
                                  <a:avLst/>
                                </a:prstGeom>
                                <a:noFill/>
                                <a:ln>
                                  <a:noFill/>
                                </a:ln>
                              </pic:spPr>
                            </pic:pic>
                          </a:graphicData>
                        </a:graphic>
                      </wp:inline>
                    </w:drawing>
                  </w:r>
                </w:p>
              </w:tc>
            </w:tr>
          </w:tbl>
          <w:p w14:paraId="35218DFF" w14:textId="77777777" w:rsidR="00073D14" w:rsidRDefault="00073D14" w:rsidP="001F38EF">
            <w:pPr>
              <w:pStyle w:val="Figure"/>
            </w:pPr>
          </w:p>
        </w:tc>
      </w:tr>
      <w:tr w:rsidR="00073D14" w14:paraId="1267ACD7" w14:textId="77777777" w:rsidTr="00700957">
        <w:tc>
          <w:tcPr>
            <w:tcW w:w="8789" w:type="dxa"/>
            <w:tcBorders>
              <w:top w:val="nil"/>
              <w:left w:val="nil"/>
              <w:bottom w:val="single" w:sz="6" w:space="0" w:color="78A22F"/>
              <w:right w:val="nil"/>
            </w:tcBorders>
            <w:shd w:val="clear" w:color="auto" w:fill="auto"/>
          </w:tcPr>
          <w:p w14:paraId="3CAB4AF7" w14:textId="77777777" w:rsidR="00073D14" w:rsidRDefault="00073D14" w:rsidP="001F38EF">
            <w:pPr>
              <w:pStyle w:val="Figurespace"/>
            </w:pPr>
          </w:p>
        </w:tc>
      </w:tr>
      <w:tr w:rsidR="00073D14" w:rsidRPr="000863A5" w14:paraId="78E357D6" w14:textId="77777777" w:rsidTr="00700957">
        <w:tc>
          <w:tcPr>
            <w:tcW w:w="8789" w:type="dxa"/>
            <w:tcBorders>
              <w:top w:val="single" w:sz="6" w:space="0" w:color="78A22F"/>
              <w:left w:val="nil"/>
              <w:bottom w:val="nil"/>
              <w:right w:val="nil"/>
            </w:tcBorders>
          </w:tcPr>
          <w:p w14:paraId="2E5E760B" w14:textId="70AF6B49" w:rsidR="00073D14" w:rsidRPr="00626D32" w:rsidRDefault="00073D14" w:rsidP="001F38EF">
            <w:pPr>
              <w:pStyle w:val="BoxSpaceBelow"/>
            </w:pPr>
          </w:p>
        </w:tc>
      </w:tr>
    </w:tbl>
    <w:p w14:paraId="3301CA64" w14:textId="4D4DA86F" w:rsidR="00330326" w:rsidRDefault="003E782C" w:rsidP="00B3229E">
      <w:pPr>
        <w:pStyle w:val="Heading3"/>
      </w:pPr>
      <w:r>
        <w:t xml:space="preserve">Core competencies </w:t>
      </w:r>
      <w:r w:rsidR="00A61E1D">
        <w:t>are changing</w:t>
      </w:r>
      <w:r w:rsidR="00BE7F26">
        <w:t>,</w:t>
      </w:r>
      <w:r w:rsidR="00A61E1D">
        <w:t xml:space="preserve"> increasing the </w:t>
      </w:r>
      <w:r w:rsidR="005E5C02">
        <w:t xml:space="preserve">need for </w:t>
      </w:r>
      <w:r>
        <w:t xml:space="preserve">ongoing learning </w:t>
      </w:r>
    </w:p>
    <w:p w14:paraId="4DDD08AE" w14:textId="4D82F256" w:rsidR="003E782C" w:rsidRDefault="003E782C" w:rsidP="00330326">
      <w:pPr>
        <w:pStyle w:val="BodyText"/>
      </w:pPr>
      <w:r w:rsidRPr="003E782C">
        <w:t xml:space="preserve">For many future jobs, new skills and knowledge will be needed as part of the core competencies </w:t>
      </w:r>
      <w:r w:rsidRPr="008A3AE3">
        <w:rPr>
          <w:szCs w:val="24"/>
        </w:rPr>
        <w:t>(CEDA 2017)</w:t>
      </w:r>
      <w:r w:rsidRPr="003E782C">
        <w:t xml:space="preserve">. </w:t>
      </w:r>
      <w:r w:rsidR="00D16B8A">
        <w:t xml:space="preserve">Basic foundations </w:t>
      </w:r>
      <w:r w:rsidR="00D16B8A" w:rsidRPr="009B5152">
        <w:t xml:space="preserve">in science, technology, engineering and maths </w:t>
      </w:r>
      <w:r w:rsidR="00D16B8A">
        <w:t xml:space="preserve">have been highlighted as important, along with business acumen and entrepreneurial skills </w:t>
      </w:r>
      <w:r w:rsidR="00D16B8A" w:rsidRPr="00387706">
        <w:rPr>
          <w:szCs w:val="24"/>
        </w:rPr>
        <w:t>(PC 2016a)</w:t>
      </w:r>
      <w:r w:rsidR="00D16B8A">
        <w:t xml:space="preserve">. </w:t>
      </w:r>
      <w:r w:rsidR="00D16B8A" w:rsidRPr="00387706">
        <w:t xml:space="preserve">At a fundamental level, all workers </w:t>
      </w:r>
      <w:r w:rsidR="00D16B8A">
        <w:t xml:space="preserve">will also </w:t>
      </w:r>
      <w:r w:rsidR="00D16B8A" w:rsidRPr="00387706">
        <w:t>need the skills to interact with digital technology</w:t>
      </w:r>
      <w:r w:rsidR="00BE7F26">
        <w:t xml:space="preserve"> —</w:t>
      </w:r>
      <w:r w:rsidR="00D16B8A" w:rsidRPr="00387706">
        <w:t xml:space="preserve"> whether it is maintaining records in caring professions, taking orders in </w:t>
      </w:r>
      <w:r w:rsidR="00D16B8A">
        <w:t>hospitality</w:t>
      </w:r>
      <w:r w:rsidR="00D16B8A" w:rsidRPr="00387706">
        <w:t xml:space="preserve">, or operating equipment in </w:t>
      </w:r>
      <w:r w:rsidR="00D16B8A">
        <w:t>a</w:t>
      </w:r>
      <w:r w:rsidR="00D16B8A" w:rsidRPr="00387706">
        <w:t xml:space="preserve"> processing plant.</w:t>
      </w:r>
      <w:r w:rsidR="00A61E1D">
        <w:t xml:space="preserve"> </w:t>
      </w:r>
      <w:r w:rsidRPr="003E782C">
        <w:t>A range of ‘soft’ skills (such as communication, empathy, creativity and adaptability) complement other ‘harder’ skills</w:t>
      </w:r>
      <w:r w:rsidR="005D3917">
        <w:t>,</w:t>
      </w:r>
      <w:r w:rsidRPr="003E782C">
        <w:t xml:space="preserve"> and are useful to navigate changes in job requirements </w:t>
      </w:r>
      <w:r w:rsidRPr="00E94962">
        <w:rPr>
          <w:szCs w:val="24"/>
        </w:rPr>
        <w:t xml:space="preserve">(CEDA 2017; </w:t>
      </w:r>
      <w:proofErr w:type="spellStart"/>
      <w:r w:rsidRPr="00E94962">
        <w:rPr>
          <w:szCs w:val="24"/>
        </w:rPr>
        <w:t>Vandeweyer</w:t>
      </w:r>
      <w:proofErr w:type="spellEnd"/>
      <w:r w:rsidRPr="00E94962">
        <w:rPr>
          <w:szCs w:val="24"/>
        </w:rPr>
        <w:t> </w:t>
      </w:r>
      <w:r w:rsidRPr="00326B43">
        <w:rPr>
          <w:szCs w:val="24"/>
        </w:rPr>
        <w:t>2016)</w:t>
      </w:r>
      <w:r w:rsidRPr="003E782C">
        <w:t>. In short, while an innovative economy requires the development and use of skills in many disciplines and at a variety of levels</w:t>
      </w:r>
      <w:r w:rsidR="00BE7F26">
        <w:t>,</w:t>
      </w:r>
      <w:r w:rsidRPr="003E782C">
        <w:t xml:space="preserve"> ‘there is no </w:t>
      </w:r>
      <w:r w:rsidR="005D3917" w:rsidRPr="003E782C">
        <w:t>skills</w:t>
      </w:r>
      <w:r w:rsidR="005D3917">
        <w:noBreakHyphen/>
      </w:r>
      <w:r w:rsidRPr="003E782C">
        <w:t>related silver bullet’</w:t>
      </w:r>
      <w:r w:rsidR="00BE7F26">
        <w:t xml:space="preserve"> </w:t>
      </w:r>
      <w:r w:rsidR="00F56992" w:rsidRPr="00F56992">
        <w:rPr>
          <w:szCs w:val="24"/>
        </w:rPr>
        <w:t>(OECD 2015b, p. 50)</w:t>
      </w:r>
      <w:r w:rsidRPr="003E782C">
        <w:t>.</w:t>
      </w:r>
    </w:p>
    <w:p w14:paraId="626A5547" w14:textId="4B21F981" w:rsidR="00101F89" w:rsidRDefault="00AD56C5" w:rsidP="00D22514">
      <w:pPr>
        <w:pStyle w:val="BodyText"/>
      </w:pPr>
      <w:r>
        <w:t xml:space="preserve">It is well </w:t>
      </w:r>
      <w:r w:rsidR="00876731">
        <w:t>accept</w:t>
      </w:r>
      <w:r>
        <w:t>ed</w:t>
      </w:r>
      <w:r w:rsidR="00876731">
        <w:t xml:space="preserve"> that education in the early years of life is vital. Consistent with this, t</w:t>
      </w:r>
      <w:r w:rsidR="00330326">
        <w:t xml:space="preserve">here has been considerable policy focus on preparing </w:t>
      </w:r>
      <w:r w:rsidR="00465948">
        <w:t>younger cohorts</w:t>
      </w:r>
      <w:r w:rsidR="00330326">
        <w:t xml:space="preserve"> f</w:t>
      </w:r>
      <w:r w:rsidR="00465948">
        <w:t>or future labour markets (however,</w:t>
      </w:r>
      <w:r w:rsidR="00A61E1D">
        <w:t xml:space="preserve"> there are signs that Australia’s school system is not functioning well </w:t>
      </w:r>
      <w:r w:rsidR="00FC2BA9">
        <w:t>(</w:t>
      </w:r>
      <w:r w:rsidR="00876731">
        <w:t>appendix</w:t>
      </w:r>
      <w:r w:rsidR="00133C69">
        <w:t> </w:t>
      </w:r>
      <w:r w:rsidR="00101F89">
        <w:t>B</w:t>
      </w:r>
      <w:r w:rsidR="00BE7F26">
        <w:t xml:space="preserve"> below</w:t>
      </w:r>
      <w:r w:rsidR="00E96D95">
        <w:t>)</w:t>
      </w:r>
      <w:r w:rsidR="00465948">
        <w:t>)</w:t>
      </w:r>
      <w:r w:rsidR="00FC2BA9">
        <w:t xml:space="preserve">. </w:t>
      </w:r>
      <w:r w:rsidR="00330326">
        <w:t xml:space="preserve">But </w:t>
      </w:r>
      <w:r w:rsidR="003E782C">
        <w:t>a g</w:t>
      </w:r>
      <w:r w:rsidR="00866342">
        <w:t>reater</w:t>
      </w:r>
      <w:r w:rsidR="00330326">
        <w:t xml:space="preserve"> </w:t>
      </w:r>
      <w:r w:rsidR="003E782C">
        <w:t>commitment needs to be given to ensuring ongoing education and training, inclu</w:t>
      </w:r>
      <w:r w:rsidR="007A0B4F">
        <w:t>ding work</w:t>
      </w:r>
      <w:r w:rsidR="00133C69">
        <w:noBreakHyphen/>
      </w:r>
      <w:r w:rsidR="007A0B4F">
        <w:t>based training, so that</w:t>
      </w:r>
      <w:r w:rsidR="003E782C">
        <w:t xml:space="preserve"> workers are able to develop new core competencies and skills and be able to navigate the </w:t>
      </w:r>
      <w:r w:rsidR="00101F89">
        <w:t xml:space="preserve">expected labour market changes. </w:t>
      </w:r>
    </w:p>
    <w:p w14:paraId="448E0507" w14:textId="45E8B8B2" w:rsidR="006A2523" w:rsidRDefault="00465948" w:rsidP="006A2523">
      <w:pPr>
        <w:pStyle w:val="BodyText"/>
      </w:pPr>
      <w:r>
        <w:t xml:space="preserve">To highlight </w:t>
      </w:r>
      <w:r w:rsidR="005E5C02">
        <w:t>the</w:t>
      </w:r>
      <w:r>
        <w:t xml:space="preserve"> importance of ongoing skills formation consider the following situation.</w:t>
      </w:r>
      <w:r w:rsidR="006A2523">
        <w:t xml:space="preserve"> A person aged 55 years retiring in 2003 would not, for work purposes, need to understand and use smartphones, social media, the Cloud or modern </w:t>
      </w:r>
      <w:proofErr w:type="spellStart"/>
      <w:r w:rsidR="006A2523">
        <w:t>internet</w:t>
      </w:r>
      <w:proofErr w:type="spellEnd"/>
      <w:r w:rsidR="006A2523">
        <w:t xml:space="preserve"> search engines. In contrast, a person aged 65 years retiring 10 years later may have needed to understand these digital tools at work. Accordingly, decisions to change retirement dates affect the knowledge and skills that people need at work. </w:t>
      </w:r>
    </w:p>
    <w:p w14:paraId="5674DD85" w14:textId="77777777" w:rsidR="00C4317D" w:rsidRDefault="00C4317D" w:rsidP="00B3229E">
      <w:pPr>
        <w:pStyle w:val="Heading4"/>
      </w:pPr>
      <w:r>
        <w:t>A matter of definition</w:t>
      </w:r>
    </w:p>
    <w:p w14:paraId="5C632310" w14:textId="470D05DE" w:rsidR="00C4317D" w:rsidRDefault="00C4317D" w:rsidP="00C4317D">
      <w:pPr>
        <w:pStyle w:val="BodyText"/>
      </w:pPr>
      <w:r>
        <w:t xml:space="preserve">The target group of this paper is </w:t>
      </w:r>
      <w:r w:rsidRPr="000D167B">
        <w:t>working age individuals above the conventional age of completing a post</w:t>
      </w:r>
      <w:r w:rsidR="00133C69">
        <w:noBreakHyphen/>
      </w:r>
      <w:r w:rsidRPr="000D167B">
        <w:t xml:space="preserve">secondary </w:t>
      </w:r>
      <w:r>
        <w:t>school</w:t>
      </w:r>
      <w:r w:rsidRPr="000D167B">
        <w:t xml:space="preserve"> qualification</w:t>
      </w:r>
      <w:r>
        <w:t xml:space="preserve"> (either a vocational qualification or a university degree) </w:t>
      </w:r>
      <w:r w:rsidRPr="000D167B">
        <w:t>directly after high school</w:t>
      </w:r>
      <w:r>
        <w:t xml:space="preserve"> (that is, </w:t>
      </w:r>
      <w:r w:rsidR="001A6195">
        <w:t xml:space="preserve">approximately </w:t>
      </w:r>
      <w:r>
        <w:t>25 years old and above)</w:t>
      </w:r>
      <w:r w:rsidRPr="000D167B">
        <w:t>.</w:t>
      </w:r>
      <w:r>
        <w:t xml:space="preserve"> This contrasts with many labour market structural adjustment studies that focus on mature age or older workers — which are generally considered to be people </w:t>
      </w:r>
      <w:r w:rsidR="00A61E1D">
        <w:t xml:space="preserve">(at least) </w:t>
      </w:r>
      <w:r>
        <w:t xml:space="preserve">above 45 years and older. </w:t>
      </w:r>
    </w:p>
    <w:p w14:paraId="6244FE4B" w14:textId="20878D16" w:rsidR="00C4317D" w:rsidRDefault="00C4317D" w:rsidP="00C4317D">
      <w:pPr>
        <w:pStyle w:val="BodyText"/>
      </w:pPr>
      <w:r>
        <w:t xml:space="preserve">The broader group has been chosen because potential labour market vulnerabilities are not only a result of age. Some older workers fare quite well in the labour market, working into their 60s and sometimes their 70s, particularly those with </w:t>
      </w:r>
      <w:r w:rsidR="00BE7F26">
        <w:t xml:space="preserve">a </w:t>
      </w:r>
      <w:r>
        <w:t xml:space="preserve">university education </w:t>
      </w:r>
      <w:r w:rsidRPr="00FE6082">
        <w:rPr>
          <w:szCs w:val="24"/>
        </w:rPr>
        <w:t>(ABS 2016b)</w:t>
      </w:r>
      <w:r>
        <w:t xml:space="preserve">. </w:t>
      </w:r>
      <w:r w:rsidR="005E5C02">
        <w:t>B</w:t>
      </w:r>
      <w:r>
        <w:t>y focusing on this broader population there is potential to reduce labour market vulnerability before these workers reach this ‘older’ category. Therefore,</w:t>
      </w:r>
      <w:r w:rsidRPr="00007E47">
        <w:t xml:space="preserve"> </w:t>
      </w:r>
      <w:r>
        <w:t>rather than focusing on age alone, it is more</w:t>
      </w:r>
      <w:r w:rsidRPr="0026396F">
        <w:t xml:space="preserve"> </w:t>
      </w:r>
      <w:r>
        <w:t>constructive to consider the factors that make employability difficult for certain types of workers, such as the relevance of skills for future workplaces</w:t>
      </w:r>
      <w:r w:rsidRPr="00007E47">
        <w:t xml:space="preserve"> </w:t>
      </w:r>
      <w:r w:rsidRPr="00A21B38">
        <w:rPr>
          <w:szCs w:val="24"/>
        </w:rPr>
        <w:t>(</w:t>
      </w:r>
      <w:proofErr w:type="spellStart"/>
      <w:r w:rsidRPr="00A21B38">
        <w:rPr>
          <w:szCs w:val="24"/>
        </w:rPr>
        <w:t>Billett</w:t>
      </w:r>
      <w:proofErr w:type="spellEnd"/>
      <w:r w:rsidRPr="00A21B38">
        <w:rPr>
          <w:szCs w:val="24"/>
        </w:rPr>
        <w:t> 2011)</w:t>
      </w:r>
      <w:r>
        <w:t xml:space="preserve">. However, much of the evidence and data, particularly on the barriers to education and training, relate to the mature age workers — those 45 years and older. </w:t>
      </w:r>
    </w:p>
    <w:p w14:paraId="18BA5183" w14:textId="21220B86" w:rsidR="00A95832" w:rsidRPr="00EC14E3" w:rsidRDefault="00A95832" w:rsidP="00EC14E3">
      <w:pPr>
        <w:pStyle w:val="BodyText"/>
      </w:pPr>
      <w:r w:rsidRPr="00EC14E3">
        <w:br w:type="page"/>
      </w:r>
    </w:p>
    <w:p w14:paraId="17741D31" w14:textId="7FCDE136" w:rsidR="000F5B9C" w:rsidRPr="00F16721" w:rsidRDefault="007705AA" w:rsidP="00F16721">
      <w:pPr>
        <w:pStyle w:val="Heading1"/>
      </w:pPr>
      <w:bookmarkStart w:id="9" w:name="_Toc489363497"/>
      <w:bookmarkStart w:id="10" w:name="_Toc489364873"/>
      <w:r w:rsidRPr="00F16721">
        <w:t>2</w:t>
      </w:r>
      <w:r w:rsidR="000F5B9C" w:rsidRPr="00F16721">
        <w:tab/>
        <w:t>A</w:t>
      </w:r>
      <w:r w:rsidR="008F5C55" w:rsidRPr="00F16721">
        <w:t>utomation</w:t>
      </w:r>
      <w:r w:rsidR="004943E0" w:rsidRPr="00F16721">
        <w:t xml:space="preserve"> and </w:t>
      </w:r>
      <w:r w:rsidR="003F1822" w:rsidRPr="00F16721">
        <w:t>future work</w:t>
      </w:r>
      <w:bookmarkEnd w:id="9"/>
      <w:bookmarkEnd w:id="10"/>
      <w:r w:rsidR="003F1822" w:rsidRPr="00F16721">
        <w:t xml:space="preserve"> </w:t>
      </w:r>
    </w:p>
    <w:p w14:paraId="5ECBC590" w14:textId="77777777" w:rsidR="007B0100" w:rsidRDefault="00C647AB" w:rsidP="006C2029">
      <w:pPr>
        <w:pStyle w:val="BodyText"/>
      </w:pPr>
      <w:r>
        <w:t xml:space="preserve">Technological developments have been happening for centuries — changing the way </w:t>
      </w:r>
      <w:r w:rsidR="003344E7">
        <w:t xml:space="preserve">people </w:t>
      </w:r>
      <w:r>
        <w:t xml:space="preserve">live and work. </w:t>
      </w:r>
      <w:r w:rsidR="003344E7">
        <w:t xml:space="preserve">A </w:t>
      </w:r>
      <w:r w:rsidR="000E793B">
        <w:t>key</w:t>
      </w:r>
      <w:r w:rsidR="007747D6">
        <w:t xml:space="preserve"> question </w:t>
      </w:r>
      <w:r w:rsidR="003344E7">
        <w:t>is the technological prognosis</w:t>
      </w:r>
      <w:r w:rsidR="00E917C8">
        <w:t xml:space="preserve"> </w:t>
      </w:r>
      <w:r w:rsidR="003344E7">
        <w:t>over the next 30 to 40 years,</w:t>
      </w:r>
      <w:r w:rsidR="000E793B">
        <w:t xml:space="preserve"> and associated with that</w:t>
      </w:r>
      <w:r w:rsidR="007B0100">
        <w:t>:</w:t>
      </w:r>
    </w:p>
    <w:p w14:paraId="0CFD4703" w14:textId="6FEEDAF8" w:rsidR="007B0100" w:rsidRDefault="000E793B" w:rsidP="007B0100">
      <w:pPr>
        <w:pStyle w:val="ListBullet"/>
      </w:pPr>
      <w:r>
        <w:t>the degree to which transitions between</w:t>
      </w:r>
      <w:r w:rsidR="007B0100">
        <w:t xml:space="preserve"> jobs can occur autonomously</w:t>
      </w:r>
      <w:r>
        <w:t xml:space="preserve"> </w:t>
      </w:r>
    </w:p>
    <w:p w14:paraId="7B7A5F3D" w14:textId="1E01E55F" w:rsidR="006C2029" w:rsidRDefault="000E793B" w:rsidP="007B0100">
      <w:pPr>
        <w:pStyle w:val="ListBullet"/>
      </w:pPr>
      <w:proofErr w:type="gramStart"/>
      <w:r>
        <w:t>the</w:t>
      </w:r>
      <w:proofErr w:type="gramEnd"/>
      <w:r>
        <w:t xml:space="preserve"> extent to which</w:t>
      </w:r>
      <w:r w:rsidR="007B0100">
        <w:t xml:space="preserve"> government</w:t>
      </w:r>
      <w:r>
        <w:t xml:space="preserve"> policies</w:t>
      </w:r>
      <w:r w:rsidR="00C513DB">
        <w:t>,</w:t>
      </w:r>
      <w:r>
        <w:t xml:space="preserve"> from taxes on mobility (like stamp duty), inadequate transport planning and investment, and education and training</w:t>
      </w:r>
      <w:r w:rsidR="00C513DB">
        <w:t>,</w:t>
      </w:r>
      <w:r>
        <w:t xml:space="preserve"> may be required.</w:t>
      </w:r>
      <w:r w:rsidR="006C2029">
        <w:t xml:space="preserve"> </w:t>
      </w:r>
    </w:p>
    <w:p w14:paraId="6378324B" w14:textId="796332D6" w:rsidR="006C2029" w:rsidRDefault="00C56D24" w:rsidP="006C2029">
      <w:pPr>
        <w:pStyle w:val="BodyText"/>
      </w:pPr>
      <w:r>
        <w:t>To determine what</w:t>
      </w:r>
      <w:r w:rsidR="00C647AB">
        <w:t xml:space="preserve"> policies may be necessary, in particular</w:t>
      </w:r>
      <w:r>
        <w:t xml:space="preserve"> in the</w:t>
      </w:r>
      <w:r w:rsidR="00C647AB">
        <w:t xml:space="preserve"> education and training</w:t>
      </w:r>
      <w:r>
        <w:t xml:space="preserve"> sector</w:t>
      </w:r>
      <w:r w:rsidR="00C647AB">
        <w:t xml:space="preserve">, it requires an understanding of the </w:t>
      </w:r>
      <w:r>
        <w:t xml:space="preserve">nature of technological change and its timing. </w:t>
      </w:r>
      <w:r w:rsidR="00D6670F">
        <w:t xml:space="preserve">This chapter focuses on automation. </w:t>
      </w:r>
    </w:p>
    <w:p w14:paraId="19E45ACF" w14:textId="3352F78C" w:rsidR="00324CBD" w:rsidRDefault="007705AA" w:rsidP="009C129B">
      <w:pPr>
        <w:pStyle w:val="Heading2"/>
      </w:pPr>
      <w:bookmarkStart w:id="11" w:name="_Toc489363498"/>
      <w:bookmarkStart w:id="12" w:name="_Toc489364874"/>
      <w:r>
        <w:t>2</w:t>
      </w:r>
      <w:r w:rsidR="007B6FA3">
        <w:t>.</w:t>
      </w:r>
      <w:r w:rsidR="009C129B">
        <w:t>1</w:t>
      </w:r>
      <w:r w:rsidR="009C129B">
        <w:tab/>
      </w:r>
      <w:r w:rsidR="00324CBD">
        <w:t>Some see high risks for many segments of the labour market</w:t>
      </w:r>
      <w:bookmarkEnd w:id="11"/>
      <w:bookmarkEnd w:id="12"/>
    </w:p>
    <w:p w14:paraId="341A9005" w14:textId="71DAED11" w:rsidR="008A033F" w:rsidRDefault="00DB540F" w:rsidP="000E3BB0">
      <w:pPr>
        <w:pStyle w:val="BodyText"/>
      </w:pPr>
      <w:r>
        <w:t xml:space="preserve">Some profess ‘little doubt’ about the increasing </w:t>
      </w:r>
      <w:r w:rsidR="00690CB5">
        <w:t>effect</w:t>
      </w:r>
      <w:r>
        <w:t xml:space="preserve"> of technology in the early 21</w:t>
      </w:r>
      <w:r w:rsidRPr="00EC19FC">
        <w:rPr>
          <w:vertAlign w:val="superscript"/>
        </w:rPr>
        <w:t>st</w:t>
      </w:r>
      <w:r>
        <w:t xml:space="preserve"> century </w:t>
      </w:r>
      <w:r w:rsidR="00016F36" w:rsidRPr="00016F36">
        <w:rPr>
          <w:szCs w:val="24"/>
        </w:rPr>
        <w:t>(Frey et al. 2016)</w:t>
      </w:r>
      <w:r>
        <w:t xml:space="preserve"> or that the acceleration of technological achievement is ‘unprecedented’ </w:t>
      </w:r>
      <w:r w:rsidRPr="00C513DB">
        <w:rPr>
          <w:szCs w:val="24"/>
        </w:rPr>
        <w:t>(in an ILO paper by Chang and Huynh 2016)</w:t>
      </w:r>
      <w:r>
        <w:t xml:space="preserve">. The diagnosis is that the associated changes in the </w:t>
      </w:r>
      <w:r w:rsidR="00EB14EB" w:rsidRPr="00EB14EB">
        <w:t xml:space="preserve">nature and type of </w:t>
      </w:r>
      <w:r w:rsidR="008E147D">
        <w:t>work</w:t>
      </w:r>
      <w:r w:rsidR="00EB14EB" w:rsidRPr="00EB14EB">
        <w:t xml:space="preserve"> </w:t>
      </w:r>
      <w:r>
        <w:t>will increase the rate of obsolescence of workers’</w:t>
      </w:r>
      <w:r w:rsidR="007D181B">
        <w:t xml:space="preserve"> skills</w:t>
      </w:r>
      <w:r w:rsidR="002E5139">
        <w:t>,</w:t>
      </w:r>
      <w:r w:rsidR="00EB14EB">
        <w:t xml:space="preserve"> </w:t>
      </w:r>
      <w:r w:rsidR="00333772" w:rsidRPr="00EB14EB">
        <w:t xml:space="preserve">making more </w:t>
      </w:r>
      <w:r w:rsidR="00333772">
        <w:t>jobs</w:t>
      </w:r>
      <w:r w:rsidR="00333772" w:rsidRPr="00EB14EB">
        <w:t xml:space="preserve"> redundant </w:t>
      </w:r>
      <w:r w:rsidR="00333772">
        <w:t>than in the past,</w:t>
      </w:r>
      <w:r w:rsidR="00EB14EB" w:rsidDel="00EF0871">
        <w:t xml:space="preserve"> </w:t>
      </w:r>
      <w:r w:rsidR="00EF0871">
        <w:t xml:space="preserve">with </w:t>
      </w:r>
      <w:r w:rsidR="00EB14EB">
        <w:t xml:space="preserve">workers </w:t>
      </w:r>
      <w:r w:rsidR="002E5139">
        <w:t>chang</w:t>
      </w:r>
      <w:r w:rsidR="008E147D">
        <w:t>ing</w:t>
      </w:r>
      <w:r w:rsidR="002E5139">
        <w:t xml:space="preserve"> </w:t>
      </w:r>
      <w:r w:rsidR="00EB14EB">
        <w:t>occupations</w:t>
      </w:r>
      <w:r w:rsidR="00EB14EB" w:rsidRPr="00EB14EB">
        <w:t xml:space="preserve"> more </w:t>
      </w:r>
      <w:r w:rsidR="002E5139">
        <w:t xml:space="preserve">frequently </w:t>
      </w:r>
      <w:r w:rsidR="00EB14EB" w:rsidRPr="00EB14EB">
        <w:t>than ever</w:t>
      </w:r>
      <w:r w:rsidR="00A50B43">
        <w:t xml:space="preserve"> </w:t>
      </w:r>
      <w:r w:rsidR="002B2996" w:rsidRPr="002B2996">
        <w:rPr>
          <w:szCs w:val="24"/>
        </w:rPr>
        <w:t>(</w:t>
      </w:r>
      <w:proofErr w:type="spellStart"/>
      <w:r w:rsidR="002B2996" w:rsidRPr="002B2996">
        <w:rPr>
          <w:szCs w:val="24"/>
        </w:rPr>
        <w:t>Bostrom</w:t>
      </w:r>
      <w:proofErr w:type="spellEnd"/>
      <w:r w:rsidR="002B2996" w:rsidRPr="002B2996">
        <w:rPr>
          <w:szCs w:val="24"/>
        </w:rPr>
        <w:t xml:space="preserve"> 2014; </w:t>
      </w:r>
      <w:proofErr w:type="spellStart"/>
      <w:r w:rsidR="002B2996" w:rsidRPr="002B2996">
        <w:rPr>
          <w:szCs w:val="24"/>
        </w:rPr>
        <w:t>Brynjolfsson</w:t>
      </w:r>
      <w:proofErr w:type="spellEnd"/>
      <w:r w:rsidR="002B2996" w:rsidRPr="002B2996">
        <w:rPr>
          <w:szCs w:val="24"/>
        </w:rPr>
        <w:t xml:space="preserve"> and McAfee 2012)</w:t>
      </w:r>
      <w:r w:rsidR="00212FCF">
        <w:t xml:space="preserve">. </w:t>
      </w:r>
    </w:p>
    <w:p w14:paraId="341A9006" w14:textId="3DF85763" w:rsidR="002B3AB6" w:rsidRDefault="002B3AB6" w:rsidP="002B3AB6">
      <w:pPr>
        <w:pStyle w:val="BodyText"/>
      </w:pPr>
      <w:r>
        <w:t xml:space="preserve">These claims stem from </w:t>
      </w:r>
      <w:r w:rsidR="00C47101">
        <w:t xml:space="preserve">expectations that </w:t>
      </w:r>
      <w:r>
        <w:t xml:space="preserve">technological developments </w:t>
      </w:r>
      <w:r w:rsidR="00C47101">
        <w:t xml:space="preserve">will </w:t>
      </w:r>
      <w:r>
        <w:t>mov</w:t>
      </w:r>
      <w:r w:rsidR="00C47101">
        <w:t>e</w:t>
      </w:r>
      <w:r>
        <w:t xml:space="preserve"> into areas that were previously not considered feasible (non</w:t>
      </w:r>
      <w:r w:rsidR="00133C69">
        <w:noBreakHyphen/>
      </w:r>
      <w:r>
        <w:t>routine manual and cognitive tasks)</w:t>
      </w:r>
      <w:r w:rsidR="00B62A2C">
        <w:t> </w:t>
      </w:r>
      <w:r w:rsidR="00F56992" w:rsidRPr="00F56992">
        <w:rPr>
          <w:szCs w:val="24"/>
        </w:rPr>
        <w:t>(PC 2016a)</w:t>
      </w:r>
      <w:r w:rsidR="004E6DE6">
        <w:t xml:space="preserve">. Not only are </w:t>
      </w:r>
      <w:r>
        <w:t xml:space="preserve">machines </w:t>
      </w:r>
      <w:r w:rsidR="004E6DE6">
        <w:t xml:space="preserve">starting to </w:t>
      </w:r>
      <w:r>
        <w:t>undertake these tasks, in certain circumstances, they can make better decisions than people</w:t>
      </w:r>
      <w:r w:rsidR="00DA36B2">
        <w:t>,</w:t>
      </w:r>
      <w:r>
        <w:t xml:space="preserve"> as they are free </w:t>
      </w:r>
      <w:r w:rsidR="00F56601">
        <w:t xml:space="preserve">from </w:t>
      </w:r>
      <w:r w:rsidR="0057232C">
        <w:t>factor</w:t>
      </w:r>
      <w:r w:rsidR="005E5C02">
        <w:t>s</w:t>
      </w:r>
      <w:r>
        <w:t xml:space="preserve"> </w:t>
      </w:r>
      <w:r w:rsidR="00242469">
        <w:t xml:space="preserve">which </w:t>
      </w:r>
      <w:r>
        <w:t>often impair people’s decision making. For example, Rio Tinto runs two mine site</w:t>
      </w:r>
      <w:r w:rsidR="00DA36B2">
        <w:t>s</w:t>
      </w:r>
      <w:r>
        <w:t xml:space="preserve"> with </w:t>
      </w:r>
      <w:r w:rsidRPr="00E3744C">
        <w:t>driverless trucks</w:t>
      </w:r>
      <w:r>
        <w:t xml:space="preserve"> </w:t>
      </w:r>
      <w:r w:rsidR="00DA36B2">
        <w:t xml:space="preserve">that </w:t>
      </w:r>
      <w:r>
        <w:t>eliminat</w:t>
      </w:r>
      <w:r w:rsidR="00DA36B2">
        <w:t>e</w:t>
      </w:r>
      <w:r>
        <w:t xml:space="preserve"> a ‘</w:t>
      </w:r>
      <w:r w:rsidRPr="00654B05">
        <w:t>very high risk role, where employees are exposed to fatigue</w:t>
      </w:r>
      <w:r>
        <w:t xml:space="preserve">’ </w:t>
      </w:r>
      <w:r w:rsidR="000D1F27" w:rsidRPr="000D1F27">
        <w:rPr>
          <w:szCs w:val="24"/>
        </w:rPr>
        <w:t>(</w:t>
      </w:r>
      <w:proofErr w:type="spellStart"/>
      <w:r w:rsidR="000D1F27" w:rsidRPr="000D1F27">
        <w:rPr>
          <w:szCs w:val="24"/>
        </w:rPr>
        <w:t>Diss</w:t>
      </w:r>
      <w:proofErr w:type="spellEnd"/>
      <w:r w:rsidR="000D1F27" w:rsidRPr="000D1F27">
        <w:rPr>
          <w:szCs w:val="24"/>
        </w:rPr>
        <w:t> 2015, p. 1)</w:t>
      </w:r>
      <w:r w:rsidR="00650B56">
        <w:t xml:space="preserve">. </w:t>
      </w:r>
    </w:p>
    <w:p w14:paraId="1859470C" w14:textId="68CEC8C5" w:rsidR="00B02FBA" w:rsidRDefault="00AB6690" w:rsidP="00B02FBA">
      <w:pPr>
        <w:pStyle w:val="BodyText"/>
      </w:pPr>
      <w:r>
        <w:t xml:space="preserve">The concerns </w:t>
      </w:r>
      <w:r w:rsidR="006A5ACE">
        <w:t>of widespread job loss</w:t>
      </w:r>
      <w:r w:rsidR="005E5C02">
        <w:t>es</w:t>
      </w:r>
      <w:r w:rsidR="006A5ACE">
        <w:t xml:space="preserve"> </w:t>
      </w:r>
      <w:r>
        <w:t>have been underpinned and reinforced</w:t>
      </w:r>
      <w:r w:rsidRPr="009819D2">
        <w:t xml:space="preserve"> </w:t>
      </w:r>
      <w:r>
        <w:t xml:space="preserve">by a </w:t>
      </w:r>
      <w:r w:rsidRPr="009819D2">
        <w:t xml:space="preserve">series of </w:t>
      </w:r>
      <w:r w:rsidR="006A1114">
        <w:t xml:space="preserve">recent </w:t>
      </w:r>
      <w:r w:rsidRPr="009819D2">
        <w:t>empirical studies</w:t>
      </w:r>
      <w:r w:rsidR="006A1114">
        <w:t>. These are</w:t>
      </w:r>
      <w:r w:rsidR="006A1114" w:rsidRPr="009819D2">
        <w:t xml:space="preserve"> </w:t>
      </w:r>
      <w:r w:rsidRPr="009819D2">
        <w:t>largely based on a common methodology developed by</w:t>
      </w:r>
      <w:r>
        <w:t xml:space="preserve"> Frey and Osborne </w:t>
      </w:r>
      <w:r w:rsidRPr="00760507">
        <w:t>(2013)</w:t>
      </w:r>
      <w:r w:rsidRPr="009819D2">
        <w:t xml:space="preserve">, </w:t>
      </w:r>
      <w:r>
        <w:t>which rate</w:t>
      </w:r>
      <w:r w:rsidR="00A84D4B">
        <w:t>s</w:t>
      </w:r>
      <w:r>
        <w:t xml:space="preserve"> the degree of vulnerability of hundreds of occupations. Depending on the occupational mix of any country, the studies estimate</w:t>
      </w:r>
      <w:r w:rsidRPr="009819D2">
        <w:t xml:space="preserve"> </w:t>
      </w:r>
      <w:r w:rsidR="00032CAB">
        <w:t xml:space="preserve">that somewhere between </w:t>
      </w:r>
      <w:r w:rsidR="00782999">
        <w:t>3</w:t>
      </w:r>
      <w:r w:rsidRPr="009819D2">
        <w:t xml:space="preserve">0 to </w:t>
      </w:r>
      <w:r w:rsidR="00DB540F">
        <w:t>6</w:t>
      </w:r>
      <w:r w:rsidRPr="009819D2">
        <w:t>0</w:t>
      </w:r>
      <w:r>
        <w:t> </w:t>
      </w:r>
      <w:r w:rsidRPr="009819D2">
        <w:t>per</w:t>
      </w:r>
      <w:r>
        <w:t> </w:t>
      </w:r>
      <w:r w:rsidRPr="009819D2">
        <w:t xml:space="preserve">cent of </w:t>
      </w:r>
      <w:r w:rsidRPr="009819D2">
        <w:rPr>
          <w:i/>
        </w:rPr>
        <w:t>existing</w:t>
      </w:r>
      <w:r w:rsidRPr="009819D2">
        <w:t xml:space="preserve"> jobs will disappear in a range of countries</w:t>
      </w:r>
      <w:r>
        <w:t>, including Australia</w:t>
      </w:r>
      <w:r w:rsidRPr="009819D2">
        <w:t xml:space="preserve"> </w:t>
      </w:r>
      <w:r w:rsidR="00982E0A" w:rsidRPr="00982E0A">
        <w:rPr>
          <w:szCs w:val="24"/>
        </w:rPr>
        <w:t xml:space="preserve">(Chang and Huynh 2016; Deloitte 2014a; </w:t>
      </w:r>
      <w:proofErr w:type="spellStart"/>
      <w:r w:rsidR="00982E0A" w:rsidRPr="00982E0A">
        <w:rPr>
          <w:szCs w:val="24"/>
        </w:rPr>
        <w:t>Durrant</w:t>
      </w:r>
      <w:proofErr w:type="spellEnd"/>
      <w:r w:rsidR="0049318C">
        <w:rPr>
          <w:szCs w:val="24"/>
        </w:rPr>
        <w:noBreakHyphen/>
      </w:r>
      <w:r w:rsidR="00982E0A" w:rsidRPr="00982E0A">
        <w:rPr>
          <w:szCs w:val="24"/>
        </w:rPr>
        <w:t>Whyte et al. 2015; Edmonds and Bradley 2015; Frey and Osborne 2013; PwC 2015)</w:t>
      </w:r>
      <w:r>
        <w:t xml:space="preserve">. </w:t>
      </w:r>
      <w:r w:rsidR="00B02FBA" w:rsidRPr="009819D2">
        <w:t xml:space="preserve">Many of these predicted job losses </w:t>
      </w:r>
      <w:r w:rsidR="00B02FBA">
        <w:t xml:space="preserve">are a combination of </w:t>
      </w:r>
      <w:r w:rsidR="00B02FBA" w:rsidRPr="009819D2">
        <w:t>the continue</w:t>
      </w:r>
      <w:r w:rsidR="00B02FBA">
        <w:t>d</w:t>
      </w:r>
      <w:r w:rsidR="00B02FBA" w:rsidRPr="009819D2">
        <w:t xml:space="preserve"> automation of jobs that has been occurring over recent decades</w:t>
      </w:r>
      <w:r w:rsidR="00EE2028">
        <w:t>,</w:t>
      </w:r>
      <w:r w:rsidR="00B02FBA" w:rsidRPr="009819D2">
        <w:t xml:space="preserve"> along with automation </w:t>
      </w:r>
      <w:r w:rsidR="00B02FBA">
        <w:t>advancing</w:t>
      </w:r>
      <w:r w:rsidR="00B02FBA" w:rsidRPr="009819D2">
        <w:t xml:space="preserve"> into new areas</w:t>
      </w:r>
      <w:r w:rsidR="00B02FBA">
        <w:t xml:space="preserve">. </w:t>
      </w:r>
    </w:p>
    <w:p w14:paraId="763325FD" w14:textId="1F70B9E3" w:rsidR="0075376D" w:rsidRDefault="0075376D" w:rsidP="0075376D">
      <w:pPr>
        <w:pStyle w:val="BodyText"/>
      </w:pPr>
      <w:r>
        <w:t>Some offer unsettling predictions of mass job losses with no ‘higher ground’ for workers to move to</w:t>
      </w:r>
      <w:r w:rsidR="00C928CE">
        <w:t xml:space="preserve"> (that is, more skilled jobs)</w:t>
      </w:r>
      <w:r>
        <w:t xml:space="preserve">, as they have in the past. Essentially, they predict that there will not be enough </w:t>
      </w:r>
      <w:r w:rsidR="006225AE">
        <w:t xml:space="preserve">jobs and hours of work </w:t>
      </w:r>
      <w:r w:rsidR="00C928CE" w:rsidRPr="00C928CE">
        <w:rPr>
          <w:szCs w:val="24"/>
        </w:rPr>
        <w:t xml:space="preserve">(for example </w:t>
      </w:r>
      <w:proofErr w:type="spellStart"/>
      <w:r w:rsidR="00C928CE" w:rsidRPr="00C928CE">
        <w:rPr>
          <w:szCs w:val="24"/>
        </w:rPr>
        <w:t>Brynjolfsson</w:t>
      </w:r>
      <w:proofErr w:type="spellEnd"/>
      <w:r w:rsidR="00C928CE" w:rsidRPr="00C928CE">
        <w:rPr>
          <w:szCs w:val="24"/>
        </w:rPr>
        <w:t xml:space="preserve"> and McAfee 2012; Dunlop 2016)</w:t>
      </w:r>
      <w:r>
        <w:t>. In that vein, some argue that government should end ‘miser</w:t>
      </w:r>
      <w:r w:rsidR="006A5ACE">
        <w:t>able busy</w:t>
      </w:r>
      <w:r w:rsidR="00133C69">
        <w:noBreakHyphen/>
      </w:r>
      <w:r w:rsidR="006A5ACE">
        <w:t>work’ or ‘job pathway</w:t>
      </w:r>
      <w:r>
        <w:t>’ schemes as there will not be enough jobs to transition to</w:t>
      </w:r>
      <w:r w:rsidR="008C037C">
        <w:t xml:space="preserve"> </w:t>
      </w:r>
      <w:r w:rsidR="008C037C" w:rsidRPr="006551EA">
        <w:rPr>
          <w:szCs w:val="24"/>
        </w:rPr>
        <w:t>(Dunlop 2016, p. 1)</w:t>
      </w:r>
      <w:r>
        <w:t xml:space="preserve">. Instead, they suggest that governments need to investigate systems for distributing wealth, including a basic </w:t>
      </w:r>
      <w:r w:rsidR="008C037C">
        <w:t xml:space="preserve">or universal </w:t>
      </w:r>
      <w:r>
        <w:t>income.</w:t>
      </w:r>
    </w:p>
    <w:p w14:paraId="71F735EA" w14:textId="789C870F" w:rsidR="0075376D" w:rsidRDefault="0075376D" w:rsidP="002C19D6">
      <w:pPr>
        <w:pStyle w:val="BodyText"/>
      </w:pPr>
      <w:r>
        <w:t xml:space="preserve">The </w:t>
      </w:r>
      <w:r w:rsidRPr="000C0877">
        <w:rPr>
          <w:i/>
        </w:rPr>
        <w:t>timing</w:t>
      </w:r>
      <w:r>
        <w:t xml:space="preserve"> of the possible </w:t>
      </w:r>
      <w:r w:rsidR="00B02FBA">
        <w:t xml:space="preserve">structural adjustment </w:t>
      </w:r>
      <w:r>
        <w:t xml:space="preserve">associated with automation is </w:t>
      </w:r>
      <w:r w:rsidR="00DB540F">
        <w:t xml:space="preserve">less </w:t>
      </w:r>
      <w:r w:rsidR="00B02FBA">
        <w:t xml:space="preserve">precise than the </w:t>
      </w:r>
      <w:r w:rsidR="00F92DC9" w:rsidRPr="000C0877">
        <w:rPr>
          <w:i/>
        </w:rPr>
        <w:t>extent</w:t>
      </w:r>
      <w:r w:rsidR="00B02FBA">
        <w:t xml:space="preserve"> of adjustment</w:t>
      </w:r>
      <w:r w:rsidR="007D181B">
        <w:t>, yet is equally important</w:t>
      </w:r>
      <w:r w:rsidR="00DB540F">
        <w:t xml:space="preserve">. </w:t>
      </w:r>
      <w:r>
        <w:t xml:space="preserve">Frey and Osborne refer </w:t>
      </w:r>
      <w:r w:rsidR="000C0877">
        <w:t xml:space="preserve">vaguely </w:t>
      </w:r>
      <w:r>
        <w:t>to changes over the ‘next decades’</w:t>
      </w:r>
      <w:r w:rsidR="00752036">
        <w:t xml:space="preserve">, but Deloitte and the ILO </w:t>
      </w:r>
      <w:r w:rsidR="00F53C67">
        <w:t xml:space="preserve">studies </w:t>
      </w:r>
      <w:r w:rsidR="00EC3D5C">
        <w:t xml:space="preserve">refer </w:t>
      </w:r>
      <w:r w:rsidR="00752036">
        <w:t xml:space="preserve">to </w:t>
      </w:r>
      <w:r w:rsidR="00F53C67">
        <w:t xml:space="preserve">changes </w:t>
      </w:r>
      <w:r w:rsidR="00EC3D5C">
        <w:t xml:space="preserve">over </w:t>
      </w:r>
      <w:r w:rsidR="00752036">
        <w:t>the next 10 to 20 years</w:t>
      </w:r>
      <w:r>
        <w:t xml:space="preserve">. </w:t>
      </w:r>
      <w:r w:rsidR="00782999">
        <w:t>T</w:t>
      </w:r>
      <w:r>
        <w:t xml:space="preserve">he implications for </w:t>
      </w:r>
      <w:r w:rsidR="00782999">
        <w:t xml:space="preserve">education and training </w:t>
      </w:r>
      <w:r>
        <w:t xml:space="preserve">policy are </w:t>
      </w:r>
      <w:r w:rsidR="00782999">
        <w:t>quite</w:t>
      </w:r>
      <w:r>
        <w:t xml:space="preserve"> different if the pace of change is slow</w:t>
      </w:r>
      <w:r w:rsidR="00752036">
        <w:t>er</w:t>
      </w:r>
      <w:r>
        <w:t xml:space="preserve"> an</w:t>
      </w:r>
      <w:r w:rsidR="00C928CE">
        <w:t>d</w:t>
      </w:r>
      <w:r>
        <w:t xml:space="preserve"> </w:t>
      </w:r>
      <w:r w:rsidR="00B045EF">
        <w:t>anticipated</w:t>
      </w:r>
      <w:r>
        <w:t xml:space="preserve">. </w:t>
      </w:r>
    </w:p>
    <w:p w14:paraId="48440513" w14:textId="042B6ED8" w:rsidR="00324CBD" w:rsidRDefault="00B5758E" w:rsidP="009C129B">
      <w:pPr>
        <w:pStyle w:val="Heading2"/>
      </w:pPr>
      <w:bookmarkStart w:id="13" w:name="_Toc489363499"/>
      <w:bookmarkStart w:id="14" w:name="_Toc489364875"/>
      <w:r>
        <w:t>2</w:t>
      </w:r>
      <w:r w:rsidR="009C129B">
        <w:t>.2</w:t>
      </w:r>
      <w:r w:rsidR="009C129B">
        <w:tab/>
      </w:r>
      <w:r w:rsidR="00324CBD">
        <w:t xml:space="preserve">But the actual </w:t>
      </w:r>
      <w:r w:rsidR="00690CB5">
        <w:t>effects</w:t>
      </w:r>
      <w:r w:rsidR="00324CBD">
        <w:t xml:space="preserve"> will likely be less severe and more amenable to policy action</w:t>
      </w:r>
      <w:bookmarkEnd w:id="13"/>
      <w:bookmarkEnd w:id="14"/>
    </w:p>
    <w:p w14:paraId="47B5227D" w14:textId="0BAD0B18" w:rsidR="000628EF" w:rsidRDefault="00B045EF" w:rsidP="000628EF">
      <w:pPr>
        <w:pStyle w:val="BodyText"/>
      </w:pPr>
      <w:r>
        <w:t>Fortunately, i</w:t>
      </w:r>
      <w:r w:rsidR="0075376D">
        <w:t xml:space="preserve">t is likely that the dire predictions </w:t>
      </w:r>
      <w:r w:rsidR="00961FF0">
        <w:t xml:space="preserve">of rapid change </w:t>
      </w:r>
      <w:r w:rsidR="009338CA">
        <w:t xml:space="preserve">suggested by some commentators </w:t>
      </w:r>
      <w:r w:rsidR="0075376D">
        <w:t xml:space="preserve">are </w:t>
      </w:r>
      <w:r w:rsidR="00961FF0">
        <w:t>misplaced</w:t>
      </w:r>
      <w:r w:rsidR="00F331D8">
        <w:t>. This</w:t>
      </w:r>
      <w:r w:rsidR="00961FF0">
        <w:t xml:space="preserve"> increases the prospects for </w:t>
      </w:r>
      <w:r w:rsidR="00BD7444">
        <w:t>automatic</w:t>
      </w:r>
      <w:r>
        <w:t xml:space="preserve"> market responses </w:t>
      </w:r>
      <w:r w:rsidR="00BD7444">
        <w:t xml:space="preserve">to </w:t>
      </w:r>
      <w:r w:rsidR="009338CA">
        <w:t>technological change</w:t>
      </w:r>
      <w:r w:rsidR="00BD7444">
        <w:t xml:space="preserve">, as well as the potential for </w:t>
      </w:r>
      <w:r w:rsidR="00961FF0">
        <w:t xml:space="preserve">successful </w:t>
      </w:r>
      <w:r w:rsidR="00782999">
        <w:t xml:space="preserve">policy </w:t>
      </w:r>
      <w:r>
        <w:t>initiatives</w:t>
      </w:r>
      <w:r w:rsidR="00782999">
        <w:t xml:space="preserve"> to assist in labour market transitions</w:t>
      </w:r>
      <w:r w:rsidR="00362E90">
        <w:t>.</w:t>
      </w:r>
      <w:r w:rsidR="000628EF">
        <w:t xml:space="preserve"> As several economists observed:</w:t>
      </w:r>
    </w:p>
    <w:p w14:paraId="1656C888" w14:textId="0E6BB8F4" w:rsidR="00892A8C" w:rsidRPr="006551EA" w:rsidRDefault="000628EF" w:rsidP="000628EF">
      <w:pPr>
        <w:pStyle w:val="Quote"/>
      </w:pPr>
      <w:r w:rsidRPr="00F12635">
        <w:t>From our perspective, the more extreme of modern anxieties about long</w:t>
      </w:r>
      <w:r w:rsidR="00133C69">
        <w:noBreakHyphen/>
      </w:r>
      <w:r w:rsidRPr="00F12635">
        <w:t>term, ineradicable technological unemployment or a widespread lack of meaning because of changes in work patterns seem highly unlikely to come to pass. As has been true now for more than two centuries, technological advance will continue to improve the standard of living in many dramatic and unforeseeable ways. However, fundamental economic principles will continue to operate. Scarcities will still be with us, most notably of time itself. The law of comparative advantage strongly suggests that most workers will still have useful tasks to perform even in an economy where the capacities of robots and automation have increased considerably</w:t>
      </w:r>
      <w:r>
        <w:t>.</w:t>
      </w:r>
      <w:r w:rsidRPr="002B2996">
        <w:t xml:space="preserve"> </w:t>
      </w:r>
      <w:r w:rsidRPr="006551EA">
        <w:t xml:space="preserve">(Mokyr, Vickers and </w:t>
      </w:r>
      <w:proofErr w:type="spellStart"/>
      <w:r w:rsidRPr="006551EA">
        <w:t>Ziebarth</w:t>
      </w:r>
      <w:proofErr w:type="spellEnd"/>
      <w:r w:rsidRPr="006551EA">
        <w:t> 2015, p. 47)</w:t>
      </w:r>
    </w:p>
    <w:p w14:paraId="65CF851A" w14:textId="58A86CDD" w:rsidR="00174B34" w:rsidRDefault="00174B34" w:rsidP="00B54A80">
      <w:pPr>
        <w:pStyle w:val="BodyText"/>
      </w:pPr>
      <w:r>
        <w:t xml:space="preserve">There are </w:t>
      </w:r>
      <w:r w:rsidR="00A84397">
        <w:t>two</w:t>
      </w:r>
      <w:r>
        <w:t xml:space="preserve"> </w:t>
      </w:r>
      <w:r w:rsidR="00A84397">
        <w:t>main</w:t>
      </w:r>
      <w:r>
        <w:t xml:space="preserve"> of methodological concerns that cast doubt </w:t>
      </w:r>
      <w:r w:rsidR="00F101F7">
        <w:t>over the scale of the predicted job losses occurring.</w:t>
      </w:r>
      <w:r w:rsidR="00F4592B" w:rsidRPr="00214E24">
        <w:rPr>
          <w:rStyle w:val="FootnoteReference"/>
        </w:rPr>
        <w:footnoteReference w:id="4"/>
      </w:r>
      <w:r w:rsidR="00A647C3">
        <w:t xml:space="preserve"> </w:t>
      </w:r>
    </w:p>
    <w:p w14:paraId="3B067F62" w14:textId="62666B43" w:rsidR="00B54A80" w:rsidRDefault="00B54A80" w:rsidP="00B54A80">
      <w:pPr>
        <w:pStyle w:val="BodyText"/>
      </w:pPr>
      <w:r w:rsidRPr="00E24ACB">
        <w:t>One</w:t>
      </w:r>
      <w:r>
        <w:t xml:space="preserve"> reason</w:t>
      </w:r>
      <w:r w:rsidR="00174B34">
        <w:t xml:space="preserve"> </w:t>
      </w:r>
      <w:r>
        <w:t>is that the dominant method for calculating vulnerability to automation ignores the substantial variation in the complexity and skills required for tasks within an occupation and that once this is considered, occupational vulnerabilities are much reduced.</w:t>
      </w:r>
      <w:r w:rsidRPr="00D87F0F">
        <w:t xml:space="preserve"> </w:t>
      </w:r>
      <w:r w:rsidR="007D7F40">
        <w:t>One</w:t>
      </w:r>
      <w:r w:rsidRPr="00733CC8">
        <w:t xml:space="preserve"> estimate of job replacement based on analysis of the task content of individual jobs rather than occupations</w:t>
      </w:r>
      <w:r w:rsidRPr="00D87F0F">
        <w:t xml:space="preserve"> </w:t>
      </w:r>
      <w:r>
        <w:t xml:space="preserve">suggested that just 9 per cent of jobs </w:t>
      </w:r>
      <w:r w:rsidRPr="00733CC8">
        <w:t>on av</w:t>
      </w:r>
      <w:r>
        <w:t>erage, across 21 OECD countries</w:t>
      </w:r>
      <w:r w:rsidRPr="00733CC8">
        <w:t xml:space="preserve"> </w:t>
      </w:r>
      <w:r>
        <w:t>were</w:t>
      </w:r>
      <w:r w:rsidRPr="00733CC8">
        <w:t xml:space="preserve"> at high risk of automation</w:t>
      </w:r>
      <w:r>
        <w:t xml:space="preserve"> </w:t>
      </w:r>
      <w:r w:rsidRPr="00D87F0F">
        <w:rPr>
          <w:szCs w:val="24"/>
        </w:rPr>
        <w:t>(</w:t>
      </w:r>
      <w:proofErr w:type="spellStart"/>
      <w:r w:rsidRPr="00D87F0F">
        <w:rPr>
          <w:szCs w:val="24"/>
        </w:rPr>
        <w:t>Arntz</w:t>
      </w:r>
      <w:proofErr w:type="spellEnd"/>
      <w:r w:rsidRPr="00D87F0F">
        <w:rPr>
          <w:szCs w:val="24"/>
        </w:rPr>
        <w:t xml:space="preserve">, Gregory and </w:t>
      </w:r>
      <w:proofErr w:type="spellStart"/>
      <w:r w:rsidRPr="00D87F0F">
        <w:rPr>
          <w:szCs w:val="24"/>
        </w:rPr>
        <w:t>Zierahn</w:t>
      </w:r>
      <w:proofErr w:type="spellEnd"/>
      <w:r w:rsidRPr="00D87F0F">
        <w:rPr>
          <w:szCs w:val="24"/>
        </w:rPr>
        <w:t> 2016)</w:t>
      </w:r>
      <w:r>
        <w:t>.</w:t>
      </w:r>
      <w:r w:rsidRPr="00733CC8">
        <w:t xml:space="preserve"> </w:t>
      </w:r>
      <w:r>
        <w:t xml:space="preserve">(Nevertheless, they still found </w:t>
      </w:r>
      <w:r w:rsidRPr="00733CC8">
        <w:t xml:space="preserve">a further 20 to 35 per cent </w:t>
      </w:r>
      <w:r>
        <w:t>were</w:t>
      </w:r>
      <w:r w:rsidRPr="00733CC8">
        <w:t xml:space="preserve"> at risk of having at least half the component tasks change</w:t>
      </w:r>
      <w:r>
        <w:t>d</w:t>
      </w:r>
      <w:r w:rsidRPr="00733CC8">
        <w:t xml:space="preserve"> significantly because of automation.</w:t>
      </w:r>
      <w:r>
        <w:t xml:space="preserve">) If it </w:t>
      </w:r>
      <w:r w:rsidR="00E96D95">
        <w:t>is</w:t>
      </w:r>
      <w:r>
        <w:t xml:space="preserve"> tasks </w:t>
      </w:r>
      <w:r w:rsidR="00BC4937">
        <w:t>(</w:t>
      </w:r>
      <w:r>
        <w:t>rather than entire occupations</w:t>
      </w:r>
      <w:r w:rsidR="00BC4937">
        <w:t>)</w:t>
      </w:r>
      <w:r>
        <w:t xml:space="preserve"> that </w:t>
      </w:r>
      <w:r w:rsidDel="00BC4937">
        <w:t xml:space="preserve">are </w:t>
      </w:r>
      <w:r>
        <w:t>replaced by technology</w:t>
      </w:r>
      <w:r w:rsidR="00BC4937">
        <w:t>,</w:t>
      </w:r>
      <w:r>
        <w:t xml:space="preserve"> this would slow the process of making jobs or skills redundant.</w:t>
      </w:r>
    </w:p>
    <w:p w14:paraId="2FC65ED2" w14:textId="46BB565B" w:rsidR="00E760F3" w:rsidRDefault="00174B34" w:rsidP="00E760F3">
      <w:pPr>
        <w:pStyle w:val="BodyText"/>
      </w:pPr>
      <w:r>
        <w:t xml:space="preserve">Another reasons is that </w:t>
      </w:r>
      <w:r w:rsidR="00E760F3">
        <w:t xml:space="preserve">the bleak </w:t>
      </w:r>
      <w:r>
        <w:t>projections</w:t>
      </w:r>
      <w:r w:rsidR="00E760F3">
        <w:t xml:space="preserve"> relate to gross jobs, not net jobs. Historically,</w:t>
      </w:r>
      <w:r w:rsidR="00E760F3" w:rsidRPr="00F4090C">
        <w:t xml:space="preserve"> technological advances </w:t>
      </w:r>
      <w:r w:rsidR="00E760F3">
        <w:t xml:space="preserve">have </w:t>
      </w:r>
      <w:r w:rsidR="00E760F3" w:rsidRPr="00F4090C">
        <w:t>also create</w:t>
      </w:r>
      <w:r w:rsidR="00E760F3">
        <w:t>d</w:t>
      </w:r>
      <w:r w:rsidR="00E760F3" w:rsidRPr="00F4090C">
        <w:t xml:space="preserve"> new</w:t>
      </w:r>
      <w:r w:rsidR="00E760F3">
        <w:t xml:space="preserve"> jobs</w:t>
      </w:r>
      <w:r w:rsidR="00E760F3" w:rsidRPr="00F4090C">
        <w:t xml:space="preserve">. This is evidenced by </w:t>
      </w:r>
      <w:r w:rsidR="00E760F3">
        <w:t>the absence of any pronounced downward long</w:t>
      </w:r>
      <w:r w:rsidR="00E760F3">
        <w:noBreakHyphen/>
        <w:t xml:space="preserve">term trends in </w:t>
      </w:r>
      <w:r w:rsidR="00E760F3" w:rsidRPr="00F4090C">
        <w:t xml:space="preserve">Australia’s employment to population ratio </w:t>
      </w:r>
      <w:r w:rsidR="00E760F3">
        <w:t xml:space="preserve">or a sustained increase in </w:t>
      </w:r>
      <w:r w:rsidR="00E760F3" w:rsidRPr="00F4090C">
        <w:t>unemployment rate</w:t>
      </w:r>
      <w:r w:rsidR="00E760F3">
        <w:t xml:space="preserve">s </w:t>
      </w:r>
      <w:r w:rsidR="00E760F3" w:rsidRPr="00F56992">
        <w:rPr>
          <w:szCs w:val="24"/>
        </w:rPr>
        <w:t>(PC 2016a)</w:t>
      </w:r>
      <w:r w:rsidR="00E760F3" w:rsidRPr="00F4090C">
        <w:t xml:space="preserve">. </w:t>
      </w:r>
      <w:r w:rsidR="00E760F3">
        <w:t>The degree to which new jobs involve higher skills varies because there are several mechanisms that affect the skill composition of jobs:</w:t>
      </w:r>
    </w:p>
    <w:p w14:paraId="68307E0C" w14:textId="77777777" w:rsidR="00E760F3" w:rsidRPr="00295BF1" w:rsidRDefault="00E760F3" w:rsidP="00E760F3">
      <w:pPr>
        <w:pStyle w:val="ListBullet"/>
      </w:pPr>
      <w:r>
        <w:t>T</w:t>
      </w:r>
      <w:r w:rsidRPr="00F4090C">
        <w:t xml:space="preserve">echnology is </w:t>
      </w:r>
      <w:r>
        <w:t>often</w:t>
      </w:r>
      <w:r w:rsidRPr="00F4090C">
        <w:t xml:space="preserve"> complementary to high</w:t>
      </w:r>
      <w:r>
        <w:noBreakHyphen/>
      </w:r>
      <w:r w:rsidRPr="00F4090C">
        <w:t>skilled labour</w:t>
      </w:r>
      <w:r>
        <w:t xml:space="preserve">. This skilled labour, combined with technology, raises the productivity and the demand for skilled workers. </w:t>
      </w:r>
    </w:p>
    <w:p w14:paraId="27607172" w14:textId="265EC075" w:rsidR="00E760F3" w:rsidRPr="00F4090C" w:rsidRDefault="00E760F3" w:rsidP="00E760F3">
      <w:pPr>
        <w:pStyle w:val="ListBullet"/>
      </w:pPr>
      <w:r>
        <w:t>Technology also creates jobs throughout the economy. P</w:t>
      </w:r>
      <w:r w:rsidRPr="00F4090C">
        <w:t xml:space="preserve">roductivity </w:t>
      </w:r>
      <w:r>
        <w:t>gains</w:t>
      </w:r>
      <w:r w:rsidRPr="00F4090C">
        <w:t xml:space="preserve"> arising from technological progress </w:t>
      </w:r>
      <w:r>
        <w:t>flow through</w:t>
      </w:r>
      <w:r w:rsidRPr="00F4090C">
        <w:t xml:space="preserve"> to the economy — as lower prices, higher wages for the remaining employees, and/or higher profits — to create new demand </w:t>
      </w:r>
      <w:r>
        <w:t xml:space="preserve">and associated jobs </w:t>
      </w:r>
      <w:r w:rsidRPr="002D1BCF">
        <w:rPr>
          <w:szCs w:val="24"/>
        </w:rPr>
        <w:t>(</w:t>
      </w:r>
      <w:proofErr w:type="spellStart"/>
      <w:r w:rsidRPr="002D1BCF">
        <w:rPr>
          <w:szCs w:val="24"/>
        </w:rPr>
        <w:t>Autor</w:t>
      </w:r>
      <w:proofErr w:type="spellEnd"/>
      <w:r w:rsidRPr="002D1BCF">
        <w:rPr>
          <w:szCs w:val="24"/>
        </w:rPr>
        <w:t> 2015)</w:t>
      </w:r>
      <w:r w:rsidRPr="00F4090C">
        <w:t xml:space="preserve">. </w:t>
      </w:r>
    </w:p>
    <w:p w14:paraId="226C1A8E" w14:textId="77777777" w:rsidR="00AD2C5A" w:rsidRDefault="00AD2C5A" w:rsidP="00AD2C5A">
      <w:pPr>
        <w:pStyle w:val="Heading3"/>
      </w:pPr>
      <w:r>
        <w:t xml:space="preserve">Multiple factors limiting a job destruction tsunami </w:t>
      </w:r>
    </w:p>
    <w:p w14:paraId="1DD39C5C" w14:textId="77777777" w:rsidR="009747AA" w:rsidRDefault="009747AA" w:rsidP="009747AA">
      <w:pPr>
        <w:pStyle w:val="BodyText"/>
      </w:pPr>
      <w:r>
        <w:t>Apart from the methodological difficulties of forecasting occupational vulnerability, there are multiple other factors that suggest that a job destruction ‘tsunami’ is not likely to hit soon.</w:t>
      </w:r>
      <w:r w:rsidRPr="00D111B8">
        <w:t xml:space="preserve"> </w:t>
      </w:r>
    </w:p>
    <w:p w14:paraId="1AC09230" w14:textId="0CBB8455" w:rsidR="00853FE6" w:rsidRDefault="00124CFC" w:rsidP="00F101F7">
      <w:pPr>
        <w:pStyle w:val="ListBullet"/>
      </w:pPr>
      <w:r>
        <w:t xml:space="preserve">The uptake of technology is highly dependent on consumer preferences, their ability to trust technology, relative costs of technology and the regulatory frameworks operating </w:t>
      </w:r>
      <w:r w:rsidR="00F56992" w:rsidRPr="00F56992">
        <w:rPr>
          <w:szCs w:val="24"/>
        </w:rPr>
        <w:t>(PC 2016a)</w:t>
      </w:r>
      <w:r>
        <w:t>.</w:t>
      </w:r>
      <w:r w:rsidR="004A4AFF">
        <w:t xml:space="preserve"> </w:t>
      </w:r>
      <w:r>
        <w:t>Consequently, f</w:t>
      </w:r>
      <w:r w:rsidR="009747AA">
        <w:t>or many technologies, diffusion is relatively slow</w:t>
      </w:r>
      <w:r w:rsidR="00E77896">
        <w:t xml:space="preserve">. This is </w:t>
      </w:r>
      <w:r w:rsidR="009747AA">
        <w:t xml:space="preserve">suggested by the divergence in apparent productivity levels in given industries between countries and by evidence on the varying productivity levels between </w:t>
      </w:r>
      <w:r w:rsidR="005F33A2">
        <w:t>businesses</w:t>
      </w:r>
      <w:r w:rsidR="009747AA">
        <w:t xml:space="preserve"> </w:t>
      </w:r>
      <w:r w:rsidR="00377EA3" w:rsidRPr="00377EA3">
        <w:rPr>
          <w:szCs w:val="24"/>
        </w:rPr>
        <w:t>(Bloom et al. 2012; OECD 2015a)</w:t>
      </w:r>
      <w:r w:rsidR="009747AA">
        <w:t xml:space="preserve">. </w:t>
      </w:r>
    </w:p>
    <w:p w14:paraId="3FFF10C1" w14:textId="59994E7C" w:rsidR="00174B34" w:rsidRDefault="00174B34" w:rsidP="00F101F7">
      <w:pPr>
        <w:pStyle w:val="ListBullet"/>
      </w:pPr>
      <w:r>
        <w:t>There is evidence that t</w:t>
      </w:r>
      <w:r w:rsidRPr="00A436B3">
        <w:t xml:space="preserve">he current wave of </w:t>
      </w:r>
      <w:r>
        <w:t>technological development</w:t>
      </w:r>
      <w:r w:rsidRPr="00A436B3">
        <w:t xml:space="preserve"> </w:t>
      </w:r>
      <w:r>
        <w:t xml:space="preserve">is </w:t>
      </w:r>
      <w:r w:rsidRPr="00A436B3">
        <w:t>similar to past transitions — jobs are being automated at a comparable pace to that of the last century</w:t>
      </w:r>
      <w:r>
        <w:t xml:space="preserve"> </w:t>
      </w:r>
      <w:r w:rsidRPr="00F3170C">
        <w:rPr>
          <w:szCs w:val="24"/>
        </w:rPr>
        <w:t>(Miller and Atkinson 2013; Williamson et al. 2015)</w:t>
      </w:r>
      <w:r>
        <w:t>. In this context, it is unlikely that across a whole economy, occupations would be displaced by automation at the rapid pace forecast by pessimists.</w:t>
      </w:r>
      <w:r w:rsidRPr="00A25DF3">
        <w:t xml:space="preserve"> </w:t>
      </w:r>
    </w:p>
    <w:p w14:paraId="5A2242E5" w14:textId="01047242" w:rsidR="009747AA" w:rsidRDefault="009747AA" w:rsidP="00F101F7">
      <w:pPr>
        <w:pStyle w:val="ListBullet"/>
      </w:pPr>
      <w:r>
        <w:t>The investment required for widespread automation would also be very large, and it would be hard to see investment of that magnitude across much of the economy over a short period. It would also entail the mass scrapping of existing capital. Investment</w:t>
      </w:r>
      <w:r w:rsidR="00C31484">
        <w:t xml:space="preserve"> growth</w:t>
      </w:r>
      <w:r>
        <w:t xml:space="preserve"> is currently low relative to past trends</w:t>
      </w:r>
      <w:r w:rsidR="00C31484">
        <w:t>, even after accounting for falls in mining investment (Supporting</w:t>
      </w:r>
      <w:r w:rsidR="004A4AFF">
        <w:t> </w:t>
      </w:r>
      <w:r w:rsidR="005A0286">
        <w:t>P</w:t>
      </w:r>
      <w:r w:rsidR="00C31484">
        <w:t>aper</w:t>
      </w:r>
      <w:r w:rsidR="004A4AFF">
        <w:t> </w:t>
      </w:r>
      <w:r w:rsidR="00C31484">
        <w:t>1)</w:t>
      </w:r>
      <w:r>
        <w:t>.</w:t>
      </w:r>
    </w:p>
    <w:p w14:paraId="51036414" w14:textId="3DD2F9C6" w:rsidR="00E50564" w:rsidRDefault="00F101F7" w:rsidP="00F101F7">
      <w:pPr>
        <w:pStyle w:val="ListBullet"/>
      </w:pPr>
      <w:r>
        <w:t>F</w:t>
      </w:r>
      <w:r w:rsidR="00E50564" w:rsidRPr="00733CC8">
        <w:t xml:space="preserve">actors other than technology will also influence </w:t>
      </w:r>
      <w:r w:rsidR="00E50564">
        <w:t>the nature of</w:t>
      </w:r>
      <w:r w:rsidR="00E50564" w:rsidRPr="00733CC8">
        <w:t xml:space="preserve"> </w:t>
      </w:r>
      <w:r w:rsidR="00E50564">
        <w:t xml:space="preserve">future </w:t>
      </w:r>
      <w:r w:rsidR="00E50564" w:rsidRPr="00733CC8">
        <w:t xml:space="preserve">jobs (such as </w:t>
      </w:r>
      <w:r w:rsidR="00930A58">
        <w:t xml:space="preserve">increased demand for </w:t>
      </w:r>
      <w:r w:rsidR="00E50564" w:rsidRPr="00733CC8">
        <w:t>aged care</w:t>
      </w:r>
      <w:r w:rsidR="00930A58">
        <w:t xml:space="preserve"> services</w:t>
      </w:r>
      <w:r w:rsidR="00E50564" w:rsidRPr="00733CC8">
        <w:t xml:space="preserve">), </w:t>
      </w:r>
      <w:r w:rsidR="00E50564">
        <w:t xml:space="preserve">which </w:t>
      </w:r>
      <w:r w:rsidR="00E50564" w:rsidRPr="00733CC8">
        <w:t>often requir</w:t>
      </w:r>
      <w:r w:rsidR="00E50564">
        <w:t>e</w:t>
      </w:r>
      <w:r w:rsidR="00E50564" w:rsidRPr="00733CC8">
        <w:t xml:space="preserve"> skills that are difficult to automate</w:t>
      </w:r>
      <w:r w:rsidR="00E50564">
        <w:t xml:space="preserve"> </w:t>
      </w:r>
      <w:r w:rsidR="00377EA3" w:rsidRPr="00377EA3">
        <w:rPr>
          <w:szCs w:val="24"/>
        </w:rPr>
        <w:t>(Gahan 2016)</w:t>
      </w:r>
      <w:r w:rsidR="00E50564" w:rsidRPr="00733CC8">
        <w:t>.</w:t>
      </w:r>
      <w:r w:rsidR="00E50564">
        <w:t xml:space="preserve"> It is hard in the foreseeable future to see machines — ‘intelligent’ or not — as fulfilling people’s need for authentic emotional connections that are required in many caring jobs. Machines might be able to simulate these crudely (like Pepper, an ‘empathetic’ robot developed in Japan by Softbank), but people know they are programmed not real.</w:t>
      </w:r>
    </w:p>
    <w:p w14:paraId="240CF296" w14:textId="532DFAC1" w:rsidR="008F6D98" w:rsidRDefault="00F101F7" w:rsidP="00F101F7">
      <w:pPr>
        <w:pStyle w:val="ListBullet"/>
      </w:pPr>
      <w:r>
        <w:t>O</w:t>
      </w:r>
      <w:r w:rsidR="00D744AA">
        <w:t>ccupational risks are moderated by the growth in t</w:t>
      </w:r>
      <w:r w:rsidR="008F6D98">
        <w:t xml:space="preserve">he Australian labour force and total employment as </w:t>
      </w:r>
      <w:r w:rsidR="00D744AA">
        <w:t xml:space="preserve">the </w:t>
      </w:r>
      <w:r w:rsidR="008F6D98">
        <w:t xml:space="preserve">population rises. This provides the scope for the share of an occupation in total employment to fall, but for total employment in that occupation to rise (or not fall by much). To the extent that this holds, this provides scope for people to avoid the problems of vulnerable occupations by not entering them when they start their careers, or to develop new skills and move to other occupations while still holding down a job (the latter being the prominent policy issue for this paper). </w:t>
      </w:r>
    </w:p>
    <w:p w14:paraId="4AA930EE" w14:textId="6199DDD5" w:rsidR="00B051B2" w:rsidRDefault="00570F80" w:rsidP="00570F80">
      <w:pPr>
        <w:pStyle w:val="BodyText"/>
      </w:pPr>
      <w:r>
        <w:t xml:space="preserve">The empirical evidence highlights the relative importance of factors other than automation </w:t>
      </w:r>
      <w:r w:rsidR="00D30D80">
        <w:t>to</w:t>
      </w:r>
      <w:r>
        <w:t xml:space="preserve"> the growth of employment </w:t>
      </w:r>
      <w:r w:rsidR="00F4592B">
        <w:t xml:space="preserve">of particular occupations </w:t>
      </w:r>
      <w:r>
        <w:t>(figure</w:t>
      </w:r>
      <w:r w:rsidR="00A647C3">
        <w:t> </w:t>
      </w:r>
      <w:r>
        <w:t xml:space="preserve">2.1). </w:t>
      </w:r>
      <w:r w:rsidR="00B051B2">
        <w:t xml:space="preserve">While </w:t>
      </w:r>
      <w:r>
        <w:t xml:space="preserve">certain </w:t>
      </w:r>
      <w:r w:rsidR="00B051B2">
        <w:t xml:space="preserve">jobs have been at risk of automation </w:t>
      </w:r>
      <w:r>
        <w:t>for some time</w:t>
      </w:r>
      <w:r w:rsidR="00B051B2">
        <w:t>, the growth and decline in occupations has not always followed predictions</w:t>
      </w:r>
      <w:r w:rsidR="00D32D9B">
        <w:t xml:space="preserve"> (based on their risk of automation)</w:t>
      </w:r>
      <w:r w:rsidR="00B051B2">
        <w:t>. It appears that some apparently high</w:t>
      </w:r>
      <w:r w:rsidR="00B051B2">
        <w:noBreakHyphen/>
        <w:t>risk occupations have fared well (or at least grown) in the past decade</w:t>
      </w:r>
      <w:r w:rsidR="00640E1F">
        <w:t>,</w:t>
      </w:r>
      <w:r w:rsidR="00B051B2">
        <w:t xml:space="preserve"> notwithstanding that the technologies that make their skills redundant are already in existence (checkout operators, laundry workers, transport and dispatch clerks, general clerks, payroll clerks and real estate agents for example). Moreover, some occupations with non</w:t>
      </w:r>
      <w:r w:rsidR="00B051B2">
        <w:noBreakHyphen/>
        <w:t>automatable skills, such as visual arts and crafts professionals, have contracted significantly.</w:t>
      </w:r>
    </w:p>
    <w:p w14:paraId="5CBAEE6F" w14:textId="14B3D139" w:rsidR="002008F3" w:rsidRDefault="002008F3" w:rsidP="002008F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2008F3" w14:paraId="43E0342A" w14:textId="77777777" w:rsidTr="00E96D95">
        <w:trPr>
          <w:tblHeader/>
        </w:trPr>
        <w:tc>
          <w:tcPr>
            <w:tcW w:w="8789" w:type="dxa"/>
            <w:tcBorders>
              <w:top w:val="single" w:sz="6" w:space="0" w:color="78A22F"/>
              <w:left w:val="nil"/>
              <w:bottom w:val="nil"/>
              <w:right w:val="nil"/>
            </w:tcBorders>
            <w:shd w:val="clear" w:color="auto" w:fill="auto"/>
          </w:tcPr>
          <w:p w14:paraId="0A59F610" w14:textId="77777777" w:rsidR="002008F3" w:rsidRDefault="002008F3" w:rsidP="00E96D95">
            <w:pPr>
              <w:pStyle w:val="FigureTitle"/>
            </w:pPr>
            <w:r w:rsidRPr="00D15D0D">
              <w:rPr>
                <w:b w:val="0"/>
              </w:rPr>
              <w:t>Figure</w:t>
            </w:r>
            <w:r w:rsidRPr="00784A05">
              <w:rPr>
                <w:b w:val="0"/>
              </w:rPr>
              <w:t xml:space="preserve"> </w:t>
            </w:r>
            <w:r>
              <w:rPr>
                <w:b w:val="0"/>
              </w:rPr>
              <w:t>2.1</w:t>
            </w:r>
            <w:r>
              <w:tab/>
              <w:t>Occupations with high risks of automation have not always fared badly in the previous 10 years</w:t>
            </w:r>
            <w:r w:rsidRPr="007C7E78">
              <w:rPr>
                <w:rStyle w:val="NoteLabel"/>
              </w:rPr>
              <w:t>a</w:t>
            </w:r>
          </w:p>
          <w:p w14:paraId="38418035" w14:textId="77777777" w:rsidR="002008F3" w:rsidRPr="00176D3F" w:rsidRDefault="002008F3" w:rsidP="00E96D95">
            <w:pPr>
              <w:pStyle w:val="Subtitle"/>
            </w:pPr>
            <w:r>
              <w:t>2006</w:t>
            </w:r>
            <w:r>
              <w:noBreakHyphen/>
              <w:t>2016</w:t>
            </w:r>
          </w:p>
        </w:tc>
      </w:tr>
      <w:tr w:rsidR="002008F3" w14:paraId="0B66D662" w14:textId="77777777" w:rsidTr="00E96D95">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2008F3" w:rsidRPr="00B1465D" w14:paraId="671DA82C" w14:textId="77777777" w:rsidTr="00E96D95">
              <w:trPr>
                <w:tblHeader/>
                <w:jc w:val="center"/>
              </w:trPr>
              <w:tc>
                <w:tcPr>
                  <w:tcW w:w="5000" w:type="pct"/>
                  <w:tcBorders>
                    <w:top w:val="nil"/>
                    <w:bottom w:val="nil"/>
                  </w:tcBorders>
                </w:tcPr>
                <w:p w14:paraId="0B3E10F8" w14:textId="77777777" w:rsidR="002008F3" w:rsidRPr="00B1465D" w:rsidRDefault="002008F3" w:rsidP="00E96D95">
                  <w:pPr>
                    <w:pStyle w:val="Figure"/>
                    <w:spacing w:before="60" w:after="60"/>
                    <w:rPr>
                      <w:rFonts w:ascii="Arial" w:hAnsi="Arial" w:cs="Arial"/>
                      <w:sz w:val="18"/>
                      <w:szCs w:val="18"/>
                    </w:rPr>
                  </w:pPr>
                  <w:r>
                    <w:rPr>
                      <w:rFonts w:ascii="Arial" w:hAnsi="Arial" w:cs="Arial"/>
                      <w:noProof/>
                      <w:sz w:val="18"/>
                      <w:szCs w:val="18"/>
                    </w:rPr>
                    <w:drawing>
                      <wp:inline distT="0" distB="0" distL="0" distR="0" wp14:anchorId="67FFE2AF" wp14:editId="1CEF6E78">
                        <wp:extent cx="5462270" cy="2914015"/>
                        <wp:effectExtent l="0" t="0" r="5080" b="635"/>
                        <wp:docPr id="6" name="Picture 6" descr="This chart is a scatter plot of the predicted risk of an occupation being automated compared with the change in the number of people employed in an occupation between 2006 and 2016. While it is expected that jobs with a high predicted risk of automation to have a higher decline in employment (a positive relationship), there is no evidently strong relationship in the scatter plot. Employment in many high risk occupations have grown as much as low risk occupations at the highly disaggregated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2270" cy="2914015"/>
                                </a:xfrm>
                                <a:prstGeom prst="rect">
                                  <a:avLst/>
                                </a:prstGeom>
                                <a:noFill/>
                              </pic:spPr>
                            </pic:pic>
                          </a:graphicData>
                        </a:graphic>
                      </wp:inline>
                    </w:drawing>
                  </w:r>
                </w:p>
              </w:tc>
            </w:tr>
          </w:tbl>
          <w:p w14:paraId="77C99505" w14:textId="77777777" w:rsidR="002008F3" w:rsidRDefault="002008F3" w:rsidP="00E96D95">
            <w:pPr>
              <w:pStyle w:val="Figure"/>
            </w:pPr>
          </w:p>
        </w:tc>
      </w:tr>
      <w:tr w:rsidR="002008F3" w:rsidRPr="00176D3F" w14:paraId="0E6B0E33" w14:textId="77777777" w:rsidTr="00E96D95">
        <w:tc>
          <w:tcPr>
            <w:tcW w:w="8789" w:type="dxa"/>
            <w:tcBorders>
              <w:top w:val="nil"/>
              <w:left w:val="nil"/>
              <w:bottom w:val="nil"/>
              <w:right w:val="nil"/>
            </w:tcBorders>
            <w:shd w:val="clear" w:color="auto" w:fill="auto"/>
          </w:tcPr>
          <w:p w14:paraId="033B20EE" w14:textId="61490248" w:rsidR="002008F3" w:rsidRPr="00176D3F" w:rsidRDefault="002008F3" w:rsidP="00E96D95">
            <w:pPr>
              <w:pStyle w:val="Note"/>
            </w:pPr>
            <w:proofErr w:type="spellStart"/>
            <w:proofErr w:type="gramStart"/>
            <w:r>
              <w:rPr>
                <w:rStyle w:val="NoteLabel"/>
              </w:rPr>
              <w:t>a</w:t>
            </w:r>
            <w:proofErr w:type="spellEnd"/>
            <w:proofErr w:type="gramEnd"/>
            <w:r>
              <w:t xml:space="preserve"> </w:t>
            </w:r>
            <w:r w:rsidRPr="00D111B8">
              <w:t>The were a limited number of occupational categories at the 4 digit levels that did not include an assigned automation risk from</w:t>
            </w:r>
            <w:r>
              <w:t xml:space="preserve"> Edmond and Bradley </w:t>
            </w:r>
            <w:r w:rsidRPr="00F3170C">
              <w:rPr>
                <w:rFonts w:cs="Arial"/>
              </w:rPr>
              <w:t>(2015)</w:t>
            </w:r>
            <w:r w:rsidRPr="00D111B8">
              <w:t>. Rather than exclude these from the analysis, subjective judgments were made about their risks – based on the job type and the risks for similar occupation</w:t>
            </w:r>
            <w:r>
              <w:t>s.</w:t>
            </w:r>
          </w:p>
        </w:tc>
      </w:tr>
      <w:tr w:rsidR="002008F3" w:rsidRPr="00176D3F" w14:paraId="450FF797" w14:textId="77777777" w:rsidTr="00E96D95">
        <w:tc>
          <w:tcPr>
            <w:tcW w:w="8789" w:type="dxa"/>
            <w:tcBorders>
              <w:top w:val="nil"/>
              <w:left w:val="nil"/>
              <w:bottom w:val="nil"/>
              <w:right w:val="nil"/>
            </w:tcBorders>
            <w:shd w:val="clear" w:color="auto" w:fill="auto"/>
          </w:tcPr>
          <w:p w14:paraId="3C0C75CC" w14:textId="25E496CE" w:rsidR="002008F3" w:rsidRPr="00176D3F" w:rsidRDefault="002008F3" w:rsidP="00E96D95">
            <w:pPr>
              <w:pStyle w:val="Source"/>
            </w:pPr>
            <w:r>
              <w:rPr>
                <w:i/>
              </w:rPr>
              <w:t>S</w:t>
            </w:r>
            <w:r w:rsidRPr="00784A05">
              <w:rPr>
                <w:i/>
              </w:rPr>
              <w:t>ource</w:t>
            </w:r>
            <w:r>
              <w:rPr>
                <w:i/>
              </w:rPr>
              <w:t>s</w:t>
            </w:r>
            <w:r w:rsidRPr="00176D3F">
              <w:t>:</w:t>
            </w:r>
            <w:r>
              <w:t xml:space="preserve"> Edmond and Bradley </w:t>
            </w:r>
            <w:r w:rsidRPr="00F3170C">
              <w:rPr>
                <w:rFonts w:cs="Arial"/>
              </w:rPr>
              <w:t>(2015)</w:t>
            </w:r>
            <w:r w:rsidRPr="00F3170C">
              <w:t>;</w:t>
            </w:r>
            <w:r>
              <w:t xml:space="preserve"> ABS 2016, </w:t>
            </w:r>
            <w:r w:rsidRPr="007C7E78">
              <w:rPr>
                <w:i/>
              </w:rPr>
              <w:t>Labour Force, Australia, Detailed, Quarterly, Nov</w:t>
            </w:r>
            <w:r>
              <w:t>, Cat. no. </w:t>
            </w:r>
            <w:r w:rsidRPr="002A17E3">
              <w:t>6291.0.55.003</w:t>
            </w:r>
            <w:r>
              <w:t>; and PC calculations.</w:t>
            </w:r>
          </w:p>
        </w:tc>
      </w:tr>
      <w:tr w:rsidR="002008F3" w14:paraId="04A0BB25" w14:textId="77777777" w:rsidTr="00E96D95">
        <w:tc>
          <w:tcPr>
            <w:tcW w:w="8789" w:type="dxa"/>
            <w:tcBorders>
              <w:top w:val="nil"/>
              <w:left w:val="nil"/>
              <w:bottom w:val="single" w:sz="6" w:space="0" w:color="78A22F"/>
              <w:right w:val="nil"/>
            </w:tcBorders>
            <w:shd w:val="clear" w:color="auto" w:fill="auto"/>
          </w:tcPr>
          <w:p w14:paraId="109A2597" w14:textId="77777777" w:rsidR="002008F3" w:rsidRDefault="002008F3" w:rsidP="00E96D95">
            <w:pPr>
              <w:pStyle w:val="Figurespace"/>
            </w:pPr>
          </w:p>
        </w:tc>
      </w:tr>
      <w:tr w:rsidR="002008F3" w:rsidRPr="000863A5" w14:paraId="77C1FC7B" w14:textId="77777777" w:rsidTr="00E96D95">
        <w:tc>
          <w:tcPr>
            <w:tcW w:w="8789" w:type="dxa"/>
            <w:tcBorders>
              <w:top w:val="single" w:sz="6" w:space="0" w:color="78A22F"/>
              <w:left w:val="nil"/>
              <w:bottom w:val="nil"/>
              <w:right w:val="nil"/>
            </w:tcBorders>
          </w:tcPr>
          <w:p w14:paraId="25383124" w14:textId="516E3B5E" w:rsidR="002008F3" w:rsidRPr="00626D32" w:rsidRDefault="002008F3" w:rsidP="00E96D95">
            <w:pPr>
              <w:pStyle w:val="BoxSpaceBelow"/>
            </w:pPr>
          </w:p>
        </w:tc>
      </w:tr>
    </w:tbl>
    <w:p w14:paraId="1852A7F3" w14:textId="77777777" w:rsidR="00FA335F" w:rsidRDefault="00FA335F" w:rsidP="00FA335F">
      <w:pPr>
        <w:pStyle w:val="Heading2"/>
      </w:pPr>
      <w:bookmarkStart w:id="15" w:name="_Toc489363500"/>
      <w:bookmarkStart w:id="16" w:name="_Toc489364876"/>
      <w:r>
        <w:t>2.3</w:t>
      </w:r>
      <w:r>
        <w:tab/>
        <w:t>Claims may be overstated but still grounds for concern</w:t>
      </w:r>
      <w:bookmarkEnd w:id="15"/>
      <w:bookmarkEnd w:id="16"/>
      <w:r>
        <w:t xml:space="preserve"> </w:t>
      </w:r>
    </w:p>
    <w:p w14:paraId="3601DF75" w14:textId="77777777" w:rsidR="00FA335F" w:rsidRDefault="00FA335F" w:rsidP="00FA335F">
      <w:pPr>
        <w:pStyle w:val="BodyText"/>
      </w:pPr>
      <w:r>
        <w:t xml:space="preserve">Although the effect of automation on net employment may be much less than claimed by some, there are reasonably grounded concerns about the impacts of automation on jobs, industries and occupations. </w:t>
      </w:r>
    </w:p>
    <w:p w14:paraId="4A911497" w14:textId="217B5181" w:rsidR="00930A58" w:rsidRDefault="00DA513A" w:rsidP="00930A58">
      <w:pPr>
        <w:pStyle w:val="Heading3"/>
      </w:pPr>
      <w:r>
        <w:t>H</w:t>
      </w:r>
      <w:r w:rsidR="00930A58">
        <w:t xml:space="preserve">istory tells us that structural change can be significant </w:t>
      </w:r>
    </w:p>
    <w:p w14:paraId="3ACFD014" w14:textId="17A16538" w:rsidR="00930A58" w:rsidRDefault="00930A58" w:rsidP="00930A58">
      <w:pPr>
        <w:pStyle w:val="BodyText"/>
      </w:pPr>
      <w:r>
        <w:t>The historical data — while suggesting less extreme outcomes than the predictions — support the contention that significant structural change can occur over several decades</w:t>
      </w:r>
      <w:r w:rsidR="00501ACB">
        <w:t xml:space="preserve"> (figure</w:t>
      </w:r>
      <w:r w:rsidR="00133C69">
        <w:t> </w:t>
      </w:r>
      <w:r w:rsidR="00295470">
        <w:t>2</w:t>
      </w:r>
      <w:r w:rsidR="00501ACB">
        <w:t>.2</w:t>
      </w:r>
      <w:r>
        <w:t>). The impact of skill level on the composition of the labour market shows that high</w:t>
      </w:r>
      <w:r>
        <w:noBreakHyphen/>
        <w:t>skill occupations have increased in significance throughout the three decades from 1986, and that moderate (level 3), rather than lower</w:t>
      </w:r>
      <w:r>
        <w:noBreakHyphen/>
        <w:t>skill occupations, have experienced the biggest and continuous reduction in shares</w:t>
      </w:r>
      <w:r w:rsidR="00F0605D">
        <w:t xml:space="preserve"> </w:t>
      </w:r>
      <w:r w:rsidR="00BE7FBF" w:rsidRPr="00BE7FBF">
        <w:rPr>
          <w:szCs w:val="24"/>
        </w:rPr>
        <w:t>(</w:t>
      </w:r>
      <w:proofErr w:type="spellStart"/>
      <w:r w:rsidR="00BE7FBF" w:rsidRPr="00BE7FBF">
        <w:rPr>
          <w:szCs w:val="24"/>
        </w:rPr>
        <w:t>Coelli</w:t>
      </w:r>
      <w:proofErr w:type="spellEnd"/>
      <w:r w:rsidR="00BE7FBF" w:rsidRPr="00BE7FBF">
        <w:rPr>
          <w:szCs w:val="24"/>
        </w:rPr>
        <w:t xml:space="preserve"> and Borland 2015)</w:t>
      </w:r>
      <w:r>
        <w:t>. In part, this may reflect that there has been a substantial expansion in low</w:t>
      </w:r>
      <w:r>
        <w:noBreakHyphen/>
        <w:t>paid</w:t>
      </w:r>
      <w:r w:rsidR="00650587">
        <w:t>,</w:t>
      </w:r>
      <w:r>
        <w:t xml:space="preserve"> relatively </w:t>
      </w:r>
      <w:r w:rsidR="00DA513A">
        <w:t>low</w:t>
      </w:r>
      <w:r w:rsidR="00DA513A">
        <w:noBreakHyphen/>
      </w:r>
      <w:r>
        <w:t>skilled jobs in community and personal services (for example, child, aged and disability care workers; educational aides; and fitness instructors). Routine manual jobs have declined since at least the mid</w:t>
      </w:r>
      <w:r>
        <w:noBreakHyphen/>
        <w:t xml:space="preserve">1980s, and routine cognitive jobs since the early 2000s </w:t>
      </w:r>
      <w:r w:rsidRPr="005C6866">
        <w:rPr>
          <w:szCs w:val="24"/>
        </w:rPr>
        <w:t>(Heath 2016)</w:t>
      </w:r>
      <w:r>
        <w:t xml:space="preserve">. </w:t>
      </w:r>
    </w:p>
    <w:p w14:paraId="516E6655" w14:textId="49B08029" w:rsidR="00930A58" w:rsidRDefault="00930A58" w:rsidP="00930A5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930A58" w14:paraId="1AABC9A1" w14:textId="77777777" w:rsidTr="00FA335F">
        <w:trPr>
          <w:tblHeader/>
        </w:trPr>
        <w:tc>
          <w:tcPr>
            <w:tcW w:w="8789" w:type="dxa"/>
            <w:tcBorders>
              <w:top w:val="single" w:sz="6" w:space="0" w:color="78A22F"/>
              <w:left w:val="nil"/>
              <w:bottom w:val="nil"/>
              <w:right w:val="nil"/>
            </w:tcBorders>
            <w:shd w:val="clear" w:color="auto" w:fill="auto"/>
          </w:tcPr>
          <w:p w14:paraId="1358A745" w14:textId="63B2DE8B" w:rsidR="00930A58" w:rsidRDefault="00930A58" w:rsidP="00A87D2D">
            <w:pPr>
              <w:pStyle w:val="FigureTitle"/>
            </w:pPr>
            <w:r w:rsidRPr="000E3914">
              <w:rPr>
                <w:b w:val="0"/>
              </w:rPr>
              <w:t xml:space="preserve">Figure </w:t>
            </w:r>
            <w:r w:rsidR="00B5758E">
              <w:rPr>
                <w:b w:val="0"/>
              </w:rPr>
              <w:t>2</w:t>
            </w:r>
            <w:r w:rsidR="00501ACB" w:rsidRPr="000E3914">
              <w:rPr>
                <w:b w:val="0"/>
              </w:rPr>
              <w:t>.2</w:t>
            </w:r>
            <w:r>
              <w:tab/>
              <w:t>Which jobs are advancing and retreating?</w:t>
            </w:r>
          </w:p>
          <w:p w14:paraId="4B15B41E" w14:textId="77777777" w:rsidR="00930A58" w:rsidRPr="00176D3F" w:rsidRDefault="00930A58" w:rsidP="00A87D2D">
            <w:pPr>
              <w:pStyle w:val="Subtitle"/>
            </w:pPr>
            <w:r>
              <w:t>1986 to 2016</w:t>
            </w:r>
          </w:p>
        </w:tc>
      </w:tr>
      <w:tr w:rsidR="00930A58" w14:paraId="7A6B5483" w14:textId="77777777" w:rsidTr="00FA335F">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930A58" w:rsidRPr="00B1465D" w14:paraId="2A08762B" w14:textId="77777777" w:rsidTr="00A87D2D">
              <w:trPr>
                <w:trHeight w:val="180"/>
                <w:tblHeader/>
                <w:jc w:val="center"/>
              </w:trPr>
              <w:tc>
                <w:tcPr>
                  <w:tcW w:w="2500" w:type="pct"/>
                  <w:tcBorders>
                    <w:top w:val="nil"/>
                    <w:bottom w:val="nil"/>
                  </w:tcBorders>
                </w:tcPr>
                <w:p w14:paraId="4B62DA16" w14:textId="77777777" w:rsidR="00930A58" w:rsidRPr="00B1465D" w:rsidRDefault="00930A58" w:rsidP="00A87D2D">
                  <w:pPr>
                    <w:pStyle w:val="Figure"/>
                    <w:spacing w:before="60" w:after="60"/>
                    <w:rPr>
                      <w:rFonts w:ascii="Arial" w:hAnsi="Arial" w:cs="Arial"/>
                      <w:sz w:val="18"/>
                      <w:szCs w:val="18"/>
                    </w:rPr>
                  </w:pPr>
                  <w:r>
                    <w:rPr>
                      <w:rFonts w:ascii="Arial" w:hAnsi="Arial" w:cs="Arial"/>
                      <w:sz w:val="18"/>
                      <w:szCs w:val="18"/>
                    </w:rPr>
                    <w:t>Average annual percentage changes between various periods</w:t>
                  </w:r>
                </w:p>
              </w:tc>
              <w:tc>
                <w:tcPr>
                  <w:tcW w:w="2500" w:type="pct"/>
                  <w:tcBorders>
                    <w:top w:val="nil"/>
                    <w:bottom w:val="nil"/>
                  </w:tcBorders>
                </w:tcPr>
                <w:p w14:paraId="2A556B77" w14:textId="77777777" w:rsidR="00930A58" w:rsidRPr="00B1465D" w:rsidRDefault="00930A58" w:rsidP="00A87D2D">
                  <w:pPr>
                    <w:pStyle w:val="Figure"/>
                    <w:spacing w:before="60" w:after="60"/>
                    <w:rPr>
                      <w:rFonts w:ascii="Arial" w:hAnsi="Arial" w:cs="Arial"/>
                      <w:sz w:val="18"/>
                      <w:szCs w:val="18"/>
                    </w:rPr>
                  </w:pPr>
                  <w:r>
                    <w:rPr>
                      <w:rFonts w:ascii="Arial" w:hAnsi="Arial" w:cs="Arial"/>
                      <w:sz w:val="18"/>
                      <w:szCs w:val="18"/>
                    </w:rPr>
                    <w:t>August 1986 to November 2016</w:t>
                  </w:r>
                  <w:r w:rsidRPr="00D111B8">
                    <w:rPr>
                      <w:rStyle w:val="NoteLabel"/>
                    </w:rPr>
                    <w:t>a</w:t>
                  </w:r>
                </w:p>
              </w:tc>
            </w:tr>
            <w:tr w:rsidR="00930A58" w:rsidRPr="00B1465D" w14:paraId="2C142145" w14:textId="77777777" w:rsidTr="00A87D2D">
              <w:tblPrEx>
                <w:tblCellMar>
                  <w:left w:w="108" w:type="dxa"/>
                  <w:right w:w="108" w:type="dxa"/>
                </w:tblCellMar>
              </w:tblPrEx>
              <w:trPr>
                <w:trHeight w:val="180"/>
                <w:tblHeader/>
                <w:jc w:val="center"/>
              </w:trPr>
              <w:tc>
                <w:tcPr>
                  <w:tcW w:w="2500" w:type="pct"/>
                  <w:tcBorders>
                    <w:top w:val="nil"/>
                    <w:bottom w:val="nil"/>
                  </w:tcBorders>
                </w:tcPr>
                <w:p w14:paraId="21AA2378" w14:textId="2D2B51E7" w:rsidR="00930A58" w:rsidRPr="00B1465D" w:rsidRDefault="007A13B3" w:rsidP="00A87D2D">
                  <w:pPr>
                    <w:pStyle w:val="Figure"/>
                    <w:spacing w:before="60" w:after="60"/>
                    <w:rPr>
                      <w:rFonts w:ascii="Arial" w:hAnsi="Arial" w:cs="Arial"/>
                      <w:sz w:val="18"/>
                      <w:szCs w:val="18"/>
                    </w:rPr>
                  </w:pPr>
                  <w:r>
                    <w:rPr>
                      <w:rFonts w:ascii="Arial" w:hAnsi="Arial" w:cs="Arial"/>
                      <w:noProof/>
                      <w:sz w:val="18"/>
                      <w:szCs w:val="18"/>
                    </w:rPr>
                    <w:drawing>
                      <wp:inline distT="0" distB="0" distL="0" distR="0" wp14:anchorId="1E3E6C0E" wp14:editId="526E4DF2">
                        <wp:extent cx="2664460" cy="2310765"/>
                        <wp:effectExtent l="0" t="0" r="2540" b="0"/>
                        <wp:docPr id="4" name="Picture 4" descr="There are two panels to this figure.  Panel 1 shows a column chart of the average annual percentage change in employment for jobs grouped into 5 skill levels (ranging from high to low) for a 10 year period (1986 to 1996) and a 30 year period (1986 to 2016). Panel 2 shows the time series trend in the share of employment by skill level of the 30 year period from 1986 to 2016. Both panels highlight that the highest skilled jobs have grown strongly and the second highest skill level jobs have experienced some growth. Middle skilled jobs have experienced the biggest decline in the share of employment. There has also been some decline in the lowest skill jobs as a proportion of total employ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4460" cy="2310765"/>
                                </a:xfrm>
                                <a:prstGeom prst="rect">
                                  <a:avLst/>
                                </a:prstGeom>
                                <a:noFill/>
                              </pic:spPr>
                            </pic:pic>
                          </a:graphicData>
                        </a:graphic>
                      </wp:inline>
                    </w:drawing>
                  </w:r>
                </w:p>
              </w:tc>
              <w:tc>
                <w:tcPr>
                  <w:tcW w:w="2500" w:type="pct"/>
                  <w:tcBorders>
                    <w:top w:val="nil"/>
                    <w:bottom w:val="nil"/>
                  </w:tcBorders>
                </w:tcPr>
                <w:p w14:paraId="171F6FE3" w14:textId="2D670CC3" w:rsidR="00930A58" w:rsidRPr="00B1465D" w:rsidRDefault="007A13B3" w:rsidP="00A87D2D">
                  <w:pPr>
                    <w:pStyle w:val="Figure"/>
                    <w:spacing w:before="60" w:after="60"/>
                    <w:rPr>
                      <w:rFonts w:ascii="Arial" w:hAnsi="Arial" w:cs="Arial"/>
                      <w:sz w:val="18"/>
                      <w:szCs w:val="18"/>
                    </w:rPr>
                  </w:pPr>
                  <w:r>
                    <w:rPr>
                      <w:rFonts w:ascii="Arial" w:hAnsi="Arial" w:cs="Arial"/>
                      <w:noProof/>
                      <w:sz w:val="18"/>
                      <w:szCs w:val="18"/>
                    </w:rPr>
                    <w:drawing>
                      <wp:inline distT="0" distB="0" distL="0" distR="0" wp14:anchorId="12C929AB" wp14:editId="642EFEC2">
                        <wp:extent cx="2566670" cy="2219325"/>
                        <wp:effectExtent l="0" t="0" r="5080" b="9525"/>
                        <wp:docPr id="7" name="Picture 7" descr="There are two panels to this figure.  Panel 1 shows a column chart of the average annual percentage change in employment for jobs grouped into 5 skill levels (ranging from high to low) for a 10 year period (1986 to 1996) and a 30 year period (1986 to 2016). Panel 2 shows the time series trend in the share of employment by skill level of the 30 year period from 1986 to 2016. Both panels highlight that the highest skilled jobs have grown strongly and the second highest skill level jobs have experienced some growth. Middle skilled jobs have experienced the biggest decline in the share of employment. There has also been some decline in the lowest skill jobs as a proportion of total employ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66670" cy="2219325"/>
                                </a:xfrm>
                                <a:prstGeom prst="rect">
                                  <a:avLst/>
                                </a:prstGeom>
                                <a:noFill/>
                              </pic:spPr>
                            </pic:pic>
                          </a:graphicData>
                        </a:graphic>
                      </wp:inline>
                    </w:drawing>
                  </w:r>
                </w:p>
              </w:tc>
            </w:tr>
          </w:tbl>
          <w:p w14:paraId="1B4D2AB0" w14:textId="77777777" w:rsidR="00930A58" w:rsidRDefault="00930A58" w:rsidP="00A87D2D">
            <w:pPr>
              <w:pStyle w:val="Figure"/>
            </w:pPr>
          </w:p>
        </w:tc>
      </w:tr>
      <w:tr w:rsidR="00930A58" w:rsidRPr="00176D3F" w14:paraId="52F2E890" w14:textId="77777777" w:rsidTr="00FA335F">
        <w:tc>
          <w:tcPr>
            <w:tcW w:w="8789" w:type="dxa"/>
            <w:tcBorders>
              <w:top w:val="nil"/>
              <w:left w:val="nil"/>
              <w:bottom w:val="nil"/>
              <w:right w:val="nil"/>
            </w:tcBorders>
            <w:shd w:val="clear" w:color="auto" w:fill="auto"/>
          </w:tcPr>
          <w:p w14:paraId="029616BC" w14:textId="77777777" w:rsidR="00930A58" w:rsidRPr="00176D3F" w:rsidRDefault="00930A58" w:rsidP="00A87D2D">
            <w:pPr>
              <w:pStyle w:val="Note"/>
            </w:pPr>
            <w:r>
              <w:rPr>
                <w:rStyle w:val="NoteLabel"/>
              </w:rPr>
              <w:t>a</w:t>
            </w:r>
            <w:r>
              <w:t xml:space="preserve"> L1 to L5 refer to skill levels</w:t>
            </w:r>
          </w:p>
        </w:tc>
      </w:tr>
      <w:tr w:rsidR="00930A58" w:rsidRPr="00176D3F" w14:paraId="20958298" w14:textId="77777777" w:rsidTr="00FA335F">
        <w:tc>
          <w:tcPr>
            <w:tcW w:w="8789" w:type="dxa"/>
            <w:tcBorders>
              <w:top w:val="nil"/>
              <w:left w:val="nil"/>
              <w:bottom w:val="nil"/>
              <w:right w:val="nil"/>
            </w:tcBorders>
            <w:shd w:val="clear" w:color="auto" w:fill="auto"/>
          </w:tcPr>
          <w:p w14:paraId="4BD0B3FB" w14:textId="77777777" w:rsidR="00930A58" w:rsidRPr="00176D3F" w:rsidRDefault="00930A58" w:rsidP="00A87D2D">
            <w:pPr>
              <w:pStyle w:val="Source"/>
            </w:pPr>
            <w:r>
              <w:rPr>
                <w:i/>
              </w:rPr>
              <w:t>S</w:t>
            </w:r>
            <w:r w:rsidRPr="00784A05">
              <w:rPr>
                <w:i/>
              </w:rPr>
              <w:t>ource</w:t>
            </w:r>
            <w:r w:rsidRPr="00176D3F">
              <w:t xml:space="preserve">: </w:t>
            </w:r>
            <w:r>
              <w:t xml:space="preserve">ABS 2016, </w:t>
            </w:r>
            <w:r w:rsidRPr="00DC6C99">
              <w:rPr>
                <w:i/>
              </w:rPr>
              <w:t>Labour Force, Australia, Detailed, Quarterly, Nov</w:t>
            </w:r>
            <w:r>
              <w:t>, Cat. no. </w:t>
            </w:r>
            <w:r w:rsidRPr="002A17E3">
              <w:t>6291.0.55.003</w:t>
            </w:r>
            <w:r>
              <w:t>; and PC calculations.</w:t>
            </w:r>
          </w:p>
        </w:tc>
      </w:tr>
      <w:tr w:rsidR="00930A58" w14:paraId="348028EB" w14:textId="77777777" w:rsidTr="00FA335F">
        <w:tc>
          <w:tcPr>
            <w:tcW w:w="8789" w:type="dxa"/>
            <w:tcBorders>
              <w:top w:val="nil"/>
              <w:left w:val="nil"/>
              <w:bottom w:val="single" w:sz="6" w:space="0" w:color="78A22F"/>
              <w:right w:val="nil"/>
            </w:tcBorders>
            <w:shd w:val="clear" w:color="auto" w:fill="auto"/>
          </w:tcPr>
          <w:p w14:paraId="22BFD5F7" w14:textId="77777777" w:rsidR="00930A58" w:rsidRDefault="00930A58" w:rsidP="00A87D2D">
            <w:pPr>
              <w:pStyle w:val="Figurespace"/>
            </w:pPr>
          </w:p>
        </w:tc>
      </w:tr>
      <w:tr w:rsidR="00930A58" w:rsidRPr="000863A5" w14:paraId="4827ED1B" w14:textId="77777777" w:rsidTr="00FA335F">
        <w:tc>
          <w:tcPr>
            <w:tcW w:w="8789" w:type="dxa"/>
            <w:tcBorders>
              <w:top w:val="single" w:sz="6" w:space="0" w:color="78A22F"/>
              <w:left w:val="nil"/>
              <w:bottom w:val="nil"/>
              <w:right w:val="nil"/>
            </w:tcBorders>
          </w:tcPr>
          <w:p w14:paraId="33AE7E16" w14:textId="13317752" w:rsidR="00930A58" w:rsidRPr="00626D32" w:rsidRDefault="00930A58" w:rsidP="00A87D2D">
            <w:pPr>
              <w:pStyle w:val="BoxSpaceBelow"/>
            </w:pPr>
          </w:p>
        </w:tc>
      </w:tr>
    </w:tbl>
    <w:p w14:paraId="27F09594" w14:textId="535194F1" w:rsidR="00D1728A" w:rsidRDefault="00191A14" w:rsidP="00191A14">
      <w:pPr>
        <w:pStyle w:val="BodyText"/>
      </w:pPr>
      <w:r>
        <w:t xml:space="preserve">The past record of technological disruption shows that </w:t>
      </w:r>
      <w:r w:rsidRPr="00EB14EB">
        <w:t xml:space="preserve">some cohorts have been affected more </w:t>
      </w:r>
      <w:r w:rsidR="00213247">
        <w:t xml:space="preserve">than others, </w:t>
      </w:r>
      <w:r>
        <w:t xml:space="preserve">such as </w:t>
      </w:r>
      <w:r w:rsidR="00213247">
        <w:t>male mature</w:t>
      </w:r>
      <w:r w:rsidR="00213247">
        <w:noBreakHyphen/>
      </w:r>
      <w:r>
        <w:t xml:space="preserve">age workers </w:t>
      </w:r>
      <w:r w:rsidR="00213247">
        <w:t xml:space="preserve">those </w:t>
      </w:r>
      <w:r>
        <w:t>with limited English</w:t>
      </w:r>
      <w:r w:rsidR="00213247">
        <w:t>, lower educational qualifications,</w:t>
      </w:r>
      <w:r w:rsidR="005E0A5F">
        <w:t xml:space="preserve"> </w:t>
      </w:r>
      <w:r w:rsidR="00213247">
        <w:t xml:space="preserve">or in </w:t>
      </w:r>
      <w:r w:rsidR="005E0A5F">
        <w:t>blue collar jobs</w:t>
      </w:r>
      <w:r w:rsidR="00A94805">
        <w:t xml:space="preserve"> </w:t>
      </w:r>
      <w:r w:rsidR="00295470" w:rsidRPr="00295470">
        <w:rPr>
          <w:szCs w:val="24"/>
        </w:rPr>
        <w:t>(</w:t>
      </w:r>
      <w:proofErr w:type="spellStart"/>
      <w:r w:rsidR="00295470" w:rsidRPr="00295470">
        <w:rPr>
          <w:szCs w:val="24"/>
        </w:rPr>
        <w:t>Murtough</w:t>
      </w:r>
      <w:proofErr w:type="spellEnd"/>
      <w:r w:rsidR="00295470" w:rsidRPr="00295470">
        <w:rPr>
          <w:szCs w:val="24"/>
        </w:rPr>
        <w:t xml:space="preserve"> and Waite 2000)</w:t>
      </w:r>
      <w:r w:rsidR="00C036EE">
        <w:t>.</w:t>
      </w:r>
      <w:r w:rsidRPr="00214E24">
        <w:rPr>
          <w:rStyle w:val="FootnoteReference"/>
        </w:rPr>
        <w:footnoteReference w:id="5"/>
      </w:r>
      <w:r>
        <w:t xml:space="preserve"> </w:t>
      </w:r>
      <w:r w:rsidR="001F77C9">
        <w:t>Case study</w:t>
      </w:r>
      <w:r w:rsidR="004018B0">
        <w:t xml:space="preserve"> evidence also suggests that job displacement </w:t>
      </w:r>
      <w:r w:rsidR="001F77C9">
        <w:t xml:space="preserve">outcomes vary considerably across different businesses, depending on </w:t>
      </w:r>
      <w:r w:rsidR="00AA5F4C">
        <w:t xml:space="preserve">the </w:t>
      </w:r>
      <w:r w:rsidR="001F77C9">
        <w:t xml:space="preserve">nature of the local labour market, the age of the worker (older </w:t>
      </w:r>
      <w:r w:rsidR="00D1728A">
        <w:t>people</w:t>
      </w:r>
      <w:r w:rsidR="001F77C9">
        <w:t xml:space="preserve"> fare worse) and the scale of the displacement</w:t>
      </w:r>
      <w:r w:rsidR="00F179AA">
        <w:t xml:space="preserve"> </w:t>
      </w:r>
      <w:r w:rsidR="00F179AA" w:rsidRPr="00F179AA">
        <w:rPr>
          <w:szCs w:val="24"/>
        </w:rPr>
        <w:t>(Borland 1998)</w:t>
      </w:r>
      <w:r w:rsidR="00A94805">
        <w:t>. Longitudinal data show that the likelihood of still being in the labour force in 2011 for a person who was unemployed in 2006 is dependent on age and educational attainment.</w:t>
      </w:r>
      <w:r w:rsidR="00E327A5">
        <w:t xml:space="preserve"> For example, the likelihood that a</w:t>
      </w:r>
      <w:r w:rsidR="00D1728A">
        <w:t>n unemployed</w:t>
      </w:r>
      <w:r w:rsidR="00E327A5">
        <w:t xml:space="preserve"> person aged 45</w:t>
      </w:r>
      <w:r w:rsidR="00133C69">
        <w:noBreakHyphen/>
      </w:r>
      <w:r w:rsidR="00E327A5">
        <w:t xml:space="preserve">54 </w:t>
      </w:r>
      <w:r w:rsidR="00D1728A">
        <w:t xml:space="preserve">years </w:t>
      </w:r>
      <w:r w:rsidR="00E327A5">
        <w:t xml:space="preserve">with a </w:t>
      </w:r>
      <w:r w:rsidR="00D1728A">
        <w:t xml:space="preserve">postgraduate degree in 2006 was outside the labour market in 2011 was </w:t>
      </w:r>
      <w:r w:rsidR="003477CD">
        <w:t>about</w:t>
      </w:r>
      <w:r w:rsidR="00D1728A">
        <w:t xml:space="preserve"> 23 per cent</w:t>
      </w:r>
      <w:r w:rsidR="00CC602C">
        <w:t>. Different ages and educational levels produce significantly different outcomes:</w:t>
      </w:r>
    </w:p>
    <w:p w14:paraId="4D214740" w14:textId="69880B7D" w:rsidR="00D1728A" w:rsidRDefault="00D1728A" w:rsidP="00EC19FC">
      <w:pPr>
        <w:pStyle w:val="ListBullet"/>
      </w:pPr>
      <w:r w:rsidRPr="00EC19FC">
        <w:rPr>
          <w:i/>
        </w:rPr>
        <w:t>Age</w:t>
      </w:r>
      <w:r>
        <w:t xml:space="preserve"> </w:t>
      </w:r>
      <w:r w:rsidRPr="00EC19FC">
        <w:rPr>
          <w:i/>
        </w:rPr>
        <w:t>effect</w:t>
      </w:r>
      <w:r>
        <w:t>: For an otherwise similar person aged 35</w:t>
      </w:r>
      <w:r w:rsidR="00133C69">
        <w:noBreakHyphen/>
      </w:r>
      <w:r>
        <w:t xml:space="preserve">44 years in 2006, the likelihood was </w:t>
      </w:r>
      <w:r w:rsidR="003477CD">
        <w:t>about</w:t>
      </w:r>
      <w:r>
        <w:t xml:space="preserve"> 9 per cent</w:t>
      </w:r>
    </w:p>
    <w:p w14:paraId="18569168" w14:textId="059A1791" w:rsidR="00191A14" w:rsidRDefault="00D1728A" w:rsidP="00EC19FC">
      <w:pPr>
        <w:pStyle w:val="ListBullet"/>
      </w:pPr>
      <w:r w:rsidRPr="00EC19FC">
        <w:rPr>
          <w:i/>
        </w:rPr>
        <w:t>Education effect</w:t>
      </w:r>
      <w:r>
        <w:t>: For an otherwise similar person with only school education in 2006, the likelihood was nearly 40 per cent.</w:t>
      </w:r>
      <w:r w:rsidRPr="00214E24">
        <w:rPr>
          <w:rStyle w:val="FootnoteReference"/>
        </w:rPr>
        <w:footnoteReference w:id="6"/>
      </w:r>
    </w:p>
    <w:p w14:paraId="6BD0EF70" w14:textId="5369A5F8" w:rsidR="00FF2DE0" w:rsidRDefault="00C036EE" w:rsidP="00191A14">
      <w:pPr>
        <w:pStyle w:val="BodyText"/>
      </w:pPr>
      <w:r>
        <w:t xml:space="preserve">It is hard to argue that </w:t>
      </w:r>
      <w:r w:rsidR="00D1728A">
        <w:t>structural</w:t>
      </w:r>
      <w:r>
        <w:t xml:space="preserve"> pressures will abate in the future. </w:t>
      </w:r>
      <w:r w:rsidR="00C52020">
        <w:t>Therefore</w:t>
      </w:r>
      <w:r w:rsidR="00FF2DE0">
        <w:t xml:space="preserve">, </w:t>
      </w:r>
      <w:r>
        <w:t xml:space="preserve">even if there is </w:t>
      </w:r>
      <w:r w:rsidR="00FF2DE0">
        <w:t>no ‘average’ adverse outcome for employment</w:t>
      </w:r>
      <w:r w:rsidR="00D1728A">
        <w:t xml:space="preserve"> and participation associated with automation</w:t>
      </w:r>
      <w:r>
        <w:t>, this</w:t>
      </w:r>
      <w:r w:rsidR="00FF2DE0">
        <w:t xml:space="preserve"> </w:t>
      </w:r>
      <w:r>
        <w:t>would</w:t>
      </w:r>
      <w:r w:rsidR="00FF2DE0">
        <w:t xml:space="preserve"> provide li</w:t>
      </w:r>
      <w:r w:rsidR="008F5E27">
        <w:t xml:space="preserve">ttle solace for specific groups that are more likely to be affected. </w:t>
      </w:r>
    </w:p>
    <w:p w14:paraId="0EA0D41A" w14:textId="1F16726D" w:rsidR="000E793B" w:rsidRDefault="006B229F" w:rsidP="000E793B">
      <w:pPr>
        <w:pStyle w:val="BodyText"/>
      </w:pPr>
      <w:r>
        <w:t xml:space="preserve">Furthermore, </w:t>
      </w:r>
      <w:r w:rsidR="00895596">
        <w:t xml:space="preserve">even </w:t>
      </w:r>
      <w:r w:rsidR="000E793B">
        <w:t>if participation and unemployment rates are not affected by new technologies, wages and hours worked</w:t>
      </w:r>
      <w:r w:rsidR="00895596">
        <w:t xml:space="preserve"> may be affected</w:t>
      </w:r>
      <w:r w:rsidR="000E793B">
        <w:t xml:space="preserve">. Many of the jobs requiring manual dexterity or personal skills that cannot readily be automated (domestic tasks; disability, aged and </w:t>
      </w:r>
      <w:r w:rsidR="00C52020">
        <w:t>childcare</w:t>
      </w:r>
      <w:r w:rsidR="000E793B">
        <w:t>) are at the lower end of the wage distribution and involve part</w:t>
      </w:r>
      <w:r w:rsidR="00133C69">
        <w:noBreakHyphen/>
      </w:r>
      <w:r w:rsidR="000E793B">
        <w:t xml:space="preserve">time work. </w:t>
      </w:r>
    </w:p>
    <w:p w14:paraId="79138DA2" w14:textId="6A6BC634" w:rsidR="000E3914" w:rsidRPr="000F5B9C" w:rsidRDefault="00B5758E" w:rsidP="000E3914">
      <w:pPr>
        <w:pStyle w:val="Heading2"/>
      </w:pPr>
      <w:bookmarkStart w:id="17" w:name="_Toc489363501"/>
      <w:bookmarkStart w:id="18" w:name="_Toc489364877"/>
      <w:r>
        <w:t>2</w:t>
      </w:r>
      <w:r w:rsidR="000E3914">
        <w:t>.4</w:t>
      </w:r>
      <w:r w:rsidR="000E3914">
        <w:tab/>
        <w:t>Other developments that affect occupations</w:t>
      </w:r>
      <w:bookmarkEnd w:id="17"/>
      <w:bookmarkEnd w:id="18"/>
    </w:p>
    <w:p w14:paraId="644183C0" w14:textId="6086EB55" w:rsidR="00EC3764" w:rsidRDefault="000E3914" w:rsidP="000E3914">
      <w:pPr>
        <w:pStyle w:val="BodyText"/>
      </w:pPr>
      <w:r>
        <w:t>Much of the current analysis of the risks for job</w:t>
      </w:r>
      <w:r w:rsidR="0054434F">
        <w:t>s</w:t>
      </w:r>
      <w:r>
        <w:t xml:space="preserve"> and wages posed by technological progress assumes that automation of tasks is the predominant form of disruptive technology. That may be the case, but </w:t>
      </w:r>
      <w:r w:rsidR="00B5758E">
        <w:t>this</w:t>
      </w:r>
      <w:r>
        <w:t xml:space="preserve"> could overlook some other important technological and economic drivers that affect future jobs, but are unrelated to the sophistication of the tasks involved in those jobs. </w:t>
      </w:r>
      <w:r w:rsidR="003E0E4B">
        <w:t>A</w:t>
      </w:r>
      <w:r>
        <w:t>ppendix</w:t>
      </w:r>
      <w:r w:rsidR="00133C69">
        <w:t> </w:t>
      </w:r>
      <w:r w:rsidR="004E6280">
        <w:t>C</w:t>
      </w:r>
      <w:r>
        <w:t xml:space="preserve"> examine</w:t>
      </w:r>
      <w:r w:rsidR="0054434F">
        <w:t>s</w:t>
      </w:r>
      <w:r>
        <w:t xml:space="preserve"> two case studies in the education and health sectors, and how occupations, which may be at low risk of automation, may face reduced demand as a result of technology (other than automation), changes in consumer preferences, task redesign and regulation.</w:t>
      </w:r>
    </w:p>
    <w:p w14:paraId="6087C651" w14:textId="77777777" w:rsidR="007A0DAE" w:rsidRDefault="007A0DAE" w:rsidP="000E3914">
      <w:pPr>
        <w:pStyle w:val="BodyText"/>
      </w:pPr>
    </w:p>
    <w:p w14:paraId="34F4D91C" w14:textId="77777777" w:rsidR="00EC3764" w:rsidRDefault="00EC3764" w:rsidP="000E3914">
      <w:pPr>
        <w:pStyle w:val="BodyText"/>
        <w:sectPr w:rsidR="00EC3764" w:rsidSect="008F710B">
          <w:headerReference w:type="even" r:id="rId24"/>
          <w:headerReference w:type="default" r:id="rId25"/>
          <w:footerReference w:type="even" r:id="rId26"/>
          <w:footerReference w:type="default" r:id="rId27"/>
          <w:pgSz w:w="11907" w:h="16840" w:code="9"/>
          <w:pgMar w:top="1984" w:right="1304" w:bottom="1247" w:left="1814" w:header="1701" w:footer="397" w:gutter="0"/>
          <w:pgNumType w:chapSep="period"/>
          <w:cols w:space="720"/>
          <w:docGrid w:linePitch="326"/>
        </w:sectPr>
      </w:pPr>
    </w:p>
    <w:p w14:paraId="1BBE1F42" w14:textId="48D0B7FA" w:rsidR="000F5B9C" w:rsidRPr="00F16721" w:rsidRDefault="00B5758E" w:rsidP="00F16721">
      <w:pPr>
        <w:pStyle w:val="Heading1"/>
      </w:pPr>
      <w:bookmarkStart w:id="19" w:name="_Toc489363502"/>
      <w:bookmarkStart w:id="20" w:name="_Toc489364878"/>
      <w:r w:rsidRPr="00F16721">
        <w:t>3</w:t>
      </w:r>
      <w:r w:rsidR="000F5B9C" w:rsidRPr="00F16721">
        <w:tab/>
        <w:t>Di</w:t>
      </w:r>
      <w:r w:rsidR="00405012" w:rsidRPr="00F16721">
        <w:t xml:space="preserve">gitalisation is changing the </w:t>
      </w:r>
      <w:r w:rsidR="006B229F" w:rsidRPr="00F16721">
        <w:t xml:space="preserve">nature </w:t>
      </w:r>
      <w:r w:rsidR="003838CD" w:rsidRPr="00F16721">
        <w:t>of firm</w:t>
      </w:r>
      <w:r w:rsidR="006B229F" w:rsidRPr="00F16721">
        <w:t>s</w:t>
      </w:r>
      <w:bookmarkEnd w:id="19"/>
      <w:bookmarkEnd w:id="20"/>
    </w:p>
    <w:p w14:paraId="64B769AE" w14:textId="1504F5F5" w:rsidR="003838CD" w:rsidRDefault="003838CD" w:rsidP="008D0043">
      <w:pPr>
        <w:pStyle w:val="BodyText"/>
      </w:pPr>
      <w:r>
        <w:t xml:space="preserve">Technologies and markets have always shaped the </w:t>
      </w:r>
      <w:r w:rsidR="006B229F">
        <w:t xml:space="preserve">nature </w:t>
      </w:r>
      <w:r>
        <w:t xml:space="preserve">of </w:t>
      </w:r>
      <w:r w:rsidR="005F33A2">
        <w:t>businesses</w:t>
      </w:r>
      <w:r>
        <w:t xml:space="preserve"> and their labour markets. </w:t>
      </w:r>
      <w:r w:rsidR="001E61B4">
        <w:t>For example, e</w:t>
      </w:r>
      <w:r>
        <w:t>lectricity generation in Australia used to be a municipal function supported by local poles and wires. That changed with the advent of large relatively remote coal</w:t>
      </w:r>
      <w:r w:rsidR="00133C69">
        <w:noBreakHyphen/>
      </w:r>
      <w:r>
        <w:t>fired generators and associated long</w:t>
      </w:r>
      <w:r>
        <w:noBreakHyphen/>
        <w:t>distance transmission networks</w:t>
      </w:r>
      <w:r w:rsidR="00DC0AC8">
        <w:t>. It then changed</w:t>
      </w:r>
      <w:r>
        <w:t xml:space="preserve"> even more with the creation of the National Electricity Market. Just as that market is underpinned by sophisticated communication technologies, often so too are domestic and global supply chains.</w:t>
      </w:r>
      <w:r w:rsidR="00133C69">
        <w:t xml:space="preserve"> </w:t>
      </w:r>
    </w:p>
    <w:p w14:paraId="79767DBF" w14:textId="1DEE4689" w:rsidR="003838CD" w:rsidRDefault="00180E69" w:rsidP="008D0043">
      <w:pPr>
        <w:pStyle w:val="BodyText"/>
      </w:pPr>
      <w:r>
        <w:t xml:space="preserve">While emerging technologies will have </w:t>
      </w:r>
      <w:r w:rsidR="00C87B26">
        <w:t>many</w:t>
      </w:r>
      <w:r>
        <w:t xml:space="preserve"> </w:t>
      </w:r>
      <w:r w:rsidR="0069311F">
        <w:t>effects</w:t>
      </w:r>
      <w:r>
        <w:t xml:space="preserve"> on business</w:t>
      </w:r>
      <w:r w:rsidR="00B04358">
        <w:t xml:space="preserve"> structures</w:t>
      </w:r>
      <w:r>
        <w:t xml:space="preserve">, </w:t>
      </w:r>
      <w:r w:rsidR="00B04358">
        <w:t>c</w:t>
      </w:r>
      <w:r w:rsidR="00905F90">
        <w:t>oncern oft</w:t>
      </w:r>
      <w:r w:rsidR="00B04358">
        <w:t>en centres on</w:t>
      </w:r>
      <w:r>
        <w:t xml:space="preserve"> </w:t>
      </w:r>
      <w:r w:rsidR="00B04358">
        <w:t xml:space="preserve">the </w:t>
      </w:r>
      <w:r w:rsidR="00905F90">
        <w:t xml:space="preserve">growing significance of </w:t>
      </w:r>
      <w:r w:rsidR="003838CD">
        <w:t>offshoring and the gig economy</w:t>
      </w:r>
      <w:r w:rsidR="00905F90">
        <w:t>, and their implications for</w:t>
      </w:r>
      <w:r w:rsidR="00C87B26">
        <w:t xml:space="preserve"> </w:t>
      </w:r>
      <w:r w:rsidR="003838CD">
        <w:t>skill formation</w:t>
      </w:r>
      <w:r w:rsidR="00C87B26">
        <w:t>,</w:t>
      </w:r>
      <w:r w:rsidR="003838CD">
        <w:t xml:space="preserve"> labour market</w:t>
      </w:r>
      <w:r w:rsidR="00C87B26">
        <w:t>s</w:t>
      </w:r>
      <w:r w:rsidR="003838CD">
        <w:t xml:space="preserve"> and trade regulation</w:t>
      </w:r>
      <w:r w:rsidR="00B04358">
        <w:t>s</w:t>
      </w:r>
      <w:r w:rsidR="003838CD">
        <w:t xml:space="preserve">. </w:t>
      </w:r>
    </w:p>
    <w:p w14:paraId="42611846" w14:textId="4690BB86" w:rsidR="003838CD" w:rsidRDefault="00B5758E" w:rsidP="009C129B">
      <w:pPr>
        <w:pStyle w:val="Heading2"/>
      </w:pPr>
      <w:bookmarkStart w:id="21" w:name="_Toc489363503"/>
      <w:bookmarkStart w:id="22" w:name="_Toc489364879"/>
      <w:r>
        <w:t>3</w:t>
      </w:r>
      <w:r w:rsidR="009C129B">
        <w:t>.1</w:t>
      </w:r>
      <w:r w:rsidR="009C129B">
        <w:tab/>
      </w:r>
      <w:r w:rsidR="003838CD">
        <w:t>Offshoring</w:t>
      </w:r>
      <w:bookmarkEnd w:id="21"/>
      <w:bookmarkEnd w:id="22"/>
    </w:p>
    <w:p w14:paraId="18E5E62C" w14:textId="7E823716" w:rsidR="002F3687" w:rsidRDefault="00057F40" w:rsidP="007A0DAE">
      <w:pPr>
        <w:pStyle w:val="BodyText"/>
        <w:spacing w:before="200"/>
      </w:pPr>
      <w:r>
        <w:t xml:space="preserve">Digital technologies have </w:t>
      </w:r>
      <w:r w:rsidR="00874DB0">
        <w:t xml:space="preserve">changed </w:t>
      </w:r>
      <w:r>
        <w:t>the extent and nature of links between geographically</w:t>
      </w:r>
      <w:r>
        <w:noBreakHyphen/>
        <w:t>separate businesses, or arms of them, either within Australia or offshore. This has permitted more offshoring of traditionally non</w:t>
      </w:r>
      <w:r>
        <w:noBreakHyphen/>
        <w:t>traded services</w:t>
      </w:r>
      <w:r w:rsidR="0079773D">
        <w:t xml:space="preserve"> involving</w:t>
      </w:r>
      <w:r>
        <w:t xml:space="preserve"> skill</w:t>
      </w:r>
      <w:r w:rsidR="005608FB">
        <w:t>ed</w:t>
      </w:r>
      <w:r>
        <w:t xml:space="preserve"> jobs </w:t>
      </w:r>
      <w:r w:rsidR="0079773D">
        <w:t>like</w:t>
      </w:r>
      <w:r>
        <w:t xml:space="preserve"> accountancy</w:t>
      </w:r>
      <w:r w:rsidR="00346762">
        <w:t xml:space="preserve"> and</w:t>
      </w:r>
      <w:r w:rsidR="005608FB">
        <w:t xml:space="preserve"> </w:t>
      </w:r>
      <w:r>
        <w:t>IT services</w:t>
      </w:r>
      <w:r w:rsidR="0079773D">
        <w:t>,</w:t>
      </w:r>
      <w:r>
        <w:t xml:space="preserve"> and low</w:t>
      </w:r>
      <w:r>
        <w:noBreakHyphen/>
        <w:t>skill jobs such as call centres located in low</w:t>
      </w:r>
      <w:r>
        <w:noBreakHyphen/>
        <w:t>income countries using voice</w:t>
      </w:r>
      <w:r w:rsidR="0049318C">
        <w:noBreakHyphen/>
      </w:r>
      <w:r>
        <w:t>over</w:t>
      </w:r>
      <w:r w:rsidR="0049318C">
        <w:noBreakHyphen/>
      </w:r>
      <w:r>
        <w:t>IP systems</w:t>
      </w:r>
      <w:r w:rsidR="005608FB">
        <w:t xml:space="preserve"> </w:t>
      </w:r>
      <w:r w:rsidR="00982E0A" w:rsidRPr="00982E0A">
        <w:rPr>
          <w:szCs w:val="24"/>
        </w:rPr>
        <w:t>(Deloitte 2014b; Smith 2014)</w:t>
      </w:r>
      <w:r w:rsidR="005608FB">
        <w:t xml:space="preserve">. </w:t>
      </w:r>
    </w:p>
    <w:p w14:paraId="42461B70" w14:textId="43FF1769" w:rsidR="00901D92" w:rsidRDefault="003B0697" w:rsidP="007A0DAE">
      <w:pPr>
        <w:pStyle w:val="BodyText"/>
        <w:spacing w:before="200"/>
      </w:pPr>
      <w:r>
        <w:t xml:space="preserve">As offshoring is a global phenomenon, it cannot be assumed that it will lead to </w:t>
      </w:r>
      <w:r w:rsidR="00346762">
        <w:t xml:space="preserve">overall </w:t>
      </w:r>
      <w:r>
        <w:t xml:space="preserve">job losses in the </w:t>
      </w:r>
      <w:r w:rsidR="00346762">
        <w:t>affected high</w:t>
      </w:r>
      <w:r w:rsidR="00346762">
        <w:noBreakHyphen/>
        <w:t>skill</w:t>
      </w:r>
      <w:r>
        <w:t xml:space="preserve"> occupations in Australia. Indeed, there is some (albeit dated) evidence that demand for Australian high</w:t>
      </w:r>
      <w:r>
        <w:noBreakHyphen/>
        <w:t xml:space="preserve">skill jobs has increased because of offshoring by other countries </w:t>
      </w:r>
      <w:r w:rsidR="005C6866" w:rsidRPr="005C6866">
        <w:rPr>
          <w:szCs w:val="24"/>
        </w:rPr>
        <w:t>(Woods 2007)</w:t>
      </w:r>
      <w:r w:rsidR="00D84571">
        <w:t>.</w:t>
      </w:r>
    </w:p>
    <w:p w14:paraId="2081087C" w14:textId="0052E88C" w:rsidR="00DF0206" w:rsidRDefault="00346762" w:rsidP="007A0DAE">
      <w:pPr>
        <w:pStyle w:val="BodyText"/>
        <w:spacing w:before="200"/>
      </w:pPr>
      <w:r>
        <w:t>Nevertheless</w:t>
      </w:r>
      <w:r w:rsidR="003B0697">
        <w:t>, as occurred with competition from low</w:t>
      </w:r>
      <w:r w:rsidR="003B0697">
        <w:noBreakHyphen/>
        <w:t>wage developing economies in basic manufacturing, it seems</w:t>
      </w:r>
      <w:r>
        <w:t xml:space="preserve"> likely Australia will experience a relative decline in more routine service jobs that do not require face</w:t>
      </w:r>
      <w:r>
        <w:noBreakHyphen/>
        <w:t>to</w:t>
      </w:r>
      <w:r>
        <w:noBreakHyphen/>
        <w:t xml:space="preserve">face contact. As with trade liberalisation generally, this can be expected to shift people between jobs and occupations rather than affect aggregate employment. </w:t>
      </w:r>
      <w:r w:rsidR="00901D92">
        <w:t xml:space="preserve">One of the reasons for this is that offshoring lowers production costs for domestic </w:t>
      </w:r>
      <w:r w:rsidR="005F33A2">
        <w:t>businesses</w:t>
      </w:r>
      <w:r w:rsidR="00901D92">
        <w:t>, reduces prices, increasing consumer demand and inducing demand for the types of jobs still required in the home country (for example, non</w:t>
      </w:r>
      <w:r w:rsidR="00901D92">
        <w:noBreakHyphen/>
        <w:t xml:space="preserve">routine abstract tasks, such as marketing and design). </w:t>
      </w:r>
    </w:p>
    <w:p w14:paraId="3E2827A2" w14:textId="4702B58C" w:rsidR="00094AD7" w:rsidRDefault="00D63017" w:rsidP="007A0DAE">
      <w:pPr>
        <w:pStyle w:val="BodyText"/>
        <w:spacing w:before="200"/>
      </w:pPr>
      <w:r>
        <w:t xml:space="preserve">But it could lead to </w:t>
      </w:r>
      <w:r w:rsidR="00DC0AC8">
        <w:t xml:space="preserve">the </w:t>
      </w:r>
      <w:r>
        <w:t xml:space="preserve">stranding of some people with skills that would formerly have been expected to be safe from structural change (such as human resources jobs). </w:t>
      </w:r>
      <w:r w:rsidR="00DF0206">
        <w:t>R</w:t>
      </w:r>
      <w:r>
        <w:t xml:space="preserve">etraining may be an important resort for such people to </w:t>
      </w:r>
      <w:r w:rsidR="00BD72F8">
        <w:t>maintain</w:t>
      </w:r>
      <w:r w:rsidR="00BD72F8" w:rsidDel="00BD72F8">
        <w:t xml:space="preserve"> </w:t>
      </w:r>
      <w:r>
        <w:t>employment</w:t>
      </w:r>
      <w:r w:rsidR="00E920D2">
        <w:t xml:space="preserve">, </w:t>
      </w:r>
      <w:r>
        <w:t>and they may have a greater capacity to retrain given their existing skills</w:t>
      </w:r>
      <w:r w:rsidR="00DF0206">
        <w:t xml:space="preserve">. </w:t>
      </w:r>
    </w:p>
    <w:p w14:paraId="5EDAFE77" w14:textId="721B6F12" w:rsidR="00DF0206" w:rsidRDefault="003838CD" w:rsidP="007A0DAE">
      <w:pPr>
        <w:pStyle w:val="BodyText"/>
        <w:spacing w:before="200"/>
      </w:pPr>
      <w:r>
        <w:t>A</w:t>
      </w:r>
      <w:r w:rsidR="00DF0206">
        <w:t xml:space="preserve">n added </w:t>
      </w:r>
      <w:r>
        <w:t xml:space="preserve">‘political economy’ </w:t>
      </w:r>
      <w:r w:rsidR="00DF0206">
        <w:t xml:space="preserve">argument for </w:t>
      </w:r>
      <w:r w:rsidR="008C7987">
        <w:t xml:space="preserve">government investment in proactive retraining </w:t>
      </w:r>
      <w:r w:rsidR="00DF0206">
        <w:t xml:space="preserve">is that </w:t>
      </w:r>
      <w:r w:rsidR="008C7987">
        <w:t xml:space="preserve">the effects of </w:t>
      </w:r>
      <w:r w:rsidR="00DF0206">
        <w:t xml:space="preserve">offshoring can fuel </w:t>
      </w:r>
      <w:r>
        <w:t>demands for regulatory measures to limit its use. Governments can reduce this risk by increasing the labour market prospects of those people who are adversely affected. Others have equally noted that improving skills</w:t>
      </w:r>
      <w:r w:rsidR="00E920D2">
        <w:t>,</w:t>
      </w:r>
      <w:r>
        <w:t xml:space="preserve"> rather than regulating offshoring</w:t>
      </w:r>
      <w:r w:rsidR="00E920D2">
        <w:t>,</w:t>
      </w:r>
      <w:r>
        <w:t xml:space="preserve"> is the </w:t>
      </w:r>
      <w:r w:rsidR="00DF0206">
        <w:t>key policy imperative:</w:t>
      </w:r>
    </w:p>
    <w:p w14:paraId="5CADC5DF" w14:textId="63F37EB9" w:rsidR="002C26E2" w:rsidRDefault="00DF0206" w:rsidP="002C26E2">
      <w:pPr>
        <w:pStyle w:val="Quote"/>
      </w:pPr>
      <w:r>
        <w:t>Task upgrading occurs because the offshored tasks are less complex than the tasks that remain at home. Because offshoring can lead to productivity gains and task upgrading at home, what policymakers should prioritize is not curtailing offshoring but rather helping domestic workers seize the opportunities presented by task upgrading. Policymakers can do this by supporting domestic workers in building the types of communication and cognitive skills that domestic firms have a hard time finding abroad through forward</w:t>
      </w:r>
      <w:r w:rsidR="00133C69">
        <w:noBreakHyphen/>
      </w:r>
      <w:r>
        <w:t>looking vocational education for future workers and focused retraining programs for current workers</w:t>
      </w:r>
      <w:r w:rsidR="008E5A91">
        <w:t>.</w:t>
      </w:r>
      <w:r w:rsidR="00982E0A">
        <w:t xml:space="preserve"> </w:t>
      </w:r>
      <w:r w:rsidR="00982E0A" w:rsidRPr="00982E0A">
        <w:rPr>
          <w:szCs w:val="24"/>
        </w:rPr>
        <w:t>(</w:t>
      </w:r>
      <w:proofErr w:type="spellStart"/>
      <w:r w:rsidR="00982E0A" w:rsidRPr="00982E0A">
        <w:rPr>
          <w:szCs w:val="24"/>
        </w:rPr>
        <w:t>Ottaviano</w:t>
      </w:r>
      <w:proofErr w:type="spellEnd"/>
      <w:r w:rsidR="00982E0A" w:rsidRPr="00982E0A">
        <w:rPr>
          <w:szCs w:val="24"/>
        </w:rPr>
        <w:t> 2015, p. 9)</w:t>
      </w:r>
    </w:p>
    <w:p w14:paraId="1789A710" w14:textId="7EE704F7" w:rsidR="003838CD" w:rsidRDefault="00B5758E" w:rsidP="009C129B">
      <w:pPr>
        <w:pStyle w:val="Heading2"/>
      </w:pPr>
      <w:bookmarkStart w:id="23" w:name="_Toc489363504"/>
      <w:bookmarkStart w:id="24" w:name="_Toc489364880"/>
      <w:r>
        <w:t>3</w:t>
      </w:r>
      <w:r w:rsidR="009C129B">
        <w:t>.2</w:t>
      </w:r>
      <w:r w:rsidR="009C129B">
        <w:tab/>
      </w:r>
      <w:r w:rsidR="003838CD">
        <w:t>The gig economy</w:t>
      </w:r>
      <w:bookmarkEnd w:id="23"/>
      <w:bookmarkEnd w:id="24"/>
    </w:p>
    <w:p w14:paraId="7EB13DC6" w14:textId="6B061ABA" w:rsidR="00863A22" w:rsidRDefault="00952434" w:rsidP="007A0DAE">
      <w:pPr>
        <w:pStyle w:val="BodyText"/>
        <w:spacing w:before="200"/>
      </w:pPr>
      <w:r>
        <w:t>B</w:t>
      </w:r>
      <w:r w:rsidR="00863A22">
        <w:t>usinesses are platforms for organising labour and capital. In their traditional form, they typically involve interpersonal relationships — hierarchies, training, career development,</w:t>
      </w:r>
      <w:r w:rsidR="001833F6">
        <w:t xml:space="preserve"> </w:t>
      </w:r>
      <w:r w:rsidR="00863A22">
        <w:t>monitoring — and can often adapt quickly to the needs of individual employees. The actions of employee</w:t>
      </w:r>
      <w:r w:rsidR="004B1893">
        <w:t>s</w:t>
      </w:r>
      <w:r w:rsidR="00863A22">
        <w:t xml:space="preserve"> are subject to </w:t>
      </w:r>
      <w:r w:rsidR="004B1893">
        <w:t xml:space="preserve">clear managerial </w:t>
      </w:r>
      <w:r w:rsidR="00863A22">
        <w:t>direction</w:t>
      </w:r>
      <w:r w:rsidR="004B1893">
        <w:t xml:space="preserve"> (one of the key criteria for the legal definition of an employee rather than a contractor).</w:t>
      </w:r>
    </w:p>
    <w:p w14:paraId="22E7F88F" w14:textId="76DED17B" w:rsidR="00863A22" w:rsidRDefault="00863A22" w:rsidP="007A0DAE">
      <w:pPr>
        <w:pStyle w:val="BodyText"/>
        <w:spacing w:before="200"/>
      </w:pPr>
      <w:r>
        <w:t xml:space="preserve">The gig economy departs from this model. The platform is digital and </w:t>
      </w:r>
      <w:r w:rsidR="00761572">
        <w:t xml:space="preserve">more </w:t>
      </w:r>
      <w:r>
        <w:t xml:space="preserve">impersonal. </w:t>
      </w:r>
      <w:r w:rsidRPr="00405012">
        <w:t xml:space="preserve">The rise of platform websites (such as Uber, </w:t>
      </w:r>
      <w:proofErr w:type="spellStart"/>
      <w:r w:rsidR="00D80D17">
        <w:t>Upwork</w:t>
      </w:r>
      <w:proofErr w:type="spellEnd"/>
      <w:r w:rsidR="00D80D17">
        <w:t xml:space="preserve">, </w:t>
      </w:r>
      <w:r>
        <w:t xml:space="preserve">Whizz, </w:t>
      </w:r>
      <w:r w:rsidRPr="00405012">
        <w:t xml:space="preserve">Freelancer, </w:t>
      </w:r>
      <w:proofErr w:type="spellStart"/>
      <w:r w:rsidRPr="00405012">
        <w:t>Airtasker</w:t>
      </w:r>
      <w:proofErr w:type="spellEnd"/>
      <w:r w:rsidRPr="00405012">
        <w:t xml:space="preserve"> and 99designs) extends the ability of businesses to break</w:t>
      </w:r>
      <w:r>
        <w:t xml:space="preserve"> </w:t>
      </w:r>
      <w:r w:rsidRPr="00405012">
        <w:t>down jobs into components, buying in ‘tasks’ as needed</w:t>
      </w:r>
      <w:r>
        <w:t xml:space="preserve"> </w:t>
      </w:r>
      <w:r w:rsidR="00F56992" w:rsidRPr="00F56992">
        <w:rPr>
          <w:szCs w:val="24"/>
        </w:rPr>
        <w:t>(PC 2016a)</w:t>
      </w:r>
      <w:r w:rsidRPr="00405012">
        <w:t>.</w:t>
      </w:r>
      <w:r>
        <w:t xml:space="preserve"> </w:t>
      </w:r>
      <w:r w:rsidRPr="002354F7">
        <w:t xml:space="preserve">These arrangements can help improve productivity by more accurately matching and scaling resources to the needs of </w:t>
      </w:r>
      <w:r w:rsidR="005F33A2">
        <w:t>businesses</w:t>
      </w:r>
      <w:r>
        <w:t xml:space="preserve"> and customers. The </w:t>
      </w:r>
      <w:r w:rsidR="00B541B7">
        <w:t>worker</w:t>
      </w:r>
      <w:r>
        <w:t xml:space="preserve"> </w:t>
      </w:r>
      <w:r w:rsidR="004B1893">
        <w:t xml:space="preserve">may have </w:t>
      </w:r>
      <w:r>
        <w:t xml:space="preserve">greater independence in the way they undertake their work and the tools they use. </w:t>
      </w:r>
      <w:r w:rsidR="00DC557D">
        <w:t>This raises the possibility that contracting will rise in significance as a form of employment, though the</w:t>
      </w:r>
      <w:r w:rsidR="00FC5788">
        <w:t>r</w:t>
      </w:r>
      <w:r w:rsidR="00DC557D">
        <w:t>e is no evidence of such a trend in labour market data in Australia.</w:t>
      </w:r>
      <w:r w:rsidR="00DC557D" w:rsidRPr="00214E24">
        <w:rPr>
          <w:rStyle w:val="FootnoteReference"/>
        </w:rPr>
        <w:footnoteReference w:id="7"/>
      </w:r>
      <w:r w:rsidR="00334C2A">
        <w:t xml:space="preserve"> </w:t>
      </w:r>
    </w:p>
    <w:p w14:paraId="41DBE19A" w14:textId="2D71D716" w:rsidR="004B27BF" w:rsidRDefault="00CC018A" w:rsidP="007A0DAE">
      <w:pPr>
        <w:pStyle w:val="BodyText"/>
        <w:spacing w:before="200"/>
      </w:pPr>
      <w:r w:rsidRPr="00CC018A">
        <w:t>While it seems likely that the gig economy will grow, contemporary evidence on its significance is patchy and inconsistent — a reflection of different definitions of this part of the labour market, varying survey methods and differences between prevalence rates measured at a point in time and over a period</w:t>
      </w:r>
      <w:r w:rsidR="002C26E2">
        <w:t xml:space="preserve"> </w:t>
      </w:r>
      <w:r w:rsidR="002C26E2" w:rsidRPr="002C26E2">
        <w:rPr>
          <w:szCs w:val="24"/>
        </w:rPr>
        <w:t>(Brinkley 2016; Taylor 2016)</w:t>
      </w:r>
      <w:r w:rsidR="002C26E2">
        <w:t>.</w:t>
      </w:r>
      <w:r w:rsidRPr="00CC018A">
        <w:t xml:space="preserve"> </w:t>
      </w:r>
      <w:r>
        <w:t>Definitions of the gig economy that differentiate it from traditional contracting and informal work suggest that it is currently very small in Australia and most other countries (box </w:t>
      </w:r>
      <w:r w:rsidR="00100B39">
        <w:t>3</w:t>
      </w:r>
      <w:r w:rsidR="005F2FCB">
        <w:t>.</w:t>
      </w:r>
      <w:r w:rsidR="006C0D74">
        <w:t>1</w:t>
      </w:r>
      <w:r>
        <w:t>).</w:t>
      </w:r>
    </w:p>
    <w:p w14:paraId="275D53FF" w14:textId="6BBB30C5" w:rsidR="00125BD5" w:rsidRDefault="00125BD5">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125BD5" w14:paraId="4C205A6C" w14:textId="77777777" w:rsidTr="00D521E7">
        <w:tc>
          <w:tcPr>
            <w:tcW w:w="8789" w:type="dxa"/>
            <w:tcBorders>
              <w:top w:val="single" w:sz="6" w:space="0" w:color="78A22F"/>
              <w:left w:val="nil"/>
              <w:bottom w:val="nil"/>
              <w:right w:val="nil"/>
            </w:tcBorders>
            <w:shd w:val="clear" w:color="auto" w:fill="F2F2F2"/>
          </w:tcPr>
          <w:p w14:paraId="426C3454" w14:textId="14E2D609" w:rsidR="00125BD5" w:rsidRDefault="00125BD5" w:rsidP="00B5758E">
            <w:pPr>
              <w:pStyle w:val="BoxTitle"/>
            </w:pPr>
            <w:r>
              <w:rPr>
                <w:b w:val="0"/>
              </w:rPr>
              <w:t xml:space="preserve">Box </w:t>
            </w:r>
            <w:r w:rsidR="00B5758E">
              <w:rPr>
                <w:b w:val="0"/>
              </w:rPr>
              <w:t>3</w:t>
            </w:r>
            <w:r w:rsidR="009C129B">
              <w:rPr>
                <w:b w:val="0"/>
              </w:rPr>
              <w:t>.1</w:t>
            </w:r>
            <w:r>
              <w:tab/>
              <w:t>How big is the gig economy?</w:t>
            </w:r>
          </w:p>
        </w:tc>
      </w:tr>
      <w:tr w:rsidR="00125BD5" w14:paraId="14AA7878" w14:textId="77777777" w:rsidTr="00D521E7">
        <w:tc>
          <w:tcPr>
            <w:tcW w:w="8789" w:type="dxa"/>
            <w:tcBorders>
              <w:top w:val="nil"/>
              <w:left w:val="nil"/>
              <w:bottom w:val="nil"/>
              <w:right w:val="nil"/>
            </w:tcBorders>
            <w:shd w:val="clear" w:color="auto" w:fill="F2F2F2"/>
          </w:tcPr>
          <w:p w14:paraId="5475FA19" w14:textId="17BDFFCF" w:rsidR="0001234C" w:rsidRDefault="00125BD5" w:rsidP="00EC19FC">
            <w:pPr>
              <w:pStyle w:val="Box"/>
            </w:pPr>
            <w:r>
              <w:t xml:space="preserve">In its enumeration of the gig economy, the Australian Industry Group suggests that 4.1 million Australians or about </w:t>
            </w:r>
            <w:r w:rsidR="00B541B7">
              <w:t>30 per cent</w:t>
            </w:r>
            <w:r>
              <w:t xml:space="preserve"> of the workforce had ‘freelanced’ s</w:t>
            </w:r>
            <w:r w:rsidR="00B541B7">
              <w:t>ome time in 2014</w:t>
            </w:r>
            <w:r>
              <w:t xml:space="preserve"> </w:t>
            </w:r>
            <w:r w:rsidR="003A3D08" w:rsidRPr="00B4309C">
              <w:rPr>
                <w:rFonts w:cs="Arial"/>
                <w:szCs w:val="24"/>
              </w:rPr>
              <w:t xml:space="preserve">(Ai Group 2016, based on a 2014 survey by Edelman </w:t>
            </w:r>
            <w:proofErr w:type="spellStart"/>
            <w:r w:rsidR="003A3D08" w:rsidRPr="00B4309C">
              <w:rPr>
                <w:rFonts w:cs="Arial"/>
                <w:szCs w:val="24"/>
              </w:rPr>
              <w:t>Berland</w:t>
            </w:r>
            <w:proofErr w:type="spellEnd"/>
            <w:r w:rsidR="003A3D08" w:rsidRPr="00B4309C">
              <w:rPr>
                <w:rFonts w:cs="Arial"/>
                <w:szCs w:val="24"/>
              </w:rPr>
              <w:t>)</w:t>
            </w:r>
            <w:r>
              <w:t xml:space="preserve">. </w:t>
            </w:r>
            <w:r w:rsidR="00B541B7">
              <w:t>An updated 2015 survey found participation to be 32 per cent, an increase that may simply reflect statistical variation i</w:t>
            </w:r>
            <w:r w:rsidR="002F3687">
              <w:t>n</w:t>
            </w:r>
            <w:r w:rsidR="00B541B7">
              <w:t xml:space="preserve"> a small sample survey</w:t>
            </w:r>
            <w:r w:rsidR="003663F3">
              <w:t xml:space="preserve"> </w:t>
            </w:r>
            <w:r w:rsidR="003663F3" w:rsidRPr="003663F3">
              <w:rPr>
                <w:rFonts w:cs="Arial"/>
                <w:szCs w:val="24"/>
              </w:rPr>
              <w:t xml:space="preserve">(Edelman </w:t>
            </w:r>
            <w:proofErr w:type="spellStart"/>
            <w:r w:rsidR="003663F3" w:rsidRPr="003663F3">
              <w:rPr>
                <w:rFonts w:cs="Arial"/>
                <w:szCs w:val="24"/>
              </w:rPr>
              <w:t>Berland</w:t>
            </w:r>
            <w:proofErr w:type="spellEnd"/>
            <w:r w:rsidR="003663F3" w:rsidRPr="003663F3">
              <w:rPr>
                <w:rFonts w:cs="Arial"/>
                <w:szCs w:val="24"/>
              </w:rPr>
              <w:t> 2015)</w:t>
            </w:r>
            <w:r w:rsidR="00B541B7" w:rsidRPr="003663F3">
              <w:t>.</w:t>
            </w:r>
            <w:r w:rsidR="00B541B7">
              <w:t xml:space="preserve"> </w:t>
            </w:r>
            <w:r>
              <w:t>The survey</w:t>
            </w:r>
            <w:r w:rsidR="0001234C">
              <w:t>s</w:t>
            </w:r>
            <w:r>
              <w:t xml:space="preserve"> </w:t>
            </w:r>
            <w:r w:rsidR="0001234C">
              <w:t>use</w:t>
            </w:r>
            <w:r>
              <w:t xml:space="preserve"> a definition </w:t>
            </w:r>
            <w:r w:rsidR="005C179E">
              <w:t xml:space="preserve">of freelancers as </w:t>
            </w:r>
            <w:r w:rsidR="004B27BF">
              <w:t>‘</w:t>
            </w:r>
            <w:r w:rsidR="005C179E">
              <w:t>individuals who have engaged in supplemental, temporary, project</w:t>
            </w:r>
            <w:r w:rsidR="00133C69">
              <w:noBreakHyphen/>
            </w:r>
            <w:r w:rsidR="005C179E">
              <w:t xml:space="preserve"> or contract</w:t>
            </w:r>
            <w:r w:rsidR="00133C69">
              <w:noBreakHyphen/>
            </w:r>
            <w:r w:rsidR="005C179E">
              <w:t xml:space="preserve">based work’. </w:t>
            </w:r>
            <w:r w:rsidR="00B541B7">
              <w:t xml:space="preserve">There is no requirement in this definition that </w:t>
            </w:r>
            <w:r w:rsidR="009B130A">
              <w:t>the person is a non</w:t>
            </w:r>
            <w:r w:rsidR="00133C69">
              <w:noBreakHyphen/>
            </w:r>
            <w:r w:rsidR="009B130A">
              <w:t xml:space="preserve">employee (in the legal sense) or that </w:t>
            </w:r>
            <w:r w:rsidR="00B541B7">
              <w:t>ICTs have any role in facilitating freelancing</w:t>
            </w:r>
            <w:r w:rsidR="0001234C">
              <w:t xml:space="preserve">. The </w:t>
            </w:r>
            <w:r w:rsidR="009B130A">
              <w:t>former</w:t>
            </w:r>
            <w:r w:rsidR="0001234C">
              <w:t xml:space="preserve"> is a critical issue in the Australian context because the concerns about gig economy workers often assumes that they are not employees and therefore not covered by the protections of the Fair Work Act and the National Employment Standards. Moreover, a person only needs to have engaged in </w:t>
            </w:r>
            <w:r w:rsidR="00B525E7">
              <w:t>some</w:t>
            </w:r>
            <w:r w:rsidR="0001234C">
              <w:t xml:space="preserve"> freelance work over a year to be counted as a ‘freelancer’</w:t>
            </w:r>
            <w:r w:rsidR="009B130A">
              <w:t>. Period prevalence rates of this kind do not capture normal routines of work for people</w:t>
            </w:r>
            <w:r w:rsidR="00B525E7">
              <w:t xml:space="preserve"> or the economic significance of particular working arrangements</w:t>
            </w:r>
            <w:r w:rsidR="009B130A">
              <w:t>.</w:t>
            </w:r>
          </w:p>
          <w:p w14:paraId="4C966566" w14:textId="598ACD38" w:rsidR="00B525E7" w:rsidRDefault="00D856F8" w:rsidP="00EC19FC">
            <w:pPr>
              <w:pStyle w:val="Box"/>
            </w:pPr>
            <w:r>
              <w:t xml:space="preserve">There are similarly high estimates of the significance of </w:t>
            </w:r>
            <w:r w:rsidR="00B525E7">
              <w:t>freelancing</w:t>
            </w:r>
            <w:r>
              <w:t xml:space="preserve"> </w:t>
            </w:r>
            <w:r w:rsidR="00B525E7">
              <w:t>for</w:t>
            </w:r>
            <w:r>
              <w:t xml:space="preserve"> the </w:t>
            </w:r>
            <w:r w:rsidR="00B525E7">
              <w:t>U</w:t>
            </w:r>
            <w:r>
              <w:t>nited States</w:t>
            </w:r>
            <w:r w:rsidR="00B525E7">
              <w:t xml:space="preserve"> (34 per cent in 2014) drawing on the same methodologies </w:t>
            </w:r>
            <w:r w:rsidR="005246D6" w:rsidRPr="00B4309C">
              <w:rPr>
                <w:rFonts w:cs="Arial"/>
                <w:szCs w:val="24"/>
              </w:rPr>
              <w:t xml:space="preserve">(an Edelman </w:t>
            </w:r>
            <w:proofErr w:type="spellStart"/>
            <w:r w:rsidR="005246D6" w:rsidRPr="00B4309C">
              <w:rPr>
                <w:rFonts w:cs="Arial"/>
                <w:szCs w:val="24"/>
              </w:rPr>
              <w:t>Berland</w:t>
            </w:r>
            <w:proofErr w:type="spellEnd"/>
            <w:r w:rsidR="005246D6" w:rsidRPr="00B4309C">
              <w:rPr>
                <w:rFonts w:cs="Arial"/>
                <w:szCs w:val="24"/>
              </w:rPr>
              <w:t xml:space="preserve"> survey commissioned by Freelancers Union and </w:t>
            </w:r>
            <w:proofErr w:type="spellStart"/>
            <w:r w:rsidR="005246D6" w:rsidRPr="00B4309C">
              <w:rPr>
                <w:rFonts w:cs="Arial"/>
                <w:szCs w:val="24"/>
              </w:rPr>
              <w:t>Elance</w:t>
            </w:r>
            <w:r w:rsidR="0049318C">
              <w:rPr>
                <w:rFonts w:cs="Arial"/>
                <w:szCs w:val="24"/>
              </w:rPr>
              <w:noBreakHyphen/>
            </w:r>
            <w:r w:rsidR="005246D6" w:rsidRPr="00B4309C">
              <w:rPr>
                <w:rFonts w:cs="Arial"/>
                <w:szCs w:val="24"/>
              </w:rPr>
              <w:t>oDesk</w:t>
            </w:r>
            <w:proofErr w:type="spellEnd"/>
            <w:r w:rsidR="005246D6" w:rsidRPr="00B4309C">
              <w:rPr>
                <w:rFonts w:cs="Arial"/>
                <w:szCs w:val="24"/>
              </w:rPr>
              <w:t> 2014)</w:t>
            </w:r>
            <w:r w:rsidR="00B525E7">
              <w:t>.</w:t>
            </w:r>
            <w:r w:rsidR="00900141">
              <w:t xml:space="preserve"> Surveys that pick up people sometimes selling </w:t>
            </w:r>
            <w:r w:rsidR="003E4B3D">
              <w:t xml:space="preserve">used </w:t>
            </w:r>
            <w:r w:rsidR="00900141">
              <w:t xml:space="preserve">goods online </w:t>
            </w:r>
            <w:r w:rsidR="003E4B3D">
              <w:t xml:space="preserve">and babysitting suggest informal ‘work’ had increased to </w:t>
            </w:r>
            <w:r w:rsidR="003477CD">
              <w:t>about</w:t>
            </w:r>
            <w:r w:rsidR="003E4B3D">
              <w:t xml:space="preserve"> 50 per cent in the United States, but informal work and most accepted definitions of the gig economy are not the same</w:t>
            </w:r>
            <w:r w:rsidR="002D020E">
              <w:t xml:space="preserve"> </w:t>
            </w:r>
            <w:r w:rsidR="002D020E" w:rsidRPr="002D020E">
              <w:rPr>
                <w:rFonts w:cs="Arial"/>
                <w:szCs w:val="24"/>
              </w:rPr>
              <w:t>(</w:t>
            </w:r>
            <w:proofErr w:type="spellStart"/>
            <w:r w:rsidR="002D020E" w:rsidRPr="002D020E">
              <w:rPr>
                <w:rFonts w:cs="Arial"/>
                <w:szCs w:val="24"/>
              </w:rPr>
              <w:t>Bracha</w:t>
            </w:r>
            <w:proofErr w:type="spellEnd"/>
            <w:r w:rsidR="002D020E" w:rsidRPr="002D020E">
              <w:rPr>
                <w:rFonts w:cs="Arial"/>
                <w:szCs w:val="24"/>
              </w:rPr>
              <w:t xml:space="preserve">, Burke and </w:t>
            </w:r>
            <w:proofErr w:type="spellStart"/>
            <w:r w:rsidR="002D020E" w:rsidRPr="002D020E">
              <w:rPr>
                <w:rFonts w:cs="Arial"/>
                <w:szCs w:val="24"/>
              </w:rPr>
              <w:t>Khachiyan</w:t>
            </w:r>
            <w:proofErr w:type="spellEnd"/>
            <w:r w:rsidR="002D020E" w:rsidRPr="002D020E">
              <w:rPr>
                <w:rFonts w:cs="Arial"/>
                <w:szCs w:val="24"/>
              </w:rPr>
              <w:t> 2015)</w:t>
            </w:r>
            <w:r w:rsidR="003E4B3D">
              <w:t>.</w:t>
            </w:r>
          </w:p>
          <w:p w14:paraId="63A1E2A0" w14:textId="6091D6AA" w:rsidR="00C10EB8" w:rsidRDefault="003E4B3D" w:rsidP="00EC19FC">
            <w:pPr>
              <w:pStyle w:val="Box"/>
            </w:pPr>
            <w:r>
              <w:t xml:space="preserve">Other </w:t>
            </w:r>
            <w:r w:rsidR="00B90F09">
              <w:t xml:space="preserve">research </w:t>
            </w:r>
            <w:r>
              <w:t xml:space="preserve">focused on jobs that would more commonly be seen as part of the </w:t>
            </w:r>
            <w:r w:rsidR="00B90F09">
              <w:t xml:space="preserve">gig </w:t>
            </w:r>
            <w:r>
              <w:t>economy find their importance</w:t>
            </w:r>
            <w:r w:rsidR="00B90F09">
              <w:t xml:space="preserve"> to be </w:t>
            </w:r>
            <w:r w:rsidR="001B476C">
              <w:t>much</w:t>
            </w:r>
            <w:r w:rsidR="00B90F09">
              <w:t xml:space="preserve"> </w:t>
            </w:r>
            <w:r w:rsidR="001B476C">
              <w:t>smaller</w:t>
            </w:r>
            <w:r w:rsidR="00B90F09">
              <w:t xml:space="preserve"> than </w:t>
            </w:r>
            <w:r>
              <w:t>the above</w:t>
            </w:r>
            <w:r w:rsidR="00B90F09">
              <w:t xml:space="preserve"> figures suggest </w:t>
            </w:r>
            <w:r w:rsidR="005246D6" w:rsidRPr="00B4309C">
              <w:rPr>
                <w:rFonts w:cs="Arial"/>
                <w:szCs w:val="24"/>
              </w:rPr>
              <w:t>(summarised in Brinkley 2016)</w:t>
            </w:r>
            <w:r w:rsidR="00B90F09">
              <w:t xml:space="preserve">. For example, a Brookings </w:t>
            </w:r>
            <w:r w:rsidR="00C10EB8">
              <w:t>Institution</w:t>
            </w:r>
            <w:r w:rsidR="00B90F09">
              <w:t xml:space="preserve"> paper estimated that the US gig economy involved between 600 000 to 1.9 million people or 0.4 to </w:t>
            </w:r>
            <w:r w:rsidR="00C10EB8">
              <w:t xml:space="preserve">just over </w:t>
            </w:r>
            <w:r w:rsidR="00B90F09">
              <w:t>1 per cent of total US employment</w:t>
            </w:r>
            <w:r w:rsidR="00C10EB8">
              <w:t>. Using a different approach</w:t>
            </w:r>
            <w:r w:rsidR="005246D6">
              <w:t>,</w:t>
            </w:r>
            <w:r w:rsidR="00C10EB8">
              <w:t xml:space="preserve"> McKinsey suggests a possible prevalence rate of 1 per cent.</w:t>
            </w:r>
            <w:r w:rsidR="00B90F09">
              <w:t xml:space="preserve"> </w:t>
            </w:r>
            <w:r w:rsidR="003A6380">
              <w:t xml:space="preserve">In Australia, using a tightly focused definition of the gig economy suggests that </w:t>
            </w:r>
            <w:r w:rsidR="003477CD">
              <w:t>about</w:t>
            </w:r>
            <w:r w:rsidR="003A6380">
              <w:t xml:space="preserve"> 0.5 per cent of adult Australians work on peer</w:t>
            </w:r>
            <w:r w:rsidR="005246D6">
              <w:noBreakHyphen/>
            </w:r>
            <w:r w:rsidR="003A6380">
              <w:t>to</w:t>
            </w:r>
            <w:r w:rsidR="005246D6">
              <w:noBreakHyphen/>
            </w:r>
            <w:r w:rsidR="003A6380">
              <w:t>peer platforms</w:t>
            </w:r>
            <w:r w:rsidR="002C26E2">
              <w:t xml:space="preserve"> </w:t>
            </w:r>
            <w:r w:rsidR="002C26E2" w:rsidRPr="002C26E2">
              <w:rPr>
                <w:rFonts w:cs="Arial"/>
                <w:szCs w:val="24"/>
              </w:rPr>
              <w:t>(</w:t>
            </w:r>
            <w:proofErr w:type="spellStart"/>
            <w:r w:rsidR="002C26E2" w:rsidRPr="002C26E2">
              <w:rPr>
                <w:rFonts w:cs="Arial"/>
                <w:szCs w:val="24"/>
              </w:rPr>
              <w:t>Minifie</w:t>
            </w:r>
            <w:proofErr w:type="spellEnd"/>
            <w:r w:rsidR="002C26E2" w:rsidRPr="002C26E2">
              <w:rPr>
                <w:rFonts w:cs="Arial"/>
                <w:szCs w:val="24"/>
              </w:rPr>
              <w:t> 2016)</w:t>
            </w:r>
            <w:r w:rsidR="002C26E2">
              <w:t>.</w:t>
            </w:r>
          </w:p>
          <w:p w14:paraId="35945CA2" w14:textId="41513963" w:rsidR="009B130A" w:rsidRDefault="00C10EB8" w:rsidP="00EC19FC">
            <w:pPr>
              <w:pStyle w:val="Box"/>
            </w:pPr>
            <w:r>
              <w:t xml:space="preserve">If the gig economy was growing </w:t>
            </w:r>
            <w:r w:rsidR="00B01FDB">
              <w:t>rapidly</w:t>
            </w:r>
            <w:r w:rsidR="00866686">
              <w:t>,</w:t>
            </w:r>
            <w:r>
              <w:t xml:space="preserve"> it </w:t>
            </w:r>
            <w:r w:rsidR="00866686">
              <w:t>w</w:t>
            </w:r>
            <w:r>
              <w:t xml:space="preserve">ould be visible in official data on independent contracting. It is not. ABS </w:t>
            </w:r>
            <w:r w:rsidR="009B130A">
              <w:t>data suggest that independent contracting increased from 8.5 to 8.7 per cent of employment from 2012 to 2015. The prevalence of independent contracting, however, was lower in 2015 than it was in 2009</w:t>
            </w:r>
            <w:r w:rsidR="00122FBE">
              <w:t xml:space="preserve"> </w:t>
            </w:r>
            <w:r w:rsidR="00F56992" w:rsidRPr="00F56992">
              <w:rPr>
                <w:rFonts w:cs="Arial"/>
                <w:szCs w:val="24"/>
              </w:rPr>
              <w:t>(ABS 2014, 2016a)</w:t>
            </w:r>
            <w:r w:rsidR="009B130A">
              <w:t>. This is not consistent with any marked increase in the economic significance of gig economy employment in Australia</w:t>
            </w:r>
            <w:r w:rsidR="00750712">
              <w:t>, though it is possible that the gig economy is shifting already existing independent contractors from a conventional contracting arrangement to a gig platform.</w:t>
            </w:r>
          </w:p>
          <w:p w14:paraId="1039CE42" w14:textId="49603E6F" w:rsidR="00125BD5" w:rsidRDefault="00750712" w:rsidP="002C26E2">
            <w:pPr>
              <w:pStyle w:val="Box"/>
            </w:pPr>
            <w:r>
              <w:t>Overall, t</w:t>
            </w:r>
            <w:r w:rsidR="00CE313B">
              <w:t xml:space="preserve">he current evidence does not suggest that the gig economy — </w:t>
            </w:r>
            <w:r w:rsidR="004B27BF">
              <w:t>‘</w:t>
            </w:r>
            <w:r w:rsidR="00CE313B">
              <w:t>the finding of discrete parcels of work by direct connection between individual providers and customers and clients through a digital platform</w:t>
            </w:r>
            <w:r w:rsidR="004B27BF">
              <w:t>’</w:t>
            </w:r>
            <w:r w:rsidR="00CE313B">
              <w:t xml:space="preserve"> </w:t>
            </w:r>
            <w:r w:rsidR="002C26E2" w:rsidRPr="002C26E2">
              <w:rPr>
                <w:rFonts w:cs="Arial"/>
                <w:szCs w:val="24"/>
              </w:rPr>
              <w:t>(Brinkley 2016)</w:t>
            </w:r>
            <w:r w:rsidR="002C26E2">
              <w:t xml:space="preserve"> </w:t>
            </w:r>
            <w:r w:rsidR="004B27BF">
              <w:t>—</w:t>
            </w:r>
            <w:r w:rsidR="00CE313B">
              <w:t xml:space="preserve"> is </w:t>
            </w:r>
            <w:r w:rsidR="004B27BF">
              <w:t>anything other than a boutique component of labour markets</w:t>
            </w:r>
            <w:r w:rsidR="00CE313B">
              <w:t xml:space="preserve">. However, </w:t>
            </w:r>
            <w:r w:rsidR="003A6380">
              <w:t>the prospect of growth seems strong.</w:t>
            </w:r>
          </w:p>
        </w:tc>
      </w:tr>
      <w:tr w:rsidR="00125BD5" w14:paraId="285D01A5" w14:textId="77777777" w:rsidTr="00D521E7">
        <w:tc>
          <w:tcPr>
            <w:tcW w:w="8789" w:type="dxa"/>
            <w:tcBorders>
              <w:top w:val="nil"/>
              <w:left w:val="nil"/>
              <w:bottom w:val="single" w:sz="6" w:space="0" w:color="78A22F"/>
              <w:right w:val="nil"/>
            </w:tcBorders>
            <w:shd w:val="clear" w:color="auto" w:fill="F2F2F2"/>
          </w:tcPr>
          <w:p w14:paraId="6E720CAB" w14:textId="77777777" w:rsidR="00125BD5" w:rsidRDefault="00125BD5">
            <w:pPr>
              <w:pStyle w:val="Box"/>
              <w:spacing w:before="0" w:line="120" w:lineRule="exact"/>
            </w:pPr>
          </w:p>
        </w:tc>
      </w:tr>
      <w:tr w:rsidR="00125BD5" w:rsidRPr="000863A5" w14:paraId="239A0F06" w14:textId="77777777" w:rsidTr="00D521E7">
        <w:tc>
          <w:tcPr>
            <w:tcW w:w="8789" w:type="dxa"/>
            <w:tcBorders>
              <w:top w:val="single" w:sz="6" w:space="0" w:color="78A22F"/>
              <w:left w:val="nil"/>
              <w:bottom w:val="nil"/>
              <w:right w:val="nil"/>
            </w:tcBorders>
          </w:tcPr>
          <w:p w14:paraId="1314E4CC" w14:textId="074AE750" w:rsidR="00125BD5" w:rsidRPr="00626D32" w:rsidRDefault="00125BD5" w:rsidP="00900141">
            <w:pPr>
              <w:pStyle w:val="BoxSpaceBelow"/>
            </w:pPr>
          </w:p>
        </w:tc>
      </w:tr>
    </w:tbl>
    <w:p w14:paraId="07BB4A21" w14:textId="77777777" w:rsidR="00EC3764" w:rsidRDefault="00EC3764" w:rsidP="00EC3764">
      <w:pPr>
        <w:pStyle w:val="BodyText"/>
      </w:pPr>
      <w:r w:rsidRPr="002354F7">
        <w:t xml:space="preserve">While the </w:t>
      </w:r>
      <w:r>
        <w:t>correctly</w:t>
      </w:r>
      <w:r>
        <w:noBreakHyphen/>
        <w:t xml:space="preserve">defined </w:t>
      </w:r>
      <w:r w:rsidRPr="002354F7">
        <w:t>‘gig’ economy is in its infancy</w:t>
      </w:r>
      <w:r>
        <w:t xml:space="preserve">, a substantial rise in employment in the industry may lead to more workers having a portfolio of work — something commentators are predicting </w:t>
      </w:r>
      <w:r w:rsidRPr="00B0118C">
        <w:rPr>
          <w:szCs w:val="24"/>
        </w:rPr>
        <w:t>(</w:t>
      </w:r>
      <w:proofErr w:type="spellStart"/>
      <w:r w:rsidRPr="00B0118C">
        <w:rPr>
          <w:szCs w:val="24"/>
        </w:rPr>
        <w:t>Dishman</w:t>
      </w:r>
      <w:proofErr w:type="spellEnd"/>
      <w:r w:rsidRPr="00B0118C">
        <w:rPr>
          <w:szCs w:val="24"/>
        </w:rPr>
        <w:t xml:space="preserve"> 2017; </w:t>
      </w:r>
      <w:proofErr w:type="spellStart"/>
      <w:r w:rsidRPr="00B0118C">
        <w:rPr>
          <w:szCs w:val="24"/>
        </w:rPr>
        <w:t>Wailes</w:t>
      </w:r>
      <w:proofErr w:type="spellEnd"/>
      <w:r w:rsidRPr="00B0118C">
        <w:rPr>
          <w:szCs w:val="24"/>
        </w:rPr>
        <w:t> 2016)</w:t>
      </w:r>
      <w:r>
        <w:t xml:space="preserve">. This type of employment arrangement may </w:t>
      </w:r>
      <w:r w:rsidRPr="002354F7">
        <w:t xml:space="preserve">place greater emphasis on </w:t>
      </w:r>
      <w:r>
        <w:t>people</w:t>
      </w:r>
      <w:r w:rsidRPr="002354F7">
        <w:t xml:space="preserve"> taking more</w:t>
      </w:r>
      <w:r>
        <w:t xml:space="preserve"> </w:t>
      </w:r>
      <w:r w:rsidRPr="002354F7">
        <w:t>responsibility for continuous learning over their lifetime</w:t>
      </w:r>
      <w:r>
        <w:t xml:space="preserve"> to ensure their ongoing employability. </w:t>
      </w:r>
    </w:p>
    <w:p w14:paraId="61C858FA" w14:textId="77777777" w:rsidR="007A0DAE" w:rsidRDefault="007A0DAE">
      <w:pPr>
        <w:rPr>
          <w:szCs w:val="20"/>
        </w:rPr>
        <w:sectPr w:rsidR="007A0DAE" w:rsidSect="00EC3764">
          <w:type w:val="oddPage"/>
          <w:pgSz w:w="11907" w:h="16840" w:code="9"/>
          <w:pgMar w:top="1984" w:right="1304" w:bottom="1247" w:left="1814" w:header="1701" w:footer="397" w:gutter="0"/>
          <w:pgNumType w:chapSep="period"/>
          <w:cols w:space="720"/>
          <w:docGrid w:linePitch="326"/>
        </w:sectPr>
      </w:pPr>
    </w:p>
    <w:p w14:paraId="580AF41B" w14:textId="019C6AFE" w:rsidR="00381A27" w:rsidRPr="00F16721" w:rsidRDefault="00B5758E" w:rsidP="00F16721">
      <w:pPr>
        <w:pStyle w:val="Heading1"/>
      </w:pPr>
      <w:bookmarkStart w:id="25" w:name="_Toc489363505"/>
      <w:bookmarkStart w:id="26" w:name="_Toc489364881"/>
      <w:r w:rsidRPr="00F16721">
        <w:t>4</w:t>
      </w:r>
      <w:r w:rsidR="00381A27" w:rsidRPr="00F16721">
        <w:tab/>
        <w:t>The obstacles to lifelong education and training</w:t>
      </w:r>
      <w:bookmarkEnd w:id="25"/>
      <w:bookmarkEnd w:id="26"/>
    </w:p>
    <w:p w14:paraId="37439616" w14:textId="05E8FDB8" w:rsidR="00381A27" w:rsidRDefault="00381A27" w:rsidP="00381A27">
      <w:pPr>
        <w:pStyle w:val="BodyText"/>
      </w:pPr>
      <w:r>
        <w:t>A system that minimises unnecessary barriers to workers accessing and gaining skills and qualifications (such as refreshing existing qualifications or gaining new skills) may enable workers to continue working, utilising these skills, beyond the current average retirement age</w:t>
      </w:r>
      <w:r w:rsidR="003E0E4B">
        <w:t>.</w:t>
      </w:r>
      <w:r>
        <w:t xml:space="preserve"> But some workers currently face a range of barriers to accessing education and training. This chapter examines the nature of these barriers.</w:t>
      </w:r>
      <w:r w:rsidR="00133C69">
        <w:t xml:space="preserve"> </w:t>
      </w:r>
    </w:p>
    <w:p w14:paraId="36E1A182" w14:textId="79A0AD85" w:rsidR="00381A27" w:rsidRDefault="00B5758E" w:rsidP="008403FB">
      <w:pPr>
        <w:pStyle w:val="Heading2"/>
        <w:spacing w:before="500"/>
      </w:pPr>
      <w:bookmarkStart w:id="27" w:name="_Toc489363506"/>
      <w:bookmarkStart w:id="28" w:name="_Toc489364882"/>
      <w:r>
        <w:t>4</w:t>
      </w:r>
      <w:r w:rsidR="00381A27">
        <w:t>.1</w:t>
      </w:r>
      <w:r w:rsidR="00381A27">
        <w:tab/>
        <w:t>Time and financial cost barriers: will training bring sufficient labour market benefits to justify the costs?</w:t>
      </w:r>
      <w:bookmarkEnd w:id="27"/>
      <w:bookmarkEnd w:id="28"/>
      <w:r w:rsidR="00381A27">
        <w:t xml:space="preserve"> </w:t>
      </w:r>
    </w:p>
    <w:p w14:paraId="08FDD810" w14:textId="6B3F6532" w:rsidR="00381A27" w:rsidRDefault="00381A27" w:rsidP="00381A27">
      <w:pPr>
        <w:pStyle w:val="BodyText"/>
      </w:pPr>
      <w:r>
        <w:t xml:space="preserve">The cost of training include course fees, any foregone income from reduced hours of work and time traveling to classes </w:t>
      </w:r>
      <w:r w:rsidR="00FD7488">
        <w:t>along with</w:t>
      </w:r>
      <w:r>
        <w:t xml:space="preserve"> the direct cost of that travel. The financial cost of training, the opportunity cost of the time taken </w:t>
      </w:r>
      <w:r w:rsidRPr="00EB5CE6">
        <w:t>and the perceived return on additional education and training for the individual and their employer can all reduce upskilling</w:t>
      </w:r>
      <w:r w:rsidR="00FD7488">
        <w:t xml:space="preserve"> and retraining</w:t>
      </w:r>
      <w:r w:rsidRPr="00EB5CE6">
        <w:t>, particularly later in life.</w:t>
      </w:r>
      <w:r>
        <w:t xml:space="preserve"> In its submission to the Australian Human Rights Commission (AHRC) inquiry into age discrimination, National Seniors Australia summarised the dilemma of weighing up of the costs and benefits of further training:</w:t>
      </w:r>
    </w:p>
    <w:p w14:paraId="0D569D81" w14:textId="0B1FE768" w:rsidR="00381A27" w:rsidRDefault="00381A27" w:rsidP="00381A27">
      <w:pPr>
        <w:pStyle w:val="Quote"/>
      </w:pPr>
      <w:r w:rsidRPr="00623CC5">
        <w:t>It can be difficult for a mature</w:t>
      </w:r>
      <w:r w:rsidR="00133C69">
        <w:noBreakHyphen/>
      </w:r>
      <w:r w:rsidRPr="00623CC5">
        <w:t>age person to justify the risk of taking time out of employment and taking on debt to invest in the development of skills when the returns of this investment are unknown and they have family responsibilities, existing financial commitments and shortened time frames for paying back loans</w:t>
      </w:r>
      <w:r>
        <w:t xml:space="preserve">. </w:t>
      </w:r>
      <w:r w:rsidRPr="00623CC5">
        <w:rPr>
          <w:szCs w:val="24"/>
        </w:rPr>
        <w:t>(National Seniors Australia 2015, p. 17)</w:t>
      </w:r>
    </w:p>
    <w:p w14:paraId="4EE52079" w14:textId="08AB7250" w:rsidR="00381A27" w:rsidRDefault="00381A27" w:rsidP="00381A27">
      <w:pPr>
        <w:pStyle w:val="BodyText"/>
      </w:pPr>
      <w:r w:rsidRPr="00485D49">
        <w:t>Traditional methods of acquiring skills and qualifications</w:t>
      </w:r>
      <w:r>
        <w:t xml:space="preserve"> </w:t>
      </w:r>
      <w:r w:rsidRPr="00485D49">
        <w:t>are costly and time consuming.</w:t>
      </w:r>
      <w:r>
        <w:t xml:space="preserve"> </w:t>
      </w:r>
      <w:r w:rsidRPr="00485D49">
        <w:t xml:space="preserve">With the deregulation of fees in VET, </w:t>
      </w:r>
      <w:r w:rsidRPr="00610DF6">
        <w:t xml:space="preserve">annual </w:t>
      </w:r>
      <w:r w:rsidRPr="00485D49">
        <w:t>average course costs for students</w:t>
      </w:r>
      <w:r w:rsidR="009D639D">
        <w:t xml:space="preserve"> studying diploma level and above qualifications </w:t>
      </w:r>
      <w:r w:rsidRPr="00485D49">
        <w:t xml:space="preserve">were </w:t>
      </w:r>
      <w:r w:rsidR="003477CD">
        <w:t>about</w:t>
      </w:r>
      <w:r w:rsidRPr="00485D49">
        <w:t xml:space="preserve"> $14</w:t>
      </w:r>
      <w:r>
        <w:t> </w:t>
      </w:r>
      <w:r w:rsidRPr="00485D49">
        <w:t>000</w:t>
      </w:r>
      <w:r w:rsidR="009D639D">
        <w:t xml:space="preserve"> </w:t>
      </w:r>
      <w:r w:rsidRPr="00485D49">
        <w:t>in 2015</w:t>
      </w:r>
      <w:r>
        <w:t xml:space="preserve"> </w:t>
      </w:r>
      <w:r w:rsidRPr="00C878AB">
        <w:rPr>
          <w:szCs w:val="24"/>
        </w:rPr>
        <w:t>(Deloitte 2016)</w:t>
      </w:r>
      <w:r w:rsidRPr="00485D49">
        <w:t>.</w:t>
      </w:r>
      <w:r w:rsidR="009D639D">
        <w:t xml:space="preserve"> F</w:t>
      </w:r>
      <w:r>
        <w:t xml:space="preserve">or the university sector, the </w:t>
      </w:r>
      <w:r w:rsidRPr="007D52F4">
        <w:rPr>
          <w:i/>
        </w:rPr>
        <w:t>annual</w:t>
      </w:r>
      <w:r>
        <w:t xml:space="preserve"> student contribution for a university bachelor degree ranges from just over $6000 to almost $11 000 and taking </w:t>
      </w:r>
      <w:r w:rsidR="003477CD">
        <w:t>about</w:t>
      </w:r>
      <w:r>
        <w:t xml:space="preserve"> 3 to 4 years to complete. </w:t>
      </w:r>
      <w:r w:rsidRPr="00485D49">
        <w:t>Income</w:t>
      </w:r>
      <w:r>
        <w:noBreakHyphen/>
      </w:r>
      <w:r w:rsidRPr="00485D49">
        <w:t>contingent loans assist in deferring costs</w:t>
      </w:r>
      <w:r>
        <w:t xml:space="preserve"> for some courses</w:t>
      </w:r>
      <w:r w:rsidRPr="00485D49">
        <w:t xml:space="preserve"> until </w:t>
      </w:r>
      <w:r>
        <w:t xml:space="preserve">a person’s </w:t>
      </w:r>
      <w:r w:rsidRPr="00485D49">
        <w:t xml:space="preserve">income </w:t>
      </w:r>
      <w:r>
        <w:t xml:space="preserve">reaches </w:t>
      </w:r>
      <w:r w:rsidRPr="00485D49">
        <w:t>a certain level</w:t>
      </w:r>
      <w:r w:rsidR="005F2CA8">
        <w:t>,</w:t>
      </w:r>
      <w:r>
        <w:t xml:space="preserve"> but the lengthy nature of formal training remains</w:t>
      </w:r>
      <w:r w:rsidRPr="00485D49">
        <w:t>.</w:t>
      </w:r>
    </w:p>
    <w:p w14:paraId="471BAE27" w14:textId="01309843" w:rsidR="00381A27" w:rsidRDefault="00381A27" w:rsidP="00381A27">
      <w:pPr>
        <w:pStyle w:val="BodyText"/>
      </w:pPr>
      <w:r>
        <w:t xml:space="preserve">Older workers cite a lack of time as a barrier to participating in education and training. Compared </w:t>
      </w:r>
      <w:r w:rsidR="0069311F">
        <w:t>with</w:t>
      </w:r>
      <w:r>
        <w:t xml:space="preserve"> people age</w:t>
      </w:r>
      <w:r w:rsidR="009D639D">
        <w:t>d</w:t>
      </w:r>
      <w:r>
        <w:t xml:space="preserve"> under 24 years, older workers tend to have more commitments competing for their time, including work (often full</w:t>
      </w:r>
      <w:r w:rsidR="00133C69">
        <w:noBreakHyphen/>
      </w:r>
      <w:r>
        <w:t xml:space="preserve">time, necessitated by financial commitments of a mortgage and children’s education) and family responsibilities. </w:t>
      </w:r>
      <w:r w:rsidRPr="007A6063">
        <w:t>To undertake training</w:t>
      </w:r>
      <w:r>
        <w:t>,</w:t>
      </w:r>
      <w:r w:rsidRPr="007A6063">
        <w:t xml:space="preserve"> workers need to find the time </w:t>
      </w:r>
      <w:r w:rsidR="005F2CA8">
        <w:t>—</w:t>
      </w:r>
      <w:r w:rsidRPr="007A6063">
        <w:t xml:space="preserve"> either during working hours (for employer supported training) or outside of work hours.</w:t>
      </w:r>
      <w:r>
        <w:t xml:space="preserve"> Often the tasks usually performed at these times would still need to be completed, in addition to any training. While not related to formal learning, ABS data on barriers to non</w:t>
      </w:r>
      <w:r w:rsidR="00133C69">
        <w:noBreakHyphen/>
      </w:r>
      <w:r>
        <w:t xml:space="preserve">formal learning provide some insight into the relative importance of time as a barrier. </w:t>
      </w:r>
      <w:r w:rsidRPr="007A6063">
        <w:t>For people who wanted to participate in non</w:t>
      </w:r>
      <w:r>
        <w:noBreakHyphen/>
      </w:r>
      <w:r w:rsidRPr="007A6063">
        <w:t>formal learning but did not, or participated in non</w:t>
      </w:r>
      <w:r>
        <w:noBreakHyphen/>
      </w:r>
      <w:r w:rsidRPr="007A6063">
        <w:t>formal learning but wanted to do more</w:t>
      </w:r>
      <w:r>
        <w:t>,</w:t>
      </w:r>
      <w:r w:rsidRPr="007A6063">
        <w:t xml:space="preserve"> </w:t>
      </w:r>
      <w:r w:rsidR="003477CD">
        <w:t>approximately</w:t>
      </w:r>
      <w:r>
        <w:t xml:space="preserve"> half </w:t>
      </w:r>
      <w:r w:rsidRPr="007A6063">
        <w:t xml:space="preserve">indicated that lack </w:t>
      </w:r>
      <w:r w:rsidR="006A1F2F">
        <w:t>of</w:t>
      </w:r>
      <w:r w:rsidRPr="007A6063">
        <w:t xml:space="preserve"> time or too much work was the main reason</w:t>
      </w:r>
      <w:r w:rsidR="00133C69">
        <w:t xml:space="preserve"> </w:t>
      </w:r>
      <w:r w:rsidRPr="00E42806">
        <w:rPr>
          <w:szCs w:val="24"/>
        </w:rPr>
        <w:t>(ABS 2013b)</w:t>
      </w:r>
      <w:r w:rsidRPr="007A6063">
        <w:t>.</w:t>
      </w:r>
      <w:r>
        <w:t xml:space="preserve"> </w:t>
      </w:r>
      <w:r w:rsidRPr="000A11E6">
        <w:t>Men</w:t>
      </w:r>
      <w:r>
        <w:t xml:space="preserve"> (53 per cent)</w:t>
      </w:r>
      <w:r w:rsidRPr="000A11E6">
        <w:t xml:space="preserve"> were more likely to report ‘too much work’ as the main barrier</w:t>
      </w:r>
      <w:r>
        <w:t xml:space="preserve"> compared with women (45 per cent). </w:t>
      </w:r>
    </w:p>
    <w:p w14:paraId="0BF4F31A" w14:textId="5A01CCF3" w:rsidR="00381A27" w:rsidRDefault="00381A27" w:rsidP="00381A27">
      <w:pPr>
        <w:pStyle w:val="BodyText"/>
      </w:pPr>
      <w:r>
        <w:t>Some e</w:t>
      </w:r>
      <w:r w:rsidRPr="00B04E84">
        <w:t xml:space="preserve">mployers </w:t>
      </w:r>
      <w:r>
        <w:t>believe</w:t>
      </w:r>
      <w:r w:rsidRPr="00B04E84">
        <w:t xml:space="preserve"> that training mature age workers is not a good investment</w:t>
      </w:r>
      <w:r>
        <w:t xml:space="preserve"> as they may leave or retire in the short</w:t>
      </w:r>
      <w:r w:rsidR="00133C69">
        <w:noBreakHyphen/>
      </w:r>
      <w:r>
        <w:t xml:space="preserve"> to medium</w:t>
      </w:r>
      <w:r w:rsidR="00133C69">
        <w:noBreakHyphen/>
      </w:r>
      <w:r>
        <w:t xml:space="preserve">term, reducing the length of time the employer has to recoup their investment in training and skills development </w:t>
      </w:r>
      <w:r w:rsidRPr="00F67A82">
        <w:rPr>
          <w:szCs w:val="24"/>
        </w:rPr>
        <w:t>(Ferrier, Burke and Selby Smith 2008)</w:t>
      </w:r>
      <w:r>
        <w:t xml:space="preserve">. However, as outlined in </w:t>
      </w:r>
      <w:r w:rsidR="00CD49C7">
        <w:t>appendix</w:t>
      </w:r>
      <w:r w:rsidR="00A647C3">
        <w:t> </w:t>
      </w:r>
      <w:proofErr w:type="gramStart"/>
      <w:r w:rsidR="00CD49C7">
        <w:t>A</w:t>
      </w:r>
      <w:proofErr w:type="gramEnd"/>
      <w:r>
        <w:t>, working lives are lengthen</w:t>
      </w:r>
      <w:r w:rsidR="00CD49C7">
        <w:t>ing</w:t>
      </w:r>
      <w:r w:rsidR="005F2CA8">
        <w:t>,</w:t>
      </w:r>
      <w:r w:rsidR="00CD49C7">
        <w:t xml:space="preserve"> providing a longer pay off period for any investment in education and training.</w:t>
      </w:r>
      <w:r>
        <w:t xml:space="preserve"> Furthermore, older workers are less likely to change jobs than younger</w:t>
      </w:r>
      <w:r w:rsidR="005F2CA8">
        <w:t>,</w:t>
      </w:r>
      <w:r>
        <w:t xml:space="preserve"> more educated workers — providing more time for employers to reap the benefits of additional workplace training </w:t>
      </w:r>
      <w:r w:rsidRPr="00F67A82">
        <w:rPr>
          <w:szCs w:val="24"/>
        </w:rPr>
        <w:t>(</w:t>
      </w:r>
      <w:proofErr w:type="spellStart"/>
      <w:r w:rsidRPr="00F67A82">
        <w:rPr>
          <w:szCs w:val="24"/>
        </w:rPr>
        <w:t>Billett</w:t>
      </w:r>
      <w:proofErr w:type="spellEnd"/>
      <w:r w:rsidRPr="00F67A82">
        <w:rPr>
          <w:szCs w:val="24"/>
        </w:rPr>
        <w:t> 2011)</w:t>
      </w:r>
      <w:r>
        <w:t xml:space="preserve">. </w:t>
      </w:r>
    </w:p>
    <w:p w14:paraId="4F1ED342" w14:textId="125A6918" w:rsidR="00381A27" w:rsidRDefault="00B5758E" w:rsidP="008403FB">
      <w:pPr>
        <w:pStyle w:val="Heading2"/>
        <w:spacing w:before="500"/>
      </w:pPr>
      <w:bookmarkStart w:id="29" w:name="_Toc489363507"/>
      <w:bookmarkStart w:id="30" w:name="_Toc489364883"/>
      <w:r>
        <w:t>4</w:t>
      </w:r>
      <w:r w:rsidR="00381A27">
        <w:t>.2</w:t>
      </w:r>
      <w:r w:rsidR="00381A27">
        <w:tab/>
        <w:t>Employee attitudes as a barrier to training</w:t>
      </w:r>
      <w:bookmarkEnd w:id="29"/>
      <w:bookmarkEnd w:id="30"/>
      <w:r w:rsidR="00381A27">
        <w:t xml:space="preserve"> </w:t>
      </w:r>
    </w:p>
    <w:p w14:paraId="6C9B6843" w14:textId="01C1B01C" w:rsidR="00381A27" w:rsidRDefault="00381A27" w:rsidP="00381A27">
      <w:pPr>
        <w:pStyle w:val="BodyText"/>
      </w:pPr>
      <w:r>
        <w:t xml:space="preserve">The attitudes of some older workers about their abilities to undertake education and training can reduce their participation in skills development </w:t>
      </w:r>
      <w:r w:rsidRPr="00394F8C">
        <w:rPr>
          <w:szCs w:val="24"/>
        </w:rPr>
        <w:t>(</w:t>
      </w:r>
      <w:proofErr w:type="spellStart"/>
      <w:r w:rsidRPr="00394F8C">
        <w:rPr>
          <w:szCs w:val="24"/>
        </w:rPr>
        <w:t>Billett</w:t>
      </w:r>
      <w:proofErr w:type="spellEnd"/>
      <w:r w:rsidRPr="00394F8C">
        <w:rPr>
          <w:szCs w:val="24"/>
        </w:rPr>
        <w:t> 2011; Ferrier, Burke and Selby Smith 2008)</w:t>
      </w:r>
      <w:r>
        <w:t xml:space="preserve">. Some older workers lack confidence in their learning abilities and can adopt the attitude that they are ‘too old to learn’. Lack of confidence can also make older workers unwilling to learn jointly with young people — with older workers fearing embarrassment and failure if younger adults learn faster </w:t>
      </w:r>
      <w:r w:rsidRPr="00080C8A">
        <w:rPr>
          <w:szCs w:val="24"/>
        </w:rPr>
        <w:t>(Ferrier, Burke and Selby Smith 2008; Keys Young 2000)</w:t>
      </w:r>
      <w:r>
        <w:t xml:space="preserve">. </w:t>
      </w:r>
    </w:p>
    <w:p w14:paraId="20FBB1A7" w14:textId="63D90D67" w:rsidR="00381A27" w:rsidRDefault="00381A27" w:rsidP="00381A27">
      <w:pPr>
        <w:pStyle w:val="BodyText"/>
      </w:pPr>
      <w:r>
        <w:t xml:space="preserve">Workers’ willingness to retrain can also limit the uptake of training. Some workers are reluctant to undertake new training or training in a different field as they are unwilling to relinquish their previous skills and occupation </w:t>
      </w:r>
      <w:r w:rsidRPr="00FD4D0A">
        <w:rPr>
          <w:szCs w:val="24"/>
        </w:rPr>
        <w:t>(Keys Young 2000)</w:t>
      </w:r>
      <w:r>
        <w:t>. People often attach personal value, worth and identity to their work, and the skills and capabilities embodied in the tasks they do. To accept that those skills (and job</w:t>
      </w:r>
      <w:r w:rsidR="005F2CA8">
        <w:t>s</w:t>
      </w:r>
      <w:r>
        <w:t xml:space="preserve">) may be obsolete (because of automation, for example) can reduce the value of a person’s lifetime of work — something that is often borne out when workers are made redundant </w:t>
      </w:r>
      <w:r w:rsidRPr="00DB76C1">
        <w:rPr>
          <w:szCs w:val="24"/>
        </w:rPr>
        <w:t>(Wood 2014)</w:t>
      </w:r>
      <w:r>
        <w:t xml:space="preserve">. </w:t>
      </w:r>
    </w:p>
    <w:p w14:paraId="72DB08F0" w14:textId="53F7F4F4" w:rsidR="00381A27" w:rsidRDefault="00381A27" w:rsidP="00381A27">
      <w:pPr>
        <w:pStyle w:val="BodyText"/>
      </w:pPr>
      <w:r>
        <w:t>Some may be unwilling to move into new fields</w:t>
      </w:r>
      <w:r w:rsidR="008403FB">
        <w:t>,</w:t>
      </w:r>
      <w:r>
        <w:t xml:space="preserve"> viewing those occupations as inferior to previous work. </w:t>
      </w:r>
      <w:r w:rsidR="008403FB">
        <w:t>For example, s</w:t>
      </w:r>
      <w:r>
        <w:t xml:space="preserve">ervice sector jobs, historically done by women, are sometime considered inferior to manufacturing jobs </w:t>
      </w:r>
      <w:r w:rsidRPr="00F3748C">
        <w:rPr>
          <w:szCs w:val="24"/>
        </w:rPr>
        <w:t>(Potter and Durkin 2016)</w:t>
      </w:r>
      <w:r>
        <w:t xml:space="preserve">. Wholesale change can be confronting, and the requirement to make such a change can be overwhelming for workers of any age </w:t>
      </w:r>
      <w:r w:rsidRPr="00AF0732">
        <w:rPr>
          <w:szCs w:val="24"/>
        </w:rPr>
        <w:t>(</w:t>
      </w:r>
      <w:proofErr w:type="spellStart"/>
      <w:r w:rsidRPr="00AF0732">
        <w:rPr>
          <w:szCs w:val="24"/>
        </w:rPr>
        <w:t>Billett</w:t>
      </w:r>
      <w:proofErr w:type="spellEnd"/>
      <w:r w:rsidRPr="00AF0732">
        <w:rPr>
          <w:szCs w:val="24"/>
        </w:rPr>
        <w:t> 2011)</w:t>
      </w:r>
      <w:r>
        <w:t>.</w:t>
      </w:r>
    </w:p>
    <w:p w14:paraId="57F2E502" w14:textId="0306FA13" w:rsidR="00381A27" w:rsidRDefault="00381A27" w:rsidP="00381A27">
      <w:pPr>
        <w:pStyle w:val="BodyText"/>
      </w:pPr>
      <w:r>
        <w:t xml:space="preserve">Upskilling and retraining opportunities may be limited by a lack of familiarity with the learning process and how to study. Workers are a diverse group, particularly in terms of their past exposure to education and training and their own learning skills. Many older workers have not undertaken </w:t>
      </w:r>
      <w:r w:rsidR="00797DE9">
        <w:t xml:space="preserve">formal </w:t>
      </w:r>
      <w:r>
        <w:t>training since leaving school. (</w:t>
      </w:r>
      <w:r w:rsidR="003477CD">
        <w:t>About</w:t>
      </w:r>
      <w:r>
        <w:t xml:space="preserve"> 40 per cent of people over 45 years old have no post</w:t>
      </w:r>
      <w:r w:rsidR="00133C69">
        <w:noBreakHyphen/>
      </w:r>
      <w:r>
        <w:t xml:space="preserve">school qualification </w:t>
      </w:r>
      <w:r w:rsidRPr="00FE6082">
        <w:rPr>
          <w:szCs w:val="24"/>
        </w:rPr>
        <w:t>(ABS 2016b)</w:t>
      </w:r>
      <w:r>
        <w:t>. Others may have low levels of literacy and numeracy and computer skills, limiting their ability to actively participate in work</w:t>
      </w:r>
      <w:r>
        <w:noBreakHyphen/>
        <w:t xml:space="preserve">related skills development and </w:t>
      </w:r>
      <w:r w:rsidR="00797DE9">
        <w:t xml:space="preserve">potentially </w:t>
      </w:r>
      <w:r>
        <w:t xml:space="preserve">reinforcing a lack of confidence in their own ability to learn </w:t>
      </w:r>
      <w:r w:rsidRPr="00382407">
        <w:rPr>
          <w:szCs w:val="24"/>
        </w:rPr>
        <w:t>(ABS 2013a)</w:t>
      </w:r>
      <w:r>
        <w:t xml:space="preserve">. </w:t>
      </w:r>
    </w:p>
    <w:p w14:paraId="1C486774" w14:textId="6680BB90" w:rsidR="00381A27" w:rsidRDefault="00381A27" w:rsidP="00381A27">
      <w:pPr>
        <w:pStyle w:val="BodyText"/>
      </w:pPr>
      <w:r>
        <w:t>Furthermore, w</w:t>
      </w:r>
      <w:r w:rsidRPr="0096134D">
        <w:t>orkers may not recognise the future benefits of retraining or upskilling because of</w:t>
      </w:r>
      <w:r>
        <w:t xml:space="preserve"> status quo bias — in which current circumstances are seen as the reference point from which departures are perceived as a loss. This can be coupled with myopic optimism in which people are overly positive about the future relevance of their current skills. For example, employees may focus on the current positives (such as current job stability and wages) while discounting potential future periods of reduced income because of lower wages, underemployment or unemployment (arising from technological change</w:t>
      </w:r>
      <w:r w:rsidR="00797DE9">
        <w:t>, for example</w:t>
      </w:r>
      <w:r>
        <w:t xml:space="preserve">). Similarly, workers may choose not to undertake training believing they have limited time left in the workforce before retiring, without fully assessing their financial needs for retirement. </w:t>
      </w:r>
    </w:p>
    <w:p w14:paraId="20B58BEF" w14:textId="1216873D" w:rsidR="00381A27" w:rsidRPr="002C0596" w:rsidRDefault="00B5758E" w:rsidP="008403FB">
      <w:pPr>
        <w:pStyle w:val="Heading2"/>
        <w:spacing w:before="500"/>
      </w:pPr>
      <w:bookmarkStart w:id="31" w:name="_Toc489363508"/>
      <w:bookmarkStart w:id="32" w:name="_Toc489364884"/>
      <w:r>
        <w:t>4</w:t>
      </w:r>
      <w:r w:rsidR="00381A27">
        <w:t>.3</w:t>
      </w:r>
      <w:r w:rsidR="00381A27">
        <w:tab/>
        <w:t>Employers’ attitudes to older workers present barriers to training</w:t>
      </w:r>
      <w:bookmarkEnd w:id="31"/>
      <w:bookmarkEnd w:id="32"/>
    </w:p>
    <w:p w14:paraId="1BB5A46C" w14:textId="50836F01" w:rsidR="00381A27" w:rsidRDefault="00381A27" w:rsidP="00381A27">
      <w:pPr>
        <w:pStyle w:val="BodyText"/>
      </w:pPr>
      <w:r>
        <w:t>Some employers believe older workers have a reduced capacity to learn from training compared with younger people (captured by the unfortunate phrase that one ‘can’t teach an old dog new</w:t>
      </w:r>
      <w:r w:rsidRPr="008F5F25">
        <w:t xml:space="preserve"> </w:t>
      </w:r>
      <w:r>
        <w:t xml:space="preserve">tricks’). </w:t>
      </w:r>
      <w:r w:rsidRPr="008F5F25">
        <w:t>This concern is related to the decline in cognitive skills that accompany ageing.</w:t>
      </w:r>
      <w:r>
        <w:t xml:space="preserve"> While cognitive abilities do decline with age, some cognitive abilities start to decline in young adulthood (such as </w:t>
      </w:r>
      <w:r w:rsidRPr="008F5F25">
        <w:t>speed, reasoning, spatial ability and short</w:t>
      </w:r>
      <w:r w:rsidR="00133C69">
        <w:noBreakHyphen/>
      </w:r>
      <w:r w:rsidRPr="008F5F25">
        <w:t>term memory</w:t>
      </w:r>
      <w:r>
        <w:t>), but other cognitive abilities that rely on the use of pre</w:t>
      </w:r>
      <w:r w:rsidR="00133C69">
        <w:noBreakHyphen/>
      </w:r>
      <w:r>
        <w:t>existing knowledge and long</w:t>
      </w:r>
      <w:r w:rsidR="00133C69">
        <w:noBreakHyphen/>
      </w:r>
      <w:r>
        <w:t xml:space="preserve">term memory (such as language) are much more stable, declining only when people are in their late 70s </w:t>
      </w:r>
      <w:r w:rsidRPr="00F0605D">
        <w:rPr>
          <w:szCs w:val="24"/>
        </w:rPr>
        <w:t>(</w:t>
      </w:r>
      <w:proofErr w:type="spellStart"/>
      <w:r w:rsidRPr="00F0605D">
        <w:rPr>
          <w:szCs w:val="24"/>
        </w:rPr>
        <w:t>Picchio</w:t>
      </w:r>
      <w:proofErr w:type="spellEnd"/>
      <w:r w:rsidRPr="00F0605D">
        <w:rPr>
          <w:szCs w:val="24"/>
        </w:rPr>
        <w:t> 2015)</w:t>
      </w:r>
      <w:r>
        <w:t xml:space="preserve">. This is well after the age when an employer would be considering any significant investment in training. Research has found that older workers </w:t>
      </w:r>
      <w:r w:rsidRPr="000F7ABA">
        <w:rPr>
          <w:i/>
        </w:rPr>
        <w:t>can</w:t>
      </w:r>
      <w:r>
        <w:t xml:space="preserve"> learn new skills. However, as there are age</w:t>
      </w:r>
      <w:r>
        <w:noBreakHyphen/>
        <w:t xml:space="preserve">related declines in some aspects of cognitive skills, the learning process may need to differ from that offered to younger people to be effective in developing new skills </w:t>
      </w:r>
      <w:r w:rsidRPr="00F0605D">
        <w:rPr>
          <w:szCs w:val="24"/>
        </w:rPr>
        <w:t>(</w:t>
      </w:r>
      <w:proofErr w:type="spellStart"/>
      <w:r w:rsidRPr="00F0605D">
        <w:rPr>
          <w:szCs w:val="24"/>
        </w:rPr>
        <w:t>Billett</w:t>
      </w:r>
      <w:proofErr w:type="spellEnd"/>
      <w:r w:rsidRPr="00F0605D">
        <w:rPr>
          <w:szCs w:val="24"/>
        </w:rPr>
        <w:t xml:space="preserve"> 2011; Ferrier, Burke and Selby Smith 2008; </w:t>
      </w:r>
      <w:proofErr w:type="spellStart"/>
      <w:r w:rsidRPr="00F0605D">
        <w:rPr>
          <w:szCs w:val="24"/>
        </w:rPr>
        <w:t>Picchio</w:t>
      </w:r>
      <w:proofErr w:type="spellEnd"/>
      <w:r w:rsidRPr="00F0605D">
        <w:rPr>
          <w:szCs w:val="24"/>
        </w:rPr>
        <w:t> 2015)</w:t>
      </w:r>
      <w:r>
        <w:t>. These workers may need longer time or self</w:t>
      </w:r>
      <w:r>
        <w:noBreakHyphen/>
        <w:t xml:space="preserve">paced courses that use multiple instructional methods to aid learning. Moreover, older workers perform better in training that raises their existing skills than in new fields </w:t>
      </w:r>
      <w:r w:rsidRPr="00F0605D">
        <w:rPr>
          <w:szCs w:val="24"/>
        </w:rPr>
        <w:t>(</w:t>
      </w:r>
      <w:proofErr w:type="spellStart"/>
      <w:r w:rsidRPr="00F0605D">
        <w:rPr>
          <w:szCs w:val="24"/>
        </w:rPr>
        <w:t>Picchio</w:t>
      </w:r>
      <w:proofErr w:type="spellEnd"/>
      <w:r w:rsidRPr="00F0605D">
        <w:rPr>
          <w:szCs w:val="24"/>
        </w:rPr>
        <w:t> 2015)</w:t>
      </w:r>
      <w:r>
        <w:t xml:space="preserve">. </w:t>
      </w:r>
    </w:p>
    <w:p w14:paraId="5D7D1CCC" w14:textId="1E394B8E" w:rsidR="00EC3764" w:rsidRDefault="00EC3764" w:rsidP="00381A27">
      <w:pPr>
        <w:pStyle w:val="BodyText"/>
      </w:pPr>
    </w:p>
    <w:p w14:paraId="7C49EE2A" w14:textId="77777777" w:rsidR="00EC3764" w:rsidRDefault="00EC3764" w:rsidP="00381A27">
      <w:pPr>
        <w:pStyle w:val="BodyText"/>
        <w:sectPr w:rsidR="00EC3764" w:rsidSect="00EC3764">
          <w:type w:val="oddPage"/>
          <w:pgSz w:w="11907" w:h="16840" w:code="9"/>
          <w:pgMar w:top="1984" w:right="1304" w:bottom="1247" w:left="1814" w:header="1701" w:footer="397" w:gutter="0"/>
          <w:pgNumType w:chapSep="period"/>
          <w:cols w:space="720"/>
          <w:docGrid w:linePitch="326"/>
        </w:sectPr>
      </w:pPr>
    </w:p>
    <w:p w14:paraId="341A902C" w14:textId="229B441C" w:rsidR="00C21192" w:rsidRPr="00F16721" w:rsidRDefault="00B5758E" w:rsidP="00F16721">
      <w:pPr>
        <w:pStyle w:val="Heading1"/>
      </w:pPr>
      <w:bookmarkStart w:id="33" w:name="_Toc489363509"/>
      <w:bookmarkStart w:id="34" w:name="_Toc489364885"/>
      <w:r w:rsidRPr="00F16721">
        <w:t>5</w:t>
      </w:r>
      <w:r w:rsidR="00C21192" w:rsidRPr="00F16721">
        <w:tab/>
      </w:r>
      <w:r w:rsidR="00941DC9" w:rsidRPr="00F16721">
        <w:t>What options are available to government?</w:t>
      </w:r>
      <w:bookmarkEnd w:id="33"/>
      <w:bookmarkEnd w:id="34"/>
    </w:p>
    <w:p w14:paraId="24A42AF9" w14:textId="79B2456C" w:rsidR="003C145B" w:rsidRDefault="00D73597" w:rsidP="0086126D">
      <w:pPr>
        <w:pStyle w:val="BodyText"/>
      </w:pPr>
      <w:r>
        <w:t>If</w:t>
      </w:r>
      <w:r w:rsidR="007378D9">
        <w:t xml:space="preserve"> the existing workforce is to have an extended and fuller working life,</w:t>
      </w:r>
      <w:r w:rsidR="00D202B1">
        <w:t xml:space="preserve"> weathering the potential </w:t>
      </w:r>
      <w:r w:rsidR="0069311F">
        <w:t>effect</w:t>
      </w:r>
      <w:r w:rsidR="00D202B1">
        <w:t>s associated with demographic and technological change</w:t>
      </w:r>
      <w:r w:rsidR="00DD2000">
        <w:t xml:space="preserve">, </w:t>
      </w:r>
      <w:r w:rsidR="009753EE">
        <w:t xml:space="preserve">it </w:t>
      </w:r>
      <w:r w:rsidR="009952D9">
        <w:t xml:space="preserve">will require governments to give </w:t>
      </w:r>
      <w:r w:rsidR="007378D9">
        <w:t xml:space="preserve">ongoing consideration </w:t>
      </w:r>
      <w:r w:rsidR="00BA5070">
        <w:t>to</w:t>
      </w:r>
      <w:r w:rsidR="009952D9">
        <w:t xml:space="preserve"> strategies </w:t>
      </w:r>
      <w:r w:rsidR="00BA5070">
        <w:t>that</w:t>
      </w:r>
      <w:r w:rsidR="009952D9">
        <w:t xml:space="preserve"> </w:t>
      </w:r>
      <w:r w:rsidR="00F7597E">
        <w:t xml:space="preserve">smooth the </w:t>
      </w:r>
      <w:r w:rsidR="0069311F">
        <w:t>effects</w:t>
      </w:r>
      <w:r w:rsidR="00F7597E">
        <w:t xml:space="preserve"> of structural change</w:t>
      </w:r>
      <w:r w:rsidR="009952D9">
        <w:t>.</w:t>
      </w:r>
      <w:r w:rsidR="003C145B">
        <w:t xml:space="preserve"> </w:t>
      </w:r>
    </w:p>
    <w:p w14:paraId="102FBFB2" w14:textId="77777777" w:rsidR="009753EE" w:rsidRDefault="0086126D" w:rsidP="00EF31F2">
      <w:pPr>
        <w:pStyle w:val="BodyText"/>
      </w:pPr>
      <w:r>
        <w:t>Educati</w:t>
      </w:r>
      <w:r w:rsidR="00DD2000">
        <w:t>on and training is one element.</w:t>
      </w:r>
      <w:r w:rsidR="00EF31F2">
        <w:t xml:space="preserve"> </w:t>
      </w:r>
    </w:p>
    <w:p w14:paraId="7136CE27" w14:textId="12D9D87F" w:rsidR="00EF31F2" w:rsidRDefault="00EF31F2" w:rsidP="00EF31F2">
      <w:pPr>
        <w:pStyle w:val="BodyText"/>
      </w:pPr>
      <w:r>
        <w:t xml:space="preserve">Training and information are the keys to empowering workers to be able to make choices that benefit their living standards. Ultimately, training needs to build confidence, develop foundation skills such as numeracy, literacy and digital skills as well as teach technical and ‘soft’ skills that can be applied in the workplace. </w:t>
      </w:r>
    </w:p>
    <w:p w14:paraId="3E78D4A4" w14:textId="02D04A77" w:rsidR="003C145B" w:rsidRDefault="003C145B" w:rsidP="003C145B">
      <w:pPr>
        <w:pStyle w:val="Heading2"/>
      </w:pPr>
      <w:bookmarkStart w:id="35" w:name="_Toc489363510"/>
      <w:bookmarkStart w:id="36" w:name="_Toc489364886"/>
      <w:r>
        <w:t>5.1</w:t>
      </w:r>
      <w:r>
        <w:tab/>
      </w:r>
      <w:r w:rsidR="008D7BAB">
        <w:t>Measures to reduce the barriers to upskilling and retraining</w:t>
      </w:r>
      <w:bookmarkEnd w:id="35"/>
      <w:bookmarkEnd w:id="36"/>
    </w:p>
    <w:p w14:paraId="2CEE126F" w14:textId="1BE00044" w:rsidR="003C145B" w:rsidRDefault="003C145B" w:rsidP="0086126D">
      <w:pPr>
        <w:pStyle w:val="BodyText"/>
      </w:pPr>
      <w:r>
        <w:t xml:space="preserve">To cope with the likely risks and pressures in the labour market, </w:t>
      </w:r>
      <w:r w:rsidR="00B40256">
        <w:t>it is necessary to examine both the demand and supply</w:t>
      </w:r>
      <w:r w:rsidR="00133C69">
        <w:noBreakHyphen/>
      </w:r>
      <w:r w:rsidR="00B40256">
        <w:t>side set</w:t>
      </w:r>
      <w:r w:rsidR="000C260C">
        <w:t xml:space="preserve">tings </w:t>
      </w:r>
      <w:r w:rsidR="008403FB">
        <w:t xml:space="preserve">of the </w:t>
      </w:r>
      <w:r w:rsidR="000C260C">
        <w:t>skills formation</w:t>
      </w:r>
      <w:r w:rsidR="008403FB">
        <w:t xml:space="preserve"> system</w:t>
      </w:r>
      <w:r w:rsidR="000C260C">
        <w:t>, minimising the barriers to upskilling and retraining.</w:t>
      </w:r>
    </w:p>
    <w:p w14:paraId="6585EB2E" w14:textId="2A715FD9" w:rsidR="003C145B" w:rsidRDefault="00B40256" w:rsidP="00B40256">
      <w:pPr>
        <w:pStyle w:val="BodyText"/>
      </w:pPr>
      <w:r>
        <w:t xml:space="preserve">It is crucial for governments to </w:t>
      </w:r>
      <w:r w:rsidR="003C145B">
        <w:t xml:space="preserve">create the right </w:t>
      </w:r>
      <w:r w:rsidR="003C145B" w:rsidRPr="00233D70">
        <w:rPr>
          <w:i/>
        </w:rPr>
        <w:t>supply</w:t>
      </w:r>
      <w:r w:rsidR="003C145B">
        <w:rPr>
          <w:i/>
        </w:rPr>
        <w:noBreakHyphen/>
      </w:r>
      <w:r w:rsidR="003C145B" w:rsidRPr="00233D70">
        <w:rPr>
          <w:i/>
        </w:rPr>
        <w:t xml:space="preserve">side </w:t>
      </w:r>
      <w:r w:rsidR="003C145B" w:rsidRPr="00233D70">
        <w:t xml:space="preserve">settings for the </w:t>
      </w:r>
      <w:r w:rsidR="003C145B" w:rsidRPr="00216F0D">
        <w:t>skills s</w:t>
      </w:r>
      <w:r w:rsidR="003C145B" w:rsidRPr="00233D70">
        <w:t>ystem</w:t>
      </w:r>
      <w:r w:rsidR="003C145B">
        <w:t>. That means an efficient, high</w:t>
      </w:r>
      <w:r w:rsidR="003C145B">
        <w:noBreakHyphen/>
        <w:t>quality and flexible e</w:t>
      </w:r>
      <w:r w:rsidR="00DD2000">
        <w:t>d</w:t>
      </w:r>
      <w:r w:rsidR="003C145B">
        <w:t>ucation and training system that is driven by the needs of users (the people acquiring the skills and the businesses that need them) rather than the interest</w:t>
      </w:r>
      <w:r w:rsidR="001F58C8">
        <w:t>s</w:t>
      </w:r>
      <w:r w:rsidR="003C145B">
        <w:t xml:space="preserve"> of suppliers or legacy models of provision and government funding. That system also needs to be able to respond to the inevitable transitions from job to job and occupation to occupation </w:t>
      </w:r>
      <w:r w:rsidR="009753EE">
        <w:t xml:space="preserve">and the associated skills required </w:t>
      </w:r>
      <w:r w:rsidR="003C145B">
        <w:t xml:space="preserve">that will occur over people’s lifetimes. </w:t>
      </w:r>
    </w:p>
    <w:p w14:paraId="5D9C39F2" w14:textId="199C2A46" w:rsidR="003C145B" w:rsidRDefault="00B40256" w:rsidP="00B40256">
      <w:pPr>
        <w:pStyle w:val="BodyText"/>
      </w:pPr>
      <w:r>
        <w:t>It is also essential to have policy setting</w:t>
      </w:r>
      <w:r w:rsidR="009753EE">
        <w:t>s</w:t>
      </w:r>
      <w:r>
        <w:t xml:space="preserve"> that ensure that</w:t>
      </w:r>
      <w:r w:rsidR="003C145B">
        <w:t xml:space="preserve"> </w:t>
      </w:r>
      <w:r>
        <w:t xml:space="preserve">the </w:t>
      </w:r>
      <w:r w:rsidR="003C145B" w:rsidRPr="001C22DD">
        <w:rPr>
          <w:i/>
        </w:rPr>
        <w:t>demand</w:t>
      </w:r>
      <w:r w:rsidR="00A50049">
        <w:rPr>
          <w:i/>
        </w:rPr>
        <w:noBreakHyphen/>
      </w:r>
      <w:r w:rsidR="003C145B" w:rsidRPr="001C22DD">
        <w:rPr>
          <w:i/>
        </w:rPr>
        <w:t>side</w:t>
      </w:r>
      <w:r w:rsidR="003C145B">
        <w:t xml:space="preserve"> for the right </w:t>
      </w:r>
      <w:r w:rsidR="003C145B" w:rsidRPr="00D113D4">
        <w:rPr>
          <w:i/>
        </w:rPr>
        <w:t>skills</w:t>
      </w:r>
      <w:r w:rsidR="003C145B">
        <w:t xml:space="preserve"> is not frustrated by poor incentives to train by employees and businesses, excessive costs of obtaining skills, poor information about the skills needed for future work, or weak foundational skills that make such investments virtually impossible. </w:t>
      </w:r>
    </w:p>
    <w:p w14:paraId="0779DAF4" w14:textId="16E83FFF" w:rsidR="000A7B6E" w:rsidRDefault="000A7B6E" w:rsidP="000A7B6E">
      <w:pPr>
        <w:pStyle w:val="Heading3"/>
      </w:pPr>
      <w:r>
        <w:t xml:space="preserve">Let’s start with strong foundational skills </w:t>
      </w:r>
    </w:p>
    <w:p w14:paraId="4C397A25" w14:textId="3B718A6D" w:rsidR="003C145B" w:rsidRDefault="00B40256" w:rsidP="0086126D">
      <w:pPr>
        <w:pStyle w:val="BodyText"/>
      </w:pPr>
      <w:r>
        <w:t>First and for</w:t>
      </w:r>
      <w:r w:rsidR="00A50049">
        <w:t>e</w:t>
      </w:r>
      <w:r>
        <w:t xml:space="preserve">most, to </w:t>
      </w:r>
      <w:r w:rsidR="00FC0987">
        <w:t>have</w:t>
      </w:r>
      <w:r>
        <w:t xml:space="preserve"> a </w:t>
      </w:r>
      <w:r w:rsidR="00FC0987">
        <w:t xml:space="preserve">workforce that is capable of ongoing learning, they </w:t>
      </w:r>
      <w:r w:rsidR="00E230A9">
        <w:t xml:space="preserve">need to have strong foundational skills. </w:t>
      </w:r>
      <w:r w:rsidR="005270B8">
        <w:t xml:space="preserve">This starts with a </w:t>
      </w:r>
      <w:r w:rsidR="00E230A9">
        <w:t xml:space="preserve">good school system </w:t>
      </w:r>
      <w:r w:rsidR="00290E05">
        <w:t xml:space="preserve">that </w:t>
      </w:r>
      <w:r w:rsidR="00E230A9">
        <w:t>ensures people have the key foundational skills like numeracy and literacy, analytical skills, and the capacity to easily acquire knowledge throughout their lives (appendix</w:t>
      </w:r>
      <w:r w:rsidR="00133C69">
        <w:t> </w:t>
      </w:r>
      <w:r w:rsidR="00E230A9">
        <w:t xml:space="preserve">B). </w:t>
      </w:r>
      <w:r w:rsidR="005270B8">
        <w:t xml:space="preserve">While addressing the current </w:t>
      </w:r>
      <w:r w:rsidR="00122421">
        <w:t xml:space="preserve">academic performance </w:t>
      </w:r>
      <w:r w:rsidR="009753EE">
        <w:t>outcomes</w:t>
      </w:r>
      <w:r w:rsidR="00122421">
        <w:t xml:space="preserve"> of school </w:t>
      </w:r>
      <w:r w:rsidR="009753EE">
        <w:t>students</w:t>
      </w:r>
      <w:r w:rsidR="00122421">
        <w:t xml:space="preserve"> will not help those currently in the labour market, it will set up future cohorts to be in a position to be receptive to </w:t>
      </w:r>
      <w:r w:rsidR="00290E05">
        <w:t xml:space="preserve">further </w:t>
      </w:r>
      <w:r w:rsidR="00122421">
        <w:t>education and training</w:t>
      </w:r>
      <w:r w:rsidR="00290E05">
        <w:t xml:space="preserve"> (when needed), potentially making them more adaptable and resilient to </w:t>
      </w:r>
      <w:r w:rsidR="009753EE">
        <w:t xml:space="preserve">ongoing </w:t>
      </w:r>
      <w:r w:rsidR="00290E05">
        <w:t>labour market changes</w:t>
      </w:r>
      <w:r w:rsidR="00122421">
        <w:t>. The main report makes recommendations on priority reforms in the schooling sector.</w:t>
      </w:r>
      <w:r w:rsidR="00133C69">
        <w:t xml:space="preserve"> </w:t>
      </w:r>
    </w:p>
    <w:p w14:paraId="3352BBB4" w14:textId="1F7DDB42" w:rsidR="00660512" w:rsidRDefault="00660512" w:rsidP="00660512">
      <w:pPr>
        <w:pStyle w:val="BodyText"/>
      </w:pPr>
      <w:r>
        <w:t xml:space="preserve">The </w:t>
      </w:r>
      <w:r w:rsidR="00FC3A1B">
        <w:t xml:space="preserve">skills and knowledge </w:t>
      </w:r>
      <w:r>
        <w:t>of older workers appears to largely reflect investment decisions made early in their lives in an economy quite different from the current one</w:t>
      </w:r>
      <w:r w:rsidR="00F01054">
        <w:t xml:space="preserve"> (or in the case of immigrants, a country)</w:t>
      </w:r>
      <w:r>
        <w:t>. Notably, in Australia:</w:t>
      </w:r>
    </w:p>
    <w:p w14:paraId="07F7B14D" w14:textId="170E8BEF" w:rsidR="00660512" w:rsidRDefault="00CA7BB8" w:rsidP="00660512">
      <w:pPr>
        <w:pStyle w:val="ListBullet"/>
      </w:pPr>
      <w:r>
        <w:t>the former</w:t>
      </w:r>
      <w:r w:rsidR="00660512">
        <w:t xml:space="preserve"> immigration policy allow</w:t>
      </w:r>
      <w:r>
        <w:t>ed</w:t>
      </w:r>
      <w:r w:rsidR="00660512">
        <w:t xml:space="preserve"> </w:t>
      </w:r>
      <w:r w:rsidR="0002548A">
        <w:t>457 </w:t>
      </w:r>
      <w:r w:rsidR="00660512">
        <w:t>visa holders to transition to permanent residency even if they ha</w:t>
      </w:r>
      <w:r w:rsidR="00937B1F">
        <w:t>d</w:t>
      </w:r>
      <w:r w:rsidR="00660512">
        <w:t xml:space="preserve"> weak English proficiency </w:t>
      </w:r>
      <w:r w:rsidR="00660512" w:rsidRPr="005C6866">
        <w:rPr>
          <w:szCs w:val="24"/>
        </w:rPr>
        <w:t>(PC 2016b)</w:t>
      </w:r>
    </w:p>
    <w:p w14:paraId="7A5C9B36" w14:textId="12938DE8" w:rsidR="00660512" w:rsidRDefault="00660512" w:rsidP="00CA7BB8">
      <w:pPr>
        <w:pStyle w:val="ListBullet"/>
      </w:pPr>
      <w:proofErr w:type="gramStart"/>
      <w:r>
        <w:t>older</w:t>
      </w:r>
      <w:proofErr w:type="gramEnd"/>
      <w:r>
        <w:t xml:space="preserve"> Australians have poorer literacy and numeracy than younger people, </w:t>
      </w:r>
      <w:r w:rsidR="0002548A">
        <w:t>with this affecting their</w:t>
      </w:r>
      <w:r>
        <w:t xml:space="preserve"> employment, wages and productivity </w:t>
      </w:r>
      <w:r w:rsidR="00CA7BB8" w:rsidRPr="00CA7BB8">
        <w:rPr>
          <w:szCs w:val="24"/>
        </w:rPr>
        <w:t>(OECD 2016b)</w:t>
      </w:r>
      <w:r w:rsidR="006179D4">
        <w:rPr>
          <w:szCs w:val="24"/>
        </w:rPr>
        <w:t>.</w:t>
      </w:r>
      <w:r>
        <w:t xml:space="preserve"> </w:t>
      </w:r>
    </w:p>
    <w:p w14:paraId="594451F9" w14:textId="77E9E962" w:rsidR="003D6BCB" w:rsidRDefault="001E57A4" w:rsidP="001E57A4">
      <w:pPr>
        <w:pStyle w:val="BodyText"/>
      </w:pPr>
      <w:r>
        <w:t xml:space="preserve">While the </w:t>
      </w:r>
      <w:r w:rsidR="009215E9">
        <w:t xml:space="preserve">Productivity </w:t>
      </w:r>
      <w:r>
        <w:t xml:space="preserve">Commission has not assessed the success of current policy initiatives to </w:t>
      </w:r>
      <w:r w:rsidR="000C1B37">
        <w:t>develop solid</w:t>
      </w:r>
      <w:r>
        <w:t xml:space="preserve"> foundational skills of adults</w:t>
      </w:r>
      <w:r w:rsidR="000C1B37">
        <w:t xml:space="preserve"> who did not acquire them when they were young</w:t>
      </w:r>
      <w:r w:rsidR="00AA051E">
        <w:t>er</w:t>
      </w:r>
      <w:r>
        <w:t xml:space="preserve">, </w:t>
      </w:r>
      <w:r w:rsidR="000C1B37">
        <w:t xml:space="preserve">it is generally preferable to </w:t>
      </w:r>
      <w:r w:rsidR="0002548A">
        <w:t xml:space="preserve">avoid </w:t>
      </w:r>
      <w:r w:rsidR="000C1B37">
        <w:t xml:space="preserve">remedial strategies. </w:t>
      </w:r>
      <w:r w:rsidR="00AA051E">
        <w:t xml:space="preserve">In light of this, </w:t>
      </w:r>
      <w:r w:rsidR="003D6BCB">
        <w:t>policy makers</w:t>
      </w:r>
      <w:r w:rsidR="00AA051E">
        <w:t xml:space="preserve">, in designing </w:t>
      </w:r>
      <w:r w:rsidR="00F15680">
        <w:t>employment</w:t>
      </w:r>
      <w:r w:rsidR="00F15680">
        <w:noBreakHyphen/>
      </w:r>
      <w:r w:rsidR="00AA051E">
        <w:t>targeted immigration policies,</w:t>
      </w:r>
      <w:r w:rsidR="00BD7B5B">
        <w:t xml:space="preserve"> should be mindful </w:t>
      </w:r>
      <w:r w:rsidR="003D6BCB">
        <w:t xml:space="preserve">that low levels of </w:t>
      </w:r>
      <w:r w:rsidR="00BD7B5B">
        <w:t>foundat</w:t>
      </w:r>
      <w:r>
        <w:t>ional skills among th</w:t>
      </w:r>
      <w:r w:rsidR="003D6BCB">
        <w:t>e</w:t>
      </w:r>
      <w:r>
        <w:t>s</w:t>
      </w:r>
      <w:r w:rsidR="003D6BCB">
        <w:t>e</w:t>
      </w:r>
      <w:r>
        <w:t xml:space="preserve"> cohort</w:t>
      </w:r>
      <w:r w:rsidR="003D6BCB">
        <w:t xml:space="preserve">s leave such people vulnerable to future labour market changes. </w:t>
      </w:r>
    </w:p>
    <w:p w14:paraId="66EBD4C1" w14:textId="066D4B91" w:rsidR="000A7B6E" w:rsidRDefault="00046FE8" w:rsidP="000A7B6E">
      <w:pPr>
        <w:pStyle w:val="Heading3"/>
      </w:pPr>
      <w:r>
        <w:t>Overcoming cost barriers: e</w:t>
      </w:r>
      <w:r w:rsidR="000A7B6E">
        <w:t>mbracing flexible</w:t>
      </w:r>
      <w:r w:rsidR="00053769">
        <w:t>,</w:t>
      </w:r>
      <w:r w:rsidR="000A7B6E">
        <w:t xml:space="preserve"> affordable and easily</w:t>
      </w:r>
      <w:r w:rsidR="00133C69">
        <w:noBreakHyphen/>
      </w:r>
      <w:r w:rsidR="000A7B6E">
        <w:t xml:space="preserve">acquired skills </w:t>
      </w:r>
    </w:p>
    <w:p w14:paraId="00AFCA80" w14:textId="77777777" w:rsidR="009908CF" w:rsidRDefault="00933FA5" w:rsidP="0079799F">
      <w:pPr>
        <w:pStyle w:val="BodyText"/>
      </w:pPr>
      <w:r>
        <w:t>T</w:t>
      </w:r>
      <w:r w:rsidR="00231BDF">
        <w:t>raditional</w:t>
      </w:r>
      <w:r w:rsidR="00570E8C">
        <w:t>,</w:t>
      </w:r>
      <w:r w:rsidR="00231BDF">
        <w:t xml:space="preserve"> </w:t>
      </w:r>
      <w:r>
        <w:t>formal m</w:t>
      </w:r>
      <w:r w:rsidR="00231BDF" w:rsidRPr="00485D49">
        <w:t>ethods of acquiring skills and qualifications</w:t>
      </w:r>
      <w:r w:rsidR="00231BDF">
        <w:t xml:space="preserve"> </w:t>
      </w:r>
      <w:r w:rsidR="00231BDF" w:rsidRPr="00485D49">
        <w:t>are costly and time consuming</w:t>
      </w:r>
      <w:r>
        <w:t>, as discussed above</w:t>
      </w:r>
      <w:r w:rsidR="00231BDF" w:rsidRPr="00485D49">
        <w:t>.</w:t>
      </w:r>
      <w:r>
        <w:t xml:space="preserve"> </w:t>
      </w:r>
      <w:r w:rsidR="00B17137">
        <w:t>A</w:t>
      </w:r>
      <w:r w:rsidR="000C260C">
        <w:t xml:space="preserve"> modern </w:t>
      </w:r>
      <w:r>
        <w:t xml:space="preserve">education and training system needs to evolve to become flexible enough to teach new skills quickly and efficiently. </w:t>
      </w:r>
      <w:r w:rsidR="009A0C05">
        <w:t>This will probably mean that non</w:t>
      </w:r>
      <w:r w:rsidR="009A0C05">
        <w:noBreakHyphen/>
        <w:t xml:space="preserve">formal and informal education, including emerging forms of learning, will play a larger role in the future skills formation of workers. One of the key advantages of </w:t>
      </w:r>
      <w:r w:rsidR="00ED1D75">
        <w:t xml:space="preserve">these </w:t>
      </w:r>
      <w:r w:rsidR="009A0C05">
        <w:t>emerging forms of learning</w:t>
      </w:r>
      <w:r w:rsidR="006F12BC">
        <w:t xml:space="preserve"> (such as Massive Open Online Courses)</w:t>
      </w:r>
      <w:r w:rsidR="009A0C05">
        <w:t xml:space="preserve"> </w:t>
      </w:r>
      <w:r w:rsidR="006F12BC">
        <w:t xml:space="preserve">is </w:t>
      </w:r>
      <w:r w:rsidR="009A0C05">
        <w:t xml:space="preserve">that they </w:t>
      </w:r>
      <w:r w:rsidR="006F12BC">
        <w:t xml:space="preserve">provide faster, cheaper and more flexible methods of acquiring knowledge and skills. </w:t>
      </w:r>
      <w:r w:rsidR="00080DBD">
        <w:t>But currently t</w:t>
      </w:r>
      <w:r w:rsidR="00080DBD" w:rsidRPr="00E828A6">
        <w:t xml:space="preserve">here is a </w:t>
      </w:r>
      <w:r w:rsidR="00080DBD">
        <w:t>gap</w:t>
      </w:r>
      <w:r w:rsidR="00080DBD" w:rsidRPr="00E828A6">
        <w:t xml:space="preserve"> between what is </w:t>
      </w:r>
      <w:r w:rsidR="00080DBD">
        <w:t>demanded</w:t>
      </w:r>
      <w:r w:rsidR="00080DBD" w:rsidRPr="00E828A6">
        <w:t xml:space="preserve"> </w:t>
      </w:r>
      <w:r w:rsidR="00ED1D75">
        <w:t xml:space="preserve">in terms of </w:t>
      </w:r>
      <w:r w:rsidR="000C260C">
        <w:t xml:space="preserve">the </w:t>
      </w:r>
      <w:r w:rsidR="00ED1D75">
        <w:t xml:space="preserve">method of acquiring skills </w:t>
      </w:r>
      <w:r w:rsidR="00080DBD" w:rsidRPr="00E828A6">
        <w:t xml:space="preserve">and what is </w:t>
      </w:r>
      <w:r w:rsidR="00080DBD">
        <w:t xml:space="preserve">accepted as a universal signal of skills and ability </w:t>
      </w:r>
      <w:r w:rsidR="00080DBD" w:rsidRPr="00E828A6">
        <w:t xml:space="preserve">in the </w:t>
      </w:r>
      <w:r w:rsidR="00080DBD">
        <w:t>labour market</w:t>
      </w:r>
      <w:r w:rsidR="00ED1D75">
        <w:t xml:space="preserve"> </w:t>
      </w:r>
      <w:r w:rsidR="00080DBD">
        <w:t>(formal qualifications from traditional institutions</w:t>
      </w:r>
      <w:r w:rsidR="009908CF">
        <w:t>,</w:t>
      </w:r>
      <w:r w:rsidR="00080DBD">
        <w:t xml:space="preserve"> </w:t>
      </w:r>
      <w:r w:rsidR="00F02872">
        <w:t>which</w:t>
      </w:r>
      <w:r w:rsidR="00080DBD">
        <w:t xml:space="preserve"> can take years)</w:t>
      </w:r>
      <w:r w:rsidR="00080DBD" w:rsidRPr="00E828A6">
        <w:t>.</w:t>
      </w:r>
      <w:r w:rsidR="00ED1D75">
        <w:t xml:space="preserve"> </w:t>
      </w:r>
      <w:r w:rsidR="0079799F">
        <w:t>A</w:t>
      </w:r>
      <w:r w:rsidR="0079799F" w:rsidRPr="00E828A6">
        <w:t xml:space="preserve"> framework </w:t>
      </w:r>
      <w:r w:rsidR="0079799F">
        <w:t xml:space="preserve">or system </w:t>
      </w:r>
      <w:r w:rsidR="0079799F" w:rsidRPr="00E828A6">
        <w:t xml:space="preserve">that enables recognition of and trust in new types of </w:t>
      </w:r>
      <w:r w:rsidR="0079799F">
        <w:t xml:space="preserve">learning is a missing element. </w:t>
      </w:r>
    </w:p>
    <w:p w14:paraId="3BC4636E" w14:textId="77777777" w:rsidR="009908CF" w:rsidRDefault="009908CF" w:rsidP="0079799F">
      <w:pPr>
        <w:pStyle w:val="BodyText"/>
      </w:pPr>
    </w:p>
    <w:p w14:paraId="6058CDD3" w14:textId="72F8543B" w:rsidR="0079799F" w:rsidRDefault="0079799F" w:rsidP="0079799F">
      <w:pPr>
        <w:pStyle w:val="BodyText"/>
      </w:pPr>
      <w:r>
        <w:t xml:space="preserve">As outlined in The New York Times: </w:t>
      </w:r>
    </w:p>
    <w:p w14:paraId="49DCF670" w14:textId="238468E5" w:rsidR="0079799F" w:rsidRDefault="0079799F" w:rsidP="0079799F">
      <w:pPr>
        <w:pStyle w:val="Quote"/>
      </w:pPr>
      <w:r w:rsidRPr="00861689">
        <w:t>Free online courses won’t revolutionize education until there is a parallel system of free or low</w:t>
      </w:r>
      <w:r>
        <w:noBreakHyphen/>
      </w:r>
      <w:r w:rsidRPr="00861689">
        <w:t xml:space="preserve">fee credentials, not controlled by traditional </w:t>
      </w:r>
      <w:proofErr w:type="gramStart"/>
      <w:r w:rsidRPr="00861689">
        <w:t>colleges, that</w:t>
      </w:r>
      <w:proofErr w:type="gramEnd"/>
      <w:r w:rsidRPr="00861689">
        <w:t xml:space="preserve"> leads to jobs.</w:t>
      </w:r>
      <w:r>
        <w:t xml:space="preserve"> </w:t>
      </w:r>
      <w:r w:rsidRPr="00FD7D33">
        <w:rPr>
          <w:szCs w:val="24"/>
        </w:rPr>
        <w:t>(Carey 2015, p. 1)</w:t>
      </w:r>
    </w:p>
    <w:p w14:paraId="638A3B95" w14:textId="68CEDD1C" w:rsidR="00E754BB" w:rsidRDefault="0079799F" w:rsidP="00E754BB">
      <w:pPr>
        <w:pStyle w:val="BodyText"/>
      </w:pPr>
      <w:r>
        <w:t>If Australia’s education system is to be adaptive to the forthcoming labour market challenges, it is necessary to have an education system that values these new models of learning</w:t>
      </w:r>
      <w:r w:rsidR="00B37723">
        <w:t xml:space="preserve">, particularly as they tend to </w:t>
      </w:r>
      <w:r w:rsidR="0098503F">
        <w:t>address the cost barriers of traditional forms of learning</w:t>
      </w:r>
      <w:r>
        <w:t xml:space="preserve">. A certification framework will go some way to doing this. </w:t>
      </w:r>
      <w:r w:rsidR="00E754BB">
        <w:t xml:space="preserve">The main report makes </w:t>
      </w:r>
      <w:r w:rsidR="002629F1">
        <w:t xml:space="preserve">a </w:t>
      </w:r>
      <w:r w:rsidR="00E754BB">
        <w:t xml:space="preserve">recommendation regarding an independent assessment system to stimulate further upskilling and retraining. </w:t>
      </w:r>
    </w:p>
    <w:p w14:paraId="2C698AF0" w14:textId="03071C98" w:rsidR="00DD2000" w:rsidRDefault="00046FE8" w:rsidP="00291A7A">
      <w:pPr>
        <w:pStyle w:val="Heading3"/>
      </w:pPr>
      <w:r>
        <w:t>Overcoming information barriers: e</w:t>
      </w:r>
      <w:r w:rsidR="00291A7A">
        <w:t>asier a</w:t>
      </w:r>
      <w:r w:rsidR="00DD2000">
        <w:t>ccess to information</w:t>
      </w:r>
    </w:p>
    <w:p w14:paraId="63A2D6D6" w14:textId="1E2771B9" w:rsidR="00DD2000" w:rsidRDefault="00F02872" w:rsidP="00DD2000">
      <w:pPr>
        <w:pStyle w:val="BodyText"/>
      </w:pPr>
      <w:r>
        <w:t>Information barriers</w:t>
      </w:r>
      <w:r w:rsidR="00DD2000">
        <w:t xml:space="preserve"> </w:t>
      </w:r>
      <w:r w:rsidR="002629F1">
        <w:t xml:space="preserve">can be large </w:t>
      </w:r>
      <w:r w:rsidR="00DD2000">
        <w:t>for some workers</w:t>
      </w:r>
      <w:r w:rsidR="002629F1">
        <w:t>.</w:t>
      </w:r>
      <w:r>
        <w:t xml:space="preserve"> </w:t>
      </w:r>
      <w:r w:rsidR="00DD2000" w:rsidRPr="00220254">
        <w:t xml:space="preserve">Governments have </w:t>
      </w:r>
      <w:r w:rsidR="00DD2000">
        <w:t>taken some steps</w:t>
      </w:r>
      <w:r w:rsidR="00DD2000" w:rsidRPr="00220254">
        <w:t xml:space="preserve"> to overcome the </w:t>
      </w:r>
      <w:r w:rsidR="00DD2000">
        <w:t xml:space="preserve">information </w:t>
      </w:r>
      <w:r w:rsidR="00DD2000" w:rsidRPr="00220254">
        <w:t>barriers to skill development and employment</w:t>
      </w:r>
      <w:r w:rsidR="00DD2000">
        <w:t>. There are a burgeoning number of websites to assist people considering particular occupations and looking to undertake training, including:</w:t>
      </w:r>
    </w:p>
    <w:p w14:paraId="7918B950" w14:textId="77777777" w:rsidR="00DD2000" w:rsidRDefault="00DD2000" w:rsidP="00DD2000">
      <w:pPr>
        <w:pStyle w:val="ListBullet"/>
      </w:pPr>
      <w:r>
        <w:t>My Future — a national career information and exploration service</w:t>
      </w:r>
    </w:p>
    <w:p w14:paraId="448A2FA4" w14:textId="77777777" w:rsidR="00DD2000" w:rsidRDefault="00DD2000" w:rsidP="00DD2000">
      <w:pPr>
        <w:pStyle w:val="ListBullet"/>
      </w:pPr>
      <w:r>
        <w:t>My Skills — a directory of training opportunities in the VET sector</w:t>
      </w:r>
    </w:p>
    <w:p w14:paraId="045290E8" w14:textId="77777777" w:rsidR="00DD2000" w:rsidRDefault="00DD2000" w:rsidP="00DD2000">
      <w:pPr>
        <w:pStyle w:val="ListBullet"/>
      </w:pPr>
      <w:r>
        <w:t xml:space="preserve">Job Outlook — a careers and labour market research site </w:t>
      </w:r>
    </w:p>
    <w:p w14:paraId="6E8DBE17" w14:textId="77777777" w:rsidR="00DD2000" w:rsidRDefault="00DD2000" w:rsidP="00DD2000">
      <w:pPr>
        <w:pStyle w:val="ListBullet"/>
      </w:pPr>
      <w:r>
        <w:t xml:space="preserve">Quality Indicators for Learning and Teaching (QILT) — information on higher education course and graduate employment outcomes. </w:t>
      </w:r>
    </w:p>
    <w:p w14:paraId="2377114E" w14:textId="1B056481" w:rsidR="00DD2000" w:rsidRDefault="00DD2000" w:rsidP="00DD2000">
      <w:pPr>
        <w:pStyle w:val="BodyText"/>
      </w:pPr>
      <w:r w:rsidRPr="003F4D1E">
        <w:t xml:space="preserve">The Australian </w:t>
      </w:r>
      <w:r w:rsidR="00AB1DCF">
        <w:t>G</w:t>
      </w:r>
      <w:r w:rsidRPr="003F4D1E">
        <w:t>overnment is also developing a new website to provide a single point of entry for information about higher education admissions policies and processes</w:t>
      </w:r>
      <w:r w:rsidR="00D053C8">
        <w:t xml:space="preserve"> </w:t>
      </w:r>
      <w:r w:rsidR="00011F56" w:rsidRPr="00011F56">
        <w:rPr>
          <w:szCs w:val="24"/>
        </w:rPr>
        <w:t>(Australian Government 2016)</w:t>
      </w:r>
      <w:r w:rsidRPr="003F4D1E">
        <w:t>. There is evidence that improved availability of course outcome information helps people, including disadvantaged workers between the ages of 25</w:t>
      </w:r>
      <w:r w:rsidR="00AA1B82">
        <w:t xml:space="preserve"> and</w:t>
      </w:r>
      <w:r w:rsidRPr="003F4D1E">
        <w:t xml:space="preserve"> 54, seek out courses with good expected labour market outcomes</w:t>
      </w:r>
      <w:r>
        <w:t xml:space="preserve"> </w:t>
      </w:r>
      <w:r w:rsidRPr="009A70AC">
        <w:rPr>
          <w:szCs w:val="24"/>
        </w:rPr>
        <w:t>(</w:t>
      </w:r>
      <w:proofErr w:type="spellStart"/>
      <w:r w:rsidRPr="009A70AC">
        <w:rPr>
          <w:szCs w:val="24"/>
        </w:rPr>
        <w:t>Polidano</w:t>
      </w:r>
      <w:proofErr w:type="spellEnd"/>
      <w:r w:rsidRPr="009A70AC">
        <w:rPr>
          <w:szCs w:val="24"/>
        </w:rPr>
        <w:t xml:space="preserve">, Van de </w:t>
      </w:r>
      <w:proofErr w:type="spellStart"/>
      <w:r w:rsidRPr="009A70AC">
        <w:rPr>
          <w:szCs w:val="24"/>
        </w:rPr>
        <w:t>Ven</w:t>
      </w:r>
      <w:proofErr w:type="spellEnd"/>
      <w:r w:rsidRPr="009A70AC">
        <w:rPr>
          <w:szCs w:val="24"/>
        </w:rPr>
        <w:t xml:space="preserve"> and </w:t>
      </w:r>
      <w:proofErr w:type="spellStart"/>
      <w:r w:rsidRPr="009A70AC">
        <w:rPr>
          <w:szCs w:val="24"/>
        </w:rPr>
        <w:t>Voitchovsky</w:t>
      </w:r>
      <w:proofErr w:type="spellEnd"/>
      <w:r w:rsidRPr="009A70AC">
        <w:rPr>
          <w:szCs w:val="24"/>
        </w:rPr>
        <w:t> 2017)</w:t>
      </w:r>
      <w:r w:rsidRPr="003F4D1E">
        <w:t>.</w:t>
      </w:r>
      <w:r w:rsidR="002825A6">
        <w:t xml:space="preserve"> </w:t>
      </w:r>
    </w:p>
    <w:p w14:paraId="127A2F37" w14:textId="304C4286" w:rsidR="008D7BAB" w:rsidRDefault="008D7BAB" w:rsidP="008D7BAB">
      <w:pPr>
        <w:pStyle w:val="BodyText"/>
      </w:pPr>
      <w:r>
        <w:t>One improvement could be to consolidate the information about training and education into one website. While the current websites are usually linked, they do not provide a single, comprehensive information source for either school leavers or those in the workforce to review their employment and study options. A single platform may make it easier to navigate for the end user — in this case, workers who may not have had much contact with the education and training system for a number of years. A single platform will also make it easier to market to the public providing greater awareness of information available. One advantage of online tools is that the costs are principally associated with development and upgrade, with the incremental costs of access to the tool being zero. Increasing awareness and use of a single platform represents a cost</w:t>
      </w:r>
      <w:r w:rsidR="00133C69">
        <w:noBreakHyphen/>
      </w:r>
      <w:r>
        <w:t xml:space="preserve">effective method of promoting careers and training information. However, any such portal must be properly maintained to be useful, with a single agency accountable for its quality and usability. </w:t>
      </w:r>
    </w:p>
    <w:p w14:paraId="11C65004" w14:textId="31271028" w:rsidR="00F41C95" w:rsidRDefault="00F41C95" w:rsidP="00F41C95">
      <w:pPr>
        <w:pStyle w:val="BodyText"/>
      </w:pPr>
      <w:r>
        <w:t xml:space="preserve">There is also scope for improvement in the content of the existing tools. The Australian Human Rights Commission </w:t>
      </w:r>
      <w:r w:rsidRPr="00181D50">
        <w:t>(2016</w:t>
      </w:r>
      <w:r w:rsidR="00D60416">
        <w:t>, p.</w:t>
      </w:r>
      <w:r w:rsidR="0049318C">
        <w:t> </w:t>
      </w:r>
      <w:r w:rsidR="00D60416">
        <w:t>93</w:t>
      </w:r>
      <w:r w:rsidRPr="00181D50">
        <w:t>)</w:t>
      </w:r>
      <w:r>
        <w:t xml:space="preserve"> found that ‘information and guidance available to older people considering formal skills training is inadequate and does not support people to overcome barriers’. It also found that there were gaps in the provision of information for VET courses on the My Skills website. And information is often lacking in granularity: </w:t>
      </w:r>
    </w:p>
    <w:p w14:paraId="7FF87401" w14:textId="0EFD9A9F" w:rsidR="00F41C95" w:rsidRDefault="00F41C95" w:rsidP="00F41C95">
      <w:pPr>
        <w:pStyle w:val="Quote"/>
      </w:pPr>
      <w:r>
        <w:t>Currently, graduate occupation information is limited to ANZSCO</w:t>
      </w:r>
      <w:r>
        <w:rPr>
          <w:sz w:val="12"/>
          <w:szCs w:val="12"/>
        </w:rPr>
        <w:t xml:space="preserve"> </w:t>
      </w:r>
      <w:r>
        <w:t xml:space="preserve">major group level (for example, Technician and trades workers, Managers, Labourers), which provides no indication to prospective students on the likelihood of their finding work after graduating in the occupation for which the course is designed to prepare them. </w:t>
      </w:r>
      <w:r w:rsidRPr="000906B3">
        <w:rPr>
          <w:szCs w:val="24"/>
        </w:rPr>
        <w:t>(</w:t>
      </w:r>
      <w:proofErr w:type="spellStart"/>
      <w:r w:rsidRPr="000906B3">
        <w:rPr>
          <w:szCs w:val="24"/>
        </w:rPr>
        <w:t>Polidano</w:t>
      </w:r>
      <w:proofErr w:type="spellEnd"/>
      <w:r w:rsidRPr="000906B3">
        <w:rPr>
          <w:szCs w:val="24"/>
        </w:rPr>
        <w:t xml:space="preserve">, Van de </w:t>
      </w:r>
      <w:proofErr w:type="spellStart"/>
      <w:r w:rsidRPr="000906B3">
        <w:rPr>
          <w:szCs w:val="24"/>
        </w:rPr>
        <w:t>Ven</w:t>
      </w:r>
      <w:proofErr w:type="spellEnd"/>
      <w:r w:rsidRPr="000906B3">
        <w:rPr>
          <w:szCs w:val="24"/>
        </w:rPr>
        <w:t xml:space="preserve"> and </w:t>
      </w:r>
      <w:proofErr w:type="spellStart"/>
      <w:r w:rsidRPr="000906B3">
        <w:rPr>
          <w:szCs w:val="24"/>
        </w:rPr>
        <w:t>Voitchovsky</w:t>
      </w:r>
      <w:proofErr w:type="spellEnd"/>
      <w:r w:rsidRPr="000906B3">
        <w:rPr>
          <w:szCs w:val="24"/>
        </w:rPr>
        <w:t> 2017, p. 10)</w:t>
      </w:r>
      <w:r>
        <w:t xml:space="preserve"> </w:t>
      </w:r>
    </w:p>
    <w:p w14:paraId="173F5E2F" w14:textId="6126A3F0" w:rsidR="001459E0" w:rsidRDefault="008D7BAB" w:rsidP="001459E0">
      <w:pPr>
        <w:pStyle w:val="BodyText"/>
      </w:pPr>
      <w:r>
        <w:t xml:space="preserve">While the provision of information to help people make education and training choices for work is important, it also involves risks </w:t>
      </w:r>
      <w:r w:rsidRPr="00404F51">
        <w:rPr>
          <w:szCs w:val="24"/>
        </w:rPr>
        <w:t>(</w:t>
      </w:r>
      <w:proofErr w:type="spellStart"/>
      <w:r w:rsidRPr="00404F51">
        <w:rPr>
          <w:szCs w:val="24"/>
        </w:rPr>
        <w:t>Polidano</w:t>
      </w:r>
      <w:proofErr w:type="spellEnd"/>
      <w:r w:rsidRPr="00404F51">
        <w:rPr>
          <w:szCs w:val="24"/>
        </w:rPr>
        <w:t xml:space="preserve">, Van de </w:t>
      </w:r>
      <w:proofErr w:type="spellStart"/>
      <w:r w:rsidRPr="00404F51">
        <w:rPr>
          <w:szCs w:val="24"/>
        </w:rPr>
        <w:t>Ven</w:t>
      </w:r>
      <w:proofErr w:type="spellEnd"/>
      <w:r w:rsidRPr="00404F51">
        <w:rPr>
          <w:szCs w:val="24"/>
        </w:rPr>
        <w:t xml:space="preserve"> and </w:t>
      </w:r>
      <w:proofErr w:type="spellStart"/>
      <w:r w:rsidRPr="00404F51">
        <w:rPr>
          <w:szCs w:val="24"/>
        </w:rPr>
        <w:t>Voitchovsky</w:t>
      </w:r>
      <w:proofErr w:type="spellEnd"/>
      <w:r w:rsidRPr="00404F51">
        <w:rPr>
          <w:szCs w:val="24"/>
        </w:rPr>
        <w:t> 2017)</w:t>
      </w:r>
      <w:r>
        <w:t>. In particular, people may undertake training in response to information about the future demand for particular skills, but the response in aggregate may lead to oversupply. Publicly available information on year</w:t>
      </w:r>
      <w:r w:rsidR="00133C69">
        <w:noBreakHyphen/>
      </w:r>
      <w:r>
        <w:t>on</w:t>
      </w:r>
      <w:r w:rsidR="00133C69">
        <w:noBreakHyphen/>
      </w:r>
      <w:r>
        <w:t>year changes in course enrolments could help identify the risk of oversupply for would</w:t>
      </w:r>
      <w:r>
        <w:noBreakHyphen/>
        <w:t>be students (and could, in principle</w:t>
      </w:r>
      <w:r w:rsidR="009172F1">
        <w:t>,</w:t>
      </w:r>
      <w:r>
        <w:t xml:space="preserve"> inform any long</w:t>
      </w:r>
      <w:r>
        <w:noBreakHyphen/>
        <w:t>term skill projections).</w:t>
      </w:r>
      <w:r w:rsidR="00E410DB">
        <w:t xml:space="preserve"> </w:t>
      </w:r>
      <w:r w:rsidR="002629F1">
        <w:t>A r</w:t>
      </w:r>
      <w:r w:rsidR="001459E0">
        <w:t xml:space="preserve">ecommendation regarding an improved single website are outlined in the main report. </w:t>
      </w:r>
    </w:p>
    <w:p w14:paraId="01635684" w14:textId="2B6A3100" w:rsidR="00A62447" w:rsidRDefault="000C1B37" w:rsidP="003A2A2B">
      <w:pPr>
        <w:pStyle w:val="Heading3"/>
      </w:pPr>
      <w:r>
        <w:t xml:space="preserve">Improving path ways for upskilling </w:t>
      </w:r>
    </w:p>
    <w:p w14:paraId="40AB6DB5" w14:textId="34D18B6E" w:rsidR="00790733" w:rsidRDefault="004D0975" w:rsidP="00790733">
      <w:pPr>
        <w:pStyle w:val="BodyText"/>
      </w:pPr>
      <w:r>
        <w:t>In the VET system, competency</w:t>
      </w:r>
      <w:r>
        <w:noBreakHyphen/>
        <w:t>based assessments provide people with a qualification based on their ability to perform a task to a minimum standard. Chapter</w:t>
      </w:r>
      <w:r w:rsidR="00A647C3">
        <w:t> </w:t>
      </w:r>
      <w:r w:rsidR="001A77AF">
        <w:t xml:space="preserve">3 </w:t>
      </w:r>
      <w:r>
        <w:t>of the main report makes a recommendation to introduce graded proficiency for VET qualification</w:t>
      </w:r>
      <w:r w:rsidR="00551AD9">
        <w:t>s</w:t>
      </w:r>
      <w:r>
        <w:t>. This is largely motivated by improved information in the labour market to enable more efficient recruitment and job matching</w:t>
      </w:r>
      <w:r w:rsidR="0087036C">
        <w:t xml:space="preserve"> and to provide greater incentives for attainment of excellence (which can be rewarded in the forms of better job prospects and higher wages</w:t>
      </w:r>
      <w:r w:rsidR="006F4E79">
        <w:t>)</w:t>
      </w:r>
      <w:r w:rsidR="0087036C">
        <w:t xml:space="preserve">. </w:t>
      </w:r>
    </w:p>
    <w:p w14:paraId="585FD200" w14:textId="0924A1F5" w:rsidR="000C1B37" w:rsidRDefault="0087036C" w:rsidP="00D736DF">
      <w:pPr>
        <w:pStyle w:val="BodyText"/>
      </w:pPr>
      <w:r>
        <w:t xml:space="preserve">In addition to these direct labour market benefits, </w:t>
      </w:r>
      <w:r w:rsidR="00D736DF">
        <w:t>graded proficiency could also provide extra information to educational institutions that would assist future learning pathways for students wanting to upgrade VET qualifications to a university degree</w:t>
      </w:r>
      <w:r w:rsidR="00551AD9">
        <w:t xml:space="preserve"> (such as upskilling from an ‘enrolled’ to a ‘registered’ nurse)</w:t>
      </w:r>
      <w:r w:rsidR="00D736DF">
        <w:t xml:space="preserve">. </w:t>
      </w:r>
      <w:r w:rsidR="00551AD9">
        <w:t>Although, such pathways would not be automatic with the introduction of graded assessment</w:t>
      </w:r>
      <w:r w:rsidR="003A6399">
        <w:t>,</w:t>
      </w:r>
      <w:r w:rsidR="00551AD9">
        <w:t xml:space="preserve"> as a number of barriers would still remain </w:t>
      </w:r>
      <w:r w:rsidR="00551AD9" w:rsidRPr="00551AD9">
        <w:rPr>
          <w:szCs w:val="24"/>
        </w:rPr>
        <w:t>(Gillis, Clayton and Bateman 2008)</w:t>
      </w:r>
      <w:r w:rsidR="00551AD9">
        <w:t>.</w:t>
      </w:r>
    </w:p>
    <w:p w14:paraId="42E0AC64" w14:textId="515FEB6E" w:rsidR="00046FE8" w:rsidRDefault="00F16721" w:rsidP="003A2A2B">
      <w:pPr>
        <w:pStyle w:val="Heading3"/>
      </w:pPr>
      <w:r>
        <w:t xml:space="preserve">Overcoming employer attitudes to barriers to training </w:t>
      </w:r>
    </w:p>
    <w:p w14:paraId="51A5F07D" w14:textId="2777A15D" w:rsidR="00126CFF" w:rsidRDefault="00A41E53" w:rsidP="00126CFF">
      <w:pPr>
        <w:pStyle w:val="BodyText"/>
      </w:pPr>
      <w:r>
        <w:t xml:space="preserve">Despite age discrimination being unlawful for well over a decade, </w:t>
      </w:r>
      <w:r w:rsidR="00126CFF">
        <w:t xml:space="preserve">some </w:t>
      </w:r>
      <w:r>
        <w:t xml:space="preserve">older workers </w:t>
      </w:r>
      <w:r w:rsidR="00126CFF">
        <w:t xml:space="preserve">are excluded from employment and ongoing education and training because of discrimination. The AHRC </w:t>
      </w:r>
      <w:r w:rsidR="00126CFF" w:rsidRPr="00841633">
        <w:t>(2016)</w:t>
      </w:r>
      <w:r w:rsidR="00126CFF">
        <w:t xml:space="preserve"> found that: </w:t>
      </w:r>
    </w:p>
    <w:p w14:paraId="6607CEB0" w14:textId="58854874" w:rsidR="00126CFF" w:rsidRDefault="00126CFF" w:rsidP="00724016">
      <w:pPr>
        <w:pStyle w:val="Quote"/>
      </w:pPr>
      <w:r>
        <w:rPr>
          <w:rStyle w:val="QuoteChar"/>
        </w:rPr>
        <w:t>…</w:t>
      </w:r>
      <w:r w:rsidR="00A647C3">
        <w:rPr>
          <w:rStyle w:val="QuoteChar"/>
        </w:rPr>
        <w:t xml:space="preserve"> </w:t>
      </w:r>
      <w:r w:rsidRPr="0027535F">
        <w:rPr>
          <w:rStyle w:val="QuoteChar"/>
        </w:rPr>
        <w:t>too many people are shut out of work because of underlying assumptions, stereotypes or myths associated with their age</w:t>
      </w:r>
      <w:r>
        <w:rPr>
          <w:rStyle w:val="QuoteChar"/>
        </w:rPr>
        <w:t xml:space="preserve"> … </w:t>
      </w:r>
      <w:r w:rsidRPr="0027535F">
        <w:rPr>
          <w:rStyle w:val="QuoteChar"/>
        </w:rPr>
        <w:t xml:space="preserve">These beliefs lead to discriminatory behaviours during recruitment, in the workplace and in decisions about training, promotion and retirement, voluntary and involuntary. The cost and impact of this is high, for individuals and for our </w:t>
      </w:r>
      <w:r>
        <w:t>economy. (p. 5)</w:t>
      </w:r>
    </w:p>
    <w:p w14:paraId="08E81D8E" w14:textId="2ED3E88E" w:rsidR="00126CFF" w:rsidRDefault="00126CFF" w:rsidP="00126CFF">
      <w:pPr>
        <w:pStyle w:val="BodyText"/>
      </w:pPr>
      <w:r>
        <w:t xml:space="preserve">With an ageing population and workforce, the cost of discrimination </w:t>
      </w:r>
      <w:r w:rsidR="003A6399">
        <w:t>(</w:t>
      </w:r>
      <w:r>
        <w:t>both social and economic</w:t>
      </w:r>
      <w:r w:rsidR="003A6399">
        <w:t>)</w:t>
      </w:r>
      <w:r>
        <w:t xml:space="preserve"> will grow if left unaddressed. These issues are comprehensiv</w:t>
      </w:r>
      <w:r w:rsidR="0076072D">
        <w:t>ely outlined in the AHRC report</w:t>
      </w:r>
      <w:r w:rsidR="00F15665">
        <w:t xml:space="preserve"> </w:t>
      </w:r>
      <w:r w:rsidR="00F15665" w:rsidRPr="00841633">
        <w:t>(2016)</w:t>
      </w:r>
      <w:r w:rsidR="0076072D">
        <w:t>, along with a</w:t>
      </w:r>
      <w:r w:rsidR="00F15665">
        <w:t xml:space="preserve"> range of</w:t>
      </w:r>
      <w:r w:rsidR="0076072D">
        <w:t xml:space="preserve"> recommendation</w:t>
      </w:r>
      <w:r w:rsidR="0058008C">
        <w:t>s</w:t>
      </w:r>
      <w:r w:rsidR="00F15665">
        <w:t xml:space="preserve">. In particular, </w:t>
      </w:r>
      <w:r w:rsidR="002D00D4">
        <w:t>the AHRC</w:t>
      </w:r>
      <w:r w:rsidR="00EF3F6C">
        <w:t xml:space="preserve"> inquiry</w:t>
      </w:r>
      <w:r w:rsidR="00F15665">
        <w:t xml:space="preserve"> recommended a national community education and information campaign</w:t>
      </w:r>
      <w:r w:rsidR="00EF3F6C">
        <w:t xml:space="preserve"> —</w:t>
      </w:r>
      <w:r w:rsidR="00F15665">
        <w:t xml:space="preserve"> developed and delivered in collaboration with business, unions and community organ</w:t>
      </w:r>
      <w:r w:rsidR="007A68C2">
        <w:t>isations</w:t>
      </w:r>
      <w:r w:rsidR="00EF3F6C">
        <w:t xml:space="preserve"> —</w:t>
      </w:r>
      <w:r w:rsidR="007A68C2">
        <w:t xml:space="preserve"> to dispel myths and st</w:t>
      </w:r>
      <w:r w:rsidR="00EF3F6C">
        <w:t>ereotypes about older people.</w:t>
      </w:r>
    </w:p>
    <w:p w14:paraId="3E672DF9" w14:textId="7F11BE9D" w:rsidR="00F16721" w:rsidRDefault="00F16721" w:rsidP="00F16721">
      <w:pPr>
        <w:pStyle w:val="Heading3"/>
      </w:pPr>
      <w:r>
        <w:t xml:space="preserve">Other potential policy options to overcome barriers to training </w:t>
      </w:r>
    </w:p>
    <w:p w14:paraId="175B6D6B" w14:textId="1A89AB7B" w:rsidR="00F16721" w:rsidRDefault="00F16721" w:rsidP="00F16721">
      <w:pPr>
        <w:pStyle w:val="BodyText"/>
      </w:pPr>
      <w:r>
        <w:t xml:space="preserve">There are a range of other initiatives used internationally, such as career advice, learning accounts and tax </w:t>
      </w:r>
      <w:proofErr w:type="gramStart"/>
      <w:r>
        <w:t>incentives, that</w:t>
      </w:r>
      <w:proofErr w:type="gramEnd"/>
      <w:r>
        <w:t xml:space="preserve"> may have merit. These measure</w:t>
      </w:r>
      <w:r w:rsidR="002D00D4">
        <w:t>s</w:t>
      </w:r>
      <w:r>
        <w:t xml:space="preserve"> also seek to overcome barriers to education</w:t>
      </w:r>
      <w:r w:rsidR="00136515">
        <w:t xml:space="preserve"> and training.</w:t>
      </w:r>
      <w:r>
        <w:t xml:space="preserve"> However, the rationale, objective, policy design, effectiveness and costs of such measure should be carefully examined prior to their introduction (appendix D).</w:t>
      </w:r>
    </w:p>
    <w:p w14:paraId="2E4727C2" w14:textId="3C702DE8" w:rsidR="003C145B" w:rsidRDefault="00D53F34" w:rsidP="00D53F34">
      <w:pPr>
        <w:pStyle w:val="Heading2"/>
      </w:pPr>
      <w:bookmarkStart w:id="37" w:name="_Toc489363511"/>
      <w:bookmarkStart w:id="38" w:name="_Toc489364887"/>
      <w:r>
        <w:t>5.2</w:t>
      </w:r>
      <w:r>
        <w:tab/>
      </w:r>
      <w:r w:rsidR="003C145B">
        <w:t>Lacking a trigger to prompt some workers to retrain</w:t>
      </w:r>
      <w:bookmarkEnd w:id="37"/>
      <w:bookmarkEnd w:id="38"/>
      <w:r w:rsidR="003C145B">
        <w:t xml:space="preserve"> </w:t>
      </w:r>
    </w:p>
    <w:p w14:paraId="07F10D16" w14:textId="77777777" w:rsidR="00861DBB" w:rsidRDefault="00046FE8" w:rsidP="0027654A">
      <w:pPr>
        <w:pStyle w:val="BodyText"/>
      </w:pPr>
      <w:r>
        <w:t xml:space="preserve">Overcoming </w:t>
      </w:r>
      <w:r w:rsidR="00154310">
        <w:t xml:space="preserve">barriers associated with workers’ willingness to </w:t>
      </w:r>
      <w:r>
        <w:t xml:space="preserve">upskill and retrain are somewhat more difficult. </w:t>
      </w:r>
      <w:r w:rsidR="009F7B4B">
        <w:t xml:space="preserve">The problem facing vulnerable employees is </w:t>
      </w:r>
      <w:r w:rsidR="009A4178">
        <w:t>one of creeping gradualism</w:t>
      </w:r>
      <w:r w:rsidR="009F7B4B">
        <w:t>. The risks of job loss grow</w:t>
      </w:r>
      <w:r w:rsidR="00861DBB">
        <w:t>s</w:t>
      </w:r>
      <w:r w:rsidR="009F7B4B">
        <w:t xml:space="preserve"> slowly, vary</w:t>
      </w:r>
      <w:r w:rsidR="009673FE">
        <w:t>ing</w:t>
      </w:r>
      <w:r w:rsidR="009F7B4B">
        <w:t xml:space="preserve"> by place and skill, so that there is no obvious trigger for acquiring new skills before the risk</w:t>
      </w:r>
      <w:r w:rsidR="00861DBB">
        <w:t>s</w:t>
      </w:r>
      <w:r w:rsidR="009F7B4B">
        <w:t xml:space="preserve"> are realised.</w:t>
      </w:r>
      <w:r w:rsidR="0027654A">
        <w:t xml:space="preserve"> </w:t>
      </w:r>
    </w:p>
    <w:p w14:paraId="31405C3E" w14:textId="458FB70B" w:rsidR="00046FE8" w:rsidRDefault="0027654A" w:rsidP="0027654A">
      <w:pPr>
        <w:pStyle w:val="BodyText"/>
      </w:pPr>
      <w:r>
        <w:t>A well</w:t>
      </w:r>
      <w:r w:rsidR="00133C69">
        <w:noBreakHyphen/>
      </w:r>
      <w:r>
        <w:t>function</w:t>
      </w:r>
      <w:r w:rsidR="00405289">
        <w:t>ing</w:t>
      </w:r>
      <w:r>
        <w:t xml:space="preserve"> education and training system, adaptive to user’s needs</w:t>
      </w:r>
      <w:r w:rsidR="00861DBB">
        <w:t>,</w:t>
      </w:r>
      <w:r>
        <w:t xml:space="preserve"> may not be enough to induce demand for upskilling and retraining for some workers vulnerable to redundancy. </w:t>
      </w:r>
      <w:r w:rsidR="009F7B4B">
        <w:t>For example, long distance truck drivers are at risk of displacement if automated vehicles are adopted for long haul freight distribution. But they do not know when. It might happen only for some trucks on some routes, or may occur for some companies ahead of others. Regulatory uncertainty about the safety of autonomous vehicles also make prediction difficult. And more importantly, how does a truck driver develop the necessary skills to make a career change when there is limited opportunity to reskill while working</w:t>
      </w:r>
      <w:r w:rsidR="00B52983">
        <w:t>?</w:t>
      </w:r>
      <w:r w:rsidR="009F7B4B">
        <w:t xml:space="preserve"> </w:t>
      </w:r>
      <w:r w:rsidR="00011F56" w:rsidRPr="00011F56">
        <w:rPr>
          <w:szCs w:val="24"/>
        </w:rPr>
        <w:t>(</w:t>
      </w:r>
      <w:r w:rsidR="00011F56" w:rsidRPr="00011F56">
        <w:rPr>
          <w:i/>
          <w:iCs/>
          <w:szCs w:val="24"/>
        </w:rPr>
        <w:t>The Economist</w:t>
      </w:r>
      <w:r w:rsidR="00011F56" w:rsidRPr="00011F56">
        <w:rPr>
          <w:szCs w:val="24"/>
        </w:rPr>
        <w:t> 2017)</w:t>
      </w:r>
      <w:r w:rsidR="009F7B4B">
        <w:t xml:space="preserve">. </w:t>
      </w:r>
    </w:p>
    <w:p w14:paraId="7851C46F" w14:textId="1F214BD5" w:rsidR="00842731" w:rsidRDefault="00842731" w:rsidP="0027654A">
      <w:pPr>
        <w:pStyle w:val="BodyText"/>
      </w:pPr>
      <w:r>
        <w:t>Switching occupations not only involves a gamble in terms of forgone wages and conditions, but it removes people from the familiar setting of their job and their colleagues — workplaces are often valued as much for the relationships they create as their earnings</w:t>
      </w:r>
      <w:r w:rsidR="00046FE8">
        <w:t>, as noted above</w:t>
      </w:r>
      <w:r>
        <w:t>.</w:t>
      </w:r>
      <w:r w:rsidR="00046FE8">
        <w:t xml:space="preserve"> Overcoming these barriers to upskilling and retraining </w:t>
      </w:r>
      <w:r w:rsidR="00861DBB">
        <w:t xml:space="preserve">is </w:t>
      </w:r>
      <w:r w:rsidR="00046FE8">
        <w:t xml:space="preserve">much more difficult, leaving some people more vulnerable to labour market changes. </w:t>
      </w:r>
    </w:p>
    <w:p w14:paraId="1D49D7C3" w14:textId="7D1E7A5D" w:rsidR="00E360BE" w:rsidRDefault="00E360BE" w:rsidP="00E360BE">
      <w:pPr>
        <w:pStyle w:val="Heading3"/>
      </w:pPr>
      <w:r>
        <w:t>Lessons from the investment approach and innovative funding methods</w:t>
      </w:r>
    </w:p>
    <w:p w14:paraId="34C12681" w14:textId="04F6E8C7" w:rsidR="00842731" w:rsidRDefault="00842731" w:rsidP="00E360BE">
      <w:pPr>
        <w:pStyle w:val="BodyText"/>
      </w:pPr>
      <w:r>
        <w:t>Given the cost</w:t>
      </w:r>
      <w:r w:rsidR="00861DBB">
        <w:t>s</w:t>
      </w:r>
      <w:r>
        <w:t xml:space="preserve"> associated with people leaving and not </w:t>
      </w:r>
      <w:r w:rsidR="00046FE8">
        <w:t>re</w:t>
      </w:r>
      <w:r w:rsidR="00A647C3">
        <w:noBreakHyphen/>
      </w:r>
      <w:r>
        <w:t>entering the workforce</w:t>
      </w:r>
      <w:r w:rsidR="00483BCA">
        <w:t xml:space="preserve"> — in terms of forgone income, lost social connections and purpose, increased reliance on the social welfare system and potentially increasing inequality for society — </w:t>
      </w:r>
      <w:r>
        <w:t>there is an argument for more intensive</w:t>
      </w:r>
      <w:r w:rsidR="00861DBB">
        <w:t>,</w:t>
      </w:r>
      <w:r>
        <w:t xml:space="preserve"> proactive investment to prevent this situ</w:t>
      </w:r>
      <w:r w:rsidR="00483BCA">
        <w:t>ation from occurring. Such assistance should not be universal,</w:t>
      </w:r>
      <w:r w:rsidR="00861DBB">
        <w:t xml:space="preserve"> and</w:t>
      </w:r>
      <w:r w:rsidR="00483BCA">
        <w:t xml:space="preserve"> instead be targeted at those people facing multiple sources of disadvantage. </w:t>
      </w:r>
    </w:p>
    <w:p w14:paraId="34E71B79" w14:textId="643DDD49" w:rsidR="00E360BE" w:rsidRDefault="00E360BE" w:rsidP="00E360BE">
      <w:pPr>
        <w:pStyle w:val="BodyText"/>
      </w:pPr>
      <w:r>
        <w:t xml:space="preserve">The investment approach in the Australian Government’s ‘Try, Test and Learn’ (TTL) program may have lessons for the development of employment and skill initiatives focused on cohorts at high risk of losing their jobs due to structural adjustment. The TTL is an early intervention program that aims to improve the economic and social participation of </w:t>
      </w:r>
      <w:r w:rsidRPr="00182D1D">
        <w:t>young carers, young parents and young students</w:t>
      </w:r>
      <w:r>
        <w:t xml:space="preserve"> at risk of long</w:t>
      </w:r>
      <w:r w:rsidR="00133C69">
        <w:noBreakHyphen/>
      </w:r>
      <w:r>
        <w:t xml:space="preserve">term unemployment </w:t>
      </w:r>
      <w:r w:rsidRPr="00E43AFC">
        <w:rPr>
          <w:szCs w:val="24"/>
        </w:rPr>
        <w:t>(DSS 2016)</w:t>
      </w:r>
      <w:r>
        <w:t>. These groups were identified as promising targets for interventions since actuarial assessment suggested that the cost savings from avoiding prolonged welfare dependency were high. The TTL model is not prescriptive in nature, but harvests ideas for small</w:t>
      </w:r>
      <w:r>
        <w:noBreakHyphen/>
        <w:t xml:space="preserve">scale interventions gathered through submissions from the community sector, government, academics, business and individuals. The advantage of many of the ideas put forward under the TTL program is that they are low cost and readily able to be abandoned or scaled up. Many use online platforms and peer support (a ‘free’ input). Through this initiative, the Australian Government is seeking to develop a body of evidence of ‘what works’ and to discover </w:t>
      </w:r>
      <w:r w:rsidRPr="00C66DC4">
        <w:t xml:space="preserve">how </w:t>
      </w:r>
      <w:r>
        <w:t xml:space="preserve">behaviours, </w:t>
      </w:r>
      <w:r w:rsidRPr="00C66DC4">
        <w:t xml:space="preserve">pathways or systems </w:t>
      </w:r>
      <w:r>
        <w:t xml:space="preserve">can be changed </w:t>
      </w:r>
      <w:r w:rsidRPr="00C66DC4">
        <w:t>to improve workforce participation</w:t>
      </w:r>
      <w:r>
        <w:t xml:space="preserve"> </w:t>
      </w:r>
      <w:r w:rsidRPr="00E43AFC">
        <w:rPr>
          <w:szCs w:val="24"/>
        </w:rPr>
        <w:t>(DSS 2016)</w:t>
      </w:r>
      <w:r>
        <w:t xml:space="preserve">. </w:t>
      </w:r>
    </w:p>
    <w:p w14:paraId="7405001B" w14:textId="12163C1A" w:rsidR="00154310" w:rsidRDefault="00E360BE" w:rsidP="00405289">
      <w:pPr>
        <w:pStyle w:val="BodyText"/>
      </w:pPr>
      <w:r>
        <w:t xml:space="preserve">While the funding round for TTL is not complete and programs are yet to be implemented, a similar model could be used for workers who may also face protracted periods of welfare dependency after </w:t>
      </w:r>
      <w:r w:rsidR="00405289">
        <w:t>redundancy</w:t>
      </w:r>
      <w:r>
        <w:t xml:space="preserve"> — particularly if they shift to a disability payment. The evaluation outcomes from the TTL </w:t>
      </w:r>
      <w:r w:rsidR="00DE1581">
        <w:t xml:space="preserve">program </w:t>
      </w:r>
      <w:r>
        <w:t>will provide lessons for the future development of a new program targeting that group.</w:t>
      </w:r>
      <w:r w:rsidRPr="00BA477F" w:rsidDel="00BA477F">
        <w:rPr>
          <w:i/>
        </w:rPr>
        <w:t xml:space="preserve"> </w:t>
      </w:r>
    </w:p>
    <w:p w14:paraId="1B926F3F" w14:textId="77777777" w:rsidR="00312F67" w:rsidRDefault="00312F67">
      <w:r>
        <w:br w:type="page"/>
      </w:r>
    </w:p>
    <w:p w14:paraId="4CF6E7B5" w14:textId="24A4FB9E" w:rsidR="007705AA" w:rsidRDefault="001A378C" w:rsidP="001A378C">
      <w:pPr>
        <w:pStyle w:val="Heading1"/>
        <w:spacing w:after="680"/>
      </w:pPr>
      <w:bookmarkStart w:id="39" w:name="_Toc489363512"/>
      <w:bookmarkStart w:id="40" w:name="_Toc489364888"/>
      <w:r>
        <w:t>A</w:t>
      </w:r>
      <w:r w:rsidR="007705AA">
        <w:tab/>
      </w:r>
      <w:r w:rsidR="00214E59">
        <w:t xml:space="preserve">Factors contributing to </w:t>
      </w:r>
      <w:r w:rsidR="00306A45">
        <w:t>the lengthening of working lives</w:t>
      </w:r>
      <w:bookmarkEnd w:id="39"/>
      <w:bookmarkEnd w:id="40"/>
    </w:p>
    <w:p w14:paraId="3723E139" w14:textId="2344147C" w:rsidR="007705AA" w:rsidRDefault="007705AA" w:rsidP="007705AA">
      <w:pPr>
        <w:pStyle w:val="BodyText"/>
      </w:pPr>
      <w:r>
        <w:t>While population ageing is set to decrease aggregate ratios of employment to population, employment rates by mature</w:t>
      </w:r>
      <w:r>
        <w:noBreakHyphen/>
        <w:t xml:space="preserve">age Australians have been rapidly rising, particularly for women (figure </w:t>
      </w:r>
      <w:r w:rsidR="00D07345">
        <w:t>A</w:t>
      </w:r>
      <w:r>
        <w:t>.1). Increasing employment rates among these groups reflect a range of factors:</w:t>
      </w:r>
    </w:p>
    <w:p w14:paraId="768412B5" w14:textId="5DCC05FA" w:rsidR="007705AA" w:rsidRDefault="007705AA" w:rsidP="007705AA">
      <w:pPr>
        <w:pStyle w:val="ListBullet"/>
      </w:pPr>
      <w:proofErr w:type="gramStart"/>
      <w:r w:rsidRPr="00FE31E0">
        <w:rPr>
          <w:i/>
        </w:rPr>
        <w:t>female</w:t>
      </w:r>
      <w:r>
        <w:rPr>
          <w:i/>
        </w:rPr>
        <w:t>s</w:t>
      </w:r>
      <w:proofErr w:type="gramEnd"/>
      <w:r w:rsidRPr="00FE31E0">
        <w:rPr>
          <w:i/>
        </w:rPr>
        <w:t xml:space="preserve"> entering the workforce</w:t>
      </w:r>
      <w:r>
        <w:t>: the greater involvement of females in the labour force at all ages from 25 years and upwards. The higher involvement of women in work was evident for most of the age groups between 25</w:t>
      </w:r>
      <w:r>
        <w:noBreakHyphen/>
        <w:t>29 and 55</w:t>
      </w:r>
      <w:r>
        <w:noBreakHyphen/>
        <w:t>59 years old in the two decades preceding 2000, while it was more concentrated among older women in the period 2000</w:t>
      </w:r>
      <w:r w:rsidR="00A647C3">
        <w:t>–</w:t>
      </w:r>
      <w:r>
        <w:t>2016. Increased female employment rates in the child</w:t>
      </w:r>
      <w:r>
        <w:noBreakHyphen/>
        <w:t>bearing years is one contributing factor to rising rates at older ages. This is because once in employment at younger ages, people tend to stay in the workforce in subsequent years. (For men, the increase in employment rates only commenced two decades ago and primarily for older age groups.)</w:t>
      </w:r>
    </w:p>
    <w:p w14:paraId="43CEA323" w14:textId="14E40E02" w:rsidR="007705AA" w:rsidRDefault="007705AA" w:rsidP="007705AA">
      <w:pPr>
        <w:pStyle w:val="ListBullet"/>
      </w:pPr>
      <w:proofErr w:type="gramStart"/>
      <w:r w:rsidRPr="00FE31E0">
        <w:rPr>
          <w:i/>
        </w:rPr>
        <w:t>healthier</w:t>
      </w:r>
      <w:proofErr w:type="gramEnd"/>
      <w:r w:rsidRPr="00FE31E0">
        <w:rPr>
          <w:i/>
        </w:rPr>
        <w:t xml:space="preserve"> people</w:t>
      </w:r>
      <w:r>
        <w:rPr>
          <w:i/>
        </w:rPr>
        <w:t xml:space="preserve"> living longer</w:t>
      </w:r>
      <w:r w:rsidRPr="00FE31E0">
        <w:rPr>
          <w:i/>
        </w:rPr>
        <w:t>:</w:t>
      </w:r>
      <w:r>
        <w:t xml:space="preserve"> rising life expectancy has been accompanied by improved health</w:t>
      </w:r>
      <w:r>
        <w:noBreakHyphen/>
        <w:t xml:space="preserve">adjusted life expectancy. People, therefore, have the scope to work longer without necessarily reducing the share of their lifetime spend in retirement </w:t>
      </w:r>
      <w:r w:rsidRPr="0080084E">
        <w:rPr>
          <w:szCs w:val="24"/>
        </w:rPr>
        <w:t>(Kent 2014)</w:t>
      </w:r>
      <w:r>
        <w:t>. This has been reinforced by the occupational shift away from physically</w:t>
      </w:r>
      <w:r>
        <w:noBreakHyphen/>
        <w:t>demanding manual jobs, which allows people to work longer with reduced risks of muscular</w:t>
      </w:r>
      <w:r w:rsidR="00133C69">
        <w:noBreakHyphen/>
      </w:r>
      <w:r>
        <w:t>skeletal injuries</w:t>
      </w:r>
    </w:p>
    <w:p w14:paraId="69555971" w14:textId="77777777" w:rsidR="007705AA" w:rsidRDefault="007705AA" w:rsidP="007705AA">
      <w:pPr>
        <w:pStyle w:val="ListBullet"/>
      </w:pPr>
      <w:proofErr w:type="gramStart"/>
      <w:r>
        <w:rPr>
          <w:i/>
        </w:rPr>
        <w:t>a</w:t>
      </w:r>
      <w:proofErr w:type="gramEnd"/>
      <w:r>
        <w:rPr>
          <w:i/>
        </w:rPr>
        <w:t xml:space="preserve"> </w:t>
      </w:r>
      <w:r w:rsidRPr="00CA0D66">
        <w:rPr>
          <w:i/>
        </w:rPr>
        <w:t>more educated</w:t>
      </w:r>
      <w:r>
        <w:rPr>
          <w:i/>
        </w:rPr>
        <w:t xml:space="preserve"> population</w:t>
      </w:r>
      <w:r w:rsidRPr="00CA0D66">
        <w:rPr>
          <w:i/>
        </w:rPr>
        <w:t>:</w:t>
      </w:r>
      <w:r>
        <w:t xml:space="preserve"> the future ‘old’ will be better educated. So while 27 per cent of people aged 55</w:t>
      </w:r>
      <w:r>
        <w:noBreakHyphen/>
        <w:t>64 years had a university education in 2016, the comparable figure for 25</w:t>
      </w:r>
      <w:r>
        <w:noBreakHyphen/>
        <w:t>34 year olds was just under 40 per cent. Given some people acquire university education after age 34 years, it must be the case that by 2046, more than 40 per cent of 55</w:t>
      </w:r>
      <w:r>
        <w:noBreakHyphen/>
        <w:t>64 year olds will have such qualifications.</w:t>
      </w:r>
      <w:r w:rsidRPr="00214E24">
        <w:rPr>
          <w:rStyle w:val="FootnoteReference"/>
        </w:rPr>
        <w:footnoteReference w:id="8"/>
      </w:r>
      <w:r>
        <w:t xml:space="preserve"> People with higher educational attainment tend to participate in the workforce more than those with lower attainment and retire later</w:t>
      </w:r>
    </w:p>
    <w:p w14:paraId="0A553B31" w14:textId="77777777" w:rsidR="007705AA" w:rsidRDefault="007705AA" w:rsidP="007705AA">
      <w:pPr>
        <w:pStyle w:val="ListBullet"/>
      </w:pPr>
      <w:r w:rsidRPr="00CA0D66">
        <w:rPr>
          <w:i/>
        </w:rPr>
        <w:t>financial pressures</w:t>
      </w:r>
      <w:r>
        <w:t xml:space="preserve"> associated with changes to the pension system and to greater life expectancy (which creates longevity risk for those not on defined</w:t>
      </w:r>
      <w:r>
        <w:noBreakHyphen/>
        <w:t>benefit retirement income plans)</w:t>
      </w:r>
    </w:p>
    <w:p w14:paraId="02CC72F0" w14:textId="3B6BCEBB" w:rsidR="007705AA" w:rsidRDefault="007705AA" w:rsidP="007705AA">
      <w:pPr>
        <w:pStyle w:val="ListBullet"/>
      </w:pPr>
      <w:proofErr w:type="gramStart"/>
      <w:r>
        <w:t>changing</w:t>
      </w:r>
      <w:proofErr w:type="gramEnd"/>
      <w:r>
        <w:t xml:space="preserve"> </w:t>
      </w:r>
      <w:r w:rsidRPr="0073171D">
        <w:rPr>
          <w:i/>
        </w:rPr>
        <w:t>social norms</w:t>
      </w:r>
      <w:r>
        <w:t xml:space="preserve"> about when people should retire</w:t>
      </w:r>
      <w:r w:rsidR="00306A45">
        <w:t>.</w:t>
      </w:r>
    </w:p>
    <w:p w14:paraId="46CD1474" w14:textId="6C7E9929" w:rsidR="00D07345" w:rsidRDefault="00D07345" w:rsidP="00D07345">
      <w:pPr>
        <w:pStyle w:val="BodyText"/>
      </w:pPr>
      <w:r>
        <w:t>The implication is that people’s post</w:t>
      </w:r>
      <w:r>
        <w:noBreakHyphen/>
        <w:t xml:space="preserve">school working lives have been lengthening, particularly for women, with this trend likely to continue, albeit at a reduced pace </w:t>
      </w:r>
      <w:r w:rsidRPr="00FD4D0A">
        <w:rPr>
          <w:szCs w:val="24"/>
        </w:rPr>
        <w:t>(Australian Government 2015)</w:t>
      </w:r>
      <w:r>
        <w:t xml:space="preserve">. </w:t>
      </w:r>
    </w:p>
    <w:p w14:paraId="65AB7056" w14:textId="5F989159" w:rsidR="007705AA" w:rsidRDefault="007705AA" w:rsidP="007705A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7705AA" w14:paraId="4902AC56" w14:textId="77777777" w:rsidTr="00700957">
        <w:trPr>
          <w:tblHeader/>
        </w:trPr>
        <w:tc>
          <w:tcPr>
            <w:tcW w:w="8789" w:type="dxa"/>
            <w:tcBorders>
              <w:top w:val="single" w:sz="6" w:space="0" w:color="78A22F"/>
              <w:left w:val="nil"/>
              <w:bottom w:val="nil"/>
              <w:right w:val="nil"/>
            </w:tcBorders>
            <w:shd w:val="clear" w:color="auto" w:fill="auto"/>
          </w:tcPr>
          <w:p w14:paraId="7D017A1E" w14:textId="7E000D81" w:rsidR="007705AA" w:rsidRDefault="007705AA" w:rsidP="001A378C">
            <w:pPr>
              <w:pStyle w:val="FigureTitle"/>
            </w:pPr>
            <w:r w:rsidRPr="00D15D0D">
              <w:rPr>
                <w:b w:val="0"/>
              </w:rPr>
              <w:t>Figure</w:t>
            </w:r>
            <w:r w:rsidRPr="00784A05">
              <w:rPr>
                <w:b w:val="0"/>
              </w:rPr>
              <w:t xml:space="preserve"> </w:t>
            </w:r>
            <w:r w:rsidR="00D07345">
              <w:rPr>
                <w:b w:val="0"/>
              </w:rPr>
              <w:t>A</w:t>
            </w:r>
            <w:r>
              <w:rPr>
                <w:b w:val="0"/>
              </w:rPr>
              <w:t>.1</w:t>
            </w:r>
            <w:r>
              <w:tab/>
              <w:t>Employment rates have been rising for females</w:t>
            </w:r>
          </w:p>
          <w:p w14:paraId="3CB6B9CC" w14:textId="77777777" w:rsidR="007705AA" w:rsidRPr="00176D3F" w:rsidRDefault="007705AA" w:rsidP="001A378C">
            <w:pPr>
              <w:pStyle w:val="Subtitle"/>
            </w:pPr>
            <w:r>
              <w:t>Change in employment rates (percentage points</w:t>
            </w:r>
            <w:proofErr w:type="gramStart"/>
            <w:r>
              <w:t>)</w:t>
            </w:r>
            <w:r w:rsidRPr="002B116D">
              <w:rPr>
                <w:rStyle w:val="NoteLabel"/>
              </w:rPr>
              <w:t>a</w:t>
            </w:r>
            <w:proofErr w:type="gramEnd"/>
            <w:r>
              <w:t xml:space="preserve"> </w:t>
            </w:r>
          </w:p>
        </w:tc>
      </w:tr>
      <w:tr w:rsidR="007705AA" w14:paraId="466B4774" w14:textId="77777777" w:rsidTr="00700957">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7705AA" w:rsidRPr="00B1465D" w14:paraId="67D4320C" w14:textId="77777777" w:rsidTr="001A378C">
              <w:trPr>
                <w:trHeight w:val="180"/>
                <w:tblHeader/>
                <w:jc w:val="center"/>
              </w:trPr>
              <w:tc>
                <w:tcPr>
                  <w:tcW w:w="8504" w:type="dxa"/>
                  <w:tcBorders>
                    <w:top w:val="nil"/>
                    <w:bottom w:val="nil"/>
                  </w:tcBorders>
                </w:tcPr>
                <w:p w14:paraId="069A484C" w14:textId="097D5596" w:rsidR="007705AA" w:rsidRPr="00B1465D" w:rsidRDefault="007A13B3" w:rsidP="001A378C">
                  <w:pPr>
                    <w:pStyle w:val="Figure"/>
                    <w:spacing w:before="60" w:after="60"/>
                    <w:rPr>
                      <w:rFonts w:ascii="Arial" w:hAnsi="Arial" w:cs="Arial"/>
                      <w:sz w:val="18"/>
                      <w:szCs w:val="18"/>
                    </w:rPr>
                  </w:pPr>
                  <w:r>
                    <w:rPr>
                      <w:rFonts w:ascii="Arial" w:hAnsi="Arial" w:cs="Arial"/>
                      <w:noProof/>
                      <w:sz w:val="18"/>
                      <w:szCs w:val="18"/>
                    </w:rPr>
                    <w:drawing>
                      <wp:inline distT="0" distB="0" distL="0" distR="0" wp14:anchorId="37415294" wp14:editId="030907AB">
                        <wp:extent cx="5377180" cy="2914015"/>
                        <wp:effectExtent l="0" t="0" r="0" b="635"/>
                        <wp:docPr id="8" name="Picture 8" descr="This figure show the employment rates for males and females by 5 year age groups for two periods: Panel 1: December 1978 to December 2000 and Panel 2: December 2000 to December 2016.  Panel 1 shows that female employment rates rose for all age groups, particularly for women in age groups between 25 59 years. Male employment rates for all age groups. Panel 2 shows that, with the exception of young people, employment rates rose for males and females, with the greatest increases for older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77180" cy="2914015"/>
                                </a:xfrm>
                                <a:prstGeom prst="rect">
                                  <a:avLst/>
                                </a:prstGeom>
                                <a:noFill/>
                              </pic:spPr>
                            </pic:pic>
                          </a:graphicData>
                        </a:graphic>
                      </wp:inline>
                    </w:drawing>
                  </w:r>
                </w:p>
              </w:tc>
            </w:tr>
            <w:tr w:rsidR="007705AA" w:rsidRPr="00B1465D" w14:paraId="199B5A2D" w14:textId="77777777" w:rsidTr="001A378C">
              <w:trPr>
                <w:trHeight w:val="180"/>
                <w:tblHeader/>
                <w:jc w:val="center"/>
              </w:trPr>
              <w:tc>
                <w:tcPr>
                  <w:tcW w:w="8504" w:type="dxa"/>
                  <w:tcBorders>
                    <w:top w:val="nil"/>
                    <w:bottom w:val="nil"/>
                  </w:tcBorders>
                </w:tcPr>
                <w:p w14:paraId="5290D72A" w14:textId="478EDD57" w:rsidR="007705AA" w:rsidRPr="00B1465D" w:rsidRDefault="007A13B3" w:rsidP="001A378C">
                  <w:pPr>
                    <w:pStyle w:val="Figure"/>
                    <w:spacing w:before="60" w:after="60"/>
                    <w:rPr>
                      <w:rFonts w:ascii="Arial" w:hAnsi="Arial" w:cs="Arial"/>
                      <w:sz w:val="18"/>
                      <w:szCs w:val="18"/>
                    </w:rPr>
                  </w:pPr>
                  <w:r>
                    <w:rPr>
                      <w:rFonts w:ascii="Arial" w:hAnsi="Arial" w:cs="Arial"/>
                      <w:noProof/>
                      <w:sz w:val="18"/>
                      <w:szCs w:val="18"/>
                    </w:rPr>
                    <w:drawing>
                      <wp:inline distT="0" distB="0" distL="0" distR="0" wp14:anchorId="3EE27818" wp14:editId="16FC1B87">
                        <wp:extent cx="5401310" cy="2834640"/>
                        <wp:effectExtent l="0" t="0" r="8890" b="3810"/>
                        <wp:docPr id="10" name="Picture 10" descr="This figure show the employment rates for males and females by 5 year age groups for two periods: Panel 1: December 1978 to December 2000 and Panel 2: December 2000 to December 2016.  Panel 1 shows that female employment rates rose for all age groups, particularly for women in age groups between 25 59 years. Male employment rates for all age groups. Panel 2 shows that, with the exception of young people, employment rates rose for males and females, with the greatest increases for older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1310" cy="2834640"/>
                                </a:xfrm>
                                <a:prstGeom prst="rect">
                                  <a:avLst/>
                                </a:prstGeom>
                                <a:noFill/>
                              </pic:spPr>
                            </pic:pic>
                          </a:graphicData>
                        </a:graphic>
                      </wp:inline>
                    </w:drawing>
                  </w:r>
                </w:p>
              </w:tc>
            </w:tr>
          </w:tbl>
          <w:p w14:paraId="77DF23BF" w14:textId="77777777" w:rsidR="007705AA" w:rsidRDefault="007705AA" w:rsidP="001A378C">
            <w:pPr>
              <w:pStyle w:val="Figure"/>
            </w:pPr>
          </w:p>
        </w:tc>
      </w:tr>
      <w:tr w:rsidR="007705AA" w:rsidRPr="00176D3F" w14:paraId="69255663" w14:textId="77777777" w:rsidTr="00700957">
        <w:tc>
          <w:tcPr>
            <w:tcW w:w="8789" w:type="dxa"/>
            <w:tcBorders>
              <w:top w:val="nil"/>
              <w:left w:val="nil"/>
              <w:bottom w:val="nil"/>
              <w:right w:val="nil"/>
            </w:tcBorders>
            <w:shd w:val="clear" w:color="auto" w:fill="auto"/>
          </w:tcPr>
          <w:p w14:paraId="1CA10ABB" w14:textId="77777777" w:rsidR="007705AA" w:rsidRPr="00176D3F" w:rsidRDefault="007705AA" w:rsidP="001A378C">
            <w:pPr>
              <w:pStyle w:val="Note"/>
            </w:pPr>
            <w:proofErr w:type="spellStart"/>
            <w:proofErr w:type="gramStart"/>
            <w:r>
              <w:rPr>
                <w:rStyle w:val="NoteLabel"/>
              </w:rPr>
              <w:t>a</w:t>
            </w:r>
            <w:proofErr w:type="spellEnd"/>
            <w:proofErr w:type="gramEnd"/>
            <w:r>
              <w:t xml:space="preserve"> The employment rate is the ratio of employment to the civilian population in each age group. </w:t>
            </w:r>
          </w:p>
        </w:tc>
      </w:tr>
      <w:tr w:rsidR="007705AA" w:rsidRPr="00176D3F" w14:paraId="5C8F20A4" w14:textId="77777777" w:rsidTr="00700957">
        <w:tc>
          <w:tcPr>
            <w:tcW w:w="8789" w:type="dxa"/>
            <w:tcBorders>
              <w:top w:val="nil"/>
              <w:left w:val="nil"/>
              <w:bottom w:val="nil"/>
              <w:right w:val="nil"/>
            </w:tcBorders>
            <w:shd w:val="clear" w:color="auto" w:fill="auto"/>
          </w:tcPr>
          <w:p w14:paraId="5870057B" w14:textId="0610BDBD" w:rsidR="007705AA" w:rsidRPr="00176D3F" w:rsidRDefault="007705AA" w:rsidP="001A378C">
            <w:pPr>
              <w:pStyle w:val="Source"/>
            </w:pPr>
            <w:r>
              <w:rPr>
                <w:i/>
              </w:rPr>
              <w:t>S</w:t>
            </w:r>
            <w:r w:rsidRPr="00784A05">
              <w:rPr>
                <w:i/>
              </w:rPr>
              <w:t>ource</w:t>
            </w:r>
            <w:r w:rsidRPr="00176D3F">
              <w:t xml:space="preserve">: </w:t>
            </w:r>
            <w:r>
              <w:t xml:space="preserve">ABS 2017, </w:t>
            </w:r>
            <w:r w:rsidRPr="00322DFB">
              <w:rPr>
                <w:i/>
              </w:rPr>
              <w:t xml:space="preserve">Labour Force, Australia, Detailed </w:t>
            </w:r>
            <w:r w:rsidR="00133C69">
              <w:rPr>
                <w:i/>
              </w:rPr>
              <w:noBreakHyphen/>
            </w:r>
            <w:r w:rsidRPr="00322DFB">
              <w:rPr>
                <w:i/>
              </w:rPr>
              <w:t xml:space="preserve"> Dec 2016</w:t>
            </w:r>
            <w:r>
              <w:t>, Cat. no. 6291.0.55.001, 24 January.</w:t>
            </w:r>
          </w:p>
        </w:tc>
      </w:tr>
      <w:tr w:rsidR="007705AA" w14:paraId="3D22D0B3" w14:textId="77777777" w:rsidTr="00700957">
        <w:tc>
          <w:tcPr>
            <w:tcW w:w="8789" w:type="dxa"/>
            <w:tcBorders>
              <w:top w:val="nil"/>
              <w:left w:val="nil"/>
              <w:bottom w:val="single" w:sz="6" w:space="0" w:color="78A22F"/>
              <w:right w:val="nil"/>
            </w:tcBorders>
            <w:shd w:val="clear" w:color="auto" w:fill="auto"/>
          </w:tcPr>
          <w:p w14:paraId="79E40F10" w14:textId="77777777" w:rsidR="007705AA" w:rsidRDefault="007705AA" w:rsidP="001A378C">
            <w:pPr>
              <w:pStyle w:val="Figurespace"/>
            </w:pPr>
          </w:p>
        </w:tc>
      </w:tr>
      <w:tr w:rsidR="007705AA" w:rsidRPr="000863A5" w14:paraId="3DDCFB27" w14:textId="77777777" w:rsidTr="00700957">
        <w:tc>
          <w:tcPr>
            <w:tcW w:w="8789" w:type="dxa"/>
            <w:tcBorders>
              <w:top w:val="single" w:sz="6" w:space="0" w:color="78A22F"/>
              <w:left w:val="nil"/>
              <w:bottom w:val="nil"/>
              <w:right w:val="nil"/>
            </w:tcBorders>
          </w:tcPr>
          <w:p w14:paraId="7BAD2E7A" w14:textId="7B0CE064" w:rsidR="007705AA" w:rsidRPr="00626D32" w:rsidRDefault="007705AA" w:rsidP="001A378C">
            <w:pPr>
              <w:pStyle w:val="BoxSpaceBelow"/>
            </w:pPr>
          </w:p>
        </w:tc>
      </w:tr>
    </w:tbl>
    <w:p w14:paraId="5D9A755B" w14:textId="77777777" w:rsidR="007705AA" w:rsidRDefault="007705AA" w:rsidP="007705AA">
      <w:r>
        <w:br w:type="page"/>
      </w:r>
    </w:p>
    <w:p w14:paraId="7F50BBA0" w14:textId="23DAE6E9" w:rsidR="001A378C" w:rsidRPr="00960713" w:rsidRDefault="001A378C" w:rsidP="001A378C">
      <w:pPr>
        <w:pStyle w:val="Heading1"/>
        <w:spacing w:after="680"/>
      </w:pPr>
      <w:bookmarkStart w:id="41" w:name="_Toc489363513"/>
      <w:bookmarkStart w:id="42" w:name="_Toc489364889"/>
      <w:r>
        <w:t>B</w:t>
      </w:r>
      <w:r>
        <w:tab/>
      </w:r>
      <w:r w:rsidR="00E312DF">
        <w:t>Performance of the schools sector is troubling</w:t>
      </w:r>
      <w:bookmarkEnd w:id="41"/>
      <w:bookmarkEnd w:id="42"/>
    </w:p>
    <w:p w14:paraId="4B93E033" w14:textId="39A99A62" w:rsidR="001A378C" w:rsidRDefault="001A378C" w:rsidP="001A378C">
      <w:pPr>
        <w:pStyle w:val="BodyText"/>
      </w:pPr>
      <w:r>
        <w:t xml:space="preserve">A good </w:t>
      </w:r>
      <w:r w:rsidR="00E230A9">
        <w:t>school</w:t>
      </w:r>
      <w:r>
        <w:t xml:space="preserve"> system ensures that people have the key foundational skills like numeracy and literacy, analytical skills, and the capacity to learn about learning so that they can easily acquire knowledge throughout their lives </w:t>
      </w:r>
      <w:r w:rsidRPr="00642B3F">
        <w:rPr>
          <w:szCs w:val="24"/>
        </w:rPr>
        <w:t>(</w:t>
      </w:r>
      <w:proofErr w:type="spellStart"/>
      <w:r w:rsidRPr="00642B3F">
        <w:rPr>
          <w:szCs w:val="24"/>
        </w:rPr>
        <w:t>Ainley</w:t>
      </w:r>
      <w:proofErr w:type="spellEnd"/>
      <w:r w:rsidRPr="00642B3F">
        <w:rPr>
          <w:szCs w:val="24"/>
        </w:rPr>
        <w:t xml:space="preserve"> and </w:t>
      </w:r>
      <w:proofErr w:type="spellStart"/>
      <w:r w:rsidRPr="00642B3F">
        <w:rPr>
          <w:szCs w:val="24"/>
        </w:rPr>
        <w:t>Gebhardt</w:t>
      </w:r>
      <w:proofErr w:type="spellEnd"/>
      <w:r w:rsidRPr="00642B3F">
        <w:rPr>
          <w:szCs w:val="24"/>
        </w:rPr>
        <w:t> 2013; Hattie 2016)</w:t>
      </w:r>
      <w:r>
        <w:t xml:space="preserve">. </w:t>
      </w:r>
      <w:r w:rsidRPr="00CB70D4">
        <w:t xml:space="preserve">Many are also calling for schools to teach </w:t>
      </w:r>
      <w:r>
        <w:t>‘</w:t>
      </w:r>
      <w:r w:rsidRPr="00CB70D4">
        <w:t>soft skills</w:t>
      </w:r>
      <w:r>
        <w:t>’</w:t>
      </w:r>
      <w:r w:rsidRPr="00CB70D4">
        <w:t xml:space="preserve">, such as teamwork, </w:t>
      </w:r>
      <w:r w:rsidRPr="00111177">
        <w:t>collaboration</w:t>
      </w:r>
      <w:r>
        <w:t>, leadership</w:t>
      </w:r>
      <w:r w:rsidRPr="00CB70D4">
        <w:t xml:space="preserve"> </w:t>
      </w:r>
      <w:r>
        <w:t>and creativity</w:t>
      </w:r>
      <w:r w:rsidRPr="00CB70D4">
        <w:t>, as it is believed that these skills will be essential to securi</w:t>
      </w:r>
      <w:r>
        <w:t>ng and maintaining employment now and in</w:t>
      </w:r>
      <w:r w:rsidRPr="00CB70D4">
        <w:t xml:space="preserve"> the future</w:t>
      </w:r>
      <w:r>
        <w:t xml:space="preserve"> </w:t>
      </w:r>
      <w:r w:rsidRPr="00DB7971">
        <w:rPr>
          <w:szCs w:val="24"/>
        </w:rPr>
        <w:t>(Anderson 2017; Williamson et al. 2015)</w:t>
      </w:r>
      <w:r>
        <w:t>.</w:t>
      </w:r>
    </w:p>
    <w:p w14:paraId="6620E816" w14:textId="77777777" w:rsidR="00E312DF" w:rsidRDefault="00E312DF" w:rsidP="00E312DF">
      <w:pPr>
        <w:pStyle w:val="BodyText"/>
      </w:pPr>
      <w:r>
        <w:t xml:space="preserve">In some critical areas, there are signs that Australia’s school system is not functioning well: </w:t>
      </w:r>
    </w:p>
    <w:p w14:paraId="17747540" w14:textId="608B9541" w:rsidR="00E312DF" w:rsidRDefault="00E312DF" w:rsidP="00E312DF">
      <w:pPr>
        <w:pStyle w:val="ListBullet"/>
      </w:pPr>
      <w:r>
        <w:t xml:space="preserve">National and international assessments of student achievement in Australia show little basic skill improvement over a sustained period; and in some areas standards of achievement have dropped </w:t>
      </w:r>
      <w:r w:rsidR="00011F56" w:rsidRPr="00011F56">
        <w:rPr>
          <w:szCs w:val="24"/>
        </w:rPr>
        <w:t>(PC 2016c)</w:t>
      </w:r>
      <w:r>
        <w:t>.</w:t>
      </w:r>
    </w:p>
    <w:p w14:paraId="69C2E93F" w14:textId="7E15270E" w:rsidR="00E312DF" w:rsidRDefault="00E312DF" w:rsidP="00E312DF">
      <w:pPr>
        <w:pStyle w:val="ListBullet2"/>
      </w:pPr>
      <w:r>
        <w:t xml:space="preserve">Australia’s performance in the OECD’s PISA tests showed absolute declines in performance in scientific, reading and mathematical literacy, a growing share of lower student performers, and a diminishing share of high performers in all three domains </w:t>
      </w:r>
      <w:r w:rsidRPr="00DE5A06">
        <w:rPr>
          <w:szCs w:val="24"/>
        </w:rPr>
        <w:t xml:space="preserve">(Thomson, De </w:t>
      </w:r>
      <w:proofErr w:type="spellStart"/>
      <w:r w:rsidRPr="00DE5A06">
        <w:rPr>
          <w:szCs w:val="24"/>
        </w:rPr>
        <w:t>Bortoli</w:t>
      </w:r>
      <w:proofErr w:type="spellEnd"/>
      <w:r w:rsidRPr="00DE5A06">
        <w:rPr>
          <w:szCs w:val="24"/>
        </w:rPr>
        <w:t xml:space="preserve"> and Underwood 2016)</w:t>
      </w:r>
      <w:r>
        <w:t xml:space="preserve">. </w:t>
      </w:r>
    </w:p>
    <w:p w14:paraId="757AFD49" w14:textId="58724F96" w:rsidR="00E312DF" w:rsidRDefault="00E312DF" w:rsidP="00E312DF">
      <w:pPr>
        <w:pStyle w:val="ListBullet2"/>
      </w:pPr>
      <w:r>
        <w:t xml:space="preserve">Results from the Trends in International Mathematics and Science Study, show little change in Australian students’ achievement since the study began in 1995 </w:t>
      </w:r>
      <w:r w:rsidRPr="004A343F">
        <w:rPr>
          <w:szCs w:val="24"/>
        </w:rPr>
        <w:t>(Thomson 2016a)</w:t>
      </w:r>
      <w:r>
        <w:t xml:space="preserve">. </w:t>
      </w:r>
    </w:p>
    <w:p w14:paraId="0A53CCD6" w14:textId="506F7BA8" w:rsidR="00E312DF" w:rsidRDefault="00E312DF" w:rsidP="00E312DF">
      <w:pPr>
        <w:pStyle w:val="ListBullet2"/>
      </w:pPr>
      <w:r w:rsidRPr="00EE402F">
        <w:t xml:space="preserve">NAPLAN measures of Australian students’ reading and numeracy achievement indicate little improvement between 2008 and </w:t>
      </w:r>
      <w:r>
        <w:t xml:space="preserve">2015 </w:t>
      </w:r>
      <w:r w:rsidR="00011F56" w:rsidRPr="00011F56">
        <w:rPr>
          <w:szCs w:val="24"/>
        </w:rPr>
        <w:t>(PC 2016c)</w:t>
      </w:r>
      <w:r w:rsidRPr="00EE402F">
        <w:t xml:space="preserve">. </w:t>
      </w:r>
    </w:p>
    <w:p w14:paraId="4BE5F633" w14:textId="194764B1" w:rsidR="00E312DF" w:rsidRPr="0077774D" w:rsidRDefault="00E312DF" w:rsidP="00E312DF">
      <w:pPr>
        <w:pStyle w:val="ListBullet"/>
      </w:pPr>
      <w:r>
        <w:t>The na</w:t>
      </w:r>
      <w:r w:rsidRPr="007B4400">
        <w:t>tional</w:t>
      </w:r>
      <w:r>
        <w:t xml:space="preserve"> participation rates in year 12 physics and advanced mathematics ha</w:t>
      </w:r>
      <w:r w:rsidR="00573583">
        <w:t>ve</w:t>
      </w:r>
      <w:r>
        <w:t xml:space="preserve"> fallen by more than 30 per cent from 1992 to 2012 </w:t>
      </w:r>
      <w:r w:rsidR="00016F36" w:rsidRPr="00016F36">
        <w:rPr>
          <w:szCs w:val="24"/>
        </w:rPr>
        <w:t>(Masters 2016)</w:t>
      </w:r>
      <w:r>
        <w:t xml:space="preserve">. </w:t>
      </w:r>
    </w:p>
    <w:p w14:paraId="5022CECE" w14:textId="65E10783" w:rsidR="00E312DF" w:rsidRDefault="00E312DF" w:rsidP="00E312DF">
      <w:pPr>
        <w:pStyle w:val="ListBullet"/>
      </w:pPr>
      <w:r>
        <w:t xml:space="preserve">Learner engagement — one of the most reliable predictors of gains in learning — is low for some students, with approximately 40 per cent of students involved in unproductive behaviours (being inattentive, noisy or </w:t>
      </w:r>
      <w:proofErr w:type="spellStart"/>
      <w:r>
        <w:t>anti</w:t>
      </w:r>
      <w:r>
        <w:noBreakHyphen/>
        <w:t>social</w:t>
      </w:r>
      <w:proofErr w:type="spellEnd"/>
      <w:r>
        <w:t xml:space="preserve">) </w:t>
      </w:r>
      <w:r w:rsidRPr="00EC2736">
        <w:rPr>
          <w:szCs w:val="24"/>
        </w:rPr>
        <w:t>(Goss,</w:t>
      </w:r>
      <w:r>
        <w:rPr>
          <w:szCs w:val="24"/>
        </w:rPr>
        <w:t> </w:t>
      </w:r>
      <w:proofErr w:type="spellStart"/>
      <w:r w:rsidRPr="00EC2736">
        <w:rPr>
          <w:szCs w:val="24"/>
        </w:rPr>
        <w:t>Sonnemann</w:t>
      </w:r>
      <w:proofErr w:type="spellEnd"/>
      <w:r w:rsidRPr="00EC2736">
        <w:rPr>
          <w:szCs w:val="24"/>
        </w:rPr>
        <w:t xml:space="preserve"> and Griffiths 2017)</w:t>
      </w:r>
      <w:r>
        <w:t xml:space="preserve">. School attendance is considerably lower for the most disadvantaged students </w:t>
      </w:r>
      <w:r w:rsidRPr="00EC2736">
        <w:rPr>
          <w:szCs w:val="24"/>
        </w:rPr>
        <w:t>(Ross 2014)</w:t>
      </w:r>
      <w:r>
        <w:t xml:space="preserve">. </w:t>
      </w:r>
    </w:p>
    <w:p w14:paraId="62648B3A" w14:textId="33267328" w:rsidR="00E312DF" w:rsidRDefault="00E312DF" w:rsidP="00E312DF">
      <w:pPr>
        <w:pStyle w:val="BodyText"/>
      </w:pPr>
      <w:r w:rsidRPr="00B0681E">
        <w:t xml:space="preserve">The Commission is not alone in drawing together observations like these </w:t>
      </w:r>
      <w:r w:rsidR="00F47B1A" w:rsidRPr="00F47B1A">
        <w:rPr>
          <w:szCs w:val="24"/>
        </w:rPr>
        <w:t xml:space="preserve">(for example BCA 2017; Daley, </w:t>
      </w:r>
      <w:proofErr w:type="spellStart"/>
      <w:r w:rsidR="00F47B1A" w:rsidRPr="00F47B1A">
        <w:rPr>
          <w:szCs w:val="24"/>
        </w:rPr>
        <w:t>McGannon</w:t>
      </w:r>
      <w:proofErr w:type="spellEnd"/>
      <w:r w:rsidR="00F47B1A" w:rsidRPr="00F47B1A">
        <w:rPr>
          <w:szCs w:val="24"/>
        </w:rPr>
        <w:t xml:space="preserve"> and </w:t>
      </w:r>
      <w:proofErr w:type="spellStart"/>
      <w:r w:rsidR="00F47B1A" w:rsidRPr="00F47B1A">
        <w:rPr>
          <w:szCs w:val="24"/>
        </w:rPr>
        <w:t>Ginnivan</w:t>
      </w:r>
      <w:proofErr w:type="spellEnd"/>
      <w:r w:rsidR="00F47B1A" w:rsidRPr="00F47B1A">
        <w:rPr>
          <w:szCs w:val="24"/>
        </w:rPr>
        <w:t> 2012; Thomson 2016a; Wilson, Dalton and Baumann 2015)</w:t>
      </w:r>
      <w:r w:rsidRPr="00B0681E">
        <w:t>.</w:t>
      </w:r>
      <w:r>
        <w:t xml:space="preserve"> These trends are cause for concern for a number of reasons.</w:t>
      </w:r>
    </w:p>
    <w:p w14:paraId="463E1A78" w14:textId="77777777" w:rsidR="00E312DF" w:rsidRDefault="00E312DF" w:rsidP="00E312DF">
      <w:pPr>
        <w:pStyle w:val="BodyText"/>
      </w:pPr>
      <w:r>
        <w:t>First, the declining or stagnating results have occurred during a time of</w:t>
      </w:r>
      <w:r w:rsidRPr="00D3399F">
        <w:t xml:space="preserve"> considerable policy focus </w:t>
      </w:r>
      <w:r>
        <w:t xml:space="preserve">on schooling, including significantly increased expenditure. These efforts have focused </w:t>
      </w:r>
      <w:r w:rsidRPr="00D3399F">
        <w:t xml:space="preserve">on preparing school students for future labour markets through changes to school funding, </w:t>
      </w:r>
      <w:r>
        <w:t xml:space="preserve">reviewing teaching methods </w:t>
      </w:r>
      <w:r w:rsidRPr="00D3399F">
        <w:t xml:space="preserve">and curriculums, </w:t>
      </w:r>
      <w:r>
        <w:t>attempting</w:t>
      </w:r>
      <w:r w:rsidRPr="00D3399F">
        <w:t xml:space="preserve"> to raise year 11 and 12 retention rates, testing academic proficiency in schools and </w:t>
      </w:r>
      <w:r>
        <w:t>implementing strategies</w:t>
      </w:r>
      <w:r w:rsidRPr="00D3399F">
        <w:t xml:space="preserve"> to increase the uptake of</w:t>
      </w:r>
      <w:r>
        <w:t xml:space="preserve"> STEM </w:t>
      </w:r>
      <w:r w:rsidRPr="00D3399F">
        <w:t>subjects</w:t>
      </w:r>
      <w:r>
        <w:t xml:space="preserve"> in schools. </w:t>
      </w:r>
    </w:p>
    <w:p w14:paraId="578A44BC" w14:textId="03C1E6D0" w:rsidR="00E312DF" w:rsidRPr="00DF560D" w:rsidRDefault="00E312DF" w:rsidP="00E312DF">
      <w:pPr>
        <w:pStyle w:val="BodyText"/>
      </w:pPr>
      <w:r>
        <w:t>Second, Australia’s performance in international studies have either stagnated or decreased, while other countries (including some already high</w:t>
      </w:r>
      <w:r>
        <w:noBreakHyphen/>
        <w:t xml:space="preserve">performing countries) have recorded improvements in student achievement. Between 2009 and 2015, Australia experienced </w:t>
      </w:r>
      <w:r w:rsidRPr="004E66EC">
        <w:rPr>
          <w:i/>
        </w:rPr>
        <w:t>a decline</w:t>
      </w:r>
      <w:r>
        <w:t xml:space="preserve"> in average reading literacy. Exacerbating this </w:t>
      </w:r>
      <w:r w:rsidR="000E4398">
        <w:t>result</w:t>
      </w:r>
      <w:r>
        <w:t xml:space="preserve">, high performing countries (Singapore is an example close to home) continued to improve despite their already elevated standing </w:t>
      </w:r>
      <w:r w:rsidRPr="00CC402F">
        <w:rPr>
          <w:szCs w:val="24"/>
        </w:rPr>
        <w:t>(Thomson, De</w:t>
      </w:r>
      <w:r>
        <w:rPr>
          <w:szCs w:val="24"/>
        </w:rPr>
        <w:t> </w:t>
      </w:r>
      <w:proofErr w:type="spellStart"/>
      <w:r w:rsidRPr="00CC402F">
        <w:rPr>
          <w:szCs w:val="24"/>
        </w:rPr>
        <w:t>Bortoli</w:t>
      </w:r>
      <w:proofErr w:type="spellEnd"/>
      <w:r w:rsidRPr="00CC402F">
        <w:rPr>
          <w:szCs w:val="24"/>
        </w:rPr>
        <w:t xml:space="preserve"> and Underwood 2017)</w:t>
      </w:r>
      <w:r>
        <w:t xml:space="preserve">. </w:t>
      </w:r>
    </w:p>
    <w:p w14:paraId="6E7BC3A6" w14:textId="77777777" w:rsidR="00E312DF" w:rsidRDefault="00E312DF" w:rsidP="00E312DF">
      <w:pPr>
        <w:pStyle w:val="BodyText"/>
      </w:pPr>
      <w:r>
        <w:t xml:space="preserve">Third, Australia’s sustained decline in academic achievement (as reported by the PISA results) represents considerable lost opportunities for individuals in terms of their overall wellbeing and lost economic prosperity for society. </w:t>
      </w:r>
    </w:p>
    <w:p w14:paraId="1D0DB1F7" w14:textId="271E2E05" w:rsidR="00E312DF" w:rsidRDefault="00E312DF" w:rsidP="00E312DF">
      <w:pPr>
        <w:pStyle w:val="ListBullet"/>
      </w:pPr>
      <w:r>
        <w:t xml:space="preserve">While Australia’s academic achievement is above the OECD average, declining performance over time means Australia’s young people </w:t>
      </w:r>
      <w:r w:rsidRPr="0082552D">
        <w:rPr>
          <w:i/>
        </w:rPr>
        <w:t>may now be less capable</w:t>
      </w:r>
      <w:r>
        <w:t xml:space="preserve"> than previous cohorts. For example, in mathematical literacy, an Australian 15 year old in 2015 had a mathematical aptitude equivalent to a 14</w:t>
      </w:r>
      <w:r w:rsidR="00573583">
        <w:t>–</w:t>
      </w:r>
      <w:r>
        <w:t>year</w:t>
      </w:r>
      <w:r w:rsidR="00573583">
        <w:noBreakHyphen/>
      </w:r>
      <w:r>
        <w:t xml:space="preserve">old in 2000. </w:t>
      </w:r>
    </w:p>
    <w:p w14:paraId="3171118B" w14:textId="4140663A" w:rsidR="00E312DF" w:rsidRDefault="00E312DF" w:rsidP="00E312DF">
      <w:pPr>
        <w:pStyle w:val="ListBullet"/>
      </w:pPr>
      <w:r>
        <w:t>An OECD projection suggests i</w:t>
      </w:r>
      <w:r w:rsidRPr="00B17F52">
        <w:rPr>
          <w:lang w:eastAsia="en-US"/>
        </w:rPr>
        <w:t>f all 15</w:t>
      </w:r>
      <w:r>
        <w:rPr>
          <w:lang w:eastAsia="en-US"/>
        </w:rPr>
        <w:noBreakHyphen/>
      </w:r>
      <w:r w:rsidRPr="00B17F52">
        <w:rPr>
          <w:lang w:eastAsia="en-US"/>
        </w:rPr>
        <w:t>year</w:t>
      </w:r>
      <w:r>
        <w:rPr>
          <w:lang w:eastAsia="en-US"/>
        </w:rPr>
        <w:noBreakHyphen/>
      </w:r>
      <w:r w:rsidRPr="00B17F52">
        <w:rPr>
          <w:lang w:eastAsia="en-US"/>
        </w:rPr>
        <w:t>old students in Australia attained at least the baseline level of performance in PISA</w:t>
      </w:r>
      <w:r>
        <w:rPr>
          <w:lang w:eastAsia="en-US"/>
        </w:rPr>
        <w:t xml:space="preserve"> by</w:t>
      </w:r>
      <w:r w:rsidRPr="00B17F52">
        <w:rPr>
          <w:lang w:eastAsia="en-US"/>
        </w:rPr>
        <w:t xml:space="preserve"> 2030, Australia’s GDP in 2095 would be 1</w:t>
      </w:r>
      <w:r>
        <w:rPr>
          <w:lang w:eastAsia="en-US"/>
        </w:rPr>
        <w:t>0 per cent</w:t>
      </w:r>
      <w:r w:rsidRPr="00B17F52">
        <w:rPr>
          <w:lang w:eastAsia="en-US"/>
        </w:rPr>
        <w:t xml:space="preserve"> higher</w:t>
      </w:r>
      <w:r>
        <w:rPr>
          <w:lang w:eastAsia="en-US"/>
        </w:rPr>
        <w:t xml:space="preserve"> </w:t>
      </w:r>
      <w:r w:rsidR="00F56992" w:rsidRPr="00F56992">
        <w:rPr>
          <w:szCs w:val="24"/>
        </w:rPr>
        <w:t>(OECD 2015c)</w:t>
      </w:r>
      <w:r w:rsidRPr="00B17F52">
        <w:rPr>
          <w:lang w:eastAsia="en-US"/>
        </w:rPr>
        <w:t>.</w:t>
      </w:r>
      <w:r w:rsidRPr="00214E24">
        <w:rPr>
          <w:rStyle w:val="FootnoteReference"/>
        </w:rPr>
        <w:footnoteReference w:id="9"/>
      </w:r>
      <w:r>
        <w:rPr>
          <w:lang w:eastAsia="en-US"/>
        </w:rPr>
        <w:t xml:space="preserve"> Moreover, </w:t>
      </w:r>
      <w:r>
        <w:t xml:space="preserve">Australia’s growing group of low performing students will be increasingly exposed to unemployment or low participation in the future world of work </w:t>
      </w:r>
      <w:r w:rsidR="00011F56" w:rsidRPr="00011F56">
        <w:rPr>
          <w:szCs w:val="24"/>
        </w:rPr>
        <w:t>(OECD 2016a)</w:t>
      </w:r>
      <w:r>
        <w:t xml:space="preserve">. As noted by Thomson </w:t>
      </w:r>
      <w:r w:rsidRPr="004A343F">
        <w:t>(2016b)</w:t>
      </w:r>
      <w:r>
        <w:t>, a prominent expert in this area, ‘[t]</w:t>
      </w:r>
      <w:proofErr w:type="spellStart"/>
      <w:r>
        <w:t>hese</w:t>
      </w:r>
      <w:proofErr w:type="spellEnd"/>
      <w:r>
        <w:t xml:space="preserve"> students </w:t>
      </w:r>
      <w:r w:rsidRPr="00602B9C">
        <w:t>do not have the level of knowledge that will allow them to participate as productive citizens in a modern society</w:t>
      </w:r>
      <w:r>
        <w:t xml:space="preserve">’ (p. 5). </w:t>
      </w:r>
    </w:p>
    <w:p w14:paraId="59BADFE8" w14:textId="0F9D0C9B" w:rsidR="00E312DF" w:rsidRDefault="00E312DF" w:rsidP="00E312DF">
      <w:pPr>
        <w:pStyle w:val="ListBullet"/>
      </w:pPr>
      <w:r>
        <w:t xml:space="preserve">The declining proportion of high performing students sits at odds with the skills requirements of an advanced economy, which will increasingly depend on the capability of that group to be employed in highly skilled jobs </w:t>
      </w:r>
      <w:r w:rsidR="00F56992" w:rsidRPr="00F56992">
        <w:rPr>
          <w:szCs w:val="24"/>
        </w:rPr>
        <w:t>(OECD 2015b)</w:t>
      </w:r>
      <w:r>
        <w:t>. B</w:t>
      </w:r>
      <w:r w:rsidRPr="004A343F">
        <w:t>asic foundation</w:t>
      </w:r>
      <w:r>
        <w:t>al</w:t>
      </w:r>
      <w:r w:rsidRPr="004A343F">
        <w:t xml:space="preserve"> skills in science and mathematics </w:t>
      </w:r>
      <w:r>
        <w:t xml:space="preserve">developed at school </w:t>
      </w:r>
      <w:r w:rsidRPr="004A343F">
        <w:t xml:space="preserve">are likely to be fundamental to future </w:t>
      </w:r>
      <w:r>
        <w:t>work</w:t>
      </w:r>
      <w:r w:rsidRPr="004A343F">
        <w:t>.</w:t>
      </w:r>
    </w:p>
    <w:p w14:paraId="14E9C4B4" w14:textId="77777777" w:rsidR="00E312DF" w:rsidRDefault="00E312DF" w:rsidP="003A0F9B">
      <w:pPr>
        <w:pStyle w:val="Heading2"/>
      </w:pPr>
      <w:r>
        <w:t xml:space="preserve">School workforce and teacher education </w:t>
      </w:r>
    </w:p>
    <w:p w14:paraId="19C031ED" w14:textId="44583660" w:rsidR="00E312DF" w:rsidRDefault="00E312DF" w:rsidP="00E312DF">
      <w:pPr>
        <w:pStyle w:val="BodyText"/>
      </w:pPr>
      <w:r>
        <w:t>To improve skills outcomes</w:t>
      </w:r>
      <w:r w:rsidRPr="00B0681E">
        <w:t xml:space="preserve">, the policy </w:t>
      </w:r>
      <w:r>
        <w:t xml:space="preserve">consensus favours direct measures </w:t>
      </w:r>
      <w:r w:rsidRPr="00B0681E">
        <w:t xml:space="preserve">to </w:t>
      </w:r>
      <w:r>
        <w:t>address</w:t>
      </w:r>
      <w:r w:rsidRPr="00B0681E">
        <w:t xml:space="preserve"> the effectiveness of </w:t>
      </w:r>
      <w:r>
        <w:t xml:space="preserve">the </w:t>
      </w:r>
      <w:r w:rsidRPr="00B0681E">
        <w:t xml:space="preserve">teaching occurring in schools, the quality of the school workforce and </w:t>
      </w:r>
      <w:bookmarkStart w:id="43" w:name="_GoBack"/>
      <w:bookmarkEnd w:id="43"/>
      <w:r w:rsidRPr="00B0681E">
        <w:t xml:space="preserve">the quality of teacher education. And for good reason, as there are strong links between the ability and aptitude of individuals entering the teaching profession, the quality of their training and their eventual teaching effectiveness </w:t>
      </w:r>
      <w:r w:rsidRPr="001B3FA5">
        <w:t>(</w:t>
      </w:r>
      <w:proofErr w:type="spellStart"/>
      <w:r w:rsidRPr="001B3FA5">
        <w:t>Ingvarson</w:t>
      </w:r>
      <w:proofErr w:type="spellEnd"/>
      <w:r>
        <w:t> </w:t>
      </w:r>
      <w:r w:rsidRPr="001B3FA5">
        <w:t xml:space="preserve">et al. 2014). </w:t>
      </w:r>
    </w:p>
    <w:p w14:paraId="7D481175" w14:textId="2236327B" w:rsidR="00E312DF" w:rsidRDefault="00E312DF" w:rsidP="00E312DF">
      <w:pPr>
        <w:pStyle w:val="BodyText"/>
      </w:pPr>
      <w:r>
        <w:t>T</w:t>
      </w:r>
      <w:r w:rsidRPr="001B3FA5">
        <w:t xml:space="preserve">here is some evidence that literacy and numeracy levels of the pipeline of new </w:t>
      </w:r>
      <w:r w:rsidRPr="00E91EA6">
        <w:t>school teachers have declined and, unlike high</w:t>
      </w:r>
      <w:r>
        <w:noBreakHyphen/>
      </w:r>
      <w:r w:rsidRPr="00E91EA6">
        <w:t>performing countries, Australia is not selecting the next generation of teachers from high</w:t>
      </w:r>
      <w:r>
        <w:noBreakHyphen/>
      </w:r>
      <w:r w:rsidRPr="00E91EA6">
        <w:t>performing school leavers (</w:t>
      </w:r>
      <w:proofErr w:type="spellStart"/>
      <w:r w:rsidRPr="00E91EA6">
        <w:t>Ingvarson</w:t>
      </w:r>
      <w:proofErr w:type="spellEnd"/>
      <w:r w:rsidRPr="00E91EA6">
        <w:t xml:space="preserve"> et al. 2014; Leigh and Ryan 2006). </w:t>
      </w:r>
      <w:r>
        <w:t xml:space="preserve">Countries with high academic outcomes have tended to pursue deliberate policies to attract the most able people into teaching, including offering salaries and working conditions that enable teaching to compete with other professions </w:t>
      </w:r>
      <w:r w:rsidRPr="000724BB">
        <w:rPr>
          <w:szCs w:val="24"/>
        </w:rPr>
        <w:t>(</w:t>
      </w:r>
      <w:proofErr w:type="spellStart"/>
      <w:r w:rsidRPr="000724BB">
        <w:rPr>
          <w:szCs w:val="24"/>
        </w:rPr>
        <w:t>Ingvarson</w:t>
      </w:r>
      <w:proofErr w:type="spellEnd"/>
      <w:r w:rsidRPr="000724BB">
        <w:rPr>
          <w:szCs w:val="24"/>
        </w:rPr>
        <w:t xml:space="preserve"> et al. 2014)</w:t>
      </w:r>
      <w:r>
        <w:t>.</w:t>
      </w:r>
    </w:p>
    <w:p w14:paraId="6A01A036" w14:textId="67C8D8D9" w:rsidR="00D81FB6" w:rsidRDefault="00E312DF" w:rsidP="001A378C">
      <w:pPr>
        <w:pStyle w:val="BodyText"/>
      </w:pPr>
      <w:r w:rsidRPr="00E91EA6">
        <w:t xml:space="preserve">A related concern is that many teachers are ‘teaching out of field’ (that is, they are barely, if at all, qualified in the disciplines they are teaching). For example, in information technology, </w:t>
      </w:r>
      <w:r w:rsidR="003477CD">
        <w:t>about</w:t>
      </w:r>
      <w:r w:rsidRPr="00E91EA6">
        <w:t xml:space="preserve"> 30 per cent of year 7 to 10 teachers have neither studied the subject at second</w:t>
      </w:r>
      <w:r>
        <w:noBreakHyphen/>
      </w:r>
      <w:r w:rsidRPr="00E91EA6">
        <w:t xml:space="preserve">year tertiary level or above, nor been trained in teaching methodology for that subject at the tertiary level </w:t>
      </w:r>
      <w:r w:rsidRPr="007633D2">
        <w:rPr>
          <w:szCs w:val="24"/>
        </w:rPr>
        <w:t>(Weldon 2016)</w:t>
      </w:r>
      <w:r w:rsidRPr="00E91EA6">
        <w:t>.</w:t>
      </w:r>
      <w:r>
        <w:t xml:space="preserve"> </w:t>
      </w:r>
      <w:r w:rsidRPr="00F76F8A">
        <w:t xml:space="preserve">Teaching </w:t>
      </w:r>
      <w:r>
        <w:t xml:space="preserve">out of field not only affects students, but anecdotal evidence suggests that it also contributes to teacher attrition </w:t>
      </w:r>
      <w:r w:rsidRPr="000F53B0">
        <w:rPr>
          <w:szCs w:val="24"/>
        </w:rPr>
        <w:t>(Stroud 2017)</w:t>
      </w:r>
      <w:r>
        <w:t>.</w:t>
      </w:r>
      <w:r w:rsidR="00D81FB6">
        <w:t xml:space="preserve"> </w:t>
      </w:r>
      <w:r>
        <w:t xml:space="preserve">Given the high levels </w:t>
      </w:r>
      <w:r w:rsidR="00B74460">
        <w:t>o</w:t>
      </w:r>
      <w:r>
        <w:t>f teaching out of field and its unacceptability, it requires special recruitment efforts and targeted high</w:t>
      </w:r>
      <w:r>
        <w:noBreakHyphen/>
        <w:t xml:space="preserve">quality professional development for existing teachers willing to acquire the knowledge and teaching skills in the relevant disciplines. </w:t>
      </w:r>
    </w:p>
    <w:p w14:paraId="30AD8865" w14:textId="574CB6ED" w:rsidR="001A378C" w:rsidRDefault="001A378C" w:rsidP="001A378C">
      <w:pPr>
        <w:pStyle w:val="BodyText"/>
      </w:pPr>
      <w:r>
        <w:t xml:space="preserve">There are compelling grounds to fix these problems, because not only do they affect the job and income prospects of young people, but they create barriers to subsequent education and training in later life (the focus of this </w:t>
      </w:r>
      <w:r w:rsidR="00B3447D">
        <w:t xml:space="preserve">supporting </w:t>
      </w:r>
      <w:r>
        <w:t>paper). Chapter </w:t>
      </w:r>
      <w:r w:rsidR="001A77AF">
        <w:t xml:space="preserve">3 </w:t>
      </w:r>
      <w:r>
        <w:t xml:space="preserve">of the main report outlines </w:t>
      </w:r>
      <w:r w:rsidR="00B3447D">
        <w:t>reforms needed to improve the pe</w:t>
      </w:r>
      <w:r w:rsidR="00EC3764">
        <w:t>rformance of the school sector.</w:t>
      </w:r>
    </w:p>
    <w:p w14:paraId="04A21500" w14:textId="77777777" w:rsidR="00EC3764" w:rsidRDefault="00EC3764" w:rsidP="000E3914">
      <w:pPr>
        <w:pStyle w:val="Heading1"/>
        <w:spacing w:after="680"/>
        <w:sectPr w:rsidR="00EC3764" w:rsidSect="00EC3764">
          <w:type w:val="oddPage"/>
          <w:pgSz w:w="11907" w:h="16840" w:code="9"/>
          <w:pgMar w:top="1984" w:right="1304" w:bottom="1247" w:left="1814" w:header="1701" w:footer="397" w:gutter="0"/>
          <w:pgNumType w:chapSep="period"/>
          <w:cols w:space="720"/>
          <w:docGrid w:linePitch="326"/>
        </w:sectPr>
      </w:pPr>
      <w:bookmarkStart w:id="44" w:name="_Toc489363514"/>
      <w:bookmarkStart w:id="45" w:name="_Toc489364890"/>
    </w:p>
    <w:p w14:paraId="3E42A23B" w14:textId="181F5239" w:rsidR="000E3914" w:rsidRPr="000F5B9C" w:rsidRDefault="007705AA" w:rsidP="000E3914">
      <w:pPr>
        <w:pStyle w:val="Heading1"/>
        <w:spacing w:after="680"/>
      </w:pPr>
      <w:r>
        <w:t>C</w:t>
      </w:r>
      <w:r w:rsidR="000E3914">
        <w:tab/>
        <w:t>Other developments that affect occupations</w:t>
      </w:r>
      <w:bookmarkEnd w:id="44"/>
      <w:bookmarkEnd w:id="45"/>
    </w:p>
    <w:p w14:paraId="1C27053D" w14:textId="78A82801" w:rsidR="000E3914" w:rsidRDefault="000E3914" w:rsidP="000E3914">
      <w:pPr>
        <w:pStyle w:val="BodyText"/>
      </w:pPr>
      <w:r>
        <w:t>This appendix examine</w:t>
      </w:r>
      <w:r w:rsidR="00FB703F">
        <w:t>s</w:t>
      </w:r>
      <w:r>
        <w:t xml:space="preserve"> two case studies in the education and health sectors, and how occupations, which may be at low risk of automation, may face reduced demand as a result of technology (other than automation), changes in consumer preferences, task redesign and regulation.</w:t>
      </w:r>
    </w:p>
    <w:p w14:paraId="2000A33E" w14:textId="09EC1968" w:rsidR="000E3914" w:rsidRDefault="00B3447D" w:rsidP="000E3914">
      <w:pPr>
        <w:pStyle w:val="Heading2"/>
      </w:pPr>
      <w:bookmarkStart w:id="46" w:name="_Toc488922090"/>
      <w:bookmarkStart w:id="47" w:name="_Toc489363515"/>
      <w:bookmarkStart w:id="48" w:name="_Toc489364891"/>
      <w:r>
        <w:t>C</w:t>
      </w:r>
      <w:r w:rsidR="000E3914">
        <w:t>.1</w:t>
      </w:r>
      <w:r w:rsidR="000E3914">
        <w:tab/>
        <w:t>Educators: low risk of automation but</w:t>
      </w:r>
      <w:r w:rsidR="00133C69">
        <w:t xml:space="preserve"> </w:t>
      </w:r>
      <w:r w:rsidR="000E3914">
        <w:t>… online provision may disrupt</w:t>
      </w:r>
      <w:bookmarkEnd w:id="46"/>
      <w:bookmarkEnd w:id="47"/>
      <w:bookmarkEnd w:id="48"/>
      <w:r w:rsidR="000E3914">
        <w:t xml:space="preserve"> </w:t>
      </w:r>
    </w:p>
    <w:p w14:paraId="53835033" w14:textId="1C86B827" w:rsidR="000E3914" w:rsidRDefault="000E3914" w:rsidP="000E3914">
      <w:pPr>
        <w:pStyle w:val="BodyText"/>
      </w:pPr>
      <w:r>
        <w:t>Educators are regarded as among the least susceptible to automation and therefore largely immune to technologically</w:t>
      </w:r>
      <w:r>
        <w:noBreakHyphen/>
        <w:t xml:space="preserve">based displacement </w:t>
      </w:r>
      <w:r w:rsidRPr="002D020E">
        <w:rPr>
          <w:szCs w:val="24"/>
        </w:rPr>
        <w:t>(Edmonds and Bradley 2015)</w:t>
      </w:r>
      <w:r>
        <w:t xml:space="preserve">. It is certainly the case that (good) educators must keep up to date with developments in their field and modern pedagogic methods, and must cater for the differences in the aptitudes and interests of the people being instructed. </w:t>
      </w:r>
    </w:p>
    <w:p w14:paraId="6FA883B9" w14:textId="01FF6574" w:rsidR="000E3914" w:rsidRDefault="000E3914" w:rsidP="000E3914">
      <w:pPr>
        <w:pStyle w:val="BodyText"/>
      </w:pPr>
      <w:r>
        <w:t>However, online provision of information to people by excellent and highly trained communicators has the potential to decrease the number of trainers required per student, lowering costs without reducing the quality of student learning. Massive Open Online Courses are an example, and are already being used by traditional universities to lower the cost of degrees by reducing direct tuition (chapter</w:t>
      </w:r>
      <w:r w:rsidR="00133C69">
        <w:t> </w:t>
      </w:r>
      <w:r w:rsidR="001A77AF">
        <w:t xml:space="preserve">3 </w:t>
      </w:r>
      <w:r>
        <w:t>of the main report). A meta</w:t>
      </w:r>
      <w:r>
        <w:noBreakHyphen/>
        <w:t xml:space="preserve">analysis of online learning found that on </w:t>
      </w:r>
      <w:r w:rsidRPr="00A75227">
        <w:rPr>
          <w:i/>
        </w:rPr>
        <w:t>average</w:t>
      </w:r>
      <w:r>
        <w:t xml:space="preserve"> students using online learning </w:t>
      </w:r>
      <w:r w:rsidR="00056CC9">
        <w:t xml:space="preserve">tools </w:t>
      </w:r>
      <w:r>
        <w:t>performed better than those receiving face</w:t>
      </w:r>
      <w:r>
        <w:noBreakHyphen/>
        <w:t>to</w:t>
      </w:r>
      <w:r>
        <w:noBreakHyphen/>
        <w:t xml:space="preserve">face instruction, though this may not apply to all students or courses </w:t>
      </w:r>
      <w:r w:rsidRPr="00ED53DD">
        <w:rPr>
          <w:szCs w:val="24"/>
        </w:rPr>
        <w:t xml:space="preserve">(Means et al. 2009; Smith </w:t>
      </w:r>
      <w:proofErr w:type="spellStart"/>
      <w:r w:rsidRPr="00ED53DD">
        <w:rPr>
          <w:szCs w:val="24"/>
        </w:rPr>
        <w:t>Jaggars</w:t>
      </w:r>
      <w:proofErr w:type="spellEnd"/>
      <w:r w:rsidRPr="00ED53DD">
        <w:rPr>
          <w:szCs w:val="24"/>
        </w:rPr>
        <w:t xml:space="preserve"> and Bailey 2010)</w:t>
      </w:r>
      <w:r>
        <w:t xml:space="preserve">. </w:t>
      </w:r>
    </w:p>
    <w:p w14:paraId="2ED25030" w14:textId="2A177166" w:rsidR="000E3914" w:rsidRDefault="000E3914" w:rsidP="000E3914">
      <w:pPr>
        <w:pStyle w:val="BodyText"/>
      </w:pPr>
      <w:r>
        <w:t xml:space="preserve">There is also good evidence that technology can be used as a complement to traditional educational techniques </w:t>
      </w:r>
      <w:r w:rsidRPr="00813022">
        <w:rPr>
          <w:szCs w:val="24"/>
        </w:rPr>
        <w:t>(</w:t>
      </w:r>
      <w:proofErr w:type="spellStart"/>
      <w:r w:rsidRPr="00813022">
        <w:rPr>
          <w:szCs w:val="24"/>
        </w:rPr>
        <w:t>Tamim</w:t>
      </w:r>
      <w:proofErr w:type="spellEnd"/>
      <w:r w:rsidRPr="00813022">
        <w:rPr>
          <w:szCs w:val="24"/>
        </w:rPr>
        <w:t xml:space="preserve"> et al. 2011)</w:t>
      </w:r>
      <w:r>
        <w:t xml:space="preserve"> with the prospect that this can allow larger class sizes per teacher. Meta</w:t>
      </w:r>
      <w:r>
        <w:noBreakHyphen/>
        <w:t>analysis of the evidence also suggests that learning through gamification, virtual worlds and simulation show</w:t>
      </w:r>
      <w:r w:rsidR="00DF3D3F">
        <w:t>s</w:t>
      </w:r>
      <w:r>
        <w:t xml:space="preserve"> promise </w:t>
      </w:r>
      <w:r w:rsidRPr="00813022">
        <w:rPr>
          <w:szCs w:val="24"/>
        </w:rPr>
        <w:t>(Merchant et al. 2014)</w:t>
      </w:r>
      <w:r>
        <w:t xml:space="preserve">, which may also reduce the required number of educators per group of students. </w:t>
      </w:r>
    </w:p>
    <w:p w14:paraId="555AFE34" w14:textId="7FE3DA1C" w:rsidR="000E3914" w:rsidRDefault="000E3914" w:rsidP="000E3914">
      <w:pPr>
        <w:pStyle w:val="BodyText"/>
      </w:pPr>
      <w:r>
        <w:t>The key underpinning advantage of the online and computer environment is cost. Once the fixed costs of a high quality ‘course’ is developed, the incremental cost of providing it to millions of people is low</w:t>
      </w:r>
      <w:r w:rsidR="00DF3D3F">
        <w:t>,</w:t>
      </w:r>
      <w:r>
        <w:t xml:space="preserve"> relative to incremental costs of traditional learning models.</w:t>
      </w:r>
    </w:p>
    <w:p w14:paraId="1ED6F6A5" w14:textId="6395A90C" w:rsidR="000E3914" w:rsidRDefault="00B3447D" w:rsidP="000E3914">
      <w:pPr>
        <w:pStyle w:val="Heading2"/>
      </w:pPr>
      <w:bookmarkStart w:id="49" w:name="_Toc488922091"/>
      <w:bookmarkStart w:id="50" w:name="_Toc489363516"/>
      <w:bookmarkStart w:id="51" w:name="_Toc489364892"/>
      <w:r>
        <w:t>C</w:t>
      </w:r>
      <w:r w:rsidR="000E3914">
        <w:t>.2</w:t>
      </w:r>
      <w:r w:rsidR="000E3914">
        <w:tab/>
        <w:t>Health care occupations: low risk of automation but … technology and social developments may improve outcomes and lower demand</w:t>
      </w:r>
      <w:bookmarkEnd w:id="49"/>
      <w:bookmarkEnd w:id="50"/>
      <w:bookmarkEnd w:id="51"/>
      <w:r w:rsidR="000E3914">
        <w:t xml:space="preserve"> </w:t>
      </w:r>
    </w:p>
    <w:p w14:paraId="37C0E50B" w14:textId="77777777" w:rsidR="000E3914" w:rsidRDefault="000E3914" w:rsidP="000E3914">
      <w:pPr>
        <w:pStyle w:val="BodyText"/>
      </w:pPr>
      <w:r>
        <w:t>Technological changes and less regimented regulations may (</w:t>
      </w:r>
      <w:r>
        <w:rPr>
          <w:i/>
        </w:rPr>
        <w:t>when c</w:t>
      </w:r>
      <w:r w:rsidRPr="00A75227">
        <w:rPr>
          <w:i/>
        </w:rPr>
        <w:t xml:space="preserve">ompared </w:t>
      </w:r>
      <w:r>
        <w:rPr>
          <w:i/>
        </w:rPr>
        <w:t>with</w:t>
      </w:r>
      <w:r w:rsidRPr="00A75227">
        <w:rPr>
          <w:i/>
        </w:rPr>
        <w:t xml:space="preserve"> the counterfactual</w:t>
      </w:r>
      <w:r>
        <w:rPr>
          <w:i/>
        </w:rPr>
        <w:t xml:space="preserve">) </w:t>
      </w:r>
      <w:r>
        <w:t>reduce the need for non</w:t>
      </w:r>
      <w:r>
        <w:noBreakHyphen/>
        <w:t>routine high</w:t>
      </w:r>
      <w:r>
        <w:noBreakHyphen/>
        <w:t>level cognitive occupations in health service provision.</w:t>
      </w:r>
    </w:p>
    <w:p w14:paraId="7E1FAD4F" w14:textId="36831BA7" w:rsidR="000E3914" w:rsidRDefault="000E3914" w:rsidP="000E3914">
      <w:pPr>
        <w:pStyle w:val="ListBullet"/>
      </w:pPr>
      <w:r>
        <w:t>Various meta</w:t>
      </w:r>
      <w:r>
        <w:noBreakHyphen/>
        <w:t xml:space="preserve">analyses found </w:t>
      </w:r>
      <w:proofErr w:type="spellStart"/>
      <w:r>
        <w:t>internet</w:t>
      </w:r>
      <w:proofErr w:type="spellEnd"/>
      <w:r w:rsidR="00133C69">
        <w:noBreakHyphen/>
      </w:r>
      <w:r>
        <w:t>delivered cognitive behavioural therapy (usually with some, but little clinical backup) to be as successful as face</w:t>
      </w:r>
      <w:r>
        <w:noBreakHyphen/>
        <w:t>to</w:t>
      </w:r>
      <w:r>
        <w:noBreakHyphen/>
        <w:t>face clinical interventions for some conditions.</w:t>
      </w:r>
      <w:r w:rsidRPr="00214E24">
        <w:rPr>
          <w:rStyle w:val="FootnoteReference"/>
        </w:rPr>
        <w:footnoteReference w:id="10"/>
      </w:r>
      <w:r>
        <w:t xml:space="preserve"> </w:t>
      </w:r>
    </w:p>
    <w:p w14:paraId="2048B97F" w14:textId="07D5C8E9" w:rsidR="000E3914" w:rsidRDefault="000E3914" w:rsidP="000E3914">
      <w:pPr>
        <w:pStyle w:val="ListBullet"/>
      </w:pPr>
      <w:r>
        <w:t>Effective communication between caregivers and patients has the prospect (in the United States at least) of reducing re</w:t>
      </w:r>
      <w:r w:rsidR="00133C69">
        <w:noBreakHyphen/>
      </w:r>
      <w:r>
        <w:t xml:space="preserve">admission rates by </w:t>
      </w:r>
      <w:r w:rsidR="003477CD">
        <w:t>about</w:t>
      </w:r>
      <w:r>
        <w:t xml:space="preserve"> 5 per cent </w:t>
      </w:r>
      <w:r w:rsidRPr="009E71E7">
        <w:rPr>
          <w:szCs w:val="24"/>
        </w:rPr>
        <w:t>(</w:t>
      </w:r>
      <w:proofErr w:type="spellStart"/>
      <w:r w:rsidRPr="009E71E7">
        <w:rPr>
          <w:szCs w:val="24"/>
        </w:rPr>
        <w:t>Senot</w:t>
      </w:r>
      <w:proofErr w:type="spellEnd"/>
      <w:r w:rsidRPr="009E71E7">
        <w:rPr>
          <w:szCs w:val="24"/>
        </w:rPr>
        <w:t xml:space="preserve"> and </w:t>
      </w:r>
      <w:proofErr w:type="spellStart"/>
      <w:r w:rsidRPr="009E71E7">
        <w:rPr>
          <w:szCs w:val="24"/>
        </w:rPr>
        <w:t>Chandrasekaran</w:t>
      </w:r>
      <w:proofErr w:type="spellEnd"/>
      <w:r w:rsidRPr="009E71E7">
        <w:rPr>
          <w:szCs w:val="24"/>
        </w:rPr>
        <w:t> 2015)</w:t>
      </w:r>
      <w:r>
        <w:t>. Similarly, health and wellbeing programs aimed at better self</w:t>
      </w:r>
      <w:r>
        <w:noBreakHyphen/>
        <w:t xml:space="preserve">management of chronic conditions have been shown to reduce the frequency and duration of hospital admissions </w:t>
      </w:r>
      <w:r w:rsidRPr="00C878AB">
        <w:rPr>
          <w:szCs w:val="24"/>
        </w:rPr>
        <w:t>(</w:t>
      </w:r>
      <w:proofErr w:type="spellStart"/>
      <w:r w:rsidRPr="00C878AB">
        <w:rPr>
          <w:szCs w:val="24"/>
        </w:rPr>
        <w:t>Hamar</w:t>
      </w:r>
      <w:proofErr w:type="spellEnd"/>
      <w:r w:rsidRPr="00C878AB">
        <w:rPr>
          <w:szCs w:val="24"/>
        </w:rPr>
        <w:t xml:space="preserve"> et al. 2013)</w:t>
      </w:r>
      <w:r w:rsidR="00DF3D3F">
        <w:t>.</w:t>
      </w:r>
    </w:p>
    <w:p w14:paraId="2100F21D" w14:textId="0C6C62BD" w:rsidR="000E3914" w:rsidRDefault="000E3914" w:rsidP="000E3914">
      <w:pPr>
        <w:pStyle w:val="ListBullet"/>
      </w:pPr>
      <w:r>
        <w:t>Drugs can sometimes substitute for the medical labour force, and allied health professionals can also sometimes substitute for the higher</w:t>
      </w:r>
      <w:r>
        <w:noBreakHyphen/>
        <w:t xml:space="preserve">cost clinicians without </w:t>
      </w:r>
      <w:r w:rsidR="0069311F">
        <w:t>effecting</w:t>
      </w:r>
      <w:r>
        <w:t xml:space="preserve"> the quality of care (to the extent that rules concerning the scope of practice do not preclude this).</w:t>
      </w:r>
    </w:p>
    <w:p w14:paraId="3C55061F" w14:textId="70927BE3" w:rsidR="000E3914" w:rsidRDefault="000E3914" w:rsidP="000E3914">
      <w:pPr>
        <w:pStyle w:val="ListBullet"/>
      </w:pPr>
      <w:r>
        <w:t xml:space="preserve">Pharmacists are perceived to have a very low risk of facing automation, but this presumes that they are able to use their expertise in the role they perform in the health system. Robotic dispensers are already in place in retail pharmacies and more complex ones in hospitals. So, despite their education and skills, among the health professions, the pharmacist occupation </w:t>
      </w:r>
      <w:r w:rsidRPr="00E35D42">
        <w:rPr>
          <w:i/>
        </w:rPr>
        <w:t>is</w:t>
      </w:r>
      <w:r>
        <w:t xml:space="preserve"> subject to considerable technological risks, especially if the regulations that give rise to their privileged status to dispense is withdrawn (issues that are explored in chapter</w:t>
      </w:r>
      <w:r w:rsidR="00133C69">
        <w:t> </w:t>
      </w:r>
      <w:r w:rsidR="001A77AF">
        <w:t xml:space="preserve">2 </w:t>
      </w:r>
      <w:r>
        <w:t xml:space="preserve">of the main report). </w:t>
      </w:r>
    </w:p>
    <w:p w14:paraId="24D8A6F5" w14:textId="77777777" w:rsidR="000E3914" w:rsidRDefault="000E3914" w:rsidP="000E3914">
      <w:pPr>
        <w:pStyle w:val="BodyText"/>
      </w:pPr>
      <w:r>
        <w:t>Developments of these kinds are unlikely to reduce the absolute number of health professionals (pharmacists aside). This is because the substitution effects will probably be offset by the need for the health sector to grow (a reflection of population ageing and the tendency for richer societies to invest more in health).</w:t>
      </w:r>
    </w:p>
    <w:p w14:paraId="0175A009" w14:textId="77777777" w:rsidR="004E6280" w:rsidRDefault="000E3914" w:rsidP="000E3914">
      <w:pPr>
        <w:pStyle w:val="BodyText"/>
      </w:pPr>
      <w:r>
        <w:t xml:space="preserve">Economic incentives reinforce the technological pressures on these occupations. While it may seem harder to replace them, their costs are much higher than other personnel, and so the incentives to reduce or change their role are also strong. This has implications for the required future professional workforce and skills formation of incumbents. </w:t>
      </w:r>
    </w:p>
    <w:p w14:paraId="7DDE72D6" w14:textId="57424078" w:rsidR="00312F67" w:rsidRDefault="000E3914" w:rsidP="00916E2C">
      <w:pPr>
        <w:pStyle w:val="Heading1"/>
        <w:spacing w:after="680"/>
      </w:pPr>
      <w:r>
        <w:br w:type="page"/>
      </w:r>
      <w:bookmarkStart w:id="52" w:name="_Toc489363517"/>
      <w:bookmarkStart w:id="53" w:name="_Toc489364893"/>
      <w:r w:rsidR="00A41925">
        <w:t>D</w:t>
      </w:r>
      <w:r w:rsidR="00A41925">
        <w:tab/>
      </w:r>
      <w:r w:rsidR="001C246B">
        <w:t>Other p</w:t>
      </w:r>
      <w:r w:rsidR="00A41925">
        <w:t>ossible policy options to overcome barriers to upskilling and retraining</w:t>
      </w:r>
      <w:bookmarkEnd w:id="52"/>
      <w:bookmarkEnd w:id="53"/>
    </w:p>
    <w:p w14:paraId="0E7EBB40" w14:textId="1BE558C4" w:rsidR="00A41925" w:rsidRDefault="00A41925" w:rsidP="00A41925">
      <w:pPr>
        <w:pStyle w:val="Heading2"/>
      </w:pPr>
      <w:bookmarkStart w:id="54" w:name="_Toc488922093"/>
      <w:bookmarkStart w:id="55" w:name="_Toc489363518"/>
      <w:bookmarkStart w:id="56" w:name="_Toc489364894"/>
      <w:r>
        <w:t>D.</w:t>
      </w:r>
      <w:r w:rsidR="00056CC9">
        <w:t>1</w:t>
      </w:r>
      <w:r>
        <w:tab/>
        <w:t>Career guidance: assessing skills and providing training advice</w:t>
      </w:r>
      <w:bookmarkEnd w:id="54"/>
      <w:bookmarkEnd w:id="55"/>
      <w:bookmarkEnd w:id="56"/>
    </w:p>
    <w:p w14:paraId="2EE24D6F" w14:textId="3875FC90" w:rsidR="00A41925" w:rsidRDefault="00A3204C" w:rsidP="00A41925">
      <w:pPr>
        <w:pStyle w:val="BodyText"/>
      </w:pPr>
      <w:r>
        <w:t>In addition to the options outlined in chapter</w:t>
      </w:r>
      <w:r w:rsidR="00A647C3">
        <w:t> </w:t>
      </w:r>
      <w:r>
        <w:t>5</w:t>
      </w:r>
      <w:r w:rsidR="008F313E">
        <w:t xml:space="preserve"> above</w:t>
      </w:r>
      <w:r>
        <w:t>, government</w:t>
      </w:r>
      <w:r w:rsidR="008F313E">
        <w:noBreakHyphen/>
      </w:r>
      <w:r>
        <w:t xml:space="preserve">supported </w:t>
      </w:r>
      <w:r w:rsidR="00A41925">
        <w:t xml:space="preserve">career guidance services </w:t>
      </w:r>
      <w:r>
        <w:t>could be used to overcome potential labour market disadvantages</w:t>
      </w:r>
      <w:r w:rsidR="00A41925">
        <w:t>. The goal would be to assist</w:t>
      </w:r>
      <w:r w:rsidR="00A41925" w:rsidRPr="0062721C">
        <w:t xml:space="preserve"> people to </w:t>
      </w:r>
      <w:r w:rsidR="00A41925">
        <w:t xml:space="preserve">objectively </w:t>
      </w:r>
      <w:r w:rsidR="00A41925" w:rsidRPr="0062721C">
        <w:t>diagnose their current skill levels and aptitudes, assess the relevance of these to emerging market needs, and then prov</w:t>
      </w:r>
      <w:r w:rsidR="00A41925">
        <w:t>ide</w:t>
      </w:r>
      <w:r w:rsidR="00A41925" w:rsidRPr="0062721C">
        <w:t xml:space="preserve"> advice on achieving realistic transitions to altern</w:t>
      </w:r>
      <w:r w:rsidR="00A41925">
        <w:t xml:space="preserve">ative jobs and how that may be achieved if further education and training is required. As </w:t>
      </w:r>
      <w:r>
        <w:t>with</w:t>
      </w:r>
      <w:r w:rsidR="00A41925">
        <w:t xml:space="preserve"> any policy, the issue is would it work, for whom, and at what cost?</w:t>
      </w:r>
    </w:p>
    <w:p w14:paraId="3AC1643B" w14:textId="0BC8034E" w:rsidR="00A41925" w:rsidRDefault="00A41925" w:rsidP="00A41925">
      <w:pPr>
        <w:pStyle w:val="BodyText"/>
      </w:pPr>
      <w:r>
        <w:t xml:space="preserve">In 2016, the Australian Government completed a career guidance service pilot — Skills Checkpoint — targeted at workers aged </w:t>
      </w:r>
      <w:r w:rsidRPr="00437C57">
        <w:t>45</w:t>
      </w:r>
      <w:r>
        <w:noBreakHyphen/>
      </w:r>
      <w:r w:rsidRPr="00437C57">
        <w:t>54</w:t>
      </w:r>
      <w:r>
        <w:t xml:space="preserve"> years. It provided workers</w:t>
      </w:r>
      <w:r w:rsidRPr="00437C57">
        <w:t xml:space="preserve"> with an assessment of their skills and career interests in relation to their current role or future employment opportunities. The service also provided participants with guidance on transitioning into new roles within their current industry or </w:t>
      </w:r>
      <w:r w:rsidR="008F313E">
        <w:t xml:space="preserve">on </w:t>
      </w:r>
      <w:r w:rsidRPr="00437C57">
        <w:t>pathways to a new career, including any relevant education and training options.</w:t>
      </w:r>
      <w:r>
        <w:t xml:space="preserve"> An evaluation based on feedback from participants and service providers was broadly supportive of the pilot, but the Commission is not aware of plans to continue the service or roll it out more widely or for more rigours evaluation </w:t>
      </w:r>
      <w:r w:rsidR="00011F56" w:rsidRPr="00011F56">
        <w:rPr>
          <w:szCs w:val="24"/>
        </w:rPr>
        <w:t>(DET 2017)</w:t>
      </w:r>
      <w:r>
        <w:t xml:space="preserve">. </w:t>
      </w:r>
    </w:p>
    <w:p w14:paraId="282EFB29" w14:textId="77777777" w:rsidR="00A41925" w:rsidRDefault="00A41925" w:rsidP="00A41925">
      <w:pPr>
        <w:pStyle w:val="BodyText"/>
      </w:pPr>
      <w:r>
        <w:t>While such a policy may have value, there are major challenges in adopting taxpayer</w:t>
      </w:r>
      <w:r>
        <w:noBreakHyphen/>
        <w:t>funded career guidance services, including:</w:t>
      </w:r>
    </w:p>
    <w:p w14:paraId="2D661190" w14:textId="77777777" w:rsidR="00A41925" w:rsidRDefault="00A41925" w:rsidP="00A41925">
      <w:pPr>
        <w:pStyle w:val="ListBullet"/>
      </w:pPr>
      <w:proofErr w:type="gramStart"/>
      <w:r w:rsidRPr="00695C53">
        <w:rPr>
          <w:i/>
        </w:rPr>
        <w:t>additionality</w:t>
      </w:r>
      <w:proofErr w:type="gramEnd"/>
      <w:r>
        <w:t>: to avoid providing careers advice to people who would have, on their own account, paid for such a service.</w:t>
      </w:r>
      <w:r w:rsidRPr="00B25F5D">
        <w:t xml:space="preserve"> </w:t>
      </w:r>
      <w:r>
        <w:t>Some obvious measures to address additionality are that subsidised services should not be provided to people who have reasonable income, are highly educated or do not have substantial labour market vulnerabilities</w:t>
      </w:r>
    </w:p>
    <w:p w14:paraId="3FBC8798" w14:textId="59799C56" w:rsidR="00A41925" w:rsidRDefault="0091232C" w:rsidP="00A41925">
      <w:pPr>
        <w:pStyle w:val="ListBullet"/>
      </w:pPr>
      <w:proofErr w:type="gramStart"/>
      <w:r>
        <w:rPr>
          <w:i/>
        </w:rPr>
        <w:t>a</w:t>
      </w:r>
      <w:r w:rsidR="00A41925" w:rsidRPr="00AA3ECB">
        <w:rPr>
          <w:i/>
        </w:rPr>
        <w:t>bility</w:t>
      </w:r>
      <w:proofErr w:type="gramEnd"/>
      <w:r w:rsidR="00A41925" w:rsidRPr="00AA3ECB">
        <w:rPr>
          <w:i/>
        </w:rPr>
        <w:t xml:space="preserve"> to benefit</w:t>
      </w:r>
      <w:r w:rsidR="00A41925">
        <w:t>: providing services to those people most likely to benefit from the service. This is a less manageable issue.</w:t>
      </w:r>
      <w:r w:rsidR="00A41925" w:rsidRPr="00B25F5D">
        <w:t xml:space="preserve"> </w:t>
      </w:r>
      <w:r w:rsidR="00A41925">
        <w:t xml:space="preserve">The traits of a person that are likely to lead to high or low value are probably hard to observe prior to providing the service </w:t>
      </w:r>
    </w:p>
    <w:p w14:paraId="3EAABA98" w14:textId="2B78C024" w:rsidR="00A41925" w:rsidRDefault="00A41925" w:rsidP="00A41925">
      <w:pPr>
        <w:pStyle w:val="ListBullet"/>
      </w:pPr>
      <w:r w:rsidRPr="00695C53">
        <w:rPr>
          <w:i/>
        </w:rPr>
        <w:t>cost</w:t>
      </w:r>
      <w:r w:rsidRPr="00695C53">
        <w:rPr>
          <w:i/>
        </w:rPr>
        <w:noBreakHyphen/>
        <w:t>effective</w:t>
      </w:r>
      <w:r>
        <w:rPr>
          <w:i/>
        </w:rPr>
        <w:t>:</w:t>
      </w:r>
      <w:r>
        <w:t xml:space="preserve"> the recent problems in the VET sector have shown that poor quality</w:t>
      </w:r>
      <w:r w:rsidR="008F313E">
        <w:t>,</w:t>
      </w:r>
      <w:r>
        <w:t xml:space="preserve"> high</w:t>
      </w:r>
      <w:r>
        <w:noBreakHyphen/>
        <w:t>cost supply can survive even in a supervised market</w:t>
      </w:r>
    </w:p>
    <w:p w14:paraId="36C53408" w14:textId="77777777" w:rsidR="00A41925" w:rsidRDefault="00A41925" w:rsidP="00A41925">
      <w:pPr>
        <w:pStyle w:val="ListBullet"/>
      </w:pPr>
      <w:r w:rsidRPr="00695C53">
        <w:rPr>
          <w:i/>
        </w:rPr>
        <w:t>accuracy of advice:</w:t>
      </w:r>
      <w:r>
        <w:t xml:space="preserve"> it would be necessary to have oversight to ensure the advice given was accurate (an issue also reflecting the risk of fraud and the entry by poor quality providers)</w:t>
      </w:r>
    </w:p>
    <w:p w14:paraId="4669F671" w14:textId="6CE95240" w:rsidR="00A41925" w:rsidRDefault="00A41925" w:rsidP="00A41925">
      <w:pPr>
        <w:pStyle w:val="ListBullet"/>
      </w:pPr>
      <w:proofErr w:type="gramStart"/>
      <w:r w:rsidRPr="00A20502">
        <w:rPr>
          <w:i/>
        </w:rPr>
        <w:t>net</w:t>
      </w:r>
      <w:proofErr w:type="gramEnd"/>
      <w:r w:rsidRPr="00A20502">
        <w:rPr>
          <w:i/>
        </w:rPr>
        <w:t xml:space="preserve"> benefit</w:t>
      </w:r>
      <w:r>
        <w:t>: it would be necessary to confirm that a career guidance service produce</w:t>
      </w:r>
      <w:r w:rsidR="008F313E">
        <w:t>s</w:t>
      </w:r>
      <w:r>
        <w:t xml:space="preserve"> better outcomes than the counterfactual. Identifying impacts requires ex post evaluation, and the subsequent adaptation of program eligibility and design.</w:t>
      </w:r>
    </w:p>
    <w:p w14:paraId="6A20173A" w14:textId="77777777" w:rsidR="00A41925" w:rsidRDefault="00A41925" w:rsidP="00A41925">
      <w:pPr>
        <w:pStyle w:val="BodyText"/>
      </w:pPr>
      <w:r w:rsidRPr="00695C53">
        <w:t xml:space="preserve">In this context, and </w:t>
      </w:r>
      <w:r>
        <w:t xml:space="preserve">given the </w:t>
      </w:r>
      <w:r w:rsidRPr="00695C53">
        <w:t>absen</w:t>
      </w:r>
      <w:r>
        <w:t>ce of</w:t>
      </w:r>
      <w:r w:rsidRPr="00695C53">
        <w:t xml:space="preserve"> strong evidence about the performance of the Skills Checkpoint program, it would be premature to roll out an Australia</w:t>
      </w:r>
      <w:r w:rsidRPr="00695C53">
        <w:noBreakHyphen/>
        <w:t xml:space="preserve">wide </w:t>
      </w:r>
      <w:r>
        <w:t xml:space="preserve">counselling </w:t>
      </w:r>
      <w:r w:rsidRPr="00695C53">
        <w:t>program.</w:t>
      </w:r>
      <w:r>
        <w:t xml:space="preserve"> A less risky and lower</w:t>
      </w:r>
      <w:r>
        <w:noBreakHyphen/>
        <w:t>cost option would be to continue developing</w:t>
      </w:r>
      <w:r w:rsidRPr="00EF1EF4">
        <w:t xml:space="preserve"> </w:t>
      </w:r>
      <w:r>
        <w:t xml:space="preserve">an online tool for assessing people’s capabilities and occupational preferences — as described above. </w:t>
      </w:r>
    </w:p>
    <w:p w14:paraId="6C280587" w14:textId="45D404D7" w:rsidR="00A41925" w:rsidRDefault="00056CC9" w:rsidP="00A41925">
      <w:pPr>
        <w:pStyle w:val="Heading2"/>
      </w:pPr>
      <w:bookmarkStart w:id="57" w:name="_Toc488922094"/>
      <w:bookmarkStart w:id="58" w:name="_Toc489363519"/>
      <w:bookmarkStart w:id="59" w:name="_Toc489364895"/>
      <w:r>
        <w:t>D.2</w:t>
      </w:r>
      <w:r w:rsidR="00A41925">
        <w:tab/>
      </w:r>
      <w:r w:rsidR="00A41925" w:rsidRPr="00B5758E">
        <w:t>Lifelong learning accounts</w:t>
      </w:r>
      <w:bookmarkEnd w:id="57"/>
      <w:bookmarkEnd w:id="58"/>
      <w:bookmarkEnd w:id="59"/>
    </w:p>
    <w:p w14:paraId="5668F6BD" w14:textId="638CDAB0" w:rsidR="00A41925" w:rsidRDefault="00A41925" w:rsidP="00A41925">
      <w:pPr>
        <w:pStyle w:val="BodyText"/>
      </w:pPr>
      <w:r>
        <w:t>Lifelong learning accounts are like a bank account, but the balance can be used to finance a worker’s education and training. They are usually targeted at those that have finished their front</w:t>
      </w:r>
      <w:r>
        <w:noBreakHyphen/>
        <w:t>ended education. Funding for these accounts can come from government, an employer or the worker</w:t>
      </w:r>
      <w:r w:rsidR="008F313E">
        <w:t>,</w:t>
      </w:r>
      <w:r>
        <w:t xml:space="preserve"> or a combination of any of these parties. By providing financial incentives, the aim is to motivate workers to participate in skills development by reducing the direct cost of further education, as well as trying to change the mindset of people that education is for the young.</w:t>
      </w:r>
    </w:p>
    <w:p w14:paraId="13CEA3AE" w14:textId="4D0FA9EA" w:rsidR="00A41925" w:rsidRDefault="00A41925" w:rsidP="00A41925">
      <w:pPr>
        <w:pStyle w:val="BodyText"/>
      </w:pPr>
      <w:r>
        <w:t xml:space="preserve">The idea of individual lifelong learning accounts is not a new one. A number of countries, including the United Kingdom, Canada and Singapore, have tried such approaches over recent decades. </w:t>
      </w:r>
      <w:r w:rsidR="008F313E">
        <w:t>In 2016</w:t>
      </w:r>
      <w:r>
        <w:t xml:space="preserve">, for example, </w:t>
      </w:r>
      <w:r w:rsidR="008F313E">
        <w:t xml:space="preserve">Singapore </w:t>
      </w:r>
      <w:r>
        <w:t xml:space="preserve">introduced an initial credit of SGD 500 (about $485 in Australian dollars) to be used for approved education and training courses. These credits do not expire and will be topped up over time — allowing people to either use the credits or save them for future use </w:t>
      </w:r>
      <w:r w:rsidRPr="003D38E2">
        <w:rPr>
          <w:szCs w:val="24"/>
        </w:rPr>
        <w:t>(</w:t>
      </w:r>
      <w:proofErr w:type="spellStart"/>
      <w:r w:rsidRPr="003D38E2">
        <w:rPr>
          <w:szCs w:val="24"/>
        </w:rPr>
        <w:t>Shanmugaratnam</w:t>
      </w:r>
      <w:proofErr w:type="spellEnd"/>
      <w:r w:rsidRPr="003D38E2">
        <w:rPr>
          <w:szCs w:val="24"/>
        </w:rPr>
        <w:t> 2015)</w:t>
      </w:r>
      <w:r>
        <w:t xml:space="preserve">. </w:t>
      </w:r>
    </w:p>
    <w:p w14:paraId="7969F6B7" w14:textId="69DF1D08" w:rsidR="00A41925" w:rsidRDefault="00A41925" w:rsidP="00A41925">
      <w:pPr>
        <w:pStyle w:val="BodyText"/>
      </w:pPr>
      <w:r>
        <w:t xml:space="preserve">While the </w:t>
      </w:r>
      <w:r w:rsidRPr="00D1606E">
        <w:t xml:space="preserve">basic idea </w:t>
      </w:r>
      <w:r>
        <w:t>has some appeal, there are a number of major issues that would need to be overcome before implementation.</w:t>
      </w:r>
      <w:r w:rsidR="00133C69">
        <w:t xml:space="preserve"> </w:t>
      </w:r>
    </w:p>
    <w:p w14:paraId="712AC6A2" w14:textId="4D976C31" w:rsidR="00A41925" w:rsidRDefault="00A41925" w:rsidP="00A41925">
      <w:pPr>
        <w:pStyle w:val="ListBullet"/>
      </w:pPr>
      <w:r>
        <w:t xml:space="preserve">Such a scheme could be costly. Providing untargeted allowance to all Australians over a particular age (in Singapore, it is </w:t>
      </w:r>
      <w:r w:rsidR="00C54865">
        <w:t xml:space="preserve">above the age of </w:t>
      </w:r>
      <w:r>
        <w:t xml:space="preserve">25) would place undue pressure on government budgets. </w:t>
      </w:r>
    </w:p>
    <w:p w14:paraId="1113344F" w14:textId="77777777" w:rsidR="00A41925" w:rsidRDefault="00A41925" w:rsidP="00A41925">
      <w:pPr>
        <w:pStyle w:val="ListBullet"/>
      </w:pPr>
      <w:r>
        <w:t xml:space="preserve">Like career advice, ensuring additionality would be an issue. Targeting could reduce costs and decrease assistance going to people who would have undertaken training anyway. </w:t>
      </w:r>
    </w:p>
    <w:p w14:paraId="28CA6D21" w14:textId="3255CE5A" w:rsidR="00A41925" w:rsidRDefault="00A41925" w:rsidP="00A41925">
      <w:pPr>
        <w:pStyle w:val="ListBullet"/>
      </w:pPr>
      <w:r>
        <w:t xml:space="preserve">Internationally, fraudulent behaviour has been an issue. The system in England was closed </w:t>
      </w:r>
      <w:r w:rsidR="008F313E">
        <w:t xml:space="preserve">after </w:t>
      </w:r>
      <w:r>
        <w:t xml:space="preserve">only a short period of operation due to fraud, although not before losses of millions of pounds. Even the relatively new system in Singapore has been subject to fraudulent claims, although they appear to have been detected quickly and their system adjusted accordingly </w:t>
      </w:r>
      <w:r w:rsidRPr="00166887">
        <w:rPr>
          <w:szCs w:val="24"/>
        </w:rPr>
        <w:t>(Chia 2017; Min 2017)</w:t>
      </w:r>
      <w:r>
        <w:t xml:space="preserve">. </w:t>
      </w:r>
    </w:p>
    <w:p w14:paraId="78C947D4" w14:textId="08C377C2" w:rsidR="00A41925" w:rsidRDefault="00A41925" w:rsidP="00A41925">
      <w:pPr>
        <w:pStyle w:val="BodyText"/>
      </w:pPr>
      <w:r>
        <w:t>Even if these policy design challenges could be overcome sufficiently, the bigger issue is that any additional entitlement would cut across Australia’s relatively open education system, mudd</w:t>
      </w:r>
      <w:r w:rsidR="008F313E">
        <w:t>y</w:t>
      </w:r>
      <w:r>
        <w:t>ing existing funding sources of education and training</w:t>
      </w:r>
      <w:r w:rsidR="00A0521E">
        <w:t>.</w:t>
      </w:r>
      <w:r>
        <w:t xml:space="preserve"> </w:t>
      </w:r>
    </w:p>
    <w:p w14:paraId="11F1C1DE" w14:textId="1D51408F" w:rsidR="00A41925" w:rsidRDefault="00A41925" w:rsidP="00A41925">
      <w:pPr>
        <w:pStyle w:val="BodyText"/>
      </w:pPr>
      <w:r>
        <w:t>This is not to suggest that government subsidies for post</w:t>
      </w:r>
      <w:r w:rsidR="00133C69">
        <w:noBreakHyphen/>
      </w:r>
      <w:r>
        <w:t xml:space="preserve">secondary school education and training could not be improved. Rather, it would be preferable to comprehensively consider funding arrangements for the university and VET sectors, and any interaction, than </w:t>
      </w:r>
      <w:r w:rsidR="008F313E">
        <w:t xml:space="preserve">to </w:t>
      </w:r>
      <w:r>
        <w:t>tack</w:t>
      </w:r>
      <w:r w:rsidR="00133C69">
        <w:noBreakHyphen/>
      </w:r>
      <w:r>
        <w:t xml:space="preserve">on another entitlement. </w:t>
      </w:r>
    </w:p>
    <w:p w14:paraId="02A728AF" w14:textId="3E539557" w:rsidR="00A41925" w:rsidRDefault="00056CC9" w:rsidP="00A41925">
      <w:pPr>
        <w:pStyle w:val="Heading2"/>
      </w:pPr>
      <w:bookmarkStart w:id="60" w:name="_Toc488922095"/>
      <w:bookmarkStart w:id="61" w:name="_Toc489363520"/>
      <w:bookmarkStart w:id="62" w:name="_Toc489364896"/>
      <w:r>
        <w:t>D.3</w:t>
      </w:r>
      <w:r w:rsidR="00A41925">
        <w:tab/>
        <w:t>Tax incentives for businesses investing in training and development</w:t>
      </w:r>
      <w:bookmarkEnd w:id="60"/>
      <w:bookmarkEnd w:id="61"/>
      <w:bookmarkEnd w:id="62"/>
      <w:r w:rsidR="00A41925">
        <w:t xml:space="preserve"> </w:t>
      </w:r>
    </w:p>
    <w:p w14:paraId="61D07C8B" w14:textId="6B33FEB0" w:rsidR="00A41925" w:rsidRDefault="00A41925" w:rsidP="00A41925">
      <w:pPr>
        <w:pStyle w:val="BodyText"/>
      </w:pPr>
      <w:r>
        <w:t>While the Australian tax system allows some deductions for education and training expenditure (for both businesses and individuals) as expenses against income earned, the use of the tax system to increase education and training is limited</w:t>
      </w:r>
      <w:r w:rsidR="003D3608" w:rsidRPr="003D3608">
        <w:t xml:space="preserve"> </w:t>
      </w:r>
      <w:r w:rsidR="003D3608">
        <w:t>compared with direct funding</w:t>
      </w:r>
      <w:r>
        <w:t xml:space="preserve">. </w:t>
      </w:r>
    </w:p>
    <w:p w14:paraId="1646B878" w14:textId="468A4A89" w:rsidR="00A41925" w:rsidRDefault="00A41925" w:rsidP="00A41925">
      <w:pPr>
        <w:pStyle w:val="BodyText"/>
      </w:pPr>
      <w:r>
        <w:t xml:space="preserve">European countries, on the other hand, use various tax incentives to foster national education and training activities </w:t>
      </w:r>
      <w:r w:rsidR="00011F56" w:rsidRPr="00011F56">
        <w:rPr>
          <w:szCs w:val="24"/>
        </w:rPr>
        <w:t>(ECDVT 2009)</w:t>
      </w:r>
      <w:r>
        <w:t xml:space="preserve">. These incentives take many forms (rebates, allowances, exemptions) and are directed at individuals and/or businesses to encourage investment in education and training. </w:t>
      </w:r>
    </w:p>
    <w:p w14:paraId="321F8127" w14:textId="13B262BB" w:rsidR="00A41925" w:rsidRDefault="00A41925" w:rsidP="00A41925">
      <w:pPr>
        <w:pStyle w:val="BodyText"/>
      </w:pPr>
      <w:r>
        <w:t xml:space="preserve">One common tax incentive used in Europe </w:t>
      </w:r>
      <w:r w:rsidR="003D3608">
        <w:t xml:space="preserve">are </w:t>
      </w:r>
      <w:r>
        <w:t xml:space="preserve">tax credits or rebates to reduce company taxes for businesses that contribute funding to their employees’ education and training </w:t>
      </w:r>
      <w:r w:rsidR="00011F56" w:rsidRPr="00011F56">
        <w:rPr>
          <w:szCs w:val="24"/>
        </w:rPr>
        <w:t>(ECDVT 2009)</w:t>
      </w:r>
      <w:r>
        <w:t xml:space="preserve">. A recent proposal by two academics from the Brookings Institution also advocated for the introduction of business tax credits in the United States </w:t>
      </w:r>
      <w:r w:rsidRPr="003C74DC">
        <w:rPr>
          <w:szCs w:val="24"/>
        </w:rPr>
        <w:t>(Bradford and Burkhardt 2017)</w:t>
      </w:r>
      <w:r>
        <w:t xml:space="preserve">. </w:t>
      </w:r>
    </w:p>
    <w:p w14:paraId="7DAA796D" w14:textId="77777777" w:rsidR="00A41925" w:rsidRDefault="00A41925" w:rsidP="00A41925">
      <w:pPr>
        <w:pStyle w:val="BodyText"/>
      </w:pPr>
      <w:r>
        <w:t>Like a number of other initiatives discussed above, before introducing tax incentives for businesses, policy makers should consider:</w:t>
      </w:r>
    </w:p>
    <w:p w14:paraId="100136A6" w14:textId="0A390819" w:rsidR="00A41925" w:rsidRDefault="00A41925" w:rsidP="00A41925">
      <w:pPr>
        <w:pStyle w:val="ListBullet"/>
      </w:pPr>
      <w:proofErr w:type="gramStart"/>
      <w:r>
        <w:t>the</w:t>
      </w:r>
      <w:proofErr w:type="gramEnd"/>
      <w:r>
        <w:t xml:space="preserve"> reasons for any apparent business underinvestment in skills. Regulatory settings or prior inadequate investment in skill</w:t>
      </w:r>
      <w:r w:rsidR="003D3608">
        <w:t>s</w:t>
      </w:r>
      <w:r>
        <w:t xml:space="preserve"> formation</w:t>
      </w:r>
      <w:r w:rsidRPr="00214E24">
        <w:rPr>
          <w:rStyle w:val="FootnoteReference"/>
        </w:rPr>
        <w:footnoteReference w:id="11"/>
      </w:r>
      <w:r>
        <w:t xml:space="preserve"> may sometimes explain business behaviour, and to the extent that this is true, would best be addressed directly, rather than through changes to the tax system</w:t>
      </w:r>
    </w:p>
    <w:p w14:paraId="199A2F16" w14:textId="77777777" w:rsidR="00A41925" w:rsidRDefault="00A41925" w:rsidP="00A41925">
      <w:pPr>
        <w:pStyle w:val="ListBullet"/>
      </w:pPr>
      <w:proofErr w:type="gramStart"/>
      <w:r>
        <w:t>the</w:t>
      </w:r>
      <w:proofErr w:type="gramEnd"/>
      <w:r>
        <w:t xml:space="preserve"> type of education and training that would qualify for favourable tax treatment. Arguably, any incentives should be directed at portable skills that can be used across an industry, rather than at highly firm</w:t>
      </w:r>
      <w:r>
        <w:noBreakHyphen/>
        <w:t xml:space="preserve">specific skills, where businesses already have strong incentives to train </w:t>
      </w:r>
    </w:p>
    <w:p w14:paraId="4B0D1BFC" w14:textId="33F98FA0" w:rsidR="00A41925" w:rsidRDefault="00A41925" w:rsidP="00A41925">
      <w:pPr>
        <w:pStyle w:val="ListBullet"/>
      </w:pPr>
      <w:r>
        <w:t>the evidence that the foregone revenue from the tax incentive</w:t>
      </w:r>
      <w:r w:rsidR="003D3608">
        <w:t>s</w:t>
      </w:r>
      <w:r>
        <w:t xml:space="preserve"> has induced additional worthwhile investment in training</w:t>
      </w:r>
    </w:p>
    <w:p w14:paraId="50F766D7" w14:textId="2509964A" w:rsidR="00A41925" w:rsidRDefault="00A41925" w:rsidP="00A41925">
      <w:pPr>
        <w:pStyle w:val="ListBullet"/>
      </w:pPr>
      <w:r>
        <w:t xml:space="preserve">the administrative and compliance costs associated with any incentives, especially in validating </w:t>
      </w:r>
      <w:r w:rsidR="003D3608">
        <w:t xml:space="preserve">genuine </w:t>
      </w:r>
      <w:r>
        <w:t>c</w:t>
      </w:r>
      <w:r w:rsidR="00A54735">
        <w:t>laims for training</w:t>
      </w:r>
    </w:p>
    <w:p w14:paraId="3E312D35" w14:textId="1F1AD398" w:rsidR="00A41925" w:rsidRDefault="0069311F" w:rsidP="00A41925">
      <w:pPr>
        <w:pStyle w:val="ListBullet"/>
      </w:pPr>
      <w:proofErr w:type="gramStart"/>
      <w:r>
        <w:t>the</w:t>
      </w:r>
      <w:proofErr w:type="gramEnd"/>
      <w:r w:rsidR="00A41925">
        <w:t xml:space="preserve"> </w:t>
      </w:r>
      <w:r>
        <w:t>effect</w:t>
      </w:r>
      <w:r w:rsidR="00A41925">
        <w:t xml:space="preserve"> on allocative efficiency. Even if there is a net benefit from any tax incentive for education and training, policy makers need to be satisfied that the foregone revenue could not have been used to achieve other policy objectives with a greater benefit. </w:t>
      </w:r>
    </w:p>
    <w:p w14:paraId="7FA021B1" w14:textId="454F71CE" w:rsidR="00A41925" w:rsidRDefault="00A41925" w:rsidP="00A41925">
      <w:pPr>
        <w:pStyle w:val="BodyText"/>
      </w:pPr>
      <w:r>
        <w:t xml:space="preserve">Evidence from Europe indicates </w:t>
      </w:r>
      <w:r w:rsidR="00011F56" w:rsidRPr="00011F56">
        <w:rPr>
          <w:szCs w:val="24"/>
        </w:rPr>
        <w:t>(ECDVT 2009)</w:t>
      </w:r>
      <w:r>
        <w:t xml:space="preserve"> that:</w:t>
      </w:r>
    </w:p>
    <w:p w14:paraId="3D398288" w14:textId="419BD764" w:rsidR="00A41925" w:rsidRDefault="00A41925" w:rsidP="00A41925">
      <w:pPr>
        <w:pStyle w:val="ListBullet"/>
      </w:pPr>
      <w:r>
        <w:t xml:space="preserve">actual performance information and public evaluation of the effectiveness of tax incentives on education and training is ‘practically </w:t>
      </w:r>
      <w:proofErr w:type="spellStart"/>
      <w:r>
        <w:t>non</w:t>
      </w:r>
      <w:r w:rsidR="00133C69">
        <w:noBreakHyphen/>
      </w:r>
      <w:r>
        <w:t>existent</w:t>
      </w:r>
      <w:proofErr w:type="spellEnd"/>
      <w:r>
        <w:t xml:space="preserve">’ (p. 100) </w:t>
      </w:r>
    </w:p>
    <w:p w14:paraId="62515F5D" w14:textId="77777777" w:rsidR="00A41925" w:rsidRDefault="00A41925" w:rsidP="00A41925">
      <w:pPr>
        <w:pStyle w:val="ListBullet"/>
      </w:pPr>
      <w:r>
        <w:t xml:space="preserve">the main criticism of tax incentives is that there is little additionality — the individuals and enterprises would have been involved in these training activities regardless of the tax incentive </w:t>
      </w:r>
    </w:p>
    <w:p w14:paraId="66C46952" w14:textId="2C5C7EF4" w:rsidR="00A41925" w:rsidRDefault="00A41925" w:rsidP="00A41925">
      <w:pPr>
        <w:pStyle w:val="ListBullet"/>
      </w:pPr>
      <w:r>
        <w:t>tax incentives for business tend to favour individuals that already have considerable access to education and training (that is, those that are employed and that have previously undertaken post</w:t>
      </w:r>
      <w:r w:rsidR="00133C69">
        <w:noBreakHyphen/>
      </w:r>
      <w:r>
        <w:t xml:space="preserve">school qualifications) </w:t>
      </w:r>
    </w:p>
    <w:p w14:paraId="18095645" w14:textId="77777777" w:rsidR="00A41925" w:rsidRDefault="00A41925" w:rsidP="00A41925">
      <w:pPr>
        <w:pStyle w:val="ListBullet"/>
      </w:pPr>
      <w:proofErr w:type="gramStart"/>
      <w:r>
        <w:t>tax</w:t>
      </w:r>
      <w:proofErr w:type="gramEnd"/>
      <w:r>
        <w:t xml:space="preserve"> incentives on their own are insufficient, and direct funding of particular parts of education and training will remain necessary. </w:t>
      </w:r>
    </w:p>
    <w:p w14:paraId="66DF3F64" w14:textId="33A8F587" w:rsidR="00700957" w:rsidRDefault="00A41925" w:rsidP="00700957">
      <w:pPr>
        <w:pStyle w:val="BodyText"/>
      </w:pPr>
      <w:r>
        <w:t xml:space="preserve">Overall, the available evidence suggests caution in using tax credits to increase business skill formation. If governments do adopt them, their design should focus on maximising additionality and </w:t>
      </w:r>
      <w:r w:rsidR="00306A45">
        <w:t>eliminating</w:t>
      </w:r>
      <w:r>
        <w:t xml:space="preserve"> fraud</w:t>
      </w:r>
      <w:r w:rsidR="00306A45">
        <w:t>ulent behaviour</w:t>
      </w:r>
      <w:r>
        <w:t>. Any widespread adoption should also be preceded by a carefully designed randomised control trial to examine the degree to which they crowd out privately</w:t>
      </w:r>
      <w:r>
        <w:noBreakHyphen/>
        <w:t xml:space="preserve">funded investment and to assess unintended </w:t>
      </w:r>
      <w:r w:rsidR="0069311F">
        <w:t>effects</w:t>
      </w:r>
      <w:r>
        <w:t xml:space="preserve">. </w:t>
      </w:r>
    </w:p>
    <w:p w14:paraId="19B3F8E9" w14:textId="77777777" w:rsidR="00700957" w:rsidRDefault="00700957" w:rsidP="00700957">
      <w:pPr>
        <w:pStyle w:val="BodyText"/>
      </w:pPr>
    </w:p>
    <w:p w14:paraId="5BC7FA7A" w14:textId="77777777" w:rsidR="00700957" w:rsidRDefault="00700957">
      <w:pPr>
        <w:rPr>
          <w:szCs w:val="20"/>
        </w:rPr>
      </w:pPr>
      <w:r>
        <w:br w:type="page"/>
      </w:r>
    </w:p>
    <w:p w14:paraId="2EB98D0B" w14:textId="34A73ABA" w:rsidR="00700957" w:rsidRDefault="00700957" w:rsidP="00700957">
      <w:pPr>
        <w:pStyle w:val="Chapter"/>
        <w:spacing w:after="600"/>
      </w:pPr>
      <w:bookmarkStart w:id="63" w:name="_Toc489363521"/>
      <w:bookmarkStart w:id="64" w:name="_Toc489364897"/>
      <w:r>
        <w:t>Reference</w:t>
      </w:r>
      <w:r w:rsidR="005248AA">
        <w:t>s</w:t>
      </w:r>
      <w:bookmarkEnd w:id="63"/>
      <w:bookmarkEnd w:id="64"/>
    </w:p>
    <w:p w14:paraId="1A544E68" w14:textId="759F42EC" w:rsidR="00016F36" w:rsidRDefault="00016F36" w:rsidP="00100188">
      <w:pPr>
        <w:pStyle w:val="Reference"/>
      </w:pPr>
      <w:r>
        <w:t xml:space="preserve">ABS (Australian Bureau of Statistics) 2013a, </w:t>
      </w:r>
      <w:proofErr w:type="spellStart"/>
      <w:r w:rsidRPr="00EC3764">
        <w:rPr>
          <w:i/>
        </w:rPr>
        <w:t>Programme</w:t>
      </w:r>
      <w:proofErr w:type="spellEnd"/>
      <w:r w:rsidRPr="00EC3764">
        <w:rPr>
          <w:i/>
        </w:rPr>
        <w:t xml:space="preserve"> for the International Assessment of Adult Competencies, Australia, 2011</w:t>
      </w:r>
      <w:r w:rsidR="0049318C" w:rsidRPr="00EC3764">
        <w:rPr>
          <w:i/>
        </w:rPr>
        <w:noBreakHyphen/>
      </w:r>
      <w:r w:rsidRPr="00EC3764">
        <w:rPr>
          <w:i/>
        </w:rPr>
        <w:t>12</w:t>
      </w:r>
      <w:r>
        <w:t xml:space="preserve">, Cat. </w:t>
      </w:r>
      <w:proofErr w:type="gramStart"/>
      <w:r>
        <w:t>no</w:t>
      </w:r>
      <w:proofErr w:type="gramEnd"/>
      <w:r>
        <w:t xml:space="preserve"> 6227.0.</w:t>
      </w:r>
    </w:p>
    <w:p w14:paraId="2F50BAAF" w14:textId="42426741" w:rsidR="00016F36" w:rsidRDefault="00EC3764" w:rsidP="00100188">
      <w:pPr>
        <w:pStyle w:val="Reference"/>
      </w:pPr>
      <w:r>
        <w:t xml:space="preserve">—— </w:t>
      </w:r>
      <w:r w:rsidR="00016F36">
        <w:t xml:space="preserve">2013b, </w:t>
      </w:r>
      <w:r w:rsidR="00016F36" w:rsidRPr="00EC3764">
        <w:rPr>
          <w:i/>
        </w:rPr>
        <w:t>Work Related Training and Adult learning, April 2013</w:t>
      </w:r>
      <w:r w:rsidR="00016F36">
        <w:t xml:space="preserve">, </w:t>
      </w:r>
      <w:proofErr w:type="gramStart"/>
      <w:r w:rsidR="00016F36">
        <w:t>Cat</w:t>
      </w:r>
      <w:proofErr w:type="gramEnd"/>
      <w:r w:rsidR="00016F36">
        <w:t xml:space="preserve">. </w:t>
      </w:r>
      <w:proofErr w:type="gramStart"/>
      <w:r w:rsidR="00016F36">
        <w:t>no</w:t>
      </w:r>
      <w:proofErr w:type="gramEnd"/>
      <w:r w:rsidR="004E3120">
        <w:t>. </w:t>
      </w:r>
      <w:r w:rsidR="00016F36">
        <w:t>4234.0.</w:t>
      </w:r>
    </w:p>
    <w:p w14:paraId="47168951" w14:textId="0EA64CEA" w:rsidR="00016F36" w:rsidRDefault="00EC3764" w:rsidP="00100188">
      <w:pPr>
        <w:pStyle w:val="Reference"/>
      </w:pPr>
      <w:r>
        <w:t xml:space="preserve">—— </w:t>
      </w:r>
      <w:r w:rsidR="00016F36">
        <w:t xml:space="preserve">2014, </w:t>
      </w:r>
      <w:r w:rsidR="00016F36" w:rsidRPr="004E3120">
        <w:rPr>
          <w:i/>
        </w:rPr>
        <w:t>Forms of Employment, Australia, November 2013</w:t>
      </w:r>
      <w:r w:rsidR="00016F36">
        <w:t xml:space="preserve">, Cat. </w:t>
      </w:r>
      <w:proofErr w:type="gramStart"/>
      <w:r w:rsidR="00016F36">
        <w:t>no</w:t>
      </w:r>
      <w:proofErr w:type="gramEnd"/>
      <w:r w:rsidR="004E3120">
        <w:t>. </w:t>
      </w:r>
      <w:r w:rsidR="00016F36">
        <w:t>6359.0.</w:t>
      </w:r>
    </w:p>
    <w:p w14:paraId="469EB5AD" w14:textId="0C874F00" w:rsidR="00016F36" w:rsidRDefault="00EC3764" w:rsidP="00100188">
      <w:pPr>
        <w:pStyle w:val="Reference"/>
      </w:pPr>
      <w:r>
        <w:t xml:space="preserve">—— </w:t>
      </w:r>
      <w:r w:rsidR="00016F36">
        <w:t xml:space="preserve">2016a, </w:t>
      </w:r>
      <w:r w:rsidR="00016F36" w:rsidRPr="004E3120">
        <w:rPr>
          <w:i/>
        </w:rPr>
        <w:t>Characteristics of Employment, Australia, August 2015</w:t>
      </w:r>
      <w:r w:rsidR="00016F36">
        <w:t xml:space="preserve">, Cat. </w:t>
      </w:r>
      <w:proofErr w:type="gramStart"/>
      <w:r w:rsidR="00016F36">
        <w:t>no</w:t>
      </w:r>
      <w:proofErr w:type="gramEnd"/>
      <w:r w:rsidR="004E3120">
        <w:t>. </w:t>
      </w:r>
      <w:r w:rsidR="00016F36">
        <w:t>6333.0.</w:t>
      </w:r>
    </w:p>
    <w:p w14:paraId="51AC921A" w14:textId="3DEE613B" w:rsidR="00016F36" w:rsidRDefault="00EC3764" w:rsidP="00100188">
      <w:pPr>
        <w:pStyle w:val="Reference"/>
      </w:pPr>
      <w:r>
        <w:t xml:space="preserve">—— </w:t>
      </w:r>
      <w:r w:rsidR="00016F36">
        <w:t xml:space="preserve">2016b, </w:t>
      </w:r>
      <w:r w:rsidR="00016F36" w:rsidRPr="004E3120">
        <w:rPr>
          <w:i/>
        </w:rPr>
        <w:t>Labour Force, Australia, Detailed, Quarterly, Aug 2016</w:t>
      </w:r>
      <w:r w:rsidR="00016F36">
        <w:t>, Cat. no</w:t>
      </w:r>
      <w:r w:rsidR="004E3120">
        <w:t>. </w:t>
      </w:r>
      <w:r w:rsidR="00016F36">
        <w:t>6291.0.55.003.</w:t>
      </w:r>
    </w:p>
    <w:p w14:paraId="646DCAA2" w14:textId="13949DDE" w:rsidR="00016F36" w:rsidRDefault="004E3120" w:rsidP="00100188">
      <w:pPr>
        <w:pStyle w:val="Reference"/>
      </w:pPr>
      <w:r>
        <w:t xml:space="preserve">—— </w:t>
      </w:r>
      <w:r w:rsidR="00016F36">
        <w:t xml:space="preserve">2016c, </w:t>
      </w:r>
      <w:r w:rsidR="00016F36" w:rsidRPr="004E3120">
        <w:rPr>
          <w:i/>
        </w:rPr>
        <w:t>Retirement and Retirement Intentions, Australia, July 2014 to June 2015</w:t>
      </w:r>
      <w:r w:rsidR="00016F36">
        <w:t xml:space="preserve">, Cat. </w:t>
      </w:r>
      <w:proofErr w:type="gramStart"/>
      <w:r w:rsidR="00016F36">
        <w:t>no</w:t>
      </w:r>
      <w:proofErr w:type="gramEnd"/>
      <w:r>
        <w:t>. </w:t>
      </w:r>
      <w:r w:rsidR="00016F36">
        <w:t>6238.0.</w:t>
      </w:r>
    </w:p>
    <w:p w14:paraId="630384DD" w14:textId="4D7B3884" w:rsidR="00016F36" w:rsidRDefault="00016F36" w:rsidP="00100188">
      <w:pPr>
        <w:pStyle w:val="Reference"/>
      </w:pPr>
      <w:r>
        <w:t xml:space="preserve">AHRC (Australian Human Rights Commission) 2012, </w:t>
      </w:r>
      <w:r w:rsidRPr="004E3120">
        <w:rPr>
          <w:i/>
        </w:rPr>
        <w:t xml:space="preserve">Working Past our 60s </w:t>
      </w:r>
      <w:r w:rsidR="004554C2">
        <w:rPr>
          <w:i/>
        </w:rPr>
        <w:t>—</w:t>
      </w:r>
      <w:r w:rsidR="0049318C" w:rsidRPr="004E3120">
        <w:rPr>
          <w:i/>
        </w:rPr>
        <w:t xml:space="preserve"> </w:t>
      </w:r>
      <w:r w:rsidRPr="004E3120">
        <w:rPr>
          <w:i/>
        </w:rPr>
        <w:t>Reforming Laws and Policies for the Older Workers</w:t>
      </w:r>
      <w:r w:rsidR="004554C2">
        <w:t>, June.</w:t>
      </w:r>
    </w:p>
    <w:p w14:paraId="190CEE3A" w14:textId="0A6B9DF0" w:rsidR="00016F36" w:rsidRDefault="004E3120" w:rsidP="00100188">
      <w:pPr>
        <w:pStyle w:val="Reference"/>
      </w:pPr>
      <w:r>
        <w:t xml:space="preserve">—— </w:t>
      </w:r>
      <w:r w:rsidR="00016F36">
        <w:t xml:space="preserve">2016, </w:t>
      </w:r>
      <w:r w:rsidR="00016F36" w:rsidRPr="004E3120">
        <w:rPr>
          <w:i/>
        </w:rPr>
        <w:t>Willing to Work: National Inquiry into Employment Discrimination Against Older Australians and Australians with a Disability</w:t>
      </w:r>
      <w:r w:rsidR="004554C2">
        <w:t>, 2 May.</w:t>
      </w:r>
    </w:p>
    <w:p w14:paraId="201BD5AE" w14:textId="3B6DFDA7" w:rsidR="00016F36" w:rsidRDefault="00016F36" w:rsidP="00100188">
      <w:pPr>
        <w:pStyle w:val="Reference"/>
      </w:pPr>
      <w:r>
        <w:t xml:space="preserve">Ai Group 2016, </w:t>
      </w:r>
      <w:r w:rsidRPr="004E3120">
        <w:rPr>
          <w:i/>
        </w:rPr>
        <w:t>The Emergence of the Gig Economy</w:t>
      </w:r>
      <w:r w:rsidR="004E3120">
        <w:t>, Thought Leader Paper, Education and Training Policy Team, August.</w:t>
      </w:r>
    </w:p>
    <w:p w14:paraId="66E126EF" w14:textId="77777777" w:rsidR="00016F36" w:rsidRDefault="00016F36" w:rsidP="00100188">
      <w:pPr>
        <w:pStyle w:val="Reference"/>
      </w:pPr>
      <w:proofErr w:type="spellStart"/>
      <w:r>
        <w:t>Ainley</w:t>
      </w:r>
      <w:proofErr w:type="spellEnd"/>
      <w:r>
        <w:t xml:space="preserve">, J. and </w:t>
      </w:r>
      <w:proofErr w:type="spellStart"/>
      <w:r>
        <w:t>Gebhardt</w:t>
      </w:r>
      <w:proofErr w:type="spellEnd"/>
      <w:r>
        <w:t xml:space="preserve">, E. 2013, </w:t>
      </w:r>
      <w:r w:rsidRPr="004E3120">
        <w:rPr>
          <w:i/>
        </w:rPr>
        <w:t>Measure for measure : A Review of Outcomes of School Education in Australia</w:t>
      </w:r>
      <w:r>
        <w:t>, Australian Council for Educational Research.</w:t>
      </w:r>
    </w:p>
    <w:p w14:paraId="669F9DE7" w14:textId="77777777" w:rsidR="00016F36" w:rsidRDefault="00016F36" w:rsidP="00100188">
      <w:pPr>
        <w:pStyle w:val="Reference"/>
      </w:pPr>
      <w:r>
        <w:t xml:space="preserve">Anderson, M. 2017, ‘Forget the 3Rs: Modern Schools Need to Embrace the 4Cs’, </w:t>
      </w:r>
      <w:r w:rsidRPr="004E3120">
        <w:rPr>
          <w:i/>
        </w:rPr>
        <w:t>The</w:t>
      </w:r>
      <w:r>
        <w:t xml:space="preserve"> </w:t>
      </w:r>
      <w:r w:rsidRPr="004E3120">
        <w:rPr>
          <w:i/>
        </w:rPr>
        <w:t>Sydney Morning Herald</w:t>
      </w:r>
      <w:r>
        <w:t>, 7 March.</w:t>
      </w:r>
    </w:p>
    <w:p w14:paraId="14798328" w14:textId="59C4F8B5" w:rsidR="00016F36" w:rsidRDefault="00016F36" w:rsidP="00100188">
      <w:pPr>
        <w:pStyle w:val="Reference"/>
      </w:pPr>
      <w:proofErr w:type="spellStart"/>
      <w:r>
        <w:t>Arntz</w:t>
      </w:r>
      <w:proofErr w:type="spellEnd"/>
      <w:r>
        <w:t xml:space="preserve">, M., Gregory, T. and </w:t>
      </w:r>
      <w:proofErr w:type="spellStart"/>
      <w:r>
        <w:t>Zierahn</w:t>
      </w:r>
      <w:proofErr w:type="spellEnd"/>
      <w:r>
        <w:t>, U. 2016, ‘The Risk of Automation for Jobs in OECD Countries’</w:t>
      </w:r>
      <w:r w:rsidR="004E3120" w:rsidRPr="004E3120">
        <w:t xml:space="preserve"> OECD Social, Employment and Migration Working Papers, No. 189, OECD Publishing, Paris</w:t>
      </w:r>
      <w:r w:rsidR="004E3120">
        <w:t>.</w:t>
      </w:r>
    </w:p>
    <w:p w14:paraId="14A96003" w14:textId="609DB4A8" w:rsidR="00016F36" w:rsidRDefault="00016F36" w:rsidP="00100188">
      <w:pPr>
        <w:pStyle w:val="Reference"/>
      </w:pPr>
      <w:r>
        <w:t xml:space="preserve">Atkinson, R. and Wu, J. 2017, </w:t>
      </w:r>
      <w:r w:rsidRPr="004554C2">
        <w:rPr>
          <w:i/>
        </w:rPr>
        <w:t>False Alarmism: Technological Disruption and the US Labour Market, 1850</w:t>
      </w:r>
      <w:r w:rsidR="0049318C" w:rsidRPr="004554C2">
        <w:rPr>
          <w:i/>
        </w:rPr>
        <w:noBreakHyphen/>
      </w:r>
      <w:r w:rsidRPr="004554C2">
        <w:rPr>
          <w:i/>
        </w:rPr>
        <w:t>2015</w:t>
      </w:r>
      <w:r>
        <w:t>, May, Information Technology and Innovation Foundation.</w:t>
      </w:r>
    </w:p>
    <w:p w14:paraId="40D51BB2" w14:textId="323E902F" w:rsidR="00016F36" w:rsidRDefault="00016F36" w:rsidP="00100188">
      <w:pPr>
        <w:pStyle w:val="Reference"/>
      </w:pPr>
      <w:r>
        <w:t xml:space="preserve">Australian Centre for Financial Studies 2014, </w:t>
      </w:r>
      <w:r w:rsidRPr="004554C2">
        <w:rPr>
          <w:i/>
        </w:rPr>
        <w:t>Involuntary Retirement: C</w:t>
      </w:r>
      <w:r w:rsidR="004554C2" w:rsidRPr="004554C2">
        <w:rPr>
          <w:i/>
        </w:rPr>
        <w:t>haracteristics and Implications</w:t>
      </w:r>
      <w:r w:rsidR="004554C2">
        <w:t>, 28 March.</w:t>
      </w:r>
    </w:p>
    <w:p w14:paraId="4A9455E1" w14:textId="77777777" w:rsidR="00016F36" w:rsidRDefault="00016F36" w:rsidP="00100188">
      <w:pPr>
        <w:pStyle w:val="Reference"/>
      </w:pPr>
      <w:r>
        <w:t xml:space="preserve">Australian Government 2015, </w:t>
      </w:r>
      <w:r w:rsidRPr="004554C2">
        <w:rPr>
          <w:i/>
        </w:rPr>
        <w:t>2015 Intergenerational Report: Australia in 2055</w:t>
      </w:r>
      <w:r>
        <w:t>, March.</w:t>
      </w:r>
    </w:p>
    <w:p w14:paraId="37AF66E4" w14:textId="7A8805C9" w:rsidR="00016F36" w:rsidRDefault="00016F36" w:rsidP="00100188">
      <w:pPr>
        <w:pStyle w:val="Reference"/>
      </w:pPr>
      <w:r>
        <w:t>——</w:t>
      </w:r>
      <w:r w:rsidR="007C024D">
        <w:t> </w:t>
      </w:r>
      <w:r>
        <w:t xml:space="preserve">2016, </w:t>
      </w:r>
      <w:r w:rsidRPr="004554C2">
        <w:rPr>
          <w:i/>
        </w:rPr>
        <w:t>Improving the Transparency of Higher Education Admissions: Australian Government response to the report of the Higher Education Standards Panel</w:t>
      </w:r>
      <w:r>
        <w:t>, December.</w:t>
      </w:r>
    </w:p>
    <w:p w14:paraId="5F0AFD9C" w14:textId="77777777" w:rsidR="00016F36" w:rsidRDefault="00016F36" w:rsidP="00100188">
      <w:pPr>
        <w:pStyle w:val="Reference"/>
      </w:pPr>
      <w:proofErr w:type="spellStart"/>
      <w:r>
        <w:t>Autor</w:t>
      </w:r>
      <w:proofErr w:type="spellEnd"/>
      <w:r>
        <w:t xml:space="preserve">, D. 2015, ‘Why Are There Still So Many Jobs? The History and Future of Workplace Automation’, </w:t>
      </w:r>
      <w:proofErr w:type="gramStart"/>
      <w:r w:rsidRPr="004554C2">
        <w:rPr>
          <w:i/>
        </w:rPr>
        <w:t>The</w:t>
      </w:r>
      <w:proofErr w:type="gramEnd"/>
      <w:r w:rsidRPr="004554C2">
        <w:rPr>
          <w:i/>
        </w:rPr>
        <w:t xml:space="preserve"> Journal of Economic Perspectives</w:t>
      </w:r>
      <w:r>
        <w:t>, vol. 29, no. 3, pp. 3–30.</w:t>
      </w:r>
    </w:p>
    <w:p w14:paraId="43B04022" w14:textId="77777777" w:rsidR="00016F36" w:rsidRDefault="00016F36" w:rsidP="00100188">
      <w:pPr>
        <w:pStyle w:val="Reference"/>
      </w:pPr>
      <w:proofErr w:type="spellStart"/>
      <w:r>
        <w:t>Aylward</w:t>
      </w:r>
      <w:proofErr w:type="spellEnd"/>
      <w:r>
        <w:t xml:space="preserve">, M. 2015, ‘Overcoming Barrier to Recovery and Return to Work: Towards Behavioural and Cultural Change’, in Schultz, I. and </w:t>
      </w:r>
      <w:proofErr w:type="spellStart"/>
      <w:r>
        <w:t>Gatchel</w:t>
      </w:r>
      <w:proofErr w:type="spellEnd"/>
      <w:r>
        <w:t>, R. (</w:t>
      </w:r>
      <w:proofErr w:type="spellStart"/>
      <w:proofErr w:type="gramStart"/>
      <w:r>
        <w:t>eds</w:t>
      </w:r>
      <w:proofErr w:type="spellEnd"/>
      <w:proofErr w:type="gramEnd"/>
      <w:r>
        <w:t xml:space="preserve">), </w:t>
      </w:r>
      <w:r w:rsidRPr="00191ACC">
        <w:rPr>
          <w:i/>
        </w:rPr>
        <w:t>Handbook of Return to Work: From Research to Practice</w:t>
      </w:r>
      <w:r>
        <w:t>.</w:t>
      </w:r>
    </w:p>
    <w:p w14:paraId="5B9938DC" w14:textId="7731DBC1" w:rsidR="00016F36" w:rsidRDefault="00016F36" w:rsidP="00100188">
      <w:pPr>
        <w:pStyle w:val="Reference"/>
      </w:pPr>
      <w:r>
        <w:t xml:space="preserve">BCA (Business Council of Australia) 2017, </w:t>
      </w:r>
      <w:r w:rsidRPr="00191ACC">
        <w:rPr>
          <w:i/>
        </w:rPr>
        <w:t>Better Services, Better Value: 2017</w:t>
      </w:r>
      <w:r w:rsidR="0049318C" w:rsidRPr="00191ACC">
        <w:rPr>
          <w:i/>
        </w:rPr>
        <w:noBreakHyphen/>
      </w:r>
      <w:r w:rsidRPr="00191ACC">
        <w:rPr>
          <w:i/>
        </w:rPr>
        <w:t>18 Budget Submission</w:t>
      </w:r>
      <w:r>
        <w:t>, March.</w:t>
      </w:r>
    </w:p>
    <w:p w14:paraId="202727F7" w14:textId="77777777" w:rsidR="00016F36" w:rsidRDefault="00016F36" w:rsidP="00100188">
      <w:pPr>
        <w:pStyle w:val="Reference"/>
      </w:pPr>
      <w:proofErr w:type="spellStart"/>
      <w:r>
        <w:t>Billett</w:t>
      </w:r>
      <w:proofErr w:type="spellEnd"/>
      <w:r>
        <w:t>, S. 2011, ‘Older workers, employability and tertiary education and training’, Older Workers: Research Readings, National Centre for Vocational Education Research.</w:t>
      </w:r>
    </w:p>
    <w:p w14:paraId="1934F29E" w14:textId="77777777" w:rsidR="00016F36" w:rsidRDefault="00016F36" w:rsidP="00100188">
      <w:pPr>
        <w:pStyle w:val="Reference"/>
      </w:pPr>
      <w:r>
        <w:t xml:space="preserve">Bloom, N., </w:t>
      </w:r>
      <w:proofErr w:type="spellStart"/>
      <w:r>
        <w:t>Genakos</w:t>
      </w:r>
      <w:proofErr w:type="spellEnd"/>
      <w:r>
        <w:t xml:space="preserve">, C., </w:t>
      </w:r>
      <w:proofErr w:type="spellStart"/>
      <w:r>
        <w:t>Sadun</w:t>
      </w:r>
      <w:proofErr w:type="spellEnd"/>
      <w:r>
        <w:t xml:space="preserve">, R. and Reenen, J.V. 2012, ‘Management Practices Across Firms and Countries’, </w:t>
      </w:r>
      <w:r w:rsidRPr="00191ACC">
        <w:rPr>
          <w:i/>
        </w:rPr>
        <w:t>The Academy of Management Perspectives</w:t>
      </w:r>
      <w:r>
        <w:t>, vol. 26, no. 1, pp. 12–33.</w:t>
      </w:r>
    </w:p>
    <w:p w14:paraId="1F4C609B" w14:textId="77777777" w:rsidR="00016F36" w:rsidRDefault="00016F36" w:rsidP="00100188">
      <w:pPr>
        <w:pStyle w:val="Reference"/>
      </w:pPr>
      <w:r>
        <w:t>Borland, J. 1998, ‘Microeconomic reform and displaced workers — an introduction’, presented at the Microeconomic Reform and Productivity Growth, pp. 365–399.</w:t>
      </w:r>
    </w:p>
    <w:p w14:paraId="5022DF8B" w14:textId="77777777" w:rsidR="00016F36" w:rsidRDefault="00016F36" w:rsidP="00100188">
      <w:pPr>
        <w:pStyle w:val="Reference"/>
      </w:pPr>
      <w:proofErr w:type="spellStart"/>
      <w:r>
        <w:t>Bostrom</w:t>
      </w:r>
      <w:proofErr w:type="spellEnd"/>
      <w:r>
        <w:t xml:space="preserve">, N. 2014, </w:t>
      </w:r>
      <w:r w:rsidRPr="00191ACC">
        <w:rPr>
          <w:i/>
        </w:rPr>
        <w:t>Superintelligence: Paths, Dangers, Strategies</w:t>
      </w:r>
      <w:r>
        <w:t xml:space="preserve">, 1st </w:t>
      </w:r>
      <w:proofErr w:type="spellStart"/>
      <w:r>
        <w:t>edn</w:t>
      </w:r>
      <w:proofErr w:type="spellEnd"/>
      <w:r>
        <w:t>, Oxford University Press.</w:t>
      </w:r>
    </w:p>
    <w:p w14:paraId="64E6AB0A" w14:textId="77777777" w:rsidR="00016F36" w:rsidRDefault="00016F36" w:rsidP="00100188">
      <w:pPr>
        <w:pStyle w:val="Reference"/>
      </w:pPr>
      <w:proofErr w:type="spellStart"/>
      <w:r>
        <w:t>Bracha</w:t>
      </w:r>
      <w:proofErr w:type="spellEnd"/>
      <w:r>
        <w:t xml:space="preserve">, A., Burke, M.A. and </w:t>
      </w:r>
      <w:proofErr w:type="spellStart"/>
      <w:r>
        <w:t>Khachiyan</w:t>
      </w:r>
      <w:proofErr w:type="spellEnd"/>
      <w:r>
        <w:t xml:space="preserve">, A. 2015, </w:t>
      </w:r>
      <w:r w:rsidRPr="00191ACC">
        <w:rPr>
          <w:i/>
        </w:rPr>
        <w:t>Changing Patterns in Informal Work Participation in the United States 2013–2015</w:t>
      </w:r>
      <w:r>
        <w:t>, Current Policy Perspectives, Federal Reserve Bank of Boston.</w:t>
      </w:r>
    </w:p>
    <w:p w14:paraId="003C8CC8" w14:textId="2EB8AFFC" w:rsidR="00016F36" w:rsidRDefault="00016F36" w:rsidP="00100188">
      <w:pPr>
        <w:pStyle w:val="Reference"/>
      </w:pPr>
      <w:r>
        <w:t>Bradford, C.I. and Burkhardt, R. 2017, Proposal to accelerate social mobility: Incentivizing greater private investment in the skill development of 21st century workers, Brooking Institute, 20 March, www.brookings.edu/research/proposal-to-accelerate-social-mobility-incentivizing-greater-private-investment-in-the-skill-development-of-21st-century-workers/ (accessed 22</w:t>
      </w:r>
      <w:r w:rsidR="0049318C">
        <w:t> </w:t>
      </w:r>
      <w:r>
        <w:t>May 2017).</w:t>
      </w:r>
    </w:p>
    <w:p w14:paraId="2DF18895" w14:textId="77777777" w:rsidR="00016F36" w:rsidRDefault="00016F36" w:rsidP="00100188">
      <w:pPr>
        <w:pStyle w:val="Reference"/>
      </w:pPr>
      <w:r>
        <w:t xml:space="preserve">Brinkley, I. 2016, </w:t>
      </w:r>
      <w:r w:rsidRPr="00191ACC">
        <w:rPr>
          <w:i/>
        </w:rPr>
        <w:t>In search of the Gig Economy</w:t>
      </w:r>
      <w:r>
        <w:t>, August, The Work Foundation - Lancaster University.</w:t>
      </w:r>
    </w:p>
    <w:p w14:paraId="26119140" w14:textId="7DE348A0" w:rsidR="00016F36" w:rsidRDefault="00016F36" w:rsidP="00100188">
      <w:pPr>
        <w:pStyle w:val="Reference"/>
      </w:pPr>
      <w:proofErr w:type="spellStart"/>
      <w:r>
        <w:t>Brynjolfsson</w:t>
      </w:r>
      <w:proofErr w:type="spellEnd"/>
      <w:r>
        <w:t xml:space="preserve">, E. and McAfee, A. 2012, </w:t>
      </w:r>
      <w:r w:rsidR="00191ACC">
        <w:t>‘</w:t>
      </w:r>
      <w:r>
        <w:t>Race Against The Machine: How The Digital Revolution Is Accelerating Innovation, Driving Productivity, and Irreversibly Transforming Employment and the Economy</w:t>
      </w:r>
      <w:r w:rsidR="00191ACC">
        <w:t>’</w:t>
      </w:r>
      <w:r>
        <w:t xml:space="preserve">, </w:t>
      </w:r>
      <w:r w:rsidRPr="00191ACC">
        <w:rPr>
          <w:i/>
        </w:rPr>
        <w:t>Research Brief</w:t>
      </w:r>
      <w:r>
        <w:t xml:space="preserve">, The MIT </w:t>
      </w:r>
      <w:proofErr w:type="spellStart"/>
      <w:r>
        <w:t>Center</w:t>
      </w:r>
      <w:proofErr w:type="spellEnd"/>
      <w:r>
        <w:t xml:space="preserve"> for Digital Business.</w:t>
      </w:r>
    </w:p>
    <w:p w14:paraId="0AFE134E" w14:textId="77777777" w:rsidR="00016F36" w:rsidRDefault="00016F36" w:rsidP="00100188">
      <w:pPr>
        <w:pStyle w:val="Reference"/>
      </w:pPr>
      <w:r>
        <w:t xml:space="preserve">Carey, K. 2015, ‘Here’s what will truly change higher education: Online degrees that are seen as official’, </w:t>
      </w:r>
      <w:r w:rsidRPr="00191ACC">
        <w:rPr>
          <w:i/>
        </w:rPr>
        <w:t>The New York Times</w:t>
      </w:r>
      <w:r>
        <w:t>, 5 March.</w:t>
      </w:r>
    </w:p>
    <w:p w14:paraId="50373CA6" w14:textId="3DFEFCF2" w:rsidR="00016F36" w:rsidRDefault="00016F36" w:rsidP="00100188">
      <w:pPr>
        <w:pStyle w:val="Reference"/>
      </w:pPr>
      <w:r>
        <w:t xml:space="preserve">CEDA (Spies, Taylor and Zimmerman) 2017, ‘Education and training enabling productivity in services industries’, </w:t>
      </w:r>
      <w:r w:rsidR="00F60571">
        <w:t xml:space="preserve">in </w:t>
      </w:r>
      <w:r w:rsidR="00F60571" w:rsidRPr="00F60571">
        <w:rPr>
          <w:i/>
        </w:rPr>
        <w:t>Improving Service Sector Productivity: The Economic I</w:t>
      </w:r>
      <w:r w:rsidRPr="00F60571">
        <w:rPr>
          <w:i/>
        </w:rPr>
        <w:t>mperative</w:t>
      </w:r>
      <w:r w:rsidR="00F60571">
        <w:t>, June.</w:t>
      </w:r>
    </w:p>
    <w:p w14:paraId="721E97AD" w14:textId="77777777" w:rsidR="00016F36" w:rsidRDefault="00016F36" w:rsidP="00100188">
      <w:pPr>
        <w:pStyle w:val="Reference"/>
      </w:pPr>
      <w:r>
        <w:t>Chang, J. and Huynh, P. 2016, ASEAN in Transformation: The Future of Jobs at Risk of Automation, Working Paper 9, July, Bureau of Employers’ Activities, International Labour Office, Geneva.</w:t>
      </w:r>
    </w:p>
    <w:p w14:paraId="1AADACDB" w14:textId="00BFFCD6" w:rsidR="00016F36" w:rsidRDefault="00016F36" w:rsidP="00100188">
      <w:pPr>
        <w:pStyle w:val="Reference"/>
      </w:pPr>
      <w:r>
        <w:t xml:space="preserve">Chia, A. 2017, Changes made to </w:t>
      </w:r>
      <w:proofErr w:type="spellStart"/>
      <w:r>
        <w:t>SkillsFuture</w:t>
      </w:r>
      <w:proofErr w:type="spellEnd"/>
      <w:r>
        <w:t xml:space="preserve"> Credit claims processes, www.gov.sg/news/content/changes-made-to-skillsfuture-credit-claims-processes (accessed 25</w:t>
      </w:r>
      <w:r w:rsidR="0049318C">
        <w:t> </w:t>
      </w:r>
      <w:r>
        <w:t>May 2017).</w:t>
      </w:r>
    </w:p>
    <w:p w14:paraId="13CCFB58" w14:textId="0C4D9B69" w:rsidR="00016F36" w:rsidRDefault="00016F36" w:rsidP="00100188">
      <w:pPr>
        <w:pStyle w:val="Reference"/>
      </w:pPr>
      <w:proofErr w:type="spellStart"/>
      <w:r>
        <w:t>Coelli</w:t>
      </w:r>
      <w:proofErr w:type="spellEnd"/>
      <w:r>
        <w:t>, M. and Borland, J. 2015, Job Polarisation and Earni</w:t>
      </w:r>
      <w:r w:rsidR="00692645">
        <w:t>ngs Inequality in Australia, 24 </w:t>
      </w:r>
      <w:r>
        <w:t>February, University of Melbourne.</w:t>
      </w:r>
    </w:p>
    <w:p w14:paraId="39D311C5" w14:textId="35245BDB" w:rsidR="00016F36" w:rsidRDefault="00016F36" w:rsidP="00100188">
      <w:pPr>
        <w:pStyle w:val="Reference"/>
      </w:pPr>
      <w:proofErr w:type="spellStart"/>
      <w:r>
        <w:t>Cuijpers</w:t>
      </w:r>
      <w:proofErr w:type="spellEnd"/>
      <w:r>
        <w:t xml:space="preserve">, P., </w:t>
      </w:r>
      <w:proofErr w:type="spellStart"/>
      <w:r>
        <w:t>Donker</w:t>
      </w:r>
      <w:proofErr w:type="spellEnd"/>
      <w:r>
        <w:t xml:space="preserve">, T., Johansson, R., Mohr, D.C., van </w:t>
      </w:r>
      <w:proofErr w:type="spellStart"/>
      <w:r>
        <w:t>Straten</w:t>
      </w:r>
      <w:proofErr w:type="spellEnd"/>
      <w:r>
        <w:t xml:space="preserve">, A. and </w:t>
      </w:r>
      <w:proofErr w:type="spellStart"/>
      <w:r>
        <w:t>Andersson</w:t>
      </w:r>
      <w:proofErr w:type="spellEnd"/>
      <w:r>
        <w:t>, G. 2011, ‘Self-Guided Psychological Treatment for Depressive Symptoms: A Meta</w:t>
      </w:r>
      <w:r w:rsidR="0049318C">
        <w:noBreakHyphen/>
      </w:r>
      <w:r>
        <w:t xml:space="preserve">Analysis’, </w:t>
      </w:r>
      <w:proofErr w:type="spellStart"/>
      <w:r w:rsidRPr="00692645">
        <w:rPr>
          <w:i/>
        </w:rPr>
        <w:t>PLoS</w:t>
      </w:r>
      <w:proofErr w:type="spellEnd"/>
      <w:r w:rsidRPr="00692645">
        <w:rPr>
          <w:i/>
        </w:rPr>
        <w:t xml:space="preserve"> ONE</w:t>
      </w:r>
      <w:r>
        <w:t>, vol. 6, no. 6.</w:t>
      </w:r>
    </w:p>
    <w:p w14:paraId="715D923F" w14:textId="28A24AB6" w:rsidR="00016F36" w:rsidRDefault="00016F36" w:rsidP="00100188">
      <w:pPr>
        <w:pStyle w:val="Reference"/>
      </w:pPr>
      <w:r>
        <w:t xml:space="preserve">Daley, J., </w:t>
      </w:r>
      <w:proofErr w:type="spellStart"/>
      <w:r>
        <w:t>McGannon</w:t>
      </w:r>
      <w:proofErr w:type="spellEnd"/>
      <w:r>
        <w:t xml:space="preserve">, C. and </w:t>
      </w:r>
      <w:proofErr w:type="spellStart"/>
      <w:r>
        <w:t>Ginnivan</w:t>
      </w:r>
      <w:proofErr w:type="spellEnd"/>
      <w:r>
        <w:t xml:space="preserve">, L. 2012, </w:t>
      </w:r>
      <w:r w:rsidRPr="00692645">
        <w:rPr>
          <w:i/>
        </w:rPr>
        <w:t>Game</w:t>
      </w:r>
      <w:r w:rsidR="0049318C" w:rsidRPr="00692645">
        <w:rPr>
          <w:i/>
        </w:rPr>
        <w:noBreakHyphen/>
      </w:r>
      <w:r w:rsidRPr="00692645">
        <w:rPr>
          <w:i/>
        </w:rPr>
        <w:t>changers: Economic Reform Priorities for Australia</w:t>
      </w:r>
      <w:r>
        <w:t>, June, Grattan Institute.</w:t>
      </w:r>
    </w:p>
    <w:p w14:paraId="2DC0795E" w14:textId="77777777" w:rsidR="00016F36" w:rsidRDefault="00016F36" w:rsidP="00100188">
      <w:pPr>
        <w:pStyle w:val="Reference"/>
      </w:pPr>
      <w:r>
        <w:t xml:space="preserve">Davenport, T. and Kirby, J. 2016, </w:t>
      </w:r>
      <w:r w:rsidRPr="00692645">
        <w:rPr>
          <w:i/>
        </w:rPr>
        <w:t>Only Humans Need Apply: Winners and Losers in the Age of Smart Machines</w:t>
      </w:r>
      <w:r>
        <w:t>, HarperCollins.</w:t>
      </w:r>
    </w:p>
    <w:p w14:paraId="4BFCD600" w14:textId="1D265D80" w:rsidR="00016F36" w:rsidRDefault="00016F36" w:rsidP="00100188">
      <w:pPr>
        <w:pStyle w:val="Reference"/>
      </w:pPr>
      <w:r>
        <w:t xml:space="preserve">Deloitte 2014a, </w:t>
      </w:r>
      <w:proofErr w:type="spellStart"/>
      <w:r w:rsidRPr="00692645">
        <w:rPr>
          <w:i/>
        </w:rPr>
        <w:t>Agiletown</w:t>
      </w:r>
      <w:proofErr w:type="spellEnd"/>
      <w:r w:rsidRPr="00692645">
        <w:rPr>
          <w:i/>
        </w:rPr>
        <w:t>: the relentless march of t</w:t>
      </w:r>
      <w:r w:rsidR="00692645" w:rsidRPr="00692645">
        <w:rPr>
          <w:i/>
        </w:rPr>
        <w:t>echnology and London’s response</w:t>
      </w:r>
      <w:r w:rsidR="00692645">
        <w:t>, Insights, November</w:t>
      </w:r>
    </w:p>
    <w:p w14:paraId="3DAAA973" w14:textId="4973C751" w:rsidR="00016F36" w:rsidRDefault="00016F36" w:rsidP="00100188">
      <w:pPr>
        <w:pStyle w:val="Reference"/>
      </w:pPr>
      <w:r>
        <w:t>——</w:t>
      </w:r>
      <w:r w:rsidR="007C024D">
        <w:t> </w:t>
      </w:r>
      <w:r>
        <w:t xml:space="preserve">2014b, Deloitte’s 2014 </w:t>
      </w:r>
      <w:r w:rsidRPr="00692645">
        <w:rPr>
          <w:i/>
        </w:rPr>
        <w:t xml:space="preserve">Global Outsourcing and Insourcing Survey: 2014 and </w:t>
      </w:r>
      <w:r w:rsidR="00692645" w:rsidRPr="00692645">
        <w:rPr>
          <w:i/>
        </w:rPr>
        <w:t>beyond</w:t>
      </w:r>
      <w:r>
        <w:t>, December.</w:t>
      </w:r>
    </w:p>
    <w:p w14:paraId="57336662" w14:textId="48FF4C1A" w:rsidR="00016F36" w:rsidRDefault="00016F36" w:rsidP="00100188">
      <w:pPr>
        <w:pStyle w:val="Reference"/>
      </w:pPr>
      <w:r>
        <w:t>——</w:t>
      </w:r>
      <w:r w:rsidR="007C024D">
        <w:t> </w:t>
      </w:r>
      <w:r>
        <w:t xml:space="preserve">2016, </w:t>
      </w:r>
      <w:r w:rsidRPr="00692645">
        <w:rPr>
          <w:i/>
        </w:rPr>
        <w:t>Vocational education: Unintended consequences and bad apples</w:t>
      </w:r>
      <w:r>
        <w:t>, Deloitte, www2.deloitte.com/au/en/pages/finance/articles/vocational-education.html (accessed 17</w:t>
      </w:r>
      <w:r w:rsidR="0049318C">
        <w:t> </w:t>
      </w:r>
      <w:r>
        <w:t>February 2017).</w:t>
      </w:r>
    </w:p>
    <w:p w14:paraId="69EBB3FC" w14:textId="2C607D2D" w:rsidR="00016F36" w:rsidRDefault="00016F36" w:rsidP="00692645">
      <w:pPr>
        <w:pStyle w:val="Reference"/>
      </w:pPr>
      <w:r>
        <w:t xml:space="preserve">Deloitte Access Economics 2012, </w:t>
      </w:r>
      <w:r w:rsidRPr="00692645">
        <w:rPr>
          <w:i/>
        </w:rPr>
        <w:t xml:space="preserve">Increasing Participation </w:t>
      </w:r>
      <w:proofErr w:type="gramStart"/>
      <w:r w:rsidRPr="00692645">
        <w:rPr>
          <w:i/>
        </w:rPr>
        <w:t>Among</w:t>
      </w:r>
      <w:proofErr w:type="gramEnd"/>
      <w:r w:rsidRPr="00692645">
        <w:rPr>
          <w:i/>
        </w:rPr>
        <w:t xml:space="preserve"> Older </w:t>
      </w:r>
      <w:r w:rsidR="00692645" w:rsidRPr="00692645">
        <w:rPr>
          <w:i/>
        </w:rPr>
        <w:t>Workers: The Grey Army Advances</w:t>
      </w:r>
      <w:r w:rsidR="00692645">
        <w:t>, Report prepared for the Australian Human Rights Commission, 25 July.</w:t>
      </w:r>
    </w:p>
    <w:p w14:paraId="1264CA74" w14:textId="563D644D" w:rsidR="00016F36" w:rsidRDefault="00016F36" w:rsidP="00100188">
      <w:pPr>
        <w:pStyle w:val="Reference"/>
      </w:pPr>
      <w:r>
        <w:t>DET (Department of Education and Training) 2017, Skills Checkpoint Pilot, www.education.gov.au/skillscheckpointpilot (accessed 17</w:t>
      </w:r>
      <w:r w:rsidR="0049318C">
        <w:t> </w:t>
      </w:r>
      <w:r>
        <w:t>May 2017).</w:t>
      </w:r>
    </w:p>
    <w:p w14:paraId="3FB779F1" w14:textId="015C2965" w:rsidR="00016F36" w:rsidRDefault="00016F36" w:rsidP="00100188">
      <w:pPr>
        <w:pStyle w:val="Reference"/>
      </w:pPr>
      <w:proofErr w:type="spellStart"/>
      <w:r>
        <w:t>Dishman</w:t>
      </w:r>
      <w:proofErr w:type="spellEnd"/>
      <w:r>
        <w:t xml:space="preserve">, L. 2017, How </w:t>
      </w:r>
      <w:proofErr w:type="gramStart"/>
      <w:r>
        <w:t>The</w:t>
      </w:r>
      <w:proofErr w:type="gramEnd"/>
      <w:r>
        <w:t xml:space="preserve"> Gig Economy Will Change In 2017, Fast Company, www.fastcompany.com/3066905/how-the-gig-economy-will-change-in-2017 (accessed 7</w:t>
      </w:r>
      <w:r w:rsidR="0049318C">
        <w:t> </w:t>
      </w:r>
      <w:r>
        <w:t>June 2017).</w:t>
      </w:r>
    </w:p>
    <w:p w14:paraId="7CCDD60F" w14:textId="246F9233" w:rsidR="00016F36" w:rsidRDefault="00016F36" w:rsidP="00100188">
      <w:pPr>
        <w:pStyle w:val="Reference"/>
      </w:pPr>
      <w:proofErr w:type="spellStart"/>
      <w:r>
        <w:t>Diss</w:t>
      </w:r>
      <w:proofErr w:type="spellEnd"/>
      <w:r>
        <w:t xml:space="preserve">, K. 2015, ‘Driverless trucks move iron ore at automated Rio Tinto mines’, </w:t>
      </w:r>
      <w:r w:rsidRPr="00692645">
        <w:rPr>
          <w:i/>
        </w:rPr>
        <w:t>ABC News</w:t>
      </w:r>
      <w:r>
        <w:t>, 18 October, www.abc.net.au/news/2015</w:t>
      </w:r>
      <w:r w:rsidR="0049318C">
        <w:t>–</w:t>
      </w:r>
      <w:r>
        <w:t>10-18/rio-tinto-opens-worlds-first-automated-mine/6863814 (accessed 2</w:t>
      </w:r>
      <w:r w:rsidR="0049318C">
        <w:t> </w:t>
      </w:r>
      <w:r>
        <w:t>May 2016).</w:t>
      </w:r>
    </w:p>
    <w:p w14:paraId="7F99F089" w14:textId="615455F8" w:rsidR="00016F36" w:rsidRDefault="00016F36" w:rsidP="00100188">
      <w:pPr>
        <w:pStyle w:val="Reference"/>
      </w:pPr>
      <w:r>
        <w:t>DSS (Department of Social Services) 2016, Australian Priority Investment Approach to Welfare, www.dss.gov.au/review-of-australias-welfare-system/australian-priority-investment-approach-to-welfare (accessed 26</w:t>
      </w:r>
      <w:r w:rsidR="0049318C">
        <w:t> </w:t>
      </w:r>
      <w:r>
        <w:t>April 2017).</w:t>
      </w:r>
    </w:p>
    <w:p w14:paraId="4FADB7F9" w14:textId="77777777" w:rsidR="00016F36" w:rsidRDefault="00016F36" w:rsidP="00100188">
      <w:pPr>
        <w:pStyle w:val="Reference"/>
      </w:pPr>
      <w:r>
        <w:t>Dunlop, T. 2016, ‘Why do we keep inventing programs for jobs that just aren’t there?</w:t>
      </w:r>
      <w:proofErr w:type="gramStart"/>
      <w:r>
        <w:t>’,</w:t>
      </w:r>
      <w:proofErr w:type="gramEnd"/>
      <w:r>
        <w:t xml:space="preserve"> </w:t>
      </w:r>
      <w:r w:rsidRPr="00692645">
        <w:rPr>
          <w:i/>
        </w:rPr>
        <w:t>ABC News</w:t>
      </w:r>
      <w:r>
        <w:t>, 5 May.</w:t>
      </w:r>
    </w:p>
    <w:p w14:paraId="56779D34" w14:textId="3DED3E91" w:rsidR="00016F36" w:rsidRDefault="00016F36" w:rsidP="00100188">
      <w:pPr>
        <w:pStyle w:val="Reference"/>
      </w:pPr>
      <w:proofErr w:type="spellStart"/>
      <w:r>
        <w:t>Durrant</w:t>
      </w:r>
      <w:proofErr w:type="spellEnd"/>
      <w:r w:rsidR="0049318C">
        <w:noBreakHyphen/>
      </w:r>
      <w:r>
        <w:t xml:space="preserve">Whyte, H., </w:t>
      </w:r>
      <w:proofErr w:type="spellStart"/>
      <w:r>
        <w:t>McCalman</w:t>
      </w:r>
      <w:proofErr w:type="spellEnd"/>
      <w:r>
        <w:t xml:space="preserve">, L., O’Callaghan, S., Reid, A. and Steinberg, D. 2015, </w:t>
      </w:r>
      <w:r w:rsidRPr="00692645">
        <w:rPr>
          <w:i/>
        </w:rPr>
        <w:t>The impact of computerisation and automation on future employment, Australia’s future workforce</w:t>
      </w:r>
      <w:proofErr w:type="gramStart"/>
      <w:r w:rsidRPr="00692645">
        <w:rPr>
          <w:i/>
        </w:rPr>
        <w:t>?</w:t>
      </w:r>
      <w:r>
        <w:t>,</w:t>
      </w:r>
      <w:proofErr w:type="gramEnd"/>
      <w:r>
        <w:t xml:space="preserve"> CEDA.</w:t>
      </w:r>
    </w:p>
    <w:p w14:paraId="45D6B440" w14:textId="665ABE71" w:rsidR="00016F36" w:rsidRDefault="00016F36" w:rsidP="00100188">
      <w:pPr>
        <w:pStyle w:val="Reference"/>
      </w:pPr>
      <w:r>
        <w:t xml:space="preserve">ECDVT (European Centre for the Development of Vocational Training) 2009, </w:t>
      </w:r>
      <w:r w:rsidRPr="00692645">
        <w:rPr>
          <w:i/>
        </w:rPr>
        <w:t>Using Tax Incentives Education to</w:t>
      </w:r>
      <w:r w:rsidR="00692645" w:rsidRPr="00692645">
        <w:rPr>
          <w:i/>
        </w:rPr>
        <w:t xml:space="preserve"> Promote Education and Training</w:t>
      </w:r>
      <w:r w:rsidR="00692645">
        <w:t>, Greece.</w:t>
      </w:r>
    </w:p>
    <w:p w14:paraId="58CDC55A" w14:textId="0C0A26EF" w:rsidR="00016F36" w:rsidRDefault="00692645" w:rsidP="00100188">
      <w:pPr>
        <w:pStyle w:val="Reference"/>
      </w:pPr>
      <w:r>
        <w:t xml:space="preserve">Edelman </w:t>
      </w:r>
      <w:proofErr w:type="spellStart"/>
      <w:r>
        <w:t>Berland</w:t>
      </w:r>
      <w:proofErr w:type="spellEnd"/>
      <w:r>
        <w:t xml:space="preserve"> 2015, Freelancing in Australia: 2015, 27 October, </w:t>
      </w:r>
      <w:proofErr w:type="spellStart"/>
      <w:r>
        <w:t>Slideshare</w:t>
      </w:r>
      <w:proofErr w:type="spellEnd"/>
      <w:r>
        <w:t>.</w:t>
      </w:r>
    </w:p>
    <w:p w14:paraId="6919002F" w14:textId="77777777" w:rsidR="00016F36" w:rsidRDefault="00016F36" w:rsidP="00100188">
      <w:pPr>
        <w:pStyle w:val="Reference"/>
      </w:pPr>
      <w:r>
        <w:t xml:space="preserve">Edmonds, D. and Bradley, T. 2015, </w:t>
      </w:r>
      <w:r w:rsidRPr="00692645">
        <w:rPr>
          <w:i/>
        </w:rPr>
        <w:t>Mechanical boon: will automation advance Australia</w:t>
      </w:r>
      <w:proofErr w:type="gramStart"/>
      <w:r w:rsidRPr="00692645">
        <w:rPr>
          <w:i/>
        </w:rPr>
        <w:t>?</w:t>
      </w:r>
      <w:r>
        <w:t>,</w:t>
      </w:r>
      <w:proofErr w:type="gramEnd"/>
      <w:r>
        <w:t xml:space="preserve"> Research Paper, October, 7/2015, Department of Industry, Innovation and Science.</w:t>
      </w:r>
    </w:p>
    <w:p w14:paraId="7F28F9E4" w14:textId="77777777" w:rsidR="00016F36" w:rsidRDefault="00016F36" w:rsidP="00100188">
      <w:pPr>
        <w:pStyle w:val="Reference"/>
      </w:pPr>
      <w:r>
        <w:t xml:space="preserve">Ferrier, F., Burke, G. and Selby Smith, C. 2008, </w:t>
      </w:r>
      <w:r w:rsidRPr="00692645">
        <w:rPr>
          <w:i/>
        </w:rPr>
        <w:t>Skills Development for a Diverse Older Workforce</w:t>
      </w:r>
      <w:r>
        <w:t>, 30 May, NCVER.</w:t>
      </w:r>
    </w:p>
    <w:p w14:paraId="62079277" w14:textId="77777777" w:rsidR="00016F36" w:rsidRDefault="00016F36" w:rsidP="00100188">
      <w:pPr>
        <w:pStyle w:val="Reference"/>
      </w:pPr>
      <w:r>
        <w:t xml:space="preserve">Figgis, J. 2012, </w:t>
      </w:r>
      <w:r w:rsidRPr="00692645">
        <w:rPr>
          <w:i/>
        </w:rPr>
        <w:t>Reskilling for Encore Careers for (What Were Once) Retirement Years</w:t>
      </w:r>
      <w:r>
        <w:t>, National Centre for Vocational Education Research (NCVER).</w:t>
      </w:r>
    </w:p>
    <w:p w14:paraId="578ADC23" w14:textId="3EE5C152" w:rsidR="00016F36" w:rsidRDefault="00016F36" w:rsidP="00100188">
      <w:pPr>
        <w:pStyle w:val="Reference"/>
      </w:pPr>
      <w:r>
        <w:t xml:space="preserve">Freelancers Union and </w:t>
      </w:r>
      <w:proofErr w:type="spellStart"/>
      <w:r>
        <w:t>Elance</w:t>
      </w:r>
      <w:r w:rsidR="0049318C">
        <w:noBreakHyphen/>
      </w:r>
      <w:r>
        <w:t>oDesk</w:t>
      </w:r>
      <w:proofErr w:type="spellEnd"/>
      <w:r>
        <w:t xml:space="preserve"> 2014, </w:t>
      </w:r>
      <w:r w:rsidRPr="00692645">
        <w:rPr>
          <w:i/>
        </w:rPr>
        <w:t xml:space="preserve">Freelancing in </w:t>
      </w:r>
      <w:proofErr w:type="spellStart"/>
      <w:r w:rsidRPr="00692645">
        <w:rPr>
          <w:i/>
        </w:rPr>
        <w:t>Amercia</w:t>
      </w:r>
      <w:proofErr w:type="spellEnd"/>
      <w:r w:rsidRPr="00692645">
        <w:rPr>
          <w:i/>
        </w:rPr>
        <w:t>: A National Survey of the New Workforce</w:t>
      </w:r>
      <w:r>
        <w:t>.</w:t>
      </w:r>
    </w:p>
    <w:p w14:paraId="052BFCB1" w14:textId="77777777" w:rsidR="00016F36" w:rsidRDefault="00016F36" w:rsidP="00100188">
      <w:pPr>
        <w:pStyle w:val="Reference"/>
      </w:pPr>
      <w:r>
        <w:t>Frey, C. and Osborne, M. 2013, ‘The Future of Employment: How Susceptible are Jobs to Computerisation?</w:t>
      </w:r>
      <w:proofErr w:type="gramStart"/>
      <w:r>
        <w:t>’,</w:t>
      </w:r>
      <w:proofErr w:type="gramEnd"/>
      <w:r>
        <w:t xml:space="preserve"> Oxford Martin </w:t>
      </w:r>
      <w:proofErr w:type="spellStart"/>
      <w:r>
        <w:t>Programme</w:t>
      </w:r>
      <w:proofErr w:type="spellEnd"/>
      <w:r>
        <w:t xml:space="preserve"> on Technology and Employment.</w:t>
      </w:r>
    </w:p>
    <w:p w14:paraId="0389BAD7" w14:textId="71CC68B6" w:rsidR="00016F36" w:rsidRDefault="007A0DAE" w:rsidP="00100188">
      <w:pPr>
        <w:pStyle w:val="Reference"/>
      </w:pPr>
      <w:r>
        <w:t>——</w:t>
      </w:r>
      <w:r w:rsidR="00016F36">
        <w:t xml:space="preserve">, </w:t>
      </w:r>
      <w:r>
        <w:t>——</w:t>
      </w:r>
      <w:r w:rsidR="00016F36">
        <w:t xml:space="preserve">, Holmes, E., </w:t>
      </w:r>
      <w:proofErr w:type="spellStart"/>
      <w:r w:rsidR="00016F36">
        <w:t>Rahbari</w:t>
      </w:r>
      <w:proofErr w:type="spellEnd"/>
      <w:r w:rsidR="00016F36">
        <w:t xml:space="preserve">, R., </w:t>
      </w:r>
      <w:proofErr w:type="spellStart"/>
      <w:r w:rsidR="00016F36">
        <w:t>Garlick</w:t>
      </w:r>
      <w:proofErr w:type="spellEnd"/>
      <w:r w:rsidR="00016F36">
        <w:t xml:space="preserve">, G., Friedlander, G., McDonald, G., </w:t>
      </w:r>
      <w:proofErr w:type="spellStart"/>
      <w:r w:rsidR="00016F36">
        <w:t>Curmi</w:t>
      </w:r>
      <w:proofErr w:type="spellEnd"/>
      <w:r w:rsidR="00016F36">
        <w:t xml:space="preserve">, E., </w:t>
      </w:r>
      <w:proofErr w:type="spellStart"/>
      <w:r w:rsidR="00016F36">
        <w:t>Chalif</w:t>
      </w:r>
      <w:proofErr w:type="spellEnd"/>
      <w:r w:rsidR="00016F36">
        <w:t xml:space="preserve">, P. and </w:t>
      </w:r>
      <w:proofErr w:type="spellStart"/>
      <w:r w:rsidR="00016F36">
        <w:t>Wilkie</w:t>
      </w:r>
      <w:proofErr w:type="spellEnd"/>
      <w:r w:rsidR="00016F36">
        <w:t xml:space="preserve">, M. 2016, </w:t>
      </w:r>
      <w:r w:rsidR="00016F36" w:rsidRPr="00692645">
        <w:rPr>
          <w:i/>
        </w:rPr>
        <w:t>Technology at Work v2. 0: The future is not what it used to be</w:t>
      </w:r>
      <w:r w:rsidR="00016F36">
        <w:t xml:space="preserve">, January, </w:t>
      </w:r>
      <w:proofErr w:type="spellStart"/>
      <w:r w:rsidR="00016F36">
        <w:t>CityGroup</w:t>
      </w:r>
      <w:proofErr w:type="spellEnd"/>
      <w:r w:rsidR="00016F36">
        <w:t xml:space="preserve"> and University of Oxford.</w:t>
      </w:r>
    </w:p>
    <w:p w14:paraId="55D187D8" w14:textId="5FB7027F" w:rsidR="00016F36" w:rsidRDefault="00016F36" w:rsidP="00100188">
      <w:pPr>
        <w:pStyle w:val="Reference"/>
      </w:pPr>
      <w:r>
        <w:t>Gahan, P. 2016, Will a robot take your job</w:t>
      </w:r>
      <w:proofErr w:type="gramStart"/>
      <w:r>
        <w:t>?,</w:t>
      </w:r>
      <w:proofErr w:type="gramEnd"/>
      <w:r>
        <w:t xml:space="preserve"> https://pursuit.unimelb.edu.au/articles/will</w:t>
      </w:r>
      <w:r w:rsidR="0049318C">
        <w:noBreakHyphen/>
      </w:r>
      <w:r>
        <w:t>a-robot-take-your-job (accessed 21</w:t>
      </w:r>
      <w:r w:rsidR="0049318C">
        <w:t> </w:t>
      </w:r>
      <w:r>
        <w:t>April 2016).</w:t>
      </w:r>
    </w:p>
    <w:p w14:paraId="62555D15" w14:textId="6E0AF546" w:rsidR="00016F36" w:rsidRDefault="00016F36" w:rsidP="00100188">
      <w:pPr>
        <w:pStyle w:val="Reference"/>
      </w:pPr>
      <w:r>
        <w:t xml:space="preserve">Goss, P., </w:t>
      </w:r>
      <w:proofErr w:type="spellStart"/>
      <w:r>
        <w:t>Sonnemann</w:t>
      </w:r>
      <w:proofErr w:type="spellEnd"/>
      <w:r>
        <w:t xml:space="preserve">, J. and Griffiths, K. 2017, </w:t>
      </w:r>
      <w:r w:rsidRPr="00692645">
        <w:rPr>
          <w:i/>
        </w:rPr>
        <w:t>Engaging students: creating classrooms that improve learning</w:t>
      </w:r>
      <w:r w:rsidR="00692645">
        <w:t xml:space="preserve">, </w:t>
      </w:r>
      <w:r>
        <w:t>Grattan Institute.</w:t>
      </w:r>
    </w:p>
    <w:p w14:paraId="7FE0D2E1" w14:textId="77777777" w:rsidR="00016F36" w:rsidRDefault="00016F36" w:rsidP="00100188">
      <w:pPr>
        <w:pStyle w:val="Reference"/>
      </w:pPr>
      <w:proofErr w:type="spellStart"/>
      <w:r>
        <w:t>Hamar</w:t>
      </w:r>
      <w:proofErr w:type="spellEnd"/>
      <w:r>
        <w:t xml:space="preserve">, G.B., </w:t>
      </w:r>
      <w:proofErr w:type="spellStart"/>
      <w:r>
        <w:t>Rula</w:t>
      </w:r>
      <w:proofErr w:type="spellEnd"/>
      <w:r>
        <w:t xml:space="preserve">, E.Y., Wells, A., </w:t>
      </w:r>
      <w:proofErr w:type="spellStart"/>
      <w:r>
        <w:t>Coberley</w:t>
      </w:r>
      <w:proofErr w:type="spellEnd"/>
      <w:r>
        <w:t xml:space="preserve">, C., Pope, J.E. and Larkin, S. 2013, ‘Impact of a chronic disease management program on hospital admissions and readmissions in an Australian population with heart disease or diabetes’, </w:t>
      </w:r>
      <w:r w:rsidRPr="00692645">
        <w:rPr>
          <w:i/>
        </w:rPr>
        <w:t>Population Health Management</w:t>
      </w:r>
      <w:r>
        <w:t>, vol. 16, no. 2.</w:t>
      </w:r>
    </w:p>
    <w:p w14:paraId="6F070349" w14:textId="77777777" w:rsidR="00016F36" w:rsidRDefault="00016F36" w:rsidP="00100188">
      <w:pPr>
        <w:pStyle w:val="Reference"/>
      </w:pPr>
      <w:r>
        <w:t>Hattie, J. 2016, Shifting away from distractions to improve Australia’s schools: Time for a Reboot, October, 54, Monograph Series, ACEL.</w:t>
      </w:r>
    </w:p>
    <w:p w14:paraId="7B1609F7" w14:textId="41EF4528" w:rsidR="00016F36" w:rsidRDefault="00016F36" w:rsidP="00100188">
      <w:pPr>
        <w:pStyle w:val="Reference"/>
      </w:pPr>
      <w:r>
        <w:t>Heath, A. 2016, ‘Speech: The Changing Nature of the Australian Workforce’, https://www.rba.gov.au/speeches/2016/sp-so-2016</w:t>
      </w:r>
      <w:r w:rsidR="0049318C">
        <w:t>–</w:t>
      </w:r>
      <w:r>
        <w:t>09-21.html (accessed 11</w:t>
      </w:r>
      <w:r w:rsidR="0049318C">
        <w:t> </w:t>
      </w:r>
      <w:r>
        <w:t>May 2017).</w:t>
      </w:r>
    </w:p>
    <w:p w14:paraId="17895214" w14:textId="77777777" w:rsidR="00016F36" w:rsidRDefault="00016F36" w:rsidP="00100188">
      <w:pPr>
        <w:pStyle w:val="Reference"/>
      </w:pPr>
      <w:proofErr w:type="spellStart"/>
      <w:r>
        <w:t>Ingvarson</w:t>
      </w:r>
      <w:proofErr w:type="spellEnd"/>
      <w:r>
        <w:t xml:space="preserve">, L., Reid, K., Buckley, S., </w:t>
      </w:r>
      <w:proofErr w:type="spellStart"/>
      <w:r>
        <w:t>Kleinhenz</w:t>
      </w:r>
      <w:proofErr w:type="spellEnd"/>
      <w:r>
        <w:t>, E., Masters, G. and Rowley, G. 2014, Best Practice Teacher Education Programs and Australia’s Own Programs, Australian Council for Educational Research.</w:t>
      </w:r>
    </w:p>
    <w:p w14:paraId="0A1E7ACC" w14:textId="77777777" w:rsidR="00016F36" w:rsidRDefault="00016F36" w:rsidP="00100188">
      <w:pPr>
        <w:pStyle w:val="Reference"/>
      </w:pPr>
      <w:r>
        <w:t>Kent, C. 2014, Ageing and Australia’s Economic Outlook, Address by Christopher Kent to the LASA National Congress.</w:t>
      </w:r>
    </w:p>
    <w:p w14:paraId="4E599A0F" w14:textId="77777777" w:rsidR="00016F36" w:rsidRDefault="00016F36" w:rsidP="00100188">
      <w:pPr>
        <w:pStyle w:val="Reference"/>
      </w:pPr>
      <w:r>
        <w:t xml:space="preserve">Keys Young 2000, </w:t>
      </w:r>
      <w:r w:rsidRPr="00692645">
        <w:rPr>
          <w:i/>
        </w:rPr>
        <w:t>Older Workers and Education and Training</w:t>
      </w:r>
      <w:r>
        <w:t>, Report commissioned by NSW Board of Vocational Education and Training, September.</w:t>
      </w:r>
    </w:p>
    <w:p w14:paraId="5E7802E5" w14:textId="77777777" w:rsidR="00016F36" w:rsidRDefault="00016F36" w:rsidP="00100188">
      <w:pPr>
        <w:pStyle w:val="Reference"/>
      </w:pPr>
      <w:r>
        <w:t xml:space="preserve">Leigh, A. and Ryan, C. 2006, </w:t>
      </w:r>
      <w:r w:rsidRPr="007623D4">
        <w:rPr>
          <w:i/>
        </w:rPr>
        <w:t>How and Why has Teacher Quality Changed in Australia</w:t>
      </w:r>
      <w:proofErr w:type="gramStart"/>
      <w:r w:rsidRPr="007623D4">
        <w:rPr>
          <w:i/>
        </w:rPr>
        <w:t>?</w:t>
      </w:r>
      <w:r>
        <w:t>,</w:t>
      </w:r>
      <w:proofErr w:type="gramEnd"/>
      <w:r>
        <w:t xml:space="preserve"> ANU Research Publications, Australian National University.</w:t>
      </w:r>
    </w:p>
    <w:p w14:paraId="3D13F60A" w14:textId="22C353D5" w:rsidR="00016F36" w:rsidRDefault="00016F36" w:rsidP="00100188">
      <w:pPr>
        <w:pStyle w:val="Reference"/>
      </w:pPr>
      <w:proofErr w:type="spellStart"/>
      <w:r>
        <w:t>Macinnis</w:t>
      </w:r>
      <w:proofErr w:type="spellEnd"/>
      <w:r>
        <w:t>, A. 2016, Contractor or employee? One landmark case reveals the hidden dangers, HRM online, www.hrmonline.com.au/section/featured/results-landmark-uber-case-impact-hiring/ (accessed 4</w:t>
      </w:r>
      <w:r w:rsidR="0049318C">
        <w:t> </w:t>
      </w:r>
      <w:r>
        <w:t>June 2017).</w:t>
      </w:r>
    </w:p>
    <w:p w14:paraId="41D2B839" w14:textId="62E94C56" w:rsidR="00016F36" w:rsidRDefault="00016F36" w:rsidP="00100188">
      <w:pPr>
        <w:pStyle w:val="Reference"/>
      </w:pPr>
      <w:r>
        <w:t xml:space="preserve">Masters, G. 2016, </w:t>
      </w:r>
      <w:r w:rsidR="007623D4">
        <w:t>‘</w:t>
      </w:r>
      <w:r>
        <w:t>Five Challenges in Australian School Education</w:t>
      </w:r>
      <w:r w:rsidR="007623D4">
        <w:t>’</w:t>
      </w:r>
      <w:r>
        <w:t xml:space="preserve">, </w:t>
      </w:r>
      <w:r w:rsidRPr="007623D4">
        <w:rPr>
          <w:i/>
        </w:rPr>
        <w:t>Policy Insights</w:t>
      </w:r>
      <w:r>
        <w:t>, May, 5, Australian Council for Educational Research.</w:t>
      </w:r>
    </w:p>
    <w:p w14:paraId="4BF22D56" w14:textId="2C173883" w:rsidR="00016F36" w:rsidRDefault="00016F36" w:rsidP="00100188">
      <w:pPr>
        <w:pStyle w:val="Reference"/>
      </w:pPr>
      <w:r>
        <w:t xml:space="preserve">Means, B., Toyama, Y., Murphy, R., </w:t>
      </w:r>
      <w:proofErr w:type="spellStart"/>
      <w:r>
        <w:t>Bakia</w:t>
      </w:r>
      <w:proofErr w:type="spellEnd"/>
      <w:r>
        <w:t xml:space="preserve">, M. and Jones, K. 2009, </w:t>
      </w:r>
      <w:r w:rsidRPr="007623D4">
        <w:rPr>
          <w:i/>
        </w:rPr>
        <w:t>Evaluation of Evidence-Based Practices in Online Learning: A Meta</w:t>
      </w:r>
      <w:r w:rsidR="0049318C" w:rsidRPr="007623D4">
        <w:rPr>
          <w:i/>
        </w:rPr>
        <w:noBreakHyphen/>
      </w:r>
      <w:r w:rsidRPr="007623D4">
        <w:rPr>
          <w:i/>
        </w:rPr>
        <w:t>Analysis and Review of Online Learning Studies</w:t>
      </w:r>
      <w:r>
        <w:t>, US Department of Education.</w:t>
      </w:r>
    </w:p>
    <w:p w14:paraId="24C212C9" w14:textId="435F7528" w:rsidR="00016F36" w:rsidRDefault="00016F36" w:rsidP="00100188">
      <w:pPr>
        <w:pStyle w:val="Reference"/>
      </w:pPr>
      <w:r>
        <w:t xml:space="preserve">Merchant, Z., Goetz, E.T., </w:t>
      </w:r>
      <w:proofErr w:type="spellStart"/>
      <w:r>
        <w:t>Cifuentes</w:t>
      </w:r>
      <w:proofErr w:type="spellEnd"/>
      <w:r>
        <w:t>, L., Keeney</w:t>
      </w:r>
      <w:r w:rsidR="0049318C">
        <w:noBreakHyphen/>
      </w:r>
      <w:proofErr w:type="spellStart"/>
      <w:r>
        <w:t>Kennicutt</w:t>
      </w:r>
      <w:proofErr w:type="spellEnd"/>
      <w:r>
        <w:t>, W. and Davis, T.J. 2014, ‘Effectiveness of virtual reality</w:t>
      </w:r>
      <w:r w:rsidR="0049318C">
        <w:noBreakHyphen/>
      </w:r>
      <w:r>
        <w:t>based instruction on students’ learning outcomes in K</w:t>
      </w:r>
      <w:r w:rsidR="0049318C">
        <w:noBreakHyphen/>
      </w:r>
      <w:r>
        <w:t>12 and higher education: A meta</w:t>
      </w:r>
      <w:r w:rsidR="0049318C">
        <w:noBreakHyphen/>
      </w:r>
      <w:r>
        <w:t xml:space="preserve">analysis’, </w:t>
      </w:r>
      <w:r w:rsidRPr="007623D4">
        <w:rPr>
          <w:i/>
        </w:rPr>
        <w:t>Computers &amp; Education</w:t>
      </w:r>
      <w:r>
        <w:t>, vol. 70, pp. 29–40.</w:t>
      </w:r>
    </w:p>
    <w:p w14:paraId="44577AFE" w14:textId="77777777" w:rsidR="00016F36" w:rsidRDefault="00016F36" w:rsidP="00100188">
      <w:pPr>
        <w:pStyle w:val="Reference"/>
      </w:pPr>
      <w:r>
        <w:t xml:space="preserve">Miller, B. and Atkinson, R. 2013, </w:t>
      </w:r>
      <w:r w:rsidRPr="007623D4">
        <w:rPr>
          <w:i/>
        </w:rPr>
        <w:t>Are Robots Taking Our Jobs, or Making Them</w:t>
      </w:r>
      <w:proofErr w:type="gramStart"/>
      <w:r w:rsidRPr="007623D4">
        <w:rPr>
          <w:i/>
        </w:rPr>
        <w:t>?</w:t>
      </w:r>
      <w:r>
        <w:t>,</w:t>
      </w:r>
      <w:proofErr w:type="gramEnd"/>
      <w:r>
        <w:t xml:space="preserve"> The Information Technology and Innovation Foundation.</w:t>
      </w:r>
    </w:p>
    <w:p w14:paraId="6B16312C" w14:textId="1F19E8FC" w:rsidR="00016F36" w:rsidRDefault="00016F36" w:rsidP="00100188">
      <w:pPr>
        <w:pStyle w:val="Reference"/>
      </w:pPr>
      <w:r>
        <w:t xml:space="preserve">Min, C.H. 2017, </w:t>
      </w:r>
      <w:r w:rsidR="00E823D1">
        <w:t>‘</w:t>
      </w:r>
      <w:r>
        <w:t xml:space="preserve">4,400 caught in January submitting false </w:t>
      </w:r>
      <w:proofErr w:type="spellStart"/>
      <w:r>
        <w:t>SkillsFuture</w:t>
      </w:r>
      <w:proofErr w:type="spellEnd"/>
      <w:r>
        <w:t xml:space="preserve"> claims amounting to $2.2m</w:t>
      </w:r>
      <w:r w:rsidR="00E823D1">
        <w:t>’</w:t>
      </w:r>
      <w:r>
        <w:t xml:space="preserve">, </w:t>
      </w:r>
      <w:r w:rsidRPr="00E823D1">
        <w:rPr>
          <w:i/>
        </w:rPr>
        <w:t>The Straits Times</w:t>
      </w:r>
      <w:r>
        <w:t>, www.straitstimes.com/singapore/jump</w:t>
      </w:r>
      <w:r w:rsidR="0049318C">
        <w:noBreakHyphen/>
      </w:r>
      <w:r>
        <w:t>in</w:t>
      </w:r>
      <w:r w:rsidR="0049318C">
        <w:noBreakHyphen/>
      </w:r>
      <w:r>
        <w:t>false-claims-for-skillsfuture-credits-4400-caught-in-january (accessed 25</w:t>
      </w:r>
      <w:r w:rsidR="0049318C">
        <w:t> </w:t>
      </w:r>
      <w:r>
        <w:t>May 2017).</w:t>
      </w:r>
    </w:p>
    <w:p w14:paraId="4D694917" w14:textId="2B2CEA2A" w:rsidR="00016F36" w:rsidRDefault="00016F36" w:rsidP="00100188">
      <w:pPr>
        <w:pStyle w:val="Reference"/>
      </w:pPr>
      <w:proofErr w:type="spellStart"/>
      <w:r>
        <w:t>Minifie</w:t>
      </w:r>
      <w:proofErr w:type="spellEnd"/>
      <w:r>
        <w:t xml:space="preserve">, J. 2016, </w:t>
      </w:r>
      <w:r w:rsidRPr="00E823D1">
        <w:rPr>
          <w:i/>
        </w:rPr>
        <w:t>Peer</w:t>
      </w:r>
      <w:r w:rsidR="0049318C" w:rsidRPr="00E823D1">
        <w:rPr>
          <w:i/>
        </w:rPr>
        <w:noBreakHyphen/>
      </w:r>
      <w:r w:rsidRPr="00E823D1">
        <w:rPr>
          <w:i/>
        </w:rPr>
        <w:t>to</w:t>
      </w:r>
      <w:r w:rsidR="0049318C" w:rsidRPr="00E823D1">
        <w:rPr>
          <w:i/>
        </w:rPr>
        <w:noBreakHyphen/>
      </w:r>
      <w:r w:rsidRPr="00E823D1">
        <w:rPr>
          <w:i/>
        </w:rPr>
        <w:t>peer pressure policy for the sharing economy</w:t>
      </w:r>
      <w:r>
        <w:t>, Grattan Institute.</w:t>
      </w:r>
    </w:p>
    <w:p w14:paraId="5B25C49B" w14:textId="77777777" w:rsidR="00016F36" w:rsidRDefault="00016F36" w:rsidP="00100188">
      <w:pPr>
        <w:pStyle w:val="Reference"/>
      </w:pPr>
      <w:r>
        <w:t xml:space="preserve">Mokyr, J., Vickers, C. and </w:t>
      </w:r>
      <w:proofErr w:type="spellStart"/>
      <w:r>
        <w:t>Ziebarth</w:t>
      </w:r>
      <w:proofErr w:type="spellEnd"/>
      <w:r>
        <w:t>, N.L. 2015, ‘The History of Technological Anxiety and the Future of Economic Growth: Is This Time Different?</w:t>
      </w:r>
      <w:proofErr w:type="gramStart"/>
      <w:r>
        <w:t>’,</w:t>
      </w:r>
      <w:proofErr w:type="gramEnd"/>
      <w:r>
        <w:t xml:space="preserve"> </w:t>
      </w:r>
      <w:r w:rsidRPr="00E823D1">
        <w:rPr>
          <w:i/>
        </w:rPr>
        <w:t>Journal of Economic Perspectives</w:t>
      </w:r>
      <w:r>
        <w:t>, vol. 29, no. 3, pp. 31–50.</w:t>
      </w:r>
    </w:p>
    <w:p w14:paraId="52F45290" w14:textId="68FC9021" w:rsidR="00016F36" w:rsidRDefault="00016F36" w:rsidP="00100188">
      <w:pPr>
        <w:pStyle w:val="Reference"/>
      </w:pPr>
      <w:proofErr w:type="spellStart"/>
      <w:r>
        <w:t>Murtough</w:t>
      </w:r>
      <w:proofErr w:type="spellEnd"/>
      <w:r>
        <w:t xml:space="preserve">, G. and Waite, M. 2000, </w:t>
      </w:r>
      <w:r w:rsidRPr="00E823D1">
        <w:rPr>
          <w:i/>
        </w:rPr>
        <w:t>Unemployment and Re</w:t>
      </w:r>
      <w:r w:rsidR="0049318C" w:rsidRPr="00E823D1">
        <w:rPr>
          <w:i/>
        </w:rPr>
        <w:noBreakHyphen/>
      </w:r>
      <w:r w:rsidRPr="00E823D1">
        <w:rPr>
          <w:i/>
        </w:rPr>
        <w:t>employment of Displaced Workers</w:t>
      </w:r>
      <w:r>
        <w:t>, Staff Research Paper, Productivity Commission.</w:t>
      </w:r>
    </w:p>
    <w:p w14:paraId="02103981" w14:textId="77777777" w:rsidR="00016F36" w:rsidRDefault="00016F36" w:rsidP="00100188">
      <w:pPr>
        <w:pStyle w:val="Reference"/>
      </w:pPr>
      <w:r>
        <w:t xml:space="preserve">National Seniors Australia 2015, </w:t>
      </w:r>
      <w:r w:rsidRPr="00E823D1">
        <w:rPr>
          <w:i/>
        </w:rPr>
        <w:t>Submission to the Willing to Work Inquiry</w:t>
      </w:r>
      <w:r>
        <w:t>, no. 266.</w:t>
      </w:r>
    </w:p>
    <w:p w14:paraId="437ABF83" w14:textId="4E58FA51" w:rsidR="00016F36" w:rsidRDefault="00016F36" w:rsidP="00100188">
      <w:pPr>
        <w:pStyle w:val="Reference"/>
      </w:pPr>
      <w:r>
        <w:t>OECD (Organisation for Economic Co</w:t>
      </w:r>
      <w:r w:rsidR="0049318C">
        <w:noBreakHyphen/>
      </w:r>
      <w:r>
        <w:t xml:space="preserve">operation and Development) 2015a, </w:t>
      </w:r>
      <w:proofErr w:type="gramStart"/>
      <w:r>
        <w:t>T</w:t>
      </w:r>
      <w:r w:rsidRPr="00E823D1">
        <w:rPr>
          <w:i/>
        </w:rPr>
        <w:t>he</w:t>
      </w:r>
      <w:proofErr w:type="gramEnd"/>
      <w:r w:rsidRPr="00E823D1">
        <w:rPr>
          <w:i/>
        </w:rPr>
        <w:t xml:space="preserve"> Future of Productivity</w:t>
      </w:r>
      <w:r>
        <w:t>, July, Joint Economics Department and the Directorate for Science, Technology and Innovation Policy Note, Paris.</w:t>
      </w:r>
    </w:p>
    <w:p w14:paraId="5711E087" w14:textId="59333D2F" w:rsidR="00016F36" w:rsidRDefault="00016F36" w:rsidP="00100188">
      <w:pPr>
        <w:pStyle w:val="Reference"/>
      </w:pPr>
      <w:r>
        <w:t>—</w:t>
      </w:r>
      <w:r w:rsidR="00E823D1">
        <w:t>— </w:t>
      </w:r>
      <w:r>
        <w:t xml:space="preserve">2015b, </w:t>
      </w:r>
      <w:proofErr w:type="gramStart"/>
      <w:r w:rsidRPr="00E823D1">
        <w:rPr>
          <w:i/>
        </w:rPr>
        <w:t>The</w:t>
      </w:r>
      <w:proofErr w:type="gramEnd"/>
      <w:r w:rsidRPr="00E823D1">
        <w:rPr>
          <w:i/>
        </w:rPr>
        <w:t xml:space="preserve"> Innovation Imperative: Contributing to Productivity, Growth and Well</w:t>
      </w:r>
      <w:r w:rsidR="0049318C" w:rsidRPr="00E823D1">
        <w:rPr>
          <w:i/>
        </w:rPr>
        <w:noBreakHyphen/>
      </w:r>
      <w:r w:rsidRPr="00E823D1">
        <w:rPr>
          <w:i/>
        </w:rPr>
        <w:t>Being</w:t>
      </w:r>
      <w:r>
        <w:t>, Paris.</w:t>
      </w:r>
    </w:p>
    <w:p w14:paraId="63DF8703" w14:textId="6DFE19C1" w:rsidR="00016F36" w:rsidRDefault="00E823D1" w:rsidP="00100188">
      <w:pPr>
        <w:pStyle w:val="Reference"/>
      </w:pPr>
      <w:r>
        <w:t>—— </w:t>
      </w:r>
      <w:r w:rsidR="00016F36">
        <w:t xml:space="preserve">2015c, </w:t>
      </w:r>
      <w:r w:rsidR="00016F36" w:rsidRPr="00E823D1">
        <w:rPr>
          <w:i/>
        </w:rPr>
        <w:t>Universal Basic Skills</w:t>
      </w:r>
      <w:r w:rsidR="00016F36">
        <w:t>, Paris.</w:t>
      </w:r>
    </w:p>
    <w:p w14:paraId="114B747B" w14:textId="7CB15BFD" w:rsidR="00016F36" w:rsidRDefault="00E823D1" w:rsidP="00100188">
      <w:pPr>
        <w:pStyle w:val="Reference"/>
      </w:pPr>
      <w:r>
        <w:t>—— </w:t>
      </w:r>
      <w:r w:rsidR="00016F36">
        <w:t xml:space="preserve">2016a, </w:t>
      </w:r>
      <w:r w:rsidR="00016F36" w:rsidRPr="00E823D1">
        <w:rPr>
          <w:i/>
        </w:rPr>
        <w:t>Low</w:t>
      </w:r>
      <w:r w:rsidR="0049318C" w:rsidRPr="00E823D1">
        <w:rPr>
          <w:i/>
        </w:rPr>
        <w:noBreakHyphen/>
      </w:r>
      <w:r w:rsidR="00016F36" w:rsidRPr="00E823D1">
        <w:rPr>
          <w:i/>
        </w:rPr>
        <w:t>Performing Students:</w:t>
      </w:r>
      <w:r w:rsidR="0049318C" w:rsidRPr="00E823D1">
        <w:rPr>
          <w:i/>
        </w:rPr>
        <w:t xml:space="preserve"> </w:t>
      </w:r>
      <w:r w:rsidR="00016F36" w:rsidRPr="00E823D1">
        <w:rPr>
          <w:i/>
        </w:rPr>
        <w:t>Why They Fall behind and How to Help Them Succeed</w:t>
      </w:r>
      <w:r w:rsidR="00016F36">
        <w:t>, Country note: Australia, Paris.</w:t>
      </w:r>
    </w:p>
    <w:p w14:paraId="16C045DD" w14:textId="3371A0C2" w:rsidR="00016F36" w:rsidRDefault="00E823D1" w:rsidP="00100188">
      <w:pPr>
        <w:pStyle w:val="Reference"/>
      </w:pPr>
      <w:r>
        <w:t>—— </w:t>
      </w:r>
      <w:r w:rsidR="00016F36">
        <w:t xml:space="preserve">2016b, </w:t>
      </w:r>
      <w:r w:rsidR="00016F36" w:rsidRPr="00E823D1">
        <w:rPr>
          <w:i/>
        </w:rPr>
        <w:t>Skills Matter: Further Results from the Survey of Adult Skills</w:t>
      </w:r>
      <w:r w:rsidR="00016F36">
        <w:t xml:space="preserve">, OECD Skills Studies, </w:t>
      </w:r>
      <w:proofErr w:type="gramStart"/>
      <w:r w:rsidR="00016F36">
        <w:t>Paris</w:t>
      </w:r>
      <w:proofErr w:type="gramEnd"/>
      <w:r w:rsidR="00016F36">
        <w:t>.</w:t>
      </w:r>
    </w:p>
    <w:p w14:paraId="6944E515" w14:textId="785B961B" w:rsidR="00016F36" w:rsidRDefault="00016F36" w:rsidP="00100188">
      <w:pPr>
        <w:pStyle w:val="Reference"/>
      </w:pPr>
      <w:proofErr w:type="spellStart"/>
      <w:r>
        <w:t>Ottaviano</w:t>
      </w:r>
      <w:proofErr w:type="spellEnd"/>
      <w:r>
        <w:t xml:space="preserve">, G. 2015, </w:t>
      </w:r>
      <w:r w:rsidRPr="00E823D1">
        <w:rPr>
          <w:i/>
        </w:rPr>
        <w:t>Offshoring and the migration of jobs</w:t>
      </w:r>
      <w:r>
        <w:t xml:space="preserve">, July, IZA </w:t>
      </w:r>
      <w:r w:rsidR="0049318C">
        <w:noBreakHyphen/>
      </w:r>
      <w:r>
        <w:t xml:space="preserve"> Institute of </w:t>
      </w:r>
      <w:proofErr w:type="spellStart"/>
      <w:r>
        <w:t>Labor</w:t>
      </w:r>
      <w:proofErr w:type="spellEnd"/>
      <w:r>
        <w:t xml:space="preserve"> Economics.</w:t>
      </w:r>
    </w:p>
    <w:p w14:paraId="13154081" w14:textId="77777777" w:rsidR="00016F36" w:rsidRDefault="00016F36" w:rsidP="00100188">
      <w:pPr>
        <w:pStyle w:val="Reference"/>
      </w:pPr>
      <w:r>
        <w:t xml:space="preserve">PC (Productivity Commission) 2013, </w:t>
      </w:r>
      <w:proofErr w:type="gramStart"/>
      <w:r w:rsidRPr="00E823D1">
        <w:rPr>
          <w:i/>
        </w:rPr>
        <w:t>An</w:t>
      </w:r>
      <w:proofErr w:type="gramEnd"/>
      <w:r w:rsidRPr="00E823D1">
        <w:rPr>
          <w:i/>
        </w:rPr>
        <w:t xml:space="preserve"> Ageing Australia: Preparing for the Future</w:t>
      </w:r>
      <w:r>
        <w:t>, Research Paper.</w:t>
      </w:r>
    </w:p>
    <w:p w14:paraId="31586197" w14:textId="58F499A2" w:rsidR="00016F36" w:rsidRDefault="00E823D1" w:rsidP="00100188">
      <w:pPr>
        <w:pStyle w:val="Reference"/>
      </w:pPr>
      <w:r>
        <w:t xml:space="preserve">—— </w:t>
      </w:r>
      <w:r w:rsidR="00016F36">
        <w:t xml:space="preserve">2016a, </w:t>
      </w:r>
      <w:r w:rsidR="00016F36" w:rsidRPr="003B2762">
        <w:rPr>
          <w:i/>
        </w:rPr>
        <w:t>Digital Disruption: What do governments need to do</w:t>
      </w:r>
      <w:proofErr w:type="gramStart"/>
      <w:r w:rsidR="00016F36" w:rsidRPr="003B2762">
        <w:rPr>
          <w:i/>
        </w:rPr>
        <w:t>?</w:t>
      </w:r>
      <w:r w:rsidR="00016F36">
        <w:t>,</w:t>
      </w:r>
      <w:proofErr w:type="gramEnd"/>
      <w:r w:rsidR="00016F36">
        <w:t xml:space="preserve"> Research Paper.</w:t>
      </w:r>
    </w:p>
    <w:p w14:paraId="26A4B7B2" w14:textId="4A80982B" w:rsidR="00016F36" w:rsidRDefault="00E823D1" w:rsidP="00100188">
      <w:pPr>
        <w:pStyle w:val="Reference"/>
      </w:pPr>
      <w:r>
        <w:t xml:space="preserve">—— </w:t>
      </w:r>
      <w:r w:rsidR="00016F36">
        <w:t xml:space="preserve">2016b, </w:t>
      </w:r>
      <w:r w:rsidR="00016F36" w:rsidRPr="003B2762">
        <w:rPr>
          <w:i/>
        </w:rPr>
        <w:t>Migrant Intake into Australia</w:t>
      </w:r>
      <w:r w:rsidR="00016F36">
        <w:t>, Inquiry Report.</w:t>
      </w:r>
    </w:p>
    <w:p w14:paraId="1827F957" w14:textId="78F1B8D9" w:rsidR="00016F36" w:rsidRDefault="00E823D1" w:rsidP="00100188">
      <w:pPr>
        <w:pStyle w:val="Reference"/>
      </w:pPr>
      <w:r>
        <w:t xml:space="preserve">—— </w:t>
      </w:r>
      <w:r w:rsidR="00016F36">
        <w:t xml:space="preserve">2016c, </w:t>
      </w:r>
      <w:r w:rsidR="00016F36" w:rsidRPr="003B2762">
        <w:rPr>
          <w:i/>
        </w:rPr>
        <w:t>National Education Evidence Base</w:t>
      </w:r>
      <w:r w:rsidR="00016F36">
        <w:t>, Inquiry Report.</w:t>
      </w:r>
    </w:p>
    <w:p w14:paraId="509531A2" w14:textId="77777777" w:rsidR="00016F36" w:rsidRDefault="00016F36" w:rsidP="00100188">
      <w:pPr>
        <w:pStyle w:val="Reference"/>
      </w:pPr>
      <w:proofErr w:type="spellStart"/>
      <w:r>
        <w:t>Picchio</w:t>
      </w:r>
      <w:proofErr w:type="spellEnd"/>
      <w:r>
        <w:t>, M. 2015, Is training effective for older workers</w:t>
      </w:r>
      <w:proofErr w:type="gramStart"/>
      <w:r>
        <w:t>?,</w:t>
      </w:r>
      <w:proofErr w:type="gramEnd"/>
      <w:r>
        <w:t xml:space="preserve"> January, </w:t>
      </w:r>
      <w:r w:rsidRPr="003B2762">
        <w:rPr>
          <w:i/>
        </w:rPr>
        <w:t xml:space="preserve">IZA World of </w:t>
      </w:r>
      <w:proofErr w:type="spellStart"/>
      <w:r w:rsidRPr="003B2762">
        <w:rPr>
          <w:i/>
        </w:rPr>
        <w:t>Labor</w:t>
      </w:r>
      <w:proofErr w:type="spellEnd"/>
      <w:r>
        <w:t>.</w:t>
      </w:r>
    </w:p>
    <w:p w14:paraId="069DE215" w14:textId="335E9AD0" w:rsidR="00016F36" w:rsidRDefault="00016F36" w:rsidP="00100188">
      <w:pPr>
        <w:pStyle w:val="Reference"/>
      </w:pPr>
      <w:proofErr w:type="spellStart"/>
      <w:r>
        <w:t>Polidano</w:t>
      </w:r>
      <w:proofErr w:type="spellEnd"/>
      <w:r>
        <w:t xml:space="preserve">, C., Van de </w:t>
      </w:r>
      <w:proofErr w:type="spellStart"/>
      <w:r>
        <w:t>Ven</w:t>
      </w:r>
      <w:proofErr w:type="spellEnd"/>
      <w:r>
        <w:t xml:space="preserve">, J. and </w:t>
      </w:r>
      <w:proofErr w:type="spellStart"/>
      <w:r>
        <w:t>Voitchovsky</w:t>
      </w:r>
      <w:proofErr w:type="spellEnd"/>
      <w:r>
        <w:t xml:space="preserve">, S. 2017, </w:t>
      </w:r>
      <w:r w:rsidRPr="003B2762">
        <w:rPr>
          <w:i/>
        </w:rPr>
        <w:t>Making ‘Good’ Choices: The Impact of Entitlement Models on Up</w:t>
      </w:r>
      <w:r w:rsidR="0049318C" w:rsidRPr="003B2762">
        <w:rPr>
          <w:i/>
        </w:rPr>
        <w:noBreakHyphen/>
      </w:r>
      <w:r w:rsidRPr="003B2762">
        <w:rPr>
          <w:i/>
        </w:rPr>
        <w:t>skilling Later in Life</w:t>
      </w:r>
      <w:r>
        <w:t>, 13 February, NCVER.</w:t>
      </w:r>
    </w:p>
    <w:p w14:paraId="71F6E504" w14:textId="29282275" w:rsidR="00016F36" w:rsidRDefault="00016F36" w:rsidP="00100188">
      <w:pPr>
        <w:pStyle w:val="Reference"/>
      </w:pPr>
      <w:r>
        <w:t>Potter, B. and Durkin, P. 2016, ‘Attention angry white men: a service job isn’t “</w:t>
      </w:r>
      <w:proofErr w:type="spellStart"/>
      <w:r>
        <w:t>sheila”s</w:t>
      </w:r>
      <w:proofErr w:type="spellEnd"/>
      <w:r>
        <w:t xml:space="preserve"> work’’, </w:t>
      </w:r>
      <w:r w:rsidRPr="003B2762">
        <w:rPr>
          <w:i/>
        </w:rPr>
        <w:t>Australian Financial Review</w:t>
      </w:r>
      <w:r>
        <w:t>, 29 November, www.afr.com/business/manufacturing/attention</w:t>
      </w:r>
      <w:r w:rsidR="0049318C">
        <w:noBreakHyphen/>
      </w:r>
      <w:r>
        <w:t>angry-white-men-a-service-job-isnt-sheilas-work-20161128-gsz1th (accessed 30</w:t>
      </w:r>
      <w:r w:rsidR="0049318C">
        <w:t> </w:t>
      </w:r>
      <w:r>
        <w:t>November 2016).</w:t>
      </w:r>
    </w:p>
    <w:p w14:paraId="27BCBCCC" w14:textId="0CA8F3B5" w:rsidR="00016F36" w:rsidRDefault="00016F36" w:rsidP="00100188">
      <w:pPr>
        <w:pStyle w:val="Reference"/>
      </w:pPr>
      <w:r>
        <w:t xml:space="preserve">PwC (PricewaterhouseCoopers) 2015, </w:t>
      </w:r>
      <w:r w:rsidRPr="003B2762">
        <w:rPr>
          <w:i/>
        </w:rPr>
        <w:t>A Smart Move:</w:t>
      </w:r>
      <w:r w:rsidR="0049318C" w:rsidRPr="003B2762">
        <w:rPr>
          <w:i/>
        </w:rPr>
        <w:t xml:space="preserve"> </w:t>
      </w:r>
      <w:r w:rsidRPr="003B2762">
        <w:rPr>
          <w:i/>
        </w:rPr>
        <w:t>Future</w:t>
      </w:r>
      <w:r w:rsidR="0049318C" w:rsidRPr="003B2762">
        <w:rPr>
          <w:i/>
        </w:rPr>
        <w:noBreakHyphen/>
      </w:r>
      <w:r w:rsidRPr="003B2762">
        <w:rPr>
          <w:i/>
        </w:rPr>
        <w:t>proofing Australia’s workforce by growing skills in science, technology, engineering and maths</w:t>
      </w:r>
      <w:r>
        <w:t>, April.</w:t>
      </w:r>
    </w:p>
    <w:p w14:paraId="0EA398C8" w14:textId="42FB8B21" w:rsidR="00016F36" w:rsidRDefault="003B2762" w:rsidP="00100188">
      <w:pPr>
        <w:pStyle w:val="Reference"/>
      </w:pPr>
      <w:r>
        <w:t xml:space="preserve">—— </w:t>
      </w:r>
      <w:r w:rsidR="00016F36">
        <w:t>2016, P</w:t>
      </w:r>
      <w:r w:rsidR="00016F36" w:rsidRPr="003B2762">
        <w:rPr>
          <w:i/>
        </w:rPr>
        <w:t>wC Golden Age Index: How well are OECD economies harnessing the power of an older workforce</w:t>
      </w:r>
      <w:proofErr w:type="gramStart"/>
      <w:r w:rsidR="00016F36" w:rsidRPr="003B2762">
        <w:rPr>
          <w:i/>
        </w:rPr>
        <w:t>?</w:t>
      </w:r>
      <w:r w:rsidR="00016F36">
        <w:t>,</w:t>
      </w:r>
      <w:proofErr w:type="gramEnd"/>
      <w:r w:rsidR="00016F36">
        <w:t xml:space="preserve"> Australian Edition.</w:t>
      </w:r>
    </w:p>
    <w:p w14:paraId="3528ECC0" w14:textId="77777777" w:rsidR="00016F36" w:rsidRDefault="00016F36" w:rsidP="00100188">
      <w:pPr>
        <w:pStyle w:val="Reference"/>
      </w:pPr>
      <w:r>
        <w:t xml:space="preserve">Ross, M. 2014, </w:t>
      </w:r>
      <w:r w:rsidRPr="003B2762">
        <w:rPr>
          <w:i/>
        </w:rPr>
        <w:t>New approaches to persistent problems</w:t>
      </w:r>
      <w:r>
        <w:t>, Background paper, 01/2014, Mitchell Institute.</w:t>
      </w:r>
    </w:p>
    <w:p w14:paraId="7E0F4F26" w14:textId="5D5D327A" w:rsidR="00016F36" w:rsidRDefault="00016F36" w:rsidP="00100188">
      <w:pPr>
        <w:pStyle w:val="Reference"/>
      </w:pPr>
      <w:proofErr w:type="spellStart"/>
      <w:r>
        <w:t>Senot</w:t>
      </w:r>
      <w:proofErr w:type="spellEnd"/>
      <w:r>
        <w:t xml:space="preserve">, C. and </w:t>
      </w:r>
      <w:proofErr w:type="spellStart"/>
      <w:r>
        <w:t>Chandrasekaran</w:t>
      </w:r>
      <w:proofErr w:type="spellEnd"/>
      <w:r>
        <w:t xml:space="preserve">, A. 2015, </w:t>
      </w:r>
      <w:r w:rsidR="003B2762">
        <w:t>‘</w:t>
      </w:r>
      <w:r>
        <w:t>What Has the Biggest Impact on Hospital Readmission Rates</w:t>
      </w:r>
      <w:r w:rsidR="003B2762">
        <w:t>’</w:t>
      </w:r>
      <w:r>
        <w:t xml:space="preserve">, </w:t>
      </w:r>
      <w:r w:rsidRPr="003B2762">
        <w:rPr>
          <w:i/>
        </w:rPr>
        <w:t>Harvard Business Review</w:t>
      </w:r>
      <w:r>
        <w:t>, hbr.org/2015</w:t>
      </w:r>
      <w:r w:rsidR="0049318C">
        <w:t>–</w:t>
      </w:r>
      <w:r>
        <w:t>09/what-has-the-biggest-impact-on-hospital-readmission-rates (accessed 19</w:t>
      </w:r>
      <w:r w:rsidR="0049318C">
        <w:t> </w:t>
      </w:r>
      <w:r>
        <w:t>January 2017).</w:t>
      </w:r>
    </w:p>
    <w:p w14:paraId="2C5C56FF" w14:textId="2A0C8F03" w:rsidR="00016F36" w:rsidRDefault="00016F36" w:rsidP="00100188">
      <w:pPr>
        <w:pStyle w:val="Reference"/>
      </w:pPr>
      <w:proofErr w:type="spellStart"/>
      <w:r>
        <w:t>Seyffert</w:t>
      </w:r>
      <w:proofErr w:type="spellEnd"/>
      <w:r>
        <w:t xml:space="preserve">, M., </w:t>
      </w:r>
      <w:proofErr w:type="spellStart"/>
      <w:r>
        <w:t>Lagisetty</w:t>
      </w:r>
      <w:proofErr w:type="spellEnd"/>
      <w:r>
        <w:t xml:space="preserve">, P., </w:t>
      </w:r>
      <w:proofErr w:type="spellStart"/>
      <w:r>
        <w:t>Landgraf</w:t>
      </w:r>
      <w:proofErr w:type="spellEnd"/>
      <w:r>
        <w:t>, J., Chopra, V., Pfeiffer, P.N., Conte, M.L. and Rogers, M.A.M. 2016, ‘</w:t>
      </w:r>
      <w:proofErr w:type="spellStart"/>
      <w:r>
        <w:t>Internet</w:t>
      </w:r>
      <w:proofErr w:type="spellEnd"/>
      <w:r w:rsidR="0049318C">
        <w:noBreakHyphen/>
      </w:r>
      <w:r>
        <w:t xml:space="preserve">Delivered Cognitive </w:t>
      </w:r>
      <w:proofErr w:type="spellStart"/>
      <w:r>
        <w:t>Behavioral</w:t>
      </w:r>
      <w:proofErr w:type="spellEnd"/>
      <w:r>
        <w:t xml:space="preserve"> Therapy to Treat Insomnia: A Systematic Review and Meta</w:t>
      </w:r>
      <w:r w:rsidR="0049318C">
        <w:noBreakHyphen/>
      </w:r>
      <w:r>
        <w:t xml:space="preserve">Analysis’, </w:t>
      </w:r>
      <w:proofErr w:type="spellStart"/>
      <w:r w:rsidRPr="003B2762">
        <w:rPr>
          <w:i/>
        </w:rPr>
        <w:t>PloS</w:t>
      </w:r>
      <w:proofErr w:type="spellEnd"/>
      <w:r w:rsidRPr="003B2762">
        <w:rPr>
          <w:i/>
        </w:rPr>
        <w:t xml:space="preserve"> One</w:t>
      </w:r>
      <w:r>
        <w:t>, vol. 11, no. 2, p. e0149139.</w:t>
      </w:r>
    </w:p>
    <w:p w14:paraId="6D824794" w14:textId="14251767" w:rsidR="00016F36" w:rsidRDefault="00016F36" w:rsidP="00100188">
      <w:pPr>
        <w:pStyle w:val="Reference"/>
      </w:pPr>
      <w:proofErr w:type="spellStart"/>
      <w:r>
        <w:t>Shanmugaratnam</w:t>
      </w:r>
      <w:proofErr w:type="spellEnd"/>
      <w:r>
        <w:t xml:space="preserve">, T. 2015, </w:t>
      </w:r>
      <w:proofErr w:type="spellStart"/>
      <w:r>
        <w:t>SkillsFuture</w:t>
      </w:r>
      <w:proofErr w:type="spellEnd"/>
      <w:r>
        <w:t xml:space="preserve">, </w:t>
      </w:r>
      <w:proofErr w:type="spellStart"/>
      <w:r>
        <w:t>SkillsFuture</w:t>
      </w:r>
      <w:proofErr w:type="spellEnd"/>
      <w:r>
        <w:t>, www.skillsfuture.sg/ (accessed 25</w:t>
      </w:r>
      <w:r w:rsidR="0049318C">
        <w:t> </w:t>
      </w:r>
      <w:r>
        <w:t>May 2017).</w:t>
      </w:r>
    </w:p>
    <w:p w14:paraId="3A00FBE4" w14:textId="0F698F92" w:rsidR="00016F36" w:rsidRDefault="00016F36" w:rsidP="00100188">
      <w:pPr>
        <w:pStyle w:val="Reference"/>
      </w:pPr>
      <w:proofErr w:type="spellStart"/>
      <w:r>
        <w:t>Sijbrandij</w:t>
      </w:r>
      <w:proofErr w:type="spellEnd"/>
      <w:r>
        <w:t xml:space="preserve">, M., </w:t>
      </w:r>
      <w:proofErr w:type="spellStart"/>
      <w:r>
        <w:t>Kunovski</w:t>
      </w:r>
      <w:proofErr w:type="spellEnd"/>
      <w:r>
        <w:t xml:space="preserve">, I. and </w:t>
      </w:r>
      <w:proofErr w:type="spellStart"/>
      <w:r>
        <w:t>Cuijpers</w:t>
      </w:r>
      <w:proofErr w:type="spellEnd"/>
      <w:r>
        <w:t xml:space="preserve">, P. 2016, ‘Effectiveness of </w:t>
      </w:r>
      <w:proofErr w:type="spellStart"/>
      <w:r>
        <w:t>Internet</w:t>
      </w:r>
      <w:proofErr w:type="spellEnd"/>
      <w:r w:rsidR="0049318C">
        <w:noBreakHyphen/>
      </w:r>
      <w:r>
        <w:t xml:space="preserve">Delivered Cognitive </w:t>
      </w:r>
      <w:proofErr w:type="spellStart"/>
      <w:r>
        <w:t>Behavioral</w:t>
      </w:r>
      <w:proofErr w:type="spellEnd"/>
      <w:r>
        <w:t xml:space="preserve"> Therapy for Posttraumatic Stress Disorder: A Systematic Review and Meta</w:t>
      </w:r>
      <w:r w:rsidR="0049318C">
        <w:noBreakHyphen/>
      </w:r>
      <w:r>
        <w:t xml:space="preserve">Analysis’, </w:t>
      </w:r>
      <w:r w:rsidRPr="003B2762">
        <w:rPr>
          <w:i/>
        </w:rPr>
        <w:t>Depression and Anxiety</w:t>
      </w:r>
      <w:r>
        <w:t>, vol. 33, no. 9, pp. 783–791.</w:t>
      </w:r>
    </w:p>
    <w:p w14:paraId="52CC2EDF" w14:textId="53FDA36F" w:rsidR="00016F36" w:rsidRDefault="00016F36" w:rsidP="00100188">
      <w:pPr>
        <w:pStyle w:val="Reference"/>
      </w:pPr>
      <w:r>
        <w:t>Smith, M. 2014, Can Australian Accounting Graduates Survive Offshoring</w:t>
      </w:r>
      <w:proofErr w:type="gramStart"/>
      <w:r>
        <w:t>?,</w:t>
      </w:r>
      <w:proofErr w:type="gramEnd"/>
      <w:r>
        <w:t xml:space="preserve"> people2people blog, people2people.com.au/blog/can-australian-accounting-graduates-survive-offshoring/ (accessed 17</w:t>
      </w:r>
      <w:r w:rsidR="0049318C">
        <w:t> </w:t>
      </w:r>
      <w:r>
        <w:t>January 2017).</w:t>
      </w:r>
    </w:p>
    <w:p w14:paraId="7E2F0111" w14:textId="53F9CF28" w:rsidR="00016F36" w:rsidRDefault="00016F36" w:rsidP="00100188">
      <w:pPr>
        <w:pStyle w:val="Reference"/>
      </w:pPr>
      <w:r>
        <w:t xml:space="preserve">Smith </w:t>
      </w:r>
      <w:proofErr w:type="spellStart"/>
      <w:r>
        <w:t>Jaggars</w:t>
      </w:r>
      <w:proofErr w:type="spellEnd"/>
      <w:r>
        <w:t xml:space="preserve">, S. and Bailey, T. 2010, </w:t>
      </w:r>
      <w:r w:rsidRPr="003B2762">
        <w:rPr>
          <w:i/>
        </w:rPr>
        <w:t>Effectiveness of Fully Online Courses for College Students: Response to a Department of Education Meta</w:t>
      </w:r>
      <w:r w:rsidR="0049318C" w:rsidRPr="003B2762">
        <w:rPr>
          <w:i/>
        </w:rPr>
        <w:noBreakHyphen/>
      </w:r>
      <w:r w:rsidRPr="003B2762">
        <w:rPr>
          <w:i/>
        </w:rPr>
        <w:t>Analysis</w:t>
      </w:r>
      <w:r>
        <w:t xml:space="preserve">, July, Community College Research </w:t>
      </w:r>
      <w:proofErr w:type="spellStart"/>
      <w:r>
        <w:t>Center</w:t>
      </w:r>
      <w:proofErr w:type="spellEnd"/>
      <w:r>
        <w:t>, Columbia University.</w:t>
      </w:r>
    </w:p>
    <w:p w14:paraId="6C48E421" w14:textId="77777777" w:rsidR="00016F36" w:rsidRDefault="00016F36" w:rsidP="00100188">
      <w:pPr>
        <w:pStyle w:val="Reference"/>
      </w:pPr>
      <w:r>
        <w:t>Stroud, G. 2017, ‘Why do teachers leave?</w:t>
      </w:r>
      <w:proofErr w:type="gramStart"/>
      <w:r>
        <w:t>’,</w:t>
      </w:r>
      <w:proofErr w:type="gramEnd"/>
      <w:r>
        <w:t xml:space="preserve"> </w:t>
      </w:r>
      <w:r w:rsidRPr="003B2762">
        <w:rPr>
          <w:i/>
        </w:rPr>
        <w:t>ABC News</w:t>
      </w:r>
      <w:r>
        <w:t>, 6 February.</w:t>
      </w:r>
    </w:p>
    <w:p w14:paraId="4364C90A" w14:textId="4C6A770C" w:rsidR="00016F36" w:rsidRDefault="00016F36" w:rsidP="00100188">
      <w:pPr>
        <w:pStyle w:val="Reference"/>
      </w:pPr>
      <w:proofErr w:type="spellStart"/>
      <w:r>
        <w:t>Tamim</w:t>
      </w:r>
      <w:proofErr w:type="spellEnd"/>
      <w:r>
        <w:t xml:space="preserve">, R., Bernard, R., </w:t>
      </w:r>
      <w:proofErr w:type="spellStart"/>
      <w:r>
        <w:t>Borokhovski</w:t>
      </w:r>
      <w:proofErr w:type="spellEnd"/>
      <w:r>
        <w:t xml:space="preserve">, P., </w:t>
      </w:r>
      <w:proofErr w:type="spellStart"/>
      <w:r>
        <w:t>Schmid</w:t>
      </w:r>
      <w:proofErr w:type="spellEnd"/>
      <w:r>
        <w:t xml:space="preserve">, A. and </w:t>
      </w:r>
      <w:proofErr w:type="spellStart"/>
      <w:r>
        <w:t>Schmid</w:t>
      </w:r>
      <w:proofErr w:type="spellEnd"/>
      <w:r>
        <w:t>, R. 2011, ‘What Forty Years of Research Says About the Impact of Technology on Learning : A Second</w:t>
      </w:r>
      <w:r w:rsidR="0049318C">
        <w:noBreakHyphen/>
      </w:r>
      <w:r>
        <w:t>Order Meta</w:t>
      </w:r>
      <w:r w:rsidR="0049318C">
        <w:noBreakHyphen/>
      </w:r>
      <w:r>
        <w:t xml:space="preserve">Analysis and Validation Study’, </w:t>
      </w:r>
      <w:r w:rsidRPr="003B2762">
        <w:rPr>
          <w:i/>
        </w:rPr>
        <w:t>Review of Educational Research</w:t>
      </w:r>
      <w:r>
        <w:t>, vol. 81, no. 1, pp. 4–28.</w:t>
      </w:r>
    </w:p>
    <w:p w14:paraId="0C8152A3" w14:textId="3A404DD1" w:rsidR="00016F36" w:rsidRDefault="00016F36" w:rsidP="00100188">
      <w:pPr>
        <w:pStyle w:val="Reference"/>
      </w:pPr>
      <w:r>
        <w:t>Taylor, T. 2016, How Many in the Gig Economy</w:t>
      </w:r>
      <w:proofErr w:type="gramStart"/>
      <w:r>
        <w:t>?,</w:t>
      </w:r>
      <w:proofErr w:type="gramEnd"/>
      <w:r>
        <w:t xml:space="preserve"> </w:t>
      </w:r>
      <w:r w:rsidR="003B2762">
        <w:t>Conversable Economist</w:t>
      </w:r>
      <w:r>
        <w:t>, conversableeconomist.blogspot.com.au/2016/02/how-many-in-gig-economy.html (accessed 18</w:t>
      </w:r>
      <w:r w:rsidR="0049318C">
        <w:t> </w:t>
      </w:r>
      <w:r>
        <w:t>January 2017).</w:t>
      </w:r>
    </w:p>
    <w:p w14:paraId="584BEE10" w14:textId="1A59C07F" w:rsidR="00016F36" w:rsidRDefault="00016F36" w:rsidP="00100188">
      <w:pPr>
        <w:pStyle w:val="Reference"/>
      </w:pPr>
      <w:r w:rsidRPr="003B2762">
        <w:rPr>
          <w:i/>
        </w:rPr>
        <w:t>The Economist</w:t>
      </w:r>
      <w:r>
        <w:t xml:space="preserve"> 2017, ‘The Elephant in the truck: Retraining low</w:t>
      </w:r>
      <w:r w:rsidR="0049318C">
        <w:noBreakHyphen/>
      </w:r>
      <w:r>
        <w:t>skilled workers’</w:t>
      </w:r>
      <w:r w:rsidR="003B2762">
        <w:t>, 14 January.</w:t>
      </w:r>
    </w:p>
    <w:p w14:paraId="73F8B426" w14:textId="77777777" w:rsidR="00016F36" w:rsidRDefault="00016F36" w:rsidP="00100188">
      <w:pPr>
        <w:pStyle w:val="Reference"/>
      </w:pPr>
      <w:r>
        <w:t>Thomson, S. 2016a, ‘Australian schools continue to fall behind other countries in maths and science’, The Conversation, 29 November.</w:t>
      </w:r>
    </w:p>
    <w:p w14:paraId="27241BEE" w14:textId="4AA7B792" w:rsidR="00016F36" w:rsidRDefault="00016F36" w:rsidP="00100188">
      <w:pPr>
        <w:pStyle w:val="Reference"/>
      </w:pPr>
      <w:r>
        <w:t>——</w:t>
      </w:r>
      <w:r w:rsidR="007C024D">
        <w:t> </w:t>
      </w:r>
      <w:r>
        <w:t>2016b, ‘Ideas for Australia: Why is Australia falling behind in maths, science and literacy – and what can be done about it?</w:t>
      </w:r>
      <w:proofErr w:type="gramStart"/>
      <w:r>
        <w:t>’,</w:t>
      </w:r>
      <w:proofErr w:type="gramEnd"/>
      <w:r>
        <w:t xml:space="preserve"> The Conversation, April.</w:t>
      </w:r>
    </w:p>
    <w:p w14:paraId="2F503255" w14:textId="77777777" w:rsidR="00016F36" w:rsidRDefault="00016F36" w:rsidP="00100188">
      <w:pPr>
        <w:pStyle w:val="Reference"/>
      </w:pPr>
      <w:r>
        <w:t xml:space="preserve">——, De </w:t>
      </w:r>
      <w:proofErr w:type="spellStart"/>
      <w:r>
        <w:t>Bortoli</w:t>
      </w:r>
      <w:proofErr w:type="spellEnd"/>
      <w:r>
        <w:t>, L. and Underwood, C. 2016, PISA 2015: A first look at Australian student’s performance, December, Australian Council for Educational Research.</w:t>
      </w:r>
    </w:p>
    <w:p w14:paraId="32A7BB8D" w14:textId="7D8B3652" w:rsidR="00016F36" w:rsidRDefault="00016F36" w:rsidP="00100188">
      <w:pPr>
        <w:pStyle w:val="Reference"/>
      </w:pPr>
      <w:r>
        <w:t>——, —— and ——</w:t>
      </w:r>
      <w:r w:rsidR="007C024D">
        <w:t> </w:t>
      </w:r>
      <w:r>
        <w:t>2017, PISA 2015: Reporting Australia’s results, March, Australian Council for Educational Research.</w:t>
      </w:r>
    </w:p>
    <w:p w14:paraId="67D2CD70" w14:textId="7520918B" w:rsidR="00016F36" w:rsidRDefault="00016F36" w:rsidP="00100188">
      <w:pPr>
        <w:pStyle w:val="Reference"/>
      </w:pPr>
      <w:proofErr w:type="spellStart"/>
      <w:r>
        <w:t>Vandeweyer</w:t>
      </w:r>
      <w:proofErr w:type="spellEnd"/>
      <w:r>
        <w:t>, M. 2016, Soft skills for the future, OECD Skills and Work, oecdskillsandwork.wordpress.com/2016/06/17/soft-skills-for-the-future/ (accessed 8</w:t>
      </w:r>
      <w:r w:rsidR="0049318C">
        <w:t> </w:t>
      </w:r>
      <w:r>
        <w:t>June 2017).</w:t>
      </w:r>
    </w:p>
    <w:p w14:paraId="1D202AE4" w14:textId="6B1AC10C" w:rsidR="00016F36" w:rsidRDefault="00016F36" w:rsidP="00100188">
      <w:pPr>
        <w:pStyle w:val="Reference"/>
      </w:pPr>
      <w:proofErr w:type="spellStart"/>
      <w:r>
        <w:t>Vigerland</w:t>
      </w:r>
      <w:proofErr w:type="spellEnd"/>
      <w:r>
        <w:t xml:space="preserve">, S., </w:t>
      </w:r>
      <w:proofErr w:type="spellStart"/>
      <w:r>
        <w:t>Lenhard</w:t>
      </w:r>
      <w:proofErr w:type="spellEnd"/>
      <w:r>
        <w:t xml:space="preserve">, F., </w:t>
      </w:r>
      <w:proofErr w:type="spellStart"/>
      <w:r>
        <w:t>Bonnert</w:t>
      </w:r>
      <w:proofErr w:type="spellEnd"/>
      <w:r>
        <w:t xml:space="preserve">, M., </w:t>
      </w:r>
      <w:proofErr w:type="spellStart"/>
      <w:r>
        <w:t>Lalouni</w:t>
      </w:r>
      <w:proofErr w:type="spellEnd"/>
      <w:r>
        <w:t xml:space="preserve">, M., </w:t>
      </w:r>
      <w:proofErr w:type="spellStart"/>
      <w:r>
        <w:t>Hedman</w:t>
      </w:r>
      <w:proofErr w:type="spellEnd"/>
      <w:r>
        <w:t xml:space="preserve">, E., Ahlen, J., </w:t>
      </w:r>
      <w:proofErr w:type="spellStart"/>
      <w:r>
        <w:t>Olén</w:t>
      </w:r>
      <w:proofErr w:type="spellEnd"/>
      <w:r>
        <w:t xml:space="preserve">, O., </w:t>
      </w:r>
      <w:proofErr w:type="spellStart"/>
      <w:r>
        <w:t>Serlachius</w:t>
      </w:r>
      <w:proofErr w:type="spellEnd"/>
      <w:r>
        <w:t xml:space="preserve">, E. and </w:t>
      </w:r>
      <w:proofErr w:type="spellStart"/>
      <w:r>
        <w:t>Ljótsson</w:t>
      </w:r>
      <w:proofErr w:type="spellEnd"/>
      <w:r>
        <w:t>, B. 2016, ‘</w:t>
      </w:r>
      <w:proofErr w:type="spellStart"/>
      <w:r>
        <w:t>Internet</w:t>
      </w:r>
      <w:proofErr w:type="spellEnd"/>
      <w:r w:rsidR="0049318C">
        <w:noBreakHyphen/>
      </w:r>
      <w:r>
        <w:t xml:space="preserve">delivered cognitive </w:t>
      </w:r>
      <w:proofErr w:type="spellStart"/>
      <w:r>
        <w:t>behavior</w:t>
      </w:r>
      <w:proofErr w:type="spellEnd"/>
      <w:r>
        <w:t xml:space="preserve"> therapy for children and adolescents: A systematic review and meta</w:t>
      </w:r>
      <w:r w:rsidR="0049318C">
        <w:noBreakHyphen/>
      </w:r>
      <w:r>
        <w:t>analysis’, Clinical Psychology Review, vol. 50, pp. 1–10.</w:t>
      </w:r>
    </w:p>
    <w:p w14:paraId="761A2133" w14:textId="733DC5AE" w:rsidR="00016F36" w:rsidRDefault="00016F36" w:rsidP="00100188">
      <w:pPr>
        <w:pStyle w:val="Reference"/>
      </w:pPr>
      <w:proofErr w:type="spellStart"/>
      <w:r>
        <w:t>Wailes</w:t>
      </w:r>
      <w:proofErr w:type="spellEnd"/>
      <w:r>
        <w:t>, N. 2016, The gig economy: Are workers on demand the future face of employment</w:t>
      </w:r>
      <w:proofErr w:type="gramStart"/>
      <w:r>
        <w:t>?,</w:t>
      </w:r>
      <w:proofErr w:type="gramEnd"/>
      <w:r>
        <w:t xml:space="preserve"> Business Think, www.businessthink.unsw.edu.au:443/Pages/The-gig-economy-Are-workers-on-demand-the-future-face-of-employment.aspx (accessed 7</w:t>
      </w:r>
      <w:r w:rsidR="0049318C">
        <w:t> </w:t>
      </w:r>
      <w:r>
        <w:t>June 2017).</w:t>
      </w:r>
    </w:p>
    <w:p w14:paraId="6378A074" w14:textId="76802B21" w:rsidR="00016F36" w:rsidRDefault="00016F36" w:rsidP="00100188">
      <w:pPr>
        <w:pStyle w:val="Reference"/>
      </w:pPr>
      <w:r>
        <w:t>Weldon, P. 2016, Out-of</w:t>
      </w:r>
      <w:r w:rsidR="0049318C">
        <w:noBreakHyphen/>
      </w:r>
      <w:r>
        <w:t>field Teaching in Australian Secondary Schools, Policy Insights, June, 6, Australian Council for Educational Research.</w:t>
      </w:r>
    </w:p>
    <w:p w14:paraId="25B076F5" w14:textId="77777777" w:rsidR="00016F36" w:rsidRDefault="00016F36" w:rsidP="00100188">
      <w:pPr>
        <w:pStyle w:val="Reference"/>
      </w:pPr>
      <w:r>
        <w:t xml:space="preserve">Williamson, R.C., </w:t>
      </w:r>
      <w:proofErr w:type="spellStart"/>
      <w:r>
        <w:t>Nec</w:t>
      </w:r>
      <w:proofErr w:type="spellEnd"/>
      <w:r>
        <w:t xml:space="preserve"> </w:t>
      </w:r>
      <w:proofErr w:type="spellStart"/>
      <w:r>
        <w:t>Raghnaill</w:t>
      </w:r>
      <w:proofErr w:type="spellEnd"/>
      <w:r>
        <w:t>, M., Douglas, K. and Sanchez, D. 2015, Technology and Australia’s Future: New Technologies and Their Role in Australia’s Security, Cultural, Democratic, Social and Economic Systems, September, Australian Council of Learned Academies.</w:t>
      </w:r>
    </w:p>
    <w:p w14:paraId="7DD04F4B" w14:textId="3573CA45" w:rsidR="00016F36" w:rsidRDefault="00016F36" w:rsidP="00100188">
      <w:pPr>
        <w:pStyle w:val="Reference"/>
      </w:pPr>
      <w:r>
        <w:t>Wilson, R., Dalton, B. and Baumann, C. 2015, ‘Six ways Australia’s education system is failing our kids’, The Conversation, 16 March, http://theconversation.com/six-ways-australias-education-system-is-failing-our-kids-32958 (accessed 29</w:t>
      </w:r>
      <w:r w:rsidR="0049318C">
        <w:t> </w:t>
      </w:r>
      <w:r>
        <w:t>March 2017).</w:t>
      </w:r>
    </w:p>
    <w:p w14:paraId="3B7EFC96" w14:textId="4CD1980E" w:rsidR="00016F36" w:rsidRDefault="00016F36" w:rsidP="00100188">
      <w:pPr>
        <w:pStyle w:val="Reference"/>
      </w:pPr>
      <w:r>
        <w:t>Wood, S. 2014, ‘Redundancy: when lo</w:t>
      </w:r>
      <w:r w:rsidR="007A0DAE">
        <w:t>sing your job means losing your</w:t>
      </w:r>
      <w:r>
        <w:t>self’, Sydney Morning Herald, 20 July, www.smh.com.au/nsw/redundancy-when-losing-your-job-means-losing-your-self-20140521-zrjya.html (accessed 17</w:t>
      </w:r>
      <w:r w:rsidR="0049318C">
        <w:t> </w:t>
      </w:r>
      <w:r>
        <w:t>November 2016).</w:t>
      </w:r>
    </w:p>
    <w:p w14:paraId="2E7591AE" w14:textId="7CC75FF4" w:rsidR="00916E2C" w:rsidRPr="00916E2C" w:rsidRDefault="00016F36" w:rsidP="00100188">
      <w:pPr>
        <w:pStyle w:val="Reference"/>
      </w:pPr>
      <w:r>
        <w:t xml:space="preserve">Woods, G. 2007, </w:t>
      </w:r>
      <w:proofErr w:type="gramStart"/>
      <w:r>
        <w:t>The</w:t>
      </w:r>
      <w:proofErr w:type="gramEnd"/>
      <w:r>
        <w:t xml:space="preserve"> statistical evidence for offshore outsourcing and its impact on the Australian labour force, Research Paper, 3 2007</w:t>
      </w:r>
      <w:r w:rsidR="0049318C">
        <w:noBreakHyphen/>
      </w:r>
      <w:r>
        <w:t>08.</w:t>
      </w:r>
    </w:p>
    <w:sectPr w:rsidR="00916E2C" w:rsidRPr="00916E2C" w:rsidSect="00EC3764">
      <w:type w:val="oddPage"/>
      <w:pgSz w:w="11907" w:h="16840" w:code="9"/>
      <w:pgMar w:top="1984"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E60AA" w14:textId="77777777" w:rsidR="0049318C" w:rsidRDefault="0049318C">
      <w:r>
        <w:separator/>
      </w:r>
    </w:p>
  </w:endnote>
  <w:endnote w:type="continuationSeparator" w:id="0">
    <w:p w14:paraId="07736FA4" w14:textId="77777777" w:rsidR="0049318C" w:rsidRDefault="0049318C">
      <w:r>
        <w:continuationSeparator/>
      </w:r>
    </w:p>
  </w:endnote>
  <w:endnote w:type="continuationNotice" w:id="1">
    <w:p w14:paraId="65CF84B4" w14:textId="77777777" w:rsidR="0049318C" w:rsidRDefault="00493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9318C" w14:paraId="2376DB3B" w14:textId="77777777" w:rsidTr="005F48ED">
      <w:trPr>
        <w:trHeight w:hRule="exact" w:val="567"/>
      </w:trPr>
      <w:tc>
        <w:tcPr>
          <w:tcW w:w="510" w:type="dxa"/>
        </w:tcPr>
        <w:p w14:paraId="3BBBEA96" w14:textId="77777777" w:rsidR="0049318C" w:rsidRPr="00A24443" w:rsidRDefault="0049318C"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3323623F" w14:textId="77777777" w:rsidR="0049318C" w:rsidRPr="0013739A" w:rsidRDefault="0049318C"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14:paraId="6F7CD7FC" w14:textId="77777777" w:rsidR="0049318C" w:rsidRDefault="0049318C" w:rsidP="0019293B">
          <w:pPr>
            <w:pStyle w:val="Footer"/>
          </w:pPr>
        </w:p>
      </w:tc>
    </w:tr>
  </w:tbl>
  <w:p w14:paraId="21C52381" w14:textId="77777777" w:rsidR="0049318C" w:rsidRDefault="0049318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9318C" w14:paraId="32508001" w14:textId="77777777" w:rsidTr="005F48ED">
      <w:trPr>
        <w:trHeight w:hRule="exact" w:val="567"/>
      </w:trPr>
      <w:tc>
        <w:tcPr>
          <w:tcW w:w="510" w:type="dxa"/>
        </w:tcPr>
        <w:p w14:paraId="3474EBB9" w14:textId="77777777" w:rsidR="0049318C" w:rsidRDefault="0049318C">
          <w:pPr>
            <w:pStyle w:val="Footer"/>
            <w:ind w:right="360" w:firstLine="360"/>
          </w:pPr>
        </w:p>
      </w:tc>
      <w:tc>
        <w:tcPr>
          <w:tcW w:w="7767" w:type="dxa"/>
        </w:tcPr>
        <w:p w14:paraId="0483DC52" w14:textId="0B062807" w:rsidR="0049318C" w:rsidRPr="00BA5B14" w:rsidRDefault="0049318C" w:rsidP="001A77AF">
          <w:pPr>
            <w:pStyle w:val="Footer"/>
            <w:jc w:val="right"/>
            <w:rPr>
              <w:rFonts w:cs="Arial"/>
            </w:rPr>
          </w:pPr>
          <w:r>
            <w:rPr>
              <w:rFonts w:cs="Arial"/>
            </w:rPr>
            <w:t>SP 8 – upskilling and retraining</w:t>
          </w:r>
        </w:p>
      </w:tc>
      <w:tc>
        <w:tcPr>
          <w:tcW w:w="510" w:type="dxa"/>
        </w:tcPr>
        <w:p w14:paraId="51A7ED89" w14:textId="77777777" w:rsidR="0049318C" w:rsidRPr="00A24443" w:rsidRDefault="0049318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16F03">
            <w:rPr>
              <w:rStyle w:val="PageNumber"/>
              <w:caps w:val="0"/>
              <w:noProof/>
            </w:rPr>
            <w:t>1</w:t>
          </w:r>
          <w:r w:rsidRPr="00A24443">
            <w:rPr>
              <w:rStyle w:val="PageNumber"/>
              <w:caps w:val="0"/>
            </w:rPr>
            <w:fldChar w:fldCharType="end"/>
          </w:r>
        </w:p>
      </w:tc>
    </w:tr>
  </w:tbl>
  <w:p w14:paraId="554B7B08" w14:textId="77777777" w:rsidR="0049318C" w:rsidRDefault="0049318C">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9318C" w14:paraId="4C403ECF" w14:textId="77777777" w:rsidTr="005F48ED">
      <w:trPr>
        <w:trHeight w:hRule="exact" w:val="567"/>
      </w:trPr>
      <w:tc>
        <w:tcPr>
          <w:tcW w:w="510" w:type="dxa"/>
        </w:tcPr>
        <w:p w14:paraId="7AB859ED" w14:textId="77777777" w:rsidR="0049318C" w:rsidRPr="00A24443" w:rsidRDefault="0049318C"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A0F9B">
            <w:rPr>
              <w:rStyle w:val="PageNumber"/>
              <w:caps w:val="0"/>
              <w:noProof/>
            </w:rPr>
            <w:t>44</w:t>
          </w:r>
          <w:r w:rsidRPr="00A24443">
            <w:rPr>
              <w:rStyle w:val="PageNumber"/>
              <w:caps w:val="0"/>
            </w:rPr>
            <w:fldChar w:fldCharType="end"/>
          </w:r>
        </w:p>
      </w:tc>
      <w:tc>
        <w:tcPr>
          <w:tcW w:w="7767" w:type="dxa"/>
        </w:tcPr>
        <w:p w14:paraId="0D5ECDE0" w14:textId="76CBA01E" w:rsidR="0049318C" w:rsidRPr="0013739A" w:rsidRDefault="0049318C" w:rsidP="0013739A">
          <w:pPr>
            <w:pStyle w:val="Footer"/>
            <w:rPr>
              <w:rFonts w:cs="Arial"/>
            </w:rPr>
          </w:pPr>
          <w:r>
            <w:rPr>
              <w:rFonts w:cs="Arial"/>
            </w:rPr>
            <w:t>Productivity Review</w:t>
          </w: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14:paraId="090CD47C" w14:textId="77777777" w:rsidR="0049318C" w:rsidRDefault="0049318C" w:rsidP="0019293B">
          <w:pPr>
            <w:pStyle w:val="Footer"/>
          </w:pPr>
        </w:p>
      </w:tc>
    </w:tr>
  </w:tbl>
  <w:p w14:paraId="57B67A04" w14:textId="77777777" w:rsidR="0049318C" w:rsidRDefault="0049318C" w:rsidP="0019293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9318C" w14:paraId="3E6A9E28" w14:textId="77777777" w:rsidTr="005F48ED">
      <w:trPr>
        <w:trHeight w:hRule="exact" w:val="567"/>
      </w:trPr>
      <w:tc>
        <w:tcPr>
          <w:tcW w:w="510" w:type="dxa"/>
        </w:tcPr>
        <w:p w14:paraId="5A8B43F2" w14:textId="77777777" w:rsidR="0049318C" w:rsidRDefault="0049318C">
          <w:pPr>
            <w:pStyle w:val="Footer"/>
            <w:ind w:right="360" w:firstLine="360"/>
          </w:pPr>
        </w:p>
      </w:tc>
      <w:tc>
        <w:tcPr>
          <w:tcW w:w="7767" w:type="dxa"/>
        </w:tcPr>
        <w:p w14:paraId="2BBA6EC3" w14:textId="063A5582" w:rsidR="0049318C" w:rsidRPr="00BA5B14" w:rsidRDefault="0049318C" w:rsidP="001A77AF">
          <w:pPr>
            <w:pStyle w:val="Footer"/>
            <w:jc w:val="right"/>
            <w:rPr>
              <w:rFonts w:cs="Arial"/>
            </w:rPr>
          </w:pPr>
          <w:r>
            <w:rPr>
              <w:rFonts w:cs="Arial"/>
            </w:rPr>
            <w:t>SP 8 – upskilling and retraining</w:t>
          </w:r>
        </w:p>
      </w:tc>
      <w:tc>
        <w:tcPr>
          <w:tcW w:w="510" w:type="dxa"/>
        </w:tcPr>
        <w:p w14:paraId="2A37EC22" w14:textId="77777777" w:rsidR="0049318C" w:rsidRPr="00A24443" w:rsidRDefault="0049318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A0F9B">
            <w:rPr>
              <w:rStyle w:val="PageNumber"/>
              <w:caps w:val="0"/>
              <w:noProof/>
            </w:rPr>
            <w:t>45</w:t>
          </w:r>
          <w:r w:rsidRPr="00A24443">
            <w:rPr>
              <w:rStyle w:val="PageNumber"/>
              <w:caps w:val="0"/>
            </w:rPr>
            <w:fldChar w:fldCharType="end"/>
          </w:r>
        </w:p>
      </w:tc>
    </w:tr>
  </w:tbl>
  <w:p w14:paraId="1B423B27" w14:textId="77777777" w:rsidR="0049318C" w:rsidRDefault="0049318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4D96B" w14:textId="77777777" w:rsidR="0049318C" w:rsidRDefault="0049318C">
      <w:r>
        <w:separator/>
      </w:r>
    </w:p>
  </w:footnote>
  <w:footnote w:type="continuationSeparator" w:id="0">
    <w:p w14:paraId="4AB779E7" w14:textId="77777777" w:rsidR="0049318C" w:rsidRDefault="0049318C">
      <w:r>
        <w:continuationSeparator/>
      </w:r>
    </w:p>
  </w:footnote>
  <w:footnote w:type="continuationNotice" w:id="1">
    <w:p w14:paraId="6BDFA6DF" w14:textId="77777777" w:rsidR="0049318C" w:rsidRDefault="0049318C"/>
  </w:footnote>
  <w:footnote w:id="2">
    <w:p w14:paraId="57436D45" w14:textId="230815B2" w:rsidR="0049318C" w:rsidRDefault="0049318C">
      <w:pPr>
        <w:pStyle w:val="FootnoteText"/>
      </w:pPr>
      <w:r w:rsidRPr="00214E24">
        <w:rPr>
          <w:rStyle w:val="FootnoteReference"/>
        </w:rPr>
        <w:footnoteRef/>
      </w:r>
      <w:r>
        <w:tab/>
        <w:t xml:space="preserve">A substantial share of retirements are involuntary, for example, due to retrenchment and subsequent difficulties in obtaining a job </w:t>
      </w:r>
      <w:r w:rsidRPr="00F56992">
        <w:rPr>
          <w:szCs w:val="24"/>
        </w:rPr>
        <w:t>(Australian Centre for Financial Studies 2014)</w:t>
      </w:r>
      <w:r>
        <w:t xml:space="preserve">. This increases financial insecurity in retirement or in the years leading up to retirement, particularly if workers have not received large redundancy payments. </w:t>
      </w:r>
    </w:p>
  </w:footnote>
  <w:footnote w:id="3">
    <w:p w14:paraId="3D074402" w14:textId="285FAFDA" w:rsidR="0049318C" w:rsidRDefault="0049318C" w:rsidP="009F652B">
      <w:pPr>
        <w:pStyle w:val="FootnoteText"/>
      </w:pPr>
      <w:r w:rsidRPr="00214E24">
        <w:rPr>
          <w:rStyle w:val="FootnoteReference"/>
        </w:rPr>
        <w:footnoteRef/>
      </w:r>
      <w:r>
        <w:tab/>
        <w:t xml:space="preserve">The average age of retirement among labourers is approximately 58 years old with 35 per cent retiring prior to 55 years old </w:t>
      </w:r>
      <w:r w:rsidRPr="00F56992">
        <w:rPr>
          <w:szCs w:val="24"/>
        </w:rPr>
        <w:t>(ABS 2016c)</w:t>
      </w:r>
      <w:r>
        <w:t xml:space="preserve">. </w:t>
      </w:r>
    </w:p>
  </w:footnote>
  <w:footnote w:id="4">
    <w:p w14:paraId="2A00A789" w14:textId="40EBF60C" w:rsidR="0049318C" w:rsidRDefault="0049318C" w:rsidP="00F4592B">
      <w:pPr>
        <w:pStyle w:val="FootnoteText"/>
      </w:pPr>
      <w:r w:rsidRPr="00214E24">
        <w:rPr>
          <w:rStyle w:val="FootnoteReference"/>
        </w:rPr>
        <w:footnoteRef/>
      </w:r>
      <w:r>
        <w:tab/>
        <w:t xml:space="preserve">Atkinson and Wu </w:t>
      </w:r>
      <w:r w:rsidRPr="00B54A80">
        <w:t>(2017)</w:t>
      </w:r>
      <w:r>
        <w:t xml:space="preserve"> are quite scathing of the Frey and Osborne methodology used to calculate job losses noting that they are ‘the products of faulty logic and erroneous empirical analysis, making them simply irrelevant to the current policy debate’ (p. 1).  </w:t>
      </w:r>
    </w:p>
  </w:footnote>
  <w:footnote w:id="5">
    <w:p w14:paraId="4C1513A1" w14:textId="61B3251B" w:rsidR="0049318C" w:rsidRDefault="0049318C" w:rsidP="00191A14">
      <w:pPr>
        <w:pStyle w:val="FootnoteText"/>
      </w:pPr>
      <w:r w:rsidRPr="00214E24">
        <w:rPr>
          <w:rStyle w:val="FootnoteReference"/>
        </w:rPr>
        <w:footnoteRef/>
      </w:r>
      <w:r>
        <w:tab/>
      </w:r>
      <w:r w:rsidRPr="00C40F54">
        <w:t>A major reason for the uptake of the Disability Support Pension prior to the 2000s was the long</w:t>
      </w:r>
      <w:r>
        <w:noBreakHyphen/>
      </w:r>
      <w:r w:rsidRPr="00C40F54">
        <w:t>term unemployment of low</w:t>
      </w:r>
      <w:r>
        <w:noBreakHyphen/>
      </w:r>
      <w:r w:rsidRPr="00C40F54">
        <w:t>skill, older workers associated with structural changes in manufacturing. Once on the DSP, few ever left to get another job (death and eligibility for the Age Pension being the most common reason for exiting this payment).</w:t>
      </w:r>
    </w:p>
  </w:footnote>
  <w:footnote w:id="6">
    <w:p w14:paraId="69FF598D" w14:textId="6A1C6539" w:rsidR="0049318C" w:rsidRDefault="0049318C">
      <w:pPr>
        <w:pStyle w:val="FootnoteText"/>
      </w:pPr>
      <w:r w:rsidRPr="00214E24">
        <w:rPr>
          <w:rStyle w:val="FootnoteReference"/>
        </w:rPr>
        <w:footnoteRef/>
      </w:r>
      <w:r>
        <w:tab/>
        <w:t>Based on Productivity Commission calculations using the ABS Australian Census Longitudinal Dataset 2006</w:t>
      </w:r>
      <w:r>
        <w:noBreakHyphen/>
        <w:t>20</w:t>
      </w:r>
      <w:r w:rsidRPr="00F16721">
        <w:t>11</w:t>
      </w:r>
      <w:r>
        <w:t>.</w:t>
      </w:r>
    </w:p>
  </w:footnote>
  <w:footnote w:id="7">
    <w:p w14:paraId="474503B2" w14:textId="586F16CA" w:rsidR="0049318C" w:rsidRDefault="0049318C">
      <w:pPr>
        <w:pStyle w:val="FootnoteText"/>
      </w:pPr>
      <w:r w:rsidRPr="00214E24">
        <w:rPr>
          <w:rStyle w:val="FootnoteReference"/>
        </w:rPr>
        <w:footnoteRef/>
      </w:r>
      <w:r>
        <w:tab/>
        <w:t xml:space="preserve">There is also emerging case law in the United States and the United Kingdom that challenges the preconception that people working under platform arrangements, such as Uber, are contractors. In 2016, the UK Employment Tribunal found that Uber drivers were employees and not contractors, as claimed by Uber </w:t>
      </w:r>
      <w:r w:rsidRPr="00F83174">
        <w:rPr>
          <w:szCs w:val="24"/>
        </w:rPr>
        <w:t>(</w:t>
      </w:r>
      <w:proofErr w:type="spellStart"/>
      <w:r w:rsidRPr="00F83174">
        <w:rPr>
          <w:szCs w:val="24"/>
        </w:rPr>
        <w:t>Macinnis</w:t>
      </w:r>
      <w:proofErr w:type="spellEnd"/>
      <w:r w:rsidRPr="00F83174">
        <w:rPr>
          <w:szCs w:val="24"/>
        </w:rPr>
        <w:t> 2016)</w:t>
      </w:r>
      <w:r>
        <w:t>.</w:t>
      </w:r>
    </w:p>
  </w:footnote>
  <w:footnote w:id="8">
    <w:p w14:paraId="4207435C" w14:textId="77777777" w:rsidR="0049318C" w:rsidRDefault="0049318C" w:rsidP="007705AA">
      <w:pPr>
        <w:pStyle w:val="FootnoteText"/>
      </w:pPr>
      <w:r w:rsidRPr="00214E24">
        <w:rPr>
          <w:rStyle w:val="FootnoteReference"/>
        </w:rPr>
        <w:footnoteRef/>
      </w:r>
      <w:r>
        <w:tab/>
        <w:t xml:space="preserve">ABS 2016, </w:t>
      </w:r>
      <w:r w:rsidRPr="00A86343">
        <w:rPr>
          <w:i/>
        </w:rPr>
        <w:t>Education and Work, Australia, May 2016</w:t>
      </w:r>
      <w:r>
        <w:t>, Cat. </w:t>
      </w:r>
      <w:proofErr w:type="gramStart"/>
      <w:r>
        <w:t>no</w:t>
      </w:r>
      <w:proofErr w:type="gramEnd"/>
      <w:r>
        <w:t>. 6227.0, table 14.</w:t>
      </w:r>
    </w:p>
  </w:footnote>
  <w:footnote w:id="9">
    <w:p w14:paraId="712C9C06" w14:textId="3C8DCD3B" w:rsidR="0049318C" w:rsidRDefault="0049318C" w:rsidP="00E312DF">
      <w:pPr>
        <w:pStyle w:val="FootnoteText"/>
      </w:pPr>
      <w:r w:rsidRPr="00214E24">
        <w:rPr>
          <w:rStyle w:val="FootnoteReference"/>
        </w:rPr>
        <w:footnoteRef/>
      </w:r>
      <w:r>
        <w:tab/>
        <w:t>However, p</w:t>
      </w:r>
      <w:r w:rsidRPr="006C5B2E">
        <w:t xml:space="preserve">oor </w:t>
      </w:r>
      <w:r w:rsidRPr="002C6BC7">
        <w:t xml:space="preserve">academic performance is not generally the result of any single risk factor, but </w:t>
      </w:r>
      <w:r w:rsidRPr="00901714">
        <w:t xml:space="preserve">rather a combination of various barriers and disadvantages that affect students throughout their lives and consequently will require a range of policy interventions beyond education </w:t>
      </w:r>
      <w:r w:rsidRPr="00011F56">
        <w:rPr>
          <w:szCs w:val="24"/>
        </w:rPr>
        <w:t>(OECD 2016a)</w:t>
      </w:r>
      <w:r w:rsidRPr="000E246C">
        <w:t>.</w:t>
      </w:r>
    </w:p>
  </w:footnote>
  <w:footnote w:id="10">
    <w:p w14:paraId="1198BD42" w14:textId="2E4BA547" w:rsidR="0049318C" w:rsidRDefault="0049318C" w:rsidP="000E3914">
      <w:pPr>
        <w:pStyle w:val="FootnoteText"/>
      </w:pPr>
      <w:r w:rsidRPr="00214E24">
        <w:rPr>
          <w:rStyle w:val="FootnoteReference"/>
        </w:rPr>
        <w:footnoteRef/>
      </w:r>
      <w:r>
        <w:tab/>
      </w:r>
      <w:r w:rsidRPr="00D55B7B">
        <w:t>For example, depressive symptoms</w:t>
      </w:r>
      <w:r>
        <w:t xml:space="preserve"> </w:t>
      </w:r>
      <w:r w:rsidRPr="00751A3A">
        <w:rPr>
          <w:szCs w:val="24"/>
        </w:rPr>
        <w:t>(</w:t>
      </w:r>
      <w:proofErr w:type="spellStart"/>
      <w:r w:rsidRPr="00751A3A">
        <w:rPr>
          <w:szCs w:val="24"/>
        </w:rPr>
        <w:t>Cuijpers</w:t>
      </w:r>
      <w:proofErr w:type="spellEnd"/>
      <w:r w:rsidRPr="00751A3A">
        <w:rPr>
          <w:szCs w:val="24"/>
        </w:rPr>
        <w:t xml:space="preserve"> et al. 2011)</w:t>
      </w:r>
      <w:r w:rsidRPr="00D55B7B">
        <w:t>; anxiety disorders and chronic pain</w:t>
      </w:r>
      <w:r>
        <w:t xml:space="preserve"> </w:t>
      </w:r>
      <w:r w:rsidRPr="00751A3A">
        <w:rPr>
          <w:szCs w:val="24"/>
        </w:rPr>
        <w:t>(</w:t>
      </w:r>
      <w:proofErr w:type="spellStart"/>
      <w:r w:rsidRPr="00751A3A">
        <w:rPr>
          <w:szCs w:val="24"/>
        </w:rPr>
        <w:t>Vigerland</w:t>
      </w:r>
      <w:proofErr w:type="spellEnd"/>
      <w:r w:rsidRPr="00751A3A">
        <w:rPr>
          <w:szCs w:val="24"/>
        </w:rPr>
        <w:t xml:space="preserve"> et al. 2016)</w:t>
      </w:r>
      <w:r w:rsidRPr="00D55B7B">
        <w:t xml:space="preserve">; sleep disorders </w:t>
      </w:r>
      <w:r w:rsidRPr="00751A3A">
        <w:rPr>
          <w:szCs w:val="24"/>
        </w:rPr>
        <w:t>(</w:t>
      </w:r>
      <w:proofErr w:type="spellStart"/>
      <w:r w:rsidRPr="00751A3A">
        <w:rPr>
          <w:szCs w:val="24"/>
        </w:rPr>
        <w:t>Seyffert</w:t>
      </w:r>
      <w:proofErr w:type="spellEnd"/>
      <w:r w:rsidRPr="00751A3A">
        <w:rPr>
          <w:szCs w:val="24"/>
        </w:rPr>
        <w:t xml:space="preserve"> et al. 2016)</w:t>
      </w:r>
      <w:r w:rsidRPr="00D55B7B">
        <w:t xml:space="preserve"> and p</w:t>
      </w:r>
      <w:r>
        <w:t xml:space="preserve">ost-traumatic stress disorder </w:t>
      </w:r>
      <w:r w:rsidRPr="00751A3A">
        <w:rPr>
          <w:szCs w:val="24"/>
        </w:rPr>
        <w:t>(</w:t>
      </w:r>
      <w:proofErr w:type="spellStart"/>
      <w:r w:rsidRPr="00751A3A">
        <w:rPr>
          <w:szCs w:val="24"/>
        </w:rPr>
        <w:t>Sijbrandij</w:t>
      </w:r>
      <w:proofErr w:type="spellEnd"/>
      <w:r w:rsidRPr="00751A3A">
        <w:rPr>
          <w:szCs w:val="24"/>
        </w:rPr>
        <w:t xml:space="preserve">, </w:t>
      </w:r>
      <w:proofErr w:type="spellStart"/>
      <w:r w:rsidRPr="00751A3A">
        <w:rPr>
          <w:szCs w:val="24"/>
        </w:rPr>
        <w:t>Kunovski</w:t>
      </w:r>
      <w:proofErr w:type="spellEnd"/>
      <w:r w:rsidRPr="00751A3A">
        <w:rPr>
          <w:szCs w:val="24"/>
        </w:rPr>
        <w:t xml:space="preserve"> and </w:t>
      </w:r>
      <w:proofErr w:type="spellStart"/>
      <w:r w:rsidRPr="00751A3A">
        <w:rPr>
          <w:szCs w:val="24"/>
        </w:rPr>
        <w:t>Cuijpers</w:t>
      </w:r>
      <w:proofErr w:type="spellEnd"/>
      <w:r w:rsidRPr="00751A3A">
        <w:rPr>
          <w:szCs w:val="24"/>
        </w:rPr>
        <w:t> 2016)</w:t>
      </w:r>
      <w:r w:rsidRPr="00D55B7B">
        <w:t>.</w:t>
      </w:r>
    </w:p>
  </w:footnote>
  <w:footnote w:id="11">
    <w:p w14:paraId="500D73A6" w14:textId="77777777" w:rsidR="0049318C" w:rsidRDefault="0049318C" w:rsidP="00A41925">
      <w:pPr>
        <w:pStyle w:val="FootnoteText"/>
      </w:pPr>
      <w:r w:rsidRPr="00214E24">
        <w:rPr>
          <w:rStyle w:val="FootnoteReference"/>
        </w:rPr>
        <w:footnoteRef/>
      </w:r>
      <w:r>
        <w:tab/>
        <w:t xml:space="preserve">Businesses may not invest in people with inadequate initial skills.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9318C" w14:paraId="1A5D2C73" w14:textId="77777777">
      <w:tc>
        <w:tcPr>
          <w:tcW w:w="2155" w:type="dxa"/>
          <w:tcBorders>
            <w:top w:val="single" w:sz="24" w:space="0" w:color="auto"/>
          </w:tcBorders>
        </w:tcPr>
        <w:p w14:paraId="250F6C8F" w14:textId="77777777" w:rsidR="0049318C" w:rsidRDefault="0049318C" w:rsidP="0019293B">
          <w:pPr>
            <w:pStyle w:val="HeaderEven"/>
          </w:pPr>
        </w:p>
      </w:tc>
      <w:tc>
        <w:tcPr>
          <w:tcW w:w="6634" w:type="dxa"/>
          <w:tcBorders>
            <w:top w:val="single" w:sz="6" w:space="0" w:color="auto"/>
          </w:tcBorders>
        </w:tcPr>
        <w:p w14:paraId="5BC4722E" w14:textId="77777777" w:rsidR="0049318C" w:rsidRDefault="0049318C" w:rsidP="0019293B">
          <w:pPr>
            <w:pStyle w:val="HeaderEven"/>
          </w:pPr>
        </w:p>
      </w:tc>
    </w:tr>
  </w:tbl>
  <w:p w14:paraId="037EF42C" w14:textId="77777777" w:rsidR="0049318C" w:rsidRDefault="0049318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9318C" w14:paraId="60BA5EBA" w14:textId="77777777">
      <w:tc>
        <w:tcPr>
          <w:tcW w:w="6634" w:type="dxa"/>
          <w:tcBorders>
            <w:top w:val="single" w:sz="6" w:space="0" w:color="auto"/>
          </w:tcBorders>
        </w:tcPr>
        <w:p w14:paraId="237ECA96" w14:textId="77777777" w:rsidR="0049318C" w:rsidRPr="004F14A7" w:rsidRDefault="0049318C" w:rsidP="00E669E2">
          <w:pPr>
            <w:pStyle w:val="HeaderOdd"/>
            <w:rPr>
              <w:sz w:val="18"/>
              <w:szCs w:val="18"/>
            </w:rPr>
          </w:pPr>
        </w:p>
      </w:tc>
      <w:tc>
        <w:tcPr>
          <w:tcW w:w="2155" w:type="dxa"/>
          <w:tcBorders>
            <w:top w:val="single" w:sz="24" w:space="0" w:color="auto"/>
          </w:tcBorders>
        </w:tcPr>
        <w:p w14:paraId="522E9942" w14:textId="77777777" w:rsidR="0049318C" w:rsidRDefault="0049318C" w:rsidP="00E669E2">
          <w:pPr>
            <w:pStyle w:val="HeaderOdd"/>
          </w:pPr>
        </w:p>
      </w:tc>
    </w:tr>
  </w:tbl>
  <w:p w14:paraId="68D0F908" w14:textId="77777777" w:rsidR="0049318C" w:rsidRDefault="0049318C"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9318C" w14:paraId="4369FB5D" w14:textId="77777777">
      <w:tc>
        <w:tcPr>
          <w:tcW w:w="2155" w:type="dxa"/>
          <w:tcBorders>
            <w:top w:val="single" w:sz="24" w:space="0" w:color="auto"/>
          </w:tcBorders>
        </w:tcPr>
        <w:p w14:paraId="4E2DDE87" w14:textId="77777777" w:rsidR="0049318C" w:rsidRDefault="0049318C" w:rsidP="0019293B">
          <w:pPr>
            <w:pStyle w:val="HeaderEven"/>
          </w:pPr>
        </w:p>
      </w:tc>
      <w:tc>
        <w:tcPr>
          <w:tcW w:w="6634" w:type="dxa"/>
          <w:tcBorders>
            <w:top w:val="single" w:sz="6" w:space="0" w:color="auto"/>
          </w:tcBorders>
        </w:tcPr>
        <w:p w14:paraId="50BED123" w14:textId="77777777" w:rsidR="0049318C" w:rsidRDefault="0049318C" w:rsidP="0019293B">
          <w:pPr>
            <w:pStyle w:val="HeaderEven"/>
          </w:pPr>
        </w:p>
      </w:tc>
    </w:tr>
  </w:tbl>
  <w:p w14:paraId="53DCFBD8" w14:textId="77777777" w:rsidR="0049318C" w:rsidRDefault="0049318C"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9318C" w14:paraId="07910B52" w14:textId="77777777">
      <w:tc>
        <w:tcPr>
          <w:tcW w:w="6634" w:type="dxa"/>
          <w:tcBorders>
            <w:top w:val="single" w:sz="6" w:space="0" w:color="auto"/>
          </w:tcBorders>
        </w:tcPr>
        <w:p w14:paraId="1A4C610D" w14:textId="77777777" w:rsidR="0049318C" w:rsidRPr="004F14A7" w:rsidRDefault="0049318C" w:rsidP="00E669E2">
          <w:pPr>
            <w:pStyle w:val="HeaderOdd"/>
            <w:rPr>
              <w:sz w:val="18"/>
              <w:szCs w:val="18"/>
            </w:rPr>
          </w:pPr>
        </w:p>
      </w:tc>
      <w:tc>
        <w:tcPr>
          <w:tcW w:w="2155" w:type="dxa"/>
          <w:tcBorders>
            <w:top w:val="single" w:sz="24" w:space="0" w:color="auto"/>
          </w:tcBorders>
        </w:tcPr>
        <w:p w14:paraId="7F33F6D3" w14:textId="77777777" w:rsidR="0049318C" w:rsidRDefault="0049318C" w:rsidP="00E669E2">
          <w:pPr>
            <w:pStyle w:val="HeaderOdd"/>
          </w:pPr>
        </w:p>
      </w:tc>
    </w:tr>
  </w:tbl>
  <w:p w14:paraId="626BF645" w14:textId="77777777" w:rsidR="0049318C" w:rsidRDefault="0049318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D257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E580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7F2C13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4660A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5F2DD3"/>
    <w:multiLevelType w:val="hybridMultilevel"/>
    <w:tmpl w:val="168C60C2"/>
    <w:lvl w:ilvl="0" w:tplc="122EDE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15:restartNumberingAfterBreak="0">
    <w:nsid w:val="2912614D"/>
    <w:multiLevelType w:val="hybridMultilevel"/>
    <w:tmpl w:val="2494A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8" w15:restartNumberingAfterBreak="0">
    <w:nsid w:val="4A4615D8"/>
    <w:multiLevelType w:val="hybridMultilevel"/>
    <w:tmpl w:val="4A0E8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3"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7"/>
  </w:num>
  <w:num w:numId="2">
    <w:abstractNumId w:val="6"/>
  </w:num>
  <w:num w:numId="3">
    <w:abstractNumId w:val="20"/>
  </w:num>
  <w:num w:numId="4">
    <w:abstractNumId w:val="7"/>
  </w:num>
  <w:num w:numId="5">
    <w:abstractNumId w:val="25"/>
  </w:num>
  <w:num w:numId="6">
    <w:abstractNumId w:val="22"/>
  </w:num>
  <w:num w:numId="7">
    <w:abstractNumId w:val="11"/>
  </w:num>
  <w:num w:numId="8">
    <w:abstractNumId w:val="21"/>
  </w:num>
  <w:num w:numId="9">
    <w:abstractNumId w:val="10"/>
  </w:num>
  <w:num w:numId="10">
    <w:abstractNumId w:val="9"/>
  </w:num>
  <w:num w:numId="11">
    <w:abstractNumId w:val="14"/>
  </w:num>
  <w:num w:numId="12">
    <w:abstractNumId w:val="16"/>
  </w:num>
  <w:num w:numId="13">
    <w:abstractNumId w:val="8"/>
  </w:num>
  <w:num w:numId="14">
    <w:abstractNumId w:val="23"/>
  </w:num>
  <w:num w:numId="15">
    <w:abstractNumId w:val="26"/>
  </w:num>
  <w:num w:numId="16">
    <w:abstractNumId w:val="19"/>
  </w:num>
  <w:num w:numId="17">
    <w:abstractNumId w:val="27"/>
  </w:num>
  <w:num w:numId="18">
    <w:abstractNumId w:val="4"/>
  </w:num>
  <w:num w:numId="19">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4"/>
  </w:num>
  <w:num w:numId="21">
    <w:abstractNumId w:val="12"/>
  </w:num>
  <w:num w:numId="22">
    <w:abstractNumId w:val="15"/>
  </w:num>
  <w:num w:numId="23">
    <w:abstractNumId w:val="18"/>
  </w:num>
  <w:num w:numId="24">
    <w:abstractNumId w:val="13"/>
  </w:num>
  <w:num w:numId="25">
    <w:abstractNumId w:val="20"/>
  </w:num>
  <w:num w:numId="26">
    <w:abstractNumId w:val="3"/>
  </w:num>
  <w:num w:numId="27">
    <w:abstractNumId w:val="2"/>
  </w:num>
  <w:num w:numId="28">
    <w:abstractNumId w:val="1"/>
  </w:num>
  <w:num w:numId="2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665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SP 11- Upskilling and Retraining"/>
    <w:docVar w:name="ShortReportTitle" w:val="Productivity Review "/>
  </w:docVars>
  <w:rsids>
    <w:rsidRoot w:val="00072F36"/>
    <w:rsid w:val="000007FF"/>
    <w:rsid w:val="00000AA3"/>
    <w:rsid w:val="0000108C"/>
    <w:rsid w:val="000016F8"/>
    <w:rsid w:val="0000306A"/>
    <w:rsid w:val="00004F1D"/>
    <w:rsid w:val="00005509"/>
    <w:rsid w:val="00006491"/>
    <w:rsid w:val="00006EA7"/>
    <w:rsid w:val="00007A32"/>
    <w:rsid w:val="00007E47"/>
    <w:rsid w:val="000108FC"/>
    <w:rsid w:val="000117F4"/>
    <w:rsid w:val="00011AE6"/>
    <w:rsid w:val="00011F56"/>
    <w:rsid w:val="0001234C"/>
    <w:rsid w:val="0001285D"/>
    <w:rsid w:val="00013148"/>
    <w:rsid w:val="000133CB"/>
    <w:rsid w:val="00013815"/>
    <w:rsid w:val="00014209"/>
    <w:rsid w:val="000168EE"/>
    <w:rsid w:val="00016F36"/>
    <w:rsid w:val="0001746F"/>
    <w:rsid w:val="000216BC"/>
    <w:rsid w:val="00021BE1"/>
    <w:rsid w:val="000227D5"/>
    <w:rsid w:val="00022865"/>
    <w:rsid w:val="00023E4E"/>
    <w:rsid w:val="00023F18"/>
    <w:rsid w:val="000245AA"/>
    <w:rsid w:val="0002548A"/>
    <w:rsid w:val="0002562C"/>
    <w:rsid w:val="000267DF"/>
    <w:rsid w:val="00026AE7"/>
    <w:rsid w:val="00026ECE"/>
    <w:rsid w:val="0002723B"/>
    <w:rsid w:val="00027D2C"/>
    <w:rsid w:val="0003226B"/>
    <w:rsid w:val="00032CAB"/>
    <w:rsid w:val="000335FA"/>
    <w:rsid w:val="0003630E"/>
    <w:rsid w:val="0003664B"/>
    <w:rsid w:val="0004111F"/>
    <w:rsid w:val="00042A0E"/>
    <w:rsid w:val="00042AD8"/>
    <w:rsid w:val="00044CF7"/>
    <w:rsid w:val="00046FE8"/>
    <w:rsid w:val="0005052B"/>
    <w:rsid w:val="00050C85"/>
    <w:rsid w:val="00051D78"/>
    <w:rsid w:val="0005269C"/>
    <w:rsid w:val="00053769"/>
    <w:rsid w:val="0005383F"/>
    <w:rsid w:val="000540EA"/>
    <w:rsid w:val="0005422E"/>
    <w:rsid w:val="00055077"/>
    <w:rsid w:val="00055194"/>
    <w:rsid w:val="000554CF"/>
    <w:rsid w:val="00055EBE"/>
    <w:rsid w:val="000565B3"/>
    <w:rsid w:val="00056CC9"/>
    <w:rsid w:val="0005703C"/>
    <w:rsid w:val="0005709C"/>
    <w:rsid w:val="00057849"/>
    <w:rsid w:val="00057F40"/>
    <w:rsid w:val="00061558"/>
    <w:rsid w:val="00062849"/>
    <w:rsid w:val="000628EF"/>
    <w:rsid w:val="000631E7"/>
    <w:rsid w:val="00063B2F"/>
    <w:rsid w:val="00063CC8"/>
    <w:rsid w:val="00067587"/>
    <w:rsid w:val="00067A70"/>
    <w:rsid w:val="00067C17"/>
    <w:rsid w:val="000709BD"/>
    <w:rsid w:val="00070B42"/>
    <w:rsid w:val="00070D0C"/>
    <w:rsid w:val="0007150B"/>
    <w:rsid w:val="0007241F"/>
    <w:rsid w:val="00072F36"/>
    <w:rsid w:val="00073613"/>
    <w:rsid w:val="00073D14"/>
    <w:rsid w:val="00075F6B"/>
    <w:rsid w:val="00076E9B"/>
    <w:rsid w:val="00080C8A"/>
    <w:rsid w:val="00080DBD"/>
    <w:rsid w:val="00081FCA"/>
    <w:rsid w:val="00084B8E"/>
    <w:rsid w:val="000860C5"/>
    <w:rsid w:val="00086F52"/>
    <w:rsid w:val="0009019E"/>
    <w:rsid w:val="000910FC"/>
    <w:rsid w:val="00091626"/>
    <w:rsid w:val="000938F5"/>
    <w:rsid w:val="000949FA"/>
    <w:rsid w:val="00094AD7"/>
    <w:rsid w:val="000952FC"/>
    <w:rsid w:val="00095663"/>
    <w:rsid w:val="00095AF5"/>
    <w:rsid w:val="00095C91"/>
    <w:rsid w:val="00096E55"/>
    <w:rsid w:val="00097064"/>
    <w:rsid w:val="0009783E"/>
    <w:rsid w:val="000A11E6"/>
    <w:rsid w:val="000A1333"/>
    <w:rsid w:val="000A42AA"/>
    <w:rsid w:val="000A4997"/>
    <w:rsid w:val="000A53DF"/>
    <w:rsid w:val="000A7B6E"/>
    <w:rsid w:val="000B1022"/>
    <w:rsid w:val="000B106E"/>
    <w:rsid w:val="000B1F66"/>
    <w:rsid w:val="000B2657"/>
    <w:rsid w:val="000B3D22"/>
    <w:rsid w:val="000B5449"/>
    <w:rsid w:val="000B601B"/>
    <w:rsid w:val="000B75ED"/>
    <w:rsid w:val="000B7705"/>
    <w:rsid w:val="000C0877"/>
    <w:rsid w:val="000C1B37"/>
    <w:rsid w:val="000C207E"/>
    <w:rsid w:val="000C260C"/>
    <w:rsid w:val="000C2B8E"/>
    <w:rsid w:val="000C2C42"/>
    <w:rsid w:val="000C4FE8"/>
    <w:rsid w:val="000C614A"/>
    <w:rsid w:val="000C6184"/>
    <w:rsid w:val="000C6553"/>
    <w:rsid w:val="000C66FD"/>
    <w:rsid w:val="000C7BFC"/>
    <w:rsid w:val="000D14D3"/>
    <w:rsid w:val="000D167B"/>
    <w:rsid w:val="000D1F27"/>
    <w:rsid w:val="000D34D4"/>
    <w:rsid w:val="000D3706"/>
    <w:rsid w:val="000D41E9"/>
    <w:rsid w:val="000D4B7B"/>
    <w:rsid w:val="000D6607"/>
    <w:rsid w:val="000D76B0"/>
    <w:rsid w:val="000E1CA6"/>
    <w:rsid w:val="000E1FCE"/>
    <w:rsid w:val="000E2BFC"/>
    <w:rsid w:val="000E3656"/>
    <w:rsid w:val="000E3914"/>
    <w:rsid w:val="000E3BB0"/>
    <w:rsid w:val="000E402B"/>
    <w:rsid w:val="000E4398"/>
    <w:rsid w:val="000E4FA7"/>
    <w:rsid w:val="000E4FFF"/>
    <w:rsid w:val="000E6486"/>
    <w:rsid w:val="000E793B"/>
    <w:rsid w:val="000F0035"/>
    <w:rsid w:val="000F04E7"/>
    <w:rsid w:val="000F060A"/>
    <w:rsid w:val="000F0E67"/>
    <w:rsid w:val="000F2498"/>
    <w:rsid w:val="000F2B54"/>
    <w:rsid w:val="000F2C44"/>
    <w:rsid w:val="000F2C99"/>
    <w:rsid w:val="000F420B"/>
    <w:rsid w:val="000F5B9C"/>
    <w:rsid w:val="000F6024"/>
    <w:rsid w:val="000F627A"/>
    <w:rsid w:val="000F7ABA"/>
    <w:rsid w:val="000F7CF3"/>
    <w:rsid w:val="00100188"/>
    <w:rsid w:val="00100B39"/>
    <w:rsid w:val="00100CED"/>
    <w:rsid w:val="00101F89"/>
    <w:rsid w:val="00104245"/>
    <w:rsid w:val="0010447F"/>
    <w:rsid w:val="001063D5"/>
    <w:rsid w:val="00107A23"/>
    <w:rsid w:val="00107AFE"/>
    <w:rsid w:val="00110116"/>
    <w:rsid w:val="00110BF1"/>
    <w:rsid w:val="00111912"/>
    <w:rsid w:val="001142B0"/>
    <w:rsid w:val="00114F12"/>
    <w:rsid w:val="0011544E"/>
    <w:rsid w:val="001177B1"/>
    <w:rsid w:val="00120072"/>
    <w:rsid w:val="001200BB"/>
    <w:rsid w:val="00120A53"/>
    <w:rsid w:val="00121C3C"/>
    <w:rsid w:val="00122421"/>
    <w:rsid w:val="00122FBE"/>
    <w:rsid w:val="0012402B"/>
    <w:rsid w:val="00124180"/>
    <w:rsid w:val="00124CFC"/>
    <w:rsid w:val="001251B9"/>
    <w:rsid w:val="00125BD5"/>
    <w:rsid w:val="00126CFF"/>
    <w:rsid w:val="00126EB8"/>
    <w:rsid w:val="001273C5"/>
    <w:rsid w:val="001274D4"/>
    <w:rsid w:val="00127646"/>
    <w:rsid w:val="00127AAF"/>
    <w:rsid w:val="00130167"/>
    <w:rsid w:val="00131746"/>
    <w:rsid w:val="00132695"/>
    <w:rsid w:val="00132C75"/>
    <w:rsid w:val="00132E2A"/>
    <w:rsid w:val="00133C69"/>
    <w:rsid w:val="001340D6"/>
    <w:rsid w:val="0013422F"/>
    <w:rsid w:val="001345EF"/>
    <w:rsid w:val="001348A9"/>
    <w:rsid w:val="001363AA"/>
    <w:rsid w:val="00136515"/>
    <w:rsid w:val="0013739A"/>
    <w:rsid w:val="001412CB"/>
    <w:rsid w:val="0014137E"/>
    <w:rsid w:val="00142165"/>
    <w:rsid w:val="0014325B"/>
    <w:rsid w:val="001459E0"/>
    <w:rsid w:val="001537DD"/>
    <w:rsid w:val="00153D99"/>
    <w:rsid w:val="00154233"/>
    <w:rsid w:val="00154310"/>
    <w:rsid w:val="00155263"/>
    <w:rsid w:val="00156B0E"/>
    <w:rsid w:val="0016098F"/>
    <w:rsid w:val="00162434"/>
    <w:rsid w:val="001624EB"/>
    <w:rsid w:val="001648CF"/>
    <w:rsid w:val="00164D7D"/>
    <w:rsid w:val="00166887"/>
    <w:rsid w:val="001705CE"/>
    <w:rsid w:val="001710AF"/>
    <w:rsid w:val="00171D9E"/>
    <w:rsid w:val="00172BB8"/>
    <w:rsid w:val="00174B34"/>
    <w:rsid w:val="00174EBF"/>
    <w:rsid w:val="00176468"/>
    <w:rsid w:val="00176F2D"/>
    <w:rsid w:val="001771A6"/>
    <w:rsid w:val="00180E69"/>
    <w:rsid w:val="001833F6"/>
    <w:rsid w:val="00183E82"/>
    <w:rsid w:val="001841B9"/>
    <w:rsid w:val="001842C8"/>
    <w:rsid w:val="00184E35"/>
    <w:rsid w:val="00185585"/>
    <w:rsid w:val="00185AE8"/>
    <w:rsid w:val="00186899"/>
    <w:rsid w:val="001878BB"/>
    <w:rsid w:val="00187C62"/>
    <w:rsid w:val="00190679"/>
    <w:rsid w:val="00191A14"/>
    <w:rsid w:val="00191ACC"/>
    <w:rsid w:val="00191AE0"/>
    <w:rsid w:val="001927DB"/>
    <w:rsid w:val="0019293B"/>
    <w:rsid w:val="00192945"/>
    <w:rsid w:val="00193FDB"/>
    <w:rsid w:val="0019426B"/>
    <w:rsid w:val="001A0D84"/>
    <w:rsid w:val="001A162A"/>
    <w:rsid w:val="001A2AD4"/>
    <w:rsid w:val="001A378C"/>
    <w:rsid w:val="001A4285"/>
    <w:rsid w:val="001A4C84"/>
    <w:rsid w:val="001A6195"/>
    <w:rsid w:val="001A66FA"/>
    <w:rsid w:val="001A6A4B"/>
    <w:rsid w:val="001A6E2E"/>
    <w:rsid w:val="001A752B"/>
    <w:rsid w:val="001A77AF"/>
    <w:rsid w:val="001A7A5C"/>
    <w:rsid w:val="001A7FE4"/>
    <w:rsid w:val="001B0727"/>
    <w:rsid w:val="001B22A6"/>
    <w:rsid w:val="001B476C"/>
    <w:rsid w:val="001B4F85"/>
    <w:rsid w:val="001B5204"/>
    <w:rsid w:val="001B6A88"/>
    <w:rsid w:val="001B789F"/>
    <w:rsid w:val="001C0865"/>
    <w:rsid w:val="001C0AED"/>
    <w:rsid w:val="001C0B01"/>
    <w:rsid w:val="001C246B"/>
    <w:rsid w:val="001C3ABA"/>
    <w:rsid w:val="001C5111"/>
    <w:rsid w:val="001C5D93"/>
    <w:rsid w:val="001C6812"/>
    <w:rsid w:val="001C6B64"/>
    <w:rsid w:val="001C7253"/>
    <w:rsid w:val="001C7BBE"/>
    <w:rsid w:val="001C7BD1"/>
    <w:rsid w:val="001D1F34"/>
    <w:rsid w:val="001D2C32"/>
    <w:rsid w:val="001D2E27"/>
    <w:rsid w:val="001D38C8"/>
    <w:rsid w:val="001D52B3"/>
    <w:rsid w:val="001D7233"/>
    <w:rsid w:val="001D7546"/>
    <w:rsid w:val="001D75D3"/>
    <w:rsid w:val="001E2301"/>
    <w:rsid w:val="001E2D5D"/>
    <w:rsid w:val="001E54A1"/>
    <w:rsid w:val="001E57A4"/>
    <w:rsid w:val="001E61B4"/>
    <w:rsid w:val="001E7B00"/>
    <w:rsid w:val="001E7BE8"/>
    <w:rsid w:val="001F0248"/>
    <w:rsid w:val="001F08CA"/>
    <w:rsid w:val="001F0D0E"/>
    <w:rsid w:val="001F0F44"/>
    <w:rsid w:val="001F1AAB"/>
    <w:rsid w:val="001F26F3"/>
    <w:rsid w:val="001F2F40"/>
    <w:rsid w:val="001F34E9"/>
    <w:rsid w:val="001F3793"/>
    <w:rsid w:val="001F38A8"/>
    <w:rsid w:val="001F38EF"/>
    <w:rsid w:val="001F3CED"/>
    <w:rsid w:val="001F3EB3"/>
    <w:rsid w:val="001F41D3"/>
    <w:rsid w:val="001F4AA8"/>
    <w:rsid w:val="001F4F86"/>
    <w:rsid w:val="001F58C8"/>
    <w:rsid w:val="001F77C9"/>
    <w:rsid w:val="00200002"/>
    <w:rsid w:val="002008F3"/>
    <w:rsid w:val="002011A0"/>
    <w:rsid w:val="00201382"/>
    <w:rsid w:val="00202C2C"/>
    <w:rsid w:val="00202F64"/>
    <w:rsid w:val="00203050"/>
    <w:rsid w:val="0020379D"/>
    <w:rsid w:val="002039E5"/>
    <w:rsid w:val="002073C6"/>
    <w:rsid w:val="00207D83"/>
    <w:rsid w:val="002125D8"/>
    <w:rsid w:val="00212FCF"/>
    <w:rsid w:val="00213247"/>
    <w:rsid w:val="002135AB"/>
    <w:rsid w:val="002135B5"/>
    <w:rsid w:val="002144BE"/>
    <w:rsid w:val="0021455D"/>
    <w:rsid w:val="00214A72"/>
    <w:rsid w:val="00214E24"/>
    <w:rsid w:val="00214E59"/>
    <w:rsid w:val="00215256"/>
    <w:rsid w:val="0021599F"/>
    <w:rsid w:val="00215E2E"/>
    <w:rsid w:val="00216629"/>
    <w:rsid w:val="00216F0D"/>
    <w:rsid w:val="00220AD0"/>
    <w:rsid w:val="002222D0"/>
    <w:rsid w:val="0022333D"/>
    <w:rsid w:val="00223602"/>
    <w:rsid w:val="002237DD"/>
    <w:rsid w:val="002239F5"/>
    <w:rsid w:val="00224EC2"/>
    <w:rsid w:val="00225205"/>
    <w:rsid w:val="002262AC"/>
    <w:rsid w:val="002300B1"/>
    <w:rsid w:val="00230B20"/>
    <w:rsid w:val="00231BDF"/>
    <w:rsid w:val="00232666"/>
    <w:rsid w:val="002339C2"/>
    <w:rsid w:val="00233E8E"/>
    <w:rsid w:val="00234F0D"/>
    <w:rsid w:val="002354F7"/>
    <w:rsid w:val="00242279"/>
    <w:rsid w:val="00242469"/>
    <w:rsid w:val="00243997"/>
    <w:rsid w:val="00244CD1"/>
    <w:rsid w:val="0024516C"/>
    <w:rsid w:val="002455B3"/>
    <w:rsid w:val="002459D6"/>
    <w:rsid w:val="00245BDE"/>
    <w:rsid w:val="00245C82"/>
    <w:rsid w:val="00246658"/>
    <w:rsid w:val="00246E54"/>
    <w:rsid w:val="0024783F"/>
    <w:rsid w:val="00250348"/>
    <w:rsid w:val="00250503"/>
    <w:rsid w:val="002505B8"/>
    <w:rsid w:val="0025097D"/>
    <w:rsid w:val="00250EF4"/>
    <w:rsid w:val="0025275D"/>
    <w:rsid w:val="00253889"/>
    <w:rsid w:val="00254551"/>
    <w:rsid w:val="00256326"/>
    <w:rsid w:val="00256AD5"/>
    <w:rsid w:val="00257B2B"/>
    <w:rsid w:val="002606B8"/>
    <w:rsid w:val="002622A7"/>
    <w:rsid w:val="0026258A"/>
    <w:rsid w:val="002625AA"/>
    <w:rsid w:val="002629F1"/>
    <w:rsid w:val="0026396F"/>
    <w:rsid w:val="00264D09"/>
    <w:rsid w:val="00267001"/>
    <w:rsid w:val="002718A3"/>
    <w:rsid w:val="00271D11"/>
    <w:rsid w:val="0027233E"/>
    <w:rsid w:val="002724BA"/>
    <w:rsid w:val="00273782"/>
    <w:rsid w:val="00274012"/>
    <w:rsid w:val="0027535F"/>
    <w:rsid w:val="00275C52"/>
    <w:rsid w:val="0027654A"/>
    <w:rsid w:val="002778AA"/>
    <w:rsid w:val="002825A6"/>
    <w:rsid w:val="002831A2"/>
    <w:rsid w:val="002856B2"/>
    <w:rsid w:val="0028725B"/>
    <w:rsid w:val="00290881"/>
    <w:rsid w:val="00290E05"/>
    <w:rsid w:val="00291A7A"/>
    <w:rsid w:val="00291B40"/>
    <w:rsid w:val="00292AE5"/>
    <w:rsid w:val="002933CE"/>
    <w:rsid w:val="00293517"/>
    <w:rsid w:val="00293885"/>
    <w:rsid w:val="0029463D"/>
    <w:rsid w:val="00295470"/>
    <w:rsid w:val="00295BF1"/>
    <w:rsid w:val="002974A5"/>
    <w:rsid w:val="002979FA"/>
    <w:rsid w:val="00297C8F"/>
    <w:rsid w:val="002A0F40"/>
    <w:rsid w:val="002A17E3"/>
    <w:rsid w:val="002A1CD2"/>
    <w:rsid w:val="002A1DEE"/>
    <w:rsid w:val="002A2140"/>
    <w:rsid w:val="002A6544"/>
    <w:rsid w:val="002B0950"/>
    <w:rsid w:val="002B116D"/>
    <w:rsid w:val="002B217D"/>
    <w:rsid w:val="002B21DC"/>
    <w:rsid w:val="002B2412"/>
    <w:rsid w:val="002B27C5"/>
    <w:rsid w:val="002B2996"/>
    <w:rsid w:val="002B29D7"/>
    <w:rsid w:val="002B2ED9"/>
    <w:rsid w:val="002B3AB6"/>
    <w:rsid w:val="002B4008"/>
    <w:rsid w:val="002B45AF"/>
    <w:rsid w:val="002B4785"/>
    <w:rsid w:val="002C0596"/>
    <w:rsid w:val="002C08D0"/>
    <w:rsid w:val="002C0B4E"/>
    <w:rsid w:val="002C0E97"/>
    <w:rsid w:val="002C1541"/>
    <w:rsid w:val="002C19D6"/>
    <w:rsid w:val="002C22C8"/>
    <w:rsid w:val="002C26E2"/>
    <w:rsid w:val="002C2B51"/>
    <w:rsid w:val="002C439F"/>
    <w:rsid w:val="002C43D2"/>
    <w:rsid w:val="002C7D81"/>
    <w:rsid w:val="002D00D4"/>
    <w:rsid w:val="002D020E"/>
    <w:rsid w:val="002D028C"/>
    <w:rsid w:val="002D0C42"/>
    <w:rsid w:val="002D0E8E"/>
    <w:rsid w:val="002D0EC6"/>
    <w:rsid w:val="002D1BCF"/>
    <w:rsid w:val="002D316A"/>
    <w:rsid w:val="002D3CE3"/>
    <w:rsid w:val="002D53D8"/>
    <w:rsid w:val="002D5C43"/>
    <w:rsid w:val="002D7948"/>
    <w:rsid w:val="002E1A09"/>
    <w:rsid w:val="002E2B3B"/>
    <w:rsid w:val="002E3AA1"/>
    <w:rsid w:val="002E471D"/>
    <w:rsid w:val="002E5025"/>
    <w:rsid w:val="002E5139"/>
    <w:rsid w:val="002E5FDB"/>
    <w:rsid w:val="002E634C"/>
    <w:rsid w:val="002E75E3"/>
    <w:rsid w:val="002F0C6A"/>
    <w:rsid w:val="002F13BF"/>
    <w:rsid w:val="002F1621"/>
    <w:rsid w:val="002F361C"/>
    <w:rsid w:val="002F3687"/>
    <w:rsid w:val="002F3AD8"/>
    <w:rsid w:val="002F43D0"/>
    <w:rsid w:val="002F52B2"/>
    <w:rsid w:val="002F72F1"/>
    <w:rsid w:val="002F76BD"/>
    <w:rsid w:val="002F7EEC"/>
    <w:rsid w:val="0030053F"/>
    <w:rsid w:val="00301189"/>
    <w:rsid w:val="00301E4A"/>
    <w:rsid w:val="003020EE"/>
    <w:rsid w:val="00302556"/>
    <w:rsid w:val="003032A3"/>
    <w:rsid w:val="003039E5"/>
    <w:rsid w:val="00303B32"/>
    <w:rsid w:val="00303BA3"/>
    <w:rsid w:val="00305911"/>
    <w:rsid w:val="0030598E"/>
    <w:rsid w:val="00306A45"/>
    <w:rsid w:val="00306C56"/>
    <w:rsid w:val="00310870"/>
    <w:rsid w:val="00311A23"/>
    <w:rsid w:val="00312DF2"/>
    <w:rsid w:val="00312F67"/>
    <w:rsid w:val="003138F9"/>
    <w:rsid w:val="003139D5"/>
    <w:rsid w:val="003147FC"/>
    <w:rsid w:val="003158C6"/>
    <w:rsid w:val="003168B8"/>
    <w:rsid w:val="00316931"/>
    <w:rsid w:val="00320D2E"/>
    <w:rsid w:val="00321C7C"/>
    <w:rsid w:val="00322D64"/>
    <w:rsid w:val="00322DFB"/>
    <w:rsid w:val="00323E09"/>
    <w:rsid w:val="00324CBD"/>
    <w:rsid w:val="003257BC"/>
    <w:rsid w:val="00325A31"/>
    <w:rsid w:val="00330326"/>
    <w:rsid w:val="00332215"/>
    <w:rsid w:val="00333772"/>
    <w:rsid w:val="00333932"/>
    <w:rsid w:val="00333BFF"/>
    <w:rsid w:val="003344E7"/>
    <w:rsid w:val="00334935"/>
    <w:rsid w:val="00334B14"/>
    <w:rsid w:val="00334B68"/>
    <w:rsid w:val="00334C2A"/>
    <w:rsid w:val="0033538A"/>
    <w:rsid w:val="00335609"/>
    <w:rsid w:val="003430EF"/>
    <w:rsid w:val="00343D64"/>
    <w:rsid w:val="00343E26"/>
    <w:rsid w:val="003460CB"/>
    <w:rsid w:val="00346762"/>
    <w:rsid w:val="0034694D"/>
    <w:rsid w:val="00346F7A"/>
    <w:rsid w:val="003475A9"/>
    <w:rsid w:val="003477CD"/>
    <w:rsid w:val="003518AA"/>
    <w:rsid w:val="00352165"/>
    <w:rsid w:val="00353182"/>
    <w:rsid w:val="00354ABF"/>
    <w:rsid w:val="00356599"/>
    <w:rsid w:val="003565D9"/>
    <w:rsid w:val="003566AC"/>
    <w:rsid w:val="00357A56"/>
    <w:rsid w:val="003600FB"/>
    <w:rsid w:val="003602E1"/>
    <w:rsid w:val="00362880"/>
    <w:rsid w:val="00362E90"/>
    <w:rsid w:val="0036473A"/>
    <w:rsid w:val="00364779"/>
    <w:rsid w:val="003663F3"/>
    <w:rsid w:val="003668D0"/>
    <w:rsid w:val="003669C9"/>
    <w:rsid w:val="00370204"/>
    <w:rsid w:val="0037026F"/>
    <w:rsid w:val="003704F0"/>
    <w:rsid w:val="00370C40"/>
    <w:rsid w:val="003710AD"/>
    <w:rsid w:val="003710ED"/>
    <w:rsid w:val="00371240"/>
    <w:rsid w:val="0037160E"/>
    <w:rsid w:val="00371977"/>
    <w:rsid w:val="00371D21"/>
    <w:rsid w:val="0037408A"/>
    <w:rsid w:val="00374731"/>
    <w:rsid w:val="00376E59"/>
    <w:rsid w:val="00377EA3"/>
    <w:rsid w:val="00377EC1"/>
    <w:rsid w:val="00380340"/>
    <w:rsid w:val="00381A27"/>
    <w:rsid w:val="00382407"/>
    <w:rsid w:val="003838CD"/>
    <w:rsid w:val="00383B39"/>
    <w:rsid w:val="00386459"/>
    <w:rsid w:val="0039034F"/>
    <w:rsid w:val="0039160C"/>
    <w:rsid w:val="003919F9"/>
    <w:rsid w:val="00391DE3"/>
    <w:rsid w:val="003920CF"/>
    <w:rsid w:val="00392B82"/>
    <w:rsid w:val="00393A22"/>
    <w:rsid w:val="00394477"/>
    <w:rsid w:val="00394F8C"/>
    <w:rsid w:val="00395650"/>
    <w:rsid w:val="00397D4B"/>
    <w:rsid w:val="003A0F9B"/>
    <w:rsid w:val="003A106B"/>
    <w:rsid w:val="003A2A2B"/>
    <w:rsid w:val="003A2B3B"/>
    <w:rsid w:val="003A3846"/>
    <w:rsid w:val="003A3D08"/>
    <w:rsid w:val="003A4005"/>
    <w:rsid w:val="003A4F00"/>
    <w:rsid w:val="003A5E12"/>
    <w:rsid w:val="003A6380"/>
    <w:rsid w:val="003A6399"/>
    <w:rsid w:val="003A6720"/>
    <w:rsid w:val="003B0314"/>
    <w:rsid w:val="003B0697"/>
    <w:rsid w:val="003B1133"/>
    <w:rsid w:val="003B13F2"/>
    <w:rsid w:val="003B23C2"/>
    <w:rsid w:val="003B2762"/>
    <w:rsid w:val="003B3BD5"/>
    <w:rsid w:val="003B42BE"/>
    <w:rsid w:val="003B4EA2"/>
    <w:rsid w:val="003B698B"/>
    <w:rsid w:val="003B6D3E"/>
    <w:rsid w:val="003B7322"/>
    <w:rsid w:val="003C093E"/>
    <w:rsid w:val="003C10D0"/>
    <w:rsid w:val="003C145B"/>
    <w:rsid w:val="003C38B5"/>
    <w:rsid w:val="003C4119"/>
    <w:rsid w:val="003C54A0"/>
    <w:rsid w:val="003C59F8"/>
    <w:rsid w:val="003C5D99"/>
    <w:rsid w:val="003C6060"/>
    <w:rsid w:val="003C719F"/>
    <w:rsid w:val="003C74DC"/>
    <w:rsid w:val="003C7F96"/>
    <w:rsid w:val="003D0793"/>
    <w:rsid w:val="003D0A7D"/>
    <w:rsid w:val="003D1087"/>
    <w:rsid w:val="003D1269"/>
    <w:rsid w:val="003D12AC"/>
    <w:rsid w:val="003D15AC"/>
    <w:rsid w:val="003D1C1F"/>
    <w:rsid w:val="003D1E75"/>
    <w:rsid w:val="003D230E"/>
    <w:rsid w:val="003D3608"/>
    <w:rsid w:val="003D38E2"/>
    <w:rsid w:val="003D44F1"/>
    <w:rsid w:val="003D4687"/>
    <w:rsid w:val="003D4926"/>
    <w:rsid w:val="003D657D"/>
    <w:rsid w:val="003D6818"/>
    <w:rsid w:val="003D6BCB"/>
    <w:rsid w:val="003D7858"/>
    <w:rsid w:val="003D7935"/>
    <w:rsid w:val="003E0E4B"/>
    <w:rsid w:val="003E1545"/>
    <w:rsid w:val="003E2A91"/>
    <w:rsid w:val="003E2F59"/>
    <w:rsid w:val="003E3520"/>
    <w:rsid w:val="003E4A60"/>
    <w:rsid w:val="003E4B3D"/>
    <w:rsid w:val="003E5465"/>
    <w:rsid w:val="003E64D3"/>
    <w:rsid w:val="003E6640"/>
    <w:rsid w:val="003E6942"/>
    <w:rsid w:val="003E6D78"/>
    <w:rsid w:val="003E73C6"/>
    <w:rsid w:val="003E746B"/>
    <w:rsid w:val="003E782C"/>
    <w:rsid w:val="003F059C"/>
    <w:rsid w:val="003F0789"/>
    <w:rsid w:val="003F0975"/>
    <w:rsid w:val="003F15FD"/>
    <w:rsid w:val="003F1822"/>
    <w:rsid w:val="003F2CB7"/>
    <w:rsid w:val="003F40BF"/>
    <w:rsid w:val="003F4C7D"/>
    <w:rsid w:val="003F4D1E"/>
    <w:rsid w:val="003F7595"/>
    <w:rsid w:val="003F7AEB"/>
    <w:rsid w:val="00401882"/>
    <w:rsid w:val="004018B0"/>
    <w:rsid w:val="00402091"/>
    <w:rsid w:val="00403655"/>
    <w:rsid w:val="00404F51"/>
    <w:rsid w:val="00405012"/>
    <w:rsid w:val="00405289"/>
    <w:rsid w:val="00405310"/>
    <w:rsid w:val="00406192"/>
    <w:rsid w:val="00406C71"/>
    <w:rsid w:val="00407DD7"/>
    <w:rsid w:val="004100C8"/>
    <w:rsid w:val="00411499"/>
    <w:rsid w:val="00411DBD"/>
    <w:rsid w:val="00412ACE"/>
    <w:rsid w:val="00412D1B"/>
    <w:rsid w:val="004140CB"/>
    <w:rsid w:val="004145D2"/>
    <w:rsid w:val="00414C78"/>
    <w:rsid w:val="004151AE"/>
    <w:rsid w:val="00415872"/>
    <w:rsid w:val="00416517"/>
    <w:rsid w:val="00416F3D"/>
    <w:rsid w:val="004178EE"/>
    <w:rsid w:val="00420F53"/>
    <w:rsid w:val="0042165E"/>
    <w:rsid w:val="00422087"/>
    <w:rsid w:val="00422576"/>
    <w:rsid w:val="00426C8D"/>
    <w:rsid w:val="00426CB4"/>
    <w:rsid w:val="00427D10"/>
    <w:rsid w:val="00431249"/>
    <w:rsid w:val="00432C44"/>
    <w:rsid w:val="00432DD6"/>
    <w:rsid w:val="00434C19"/>
    <w:rsid w:val="00434E50"/>
    <w:rsid w:val="004357D7"/>
    <w:rsid w:val="00436408"/>
    <w:rsid w:val="00437A8F"/>
    <w:rsid w:val="00442BCC"/>
    <w:rsid w:val="00443684"/>
    <w:rsid w:val="00444936"/>
    <w:rsid w:val="004459CF"/>
    <w:rsid w:val="00445DAA"/>
    <w:rsid w:val="004461FD"/>
    <w:rsid w:val="00446327"/>
    <w:rsid w:val="00446358"/>
    <w:rsid w:val="00446879"/>
    <w:rsid w:val="0044796F"/>
    <w:rsid w:val="00450810"/>
    <w:rsid w:val="00451034"/>
    <w:rsid w:val="004518AC"/>
    <w:rsid w:val="00451CE6"/>
    <w:rsid w:val="004546E1"/>
    <w:rsid w:val="004554C2"/>
    <w:rsid w:val="00455DB7"/>
    <w:rsid w:val="00455E38"/>
    <w:rsid w:val="00456612"/>
    <w:rsid w:val="00462826"/>
    <w:rsid w:val="00462C59"/>
    <w:rsid w:val="00462DA0"/>
    <w:rsid w:val="004636C9"/>
    <w:rsid w:val="00464C72"/>
    <w:rsid w:val="00465948"/>
    <w:rsid w:val="004701A8"/>
    <w:rsid w:val="00470737"/>
    <w:rsid w:val="00470F1F"/>
    <w:rsid w:val="00472061"/>
    <w:rsid w:val="004720E6"/>
    <w:rsid w:val="00474644"/>
    <w:rsid w:val="004765B6"/>
    <w:rsid w:val="00477144"/>
    <w:rsid w:val="00477AAC"/>
    <w:rsid w:val="004806DD"/>
    <w:rsid w:val="00481E15"/>
    <w:rsid w:val="00482633"/>
    <w:rsid w:val="00482CA2"/>
    <w:rsid w:val="00482CF7"/>
    <w:rsid w:val="00483BCA"/>
    <w:rsid w:val="00484201"/>
    <w:rsid w:val="00485D49"/>
    <w:rsid w:val="00486C60"/>
    <w:rsid w:val="00487962"/>
    <w:rsid w:val="00491380"/>
    <w:rsid w:val="00492A58"/>
    <w:rsid w:val="0049318C"/>
    <w:rsid w:val="004943E0"/>
    <w:rsid w:val="0049459F"/>
    <w:rsid w:val="00495891"/>
    <w:rsid w:val="004A1062"/>
    <w:rsid w:val="004A13E9"/>
    <w:rsid w:val="004A1C6B"/>
    <w:rsid w:val="004A1D40"/>
    <w:rsid w:val="004A38DD"/>
    <w:rsid w:val="004A417B"/>
    <w:rsid w:val="004A4AFF"/>
    <w:rsid w:val="004A69FA"/>
    <w:rsid w:val="004A6C4E"/>
    <w:rsid w:val="004A7B1C"/>
    <w:rsid w:val="004A7E58"/>
    <w:rsid w:val="004B01E5"/>
    <w:rsid w:val="004B0730"/>
    <w:rsid w:val="004B12E3"/>
    <w:rsid w:val="004B1893"/>
    <w:rsid w:val="004B27BF"/>
    <w:rsid w:val="004B2EC8"/>
    <w:rsid w:val="004B3999"/>
    <w:rsid w:val="004B43AE"/>
    <w:rsid w:val="004B4439"/>
    <w:rsid w:val="004B5E41"/>
    <w:rsid w:val="004B69B5"/>
    <w:rsid w:val="004B78C2"/>
    <w:rsid w:val="004B7B2F"/>
    <w:rsid w:val="004C0702"/>
    <w:rsid w:val="004C09AD"/>
    <w:rsid w:val="004C2AA0"/>
    <w:rsid w:val="004C30ED"/>
    <w:rsid w:val="004C34A7"/>
    <w:rsid w:val="004C38D4"/>
    <w:rsid w:val="004D0975"/>
    <w:rsid w:val="004D3673"/>
    <w:rsid w:val="004D5675"/>
    <w:rsid w:val="004D56F7"/>
    <w:rsid w:val="004D76F9"/>
    <w:rsid w:val="004E1E9B"/>
    <w:rsid w:val="004E2A14"/>
    <w:rsid w:val="004E3120"/>
    <w:rsid w:val="004E3A5D"/>
    <w:rsid w:val="004E3C2F"/>
    <w:rsid w:val="004E60DA"/>
    <w:rsid w:val="004E6280"/>
    <w:rsid w:val="004E6A07"/>
    <w:rsid w:val="004E6DE6"/>
    <w:rsid w:val="004F14A7"/>
    <w:rsid w:val="004F1C25"/>
    <w:rsid w:val="004F3550"/>
    <w:rsid w:val="004F3CBD"/>
    <w:rsid w:val="004F4760"/>
    <w:rsid w:val="004F49D0"/>
    <w:rsid w:val="004F6ACA"/>
    <w:rsid w:val="004F6F27"/>
    <w:rsid w:val="004F7B1C"/>
    <w:rsid w:val="004F7D0B"/>
    <w:rsid w:val="00500444"/>
    <w:rsid w:val="00501ACB"/>
    <w:rsid w:val="00503425"/>
    <w:rsid w:val="00503835"/>
    <w:rsid w:val="005043FE"/>
    <w:rsid w:val="00506305"/>
    <w:rsid w:val="00511412"/>
    <w:rsid w:val="00512DC4"/>
    <w:rsid w:val="005134A6"/>
    <w:rsid w:val="0051392F"/>
    <w:rsid w:val="00514877"/>
    <w:rsid w:val="00515ACA"/>
    <w:rsid w:val="00517795"/>
    <w:rsid w:val="00517F97"/>
    <w:rsid w:val="00521287"/>
    <w:rsid w:val="00521D97"/>
    <w:rsid w:val="00522329"/>
    <w:rsid w:val="00523639"/>
    <w:rsid w:val="00523809"/>
    <w:rsid w:val="00523DE1"/>
    <w:rsid w:val="005246D6"/>
    <w:rsid w:val="005248AA"/>
    <w:rsid w:val="00524B46"/>
    <w:rsid w:val="00524CC0"/>
    <w:rsid w:val="00525A9B"/>
    <w:rsid w:val="005270B8"/>
    <w:rsid w:val="005276C5"/>
    <w:rsid w:val="005315CA"/>
    <w:rsid w:val="0053164D"/>
    <w:rsid w:val="00531FE5"/>
    <w:rsid w:val="005329A3"/>
    <w:rsid w:val="00533C02"/>
    <w:rsid w:val="00535A26"/>
    <w:rsid w:val="0053785D"/>
    <w:rsid w:val="005402FA"/>
    <w:rsid w:val="005412C7"/>
    <w:rsid w:val="00541362"/>
    <w:rsid w:val="00543FBA"/>
    <w:rsid w:val="0054434F"/>
    <w:rsid w:val="00544753"/>
    <w:rsid w:val="00545617"/>
    <w:rsid w:val="005457DA"/>
    <w:rsid w:val="00546087"/>
    <w:rsid w:val="00551144"/>
    <w:rsid w:val="00551AD9"/>
    <w:rsid w:val="00552785"/>
    <w:rsid w:val="00553F19"/>
    <w:rsid w:val="00553FD1"/>
    <w:rsid w:val="00554914"/>
    <w:rsid w:val="00555724"/>
    <w:rsid w:val="0055766D"/>
    <w:rsid w:val="00557902"/>
    <w:rsid w:val="005608FB"/>
    <w:rsid w:val="00561FA7"/>
    <w:rsid w:val="00562303"/>
    <w:rsid w:val="00565249"/>
    <w:rsid w:val="005654C7"/>
    <w:rsid w:val="00570E8C"/>
    <w:rsid w:val="00570F80"/>
    <w:rsid w:val="0057232C"/>
    <w:rsid w:val="005729BD"/>
    <w:rsid w:val="00572B86"/>
    <w:rsid w:val="00572F7B"/>
    <w:rsid w:val="00573583"/>
    <w:rsid w:val="005742CF"/>
    <w:rsid w:val="00574E4F"/>
    <w:rsid w:val="00575496"/>
    <w:rsid w:val="0057556B"/>
    <w:rsid w:val="0057570B"/>
    <w:rsid w:val="00577C8F"/>
    <w:rsid w:val="00577D85"/>
    <w:rsid w:val="0058008C"/>
    <w:rsid w:val="00580154"/>
    <w:rsid w:val="00580613"/>
    <w:rsid w:val="005811D7"/>
    <w:rsid w:val="00583683"/>
    <w:rsid w:val="00583C39"/>
    <w:rsid w:val="00585170"/>
    <w:rsid w:val="0058533A"/>
    <w:rsid w:val="00586A90"/>
    <w:rsid w:val="00587F28"/>
    <w:rsid w:val="005909CF"/>
    <w:rsid w:val="0059129D"/>
    <w:rsid w:val="00591824"/>
    <w:rsid w:val="00591E71"/>
    <w:rsid w:val="0059249C"/>
    <w:rsid w:val="005945E9"/>
    <w:rsid w:val="005947B2"/>
    <w:rsid w:val="005947CB"/>
    <w:rsid w:val="00595411"/>
    <w:rsid w:val="005959DE"/>
    <w:rsid w:val="00596502"/>
    <w:rsid w:val="00596AB7"/>
    <w:rsid w:val="005A0286"/>
    <w:rsid w:val="005A0D41"/>
    <w:rsid w:val="005A1283"/>
    <w:rsid w:val="005A2D54"/>
    <w:rsid w:val="005A3F3D"/>
    <w:rsid w:val="005A4B26"/>
    <w:rsid w:val="005A503C"/>
    <w:rsid w:val="005A541D"/>
    <w:rsid w:val="005A62DB"/>
    <w:rsid w:val="005A67D9"/>
    <w:rsid w:val="005A6F65"/>
    <w:rsid w:val="005B089D"/>
    <w:rsid w:val="005B16C5"/>
    <w:rsid w:val="005B1A93"/>
    <w:rsid w:val="005B2A9F"/>
    <w:rsid w:val="005B3BBC"/>
    <w:rsid w:val="005B45BB"/>
    <w:rsid w:val="005B61D0"/>
    <w:rsid w:val="005B7193"/>
    <w:rsid w:val="005C179E"/>
    <w:rsid w:val="005C6866"/>
    <w:rsid w:val="005D043B"/>
    <w:rsid w:val="005D1755"/>
    <w:rsid w:val="005D2CD1"/>
    <w:rsid w:val="005D329F"/>
    <w:rsid w:val="005D3917"/>
    <w:rsid w:val="005D5EF6"/>
    <w:rsid w:val="005D61A8"/>
    <w:rsid w:val="005D6A89"/>
    <w:rsid w:val="005D7EA7"/>
    <w:rsid w:val="005E0A5F"/>
    <w:rsid w:val="005E2402"/>
    <w:rsid w:val="005E2702"/>
    <w:rsid w:val="005E2C76"/>
    <w:rsid w:val="005E339D"/>
    <w:rsid w:val="005E37F4"/>
    <w:rsid w:val="005E4BDC"/>
    <w:rsid w:val="005E5C02"/>
    <w:rsid w:val="005F1414"/>
    <w:rsid w:val="005F192A"/>
    <w:rsid w:val="005F2176"/>
    <w:rsid w:val="005F2A5D"/>
    <w:rsid w:val="005F2CA8"/>
    <w:rsid w:val="005F2FCB"/>
    <w:rsid w:val="005F2FDE"/>
    <w:rsid w:val="005F3325"/>
    <w:rsid w:val="005F33A2"/>
    <w:rsid w:val="005F48ED"/>
    <w:rsid w:val="005F4E40"/>
    <w:rsid w:val="005F7F35"/>
    <w:rsid w:val="0060066D"/>
    <w:rsid w:val="00600B33"/>
    <w:rsid w:val="0060132B"/>
    <w:rsid w:val="00604051"/>
    <w:rsid w:val="0060425A"/>
    <w:rsid w:val="00606A48"/>
    <w:rsid w:val="00606C47"/>
    <w:rsid w:val="00606CD9"/>
    <w:rsid w:val="00606E78"/>
    <w:rsid w:val="00607BF1"/>
    <w:rsid w:val="00610DF6"/>
    <w:rsid w:val="0061149A"/>
    <w:rsid w:val="0061350C"/>
    <w:rsid w:val="006140D3"/>
    <w:rsid w:val="00614269"/>
    <w:rsid w:val="006147D0"/>
    <w:rsid w:val="006152F6"/>
    <w:rsid w:val="0061544C"/>
    <w:rsid w:val="00615756"/>
    <w:rsid w:val="00615E79"/>
    <w:rsid w:val="00615F86"/>
    <w:rsid w:val="00616249"/>
    <w:rsid w:val="00617917"/>
    <w:rsid w:val="006179D4"/>
    <w:rsid w:val="00617A0F"/>
    <w:rsid w:val="00621135"/>
    <w:rsid w:val="00621E0A"/>
    <w:rsid w:val="006225AE"/>
    <w:rsid w:val="00623A38"/>
    <w:rsid w:val="00623CC5"/>
    <w:rsid w:val="0062452F"/>
    <w:rsid w:val="00625EBC"/>
    <w:rsid w:val="00625F05"/>
    <w:rsid w:val="006265C7"/>
    <w:rsid w:val="00627698"/>
    <w:rsid w:val="00627D60"/>
    <w:rsid w:val="00630D4D"/>
    <w:rsid w:val="00632A74"/>
    <w:rsid w:val="006351D8"/>
    <w:rsid w:val="00636746"/>
    <w:rsid w:val="006376E4"/>
    <w:rsid w:val="00640DE5"/>
    <w:rsid w:val="00640E1F"/>
    <w:rsid w:val="006414D8"/>
    <w:rsid w:val="00641737"/>
    <w:rsid w:val="00641DF8"/>
    <w:rsid w:val="00642395"/>
    <w:rsid w:val="00642722"/>
    <w:rsid w:val="00642B3F"/>
    <w:rsid w:val="00643EAB"/>
    <w:rsid w:val="00646FF3"/>
    <w:rsid w:val="006472B1"/>
    <w:rsid w:val="00647E97"/>
    <w:rsid w:val="00650587"/>
    <w:rsid w:val="00650B56"/>
    <w:rsid w:val="0065143D"/>
    <w:rsid w:val="0065297D"/>
    <w:rsid w:val="00652D9F"/>
    <w:rsid w:val="00654845"/>
    <w:rsid w:val="00654B05"/>
    <w:rsid w:val="00654D42"/>
    <w:rsid w:val="006551EA"/>
    <w:rsid w:val="00655BB4"/>
    <w:rsid w:val="0065653E"/>
    <w:rsid w:val="0065698C"/>
    <w:rsid w:val="00657F2F"/>
    <w:rsid w:val="00660512"/>
    <w:rsid w:val="006607A9"/>
    <w:rsid w:val="00660E41"/>
    <w:rsid w:val="00661704"/>
    <w:rsid w:val="00662F27"/>
    <w:rsid w:val="00662F71"/>
    <w:rsid w:val="0066350E"/>
    <w:rsid w:val="00663DA4"/>
    <w:rsid w:val="0066481A"/>
    <w:rsid w:val="00664A51"/>
    <w:rsid w:val="00664B5F"/>
    <w:rsid w:val="00666E02"/>
    <w:rsid w:val="006675C1"/>
    <w:rsid w:val="006702BC"/>
    <w:rsid w:val="00670B52"/>
    <w:rsid w:val="006711E0"/>
    <w:rsid w:val="00671CB3"/>
    <w:rsid w:val="00672B72"/>
    <w:rsid w:val="00676AF4"/>
    <w:rsid w:val="00676AF9"/>
    <w:rsid w:val="00680FC7"/>
    <w:rsid w:val="006830F2"/>
    <w:rsid w:val="0068370E"/>
    <w:rsid w:val="00684243"/>
    <w:rsid w:val="00690C59"/>
    <w:rsid w:val="00690CB5"/>
    <w:rsid w:val="006917A9"/>
    <w:rsid w:val="00691B16"/>
    <w:rsid w:val="00692645"/>
    <w:rsid w:val="00692738"/>
    <w:rsid w:val="0069311F"/>
    <w:rsid w:val="006945ED"/>
    <w:rsid w:val="006949E5"/>
    <w:rsid w:val="006959B6"/>
    <w:rsid w:val="00695C53"/>
    <w:rsid w:val="00695D83"/>
    <w:rsid w:val="00696F68"/>
    <w:rsid w:val="006A081E"/>
    <w:rsid w:val="006A1114"/>
    <w:rsid w:val="006A1276"/>
    <w:rsid w:val="006A1F2F"/>
    <w:rsid w:val="006A2523"/>
    <w:rsid w:val="006A2F53"/>
    <w:rsid w:val="006A4655"/>
    <w:rsid w:val="006A5ACE"/>
    <w:rsid w:val="006A65F9"/>
    <w:rsid w:val="006A681F"/>
    <w:rsid w:val="006A7D66"/>
    <w:rsid w:val="006B06AC"/>
    <w:rsid w:val="006B16D4"/>
    <w:rsid w:val="006B1775"/>
    <w:rsid w:val="006B229F"/>
    <w:rsid w:val="006B2ADC"/>
    <w:rsid w:val="006B2B3C"/>
    <w:rsid w:val="006B61DF"/>
    <w:rsid w:val="006B66EF"/>
    <w:rsid w:val="006B6880"/>
    <w:rsid w:val="006C0760"/>
    <w:rsid w:val="006C09AE"/>
    <w:rsid w:val="006C0D74"/>
    <w:rsid w:val="006C1D81"/>
    <w:rsid w:val="006C2029"/>
    <w:rsid w:val="006C4F5E"/>
    <w:rsid w:val="006C6772"/>
    <w:rsid w:val="006C7038"/>
    <w:rsid w:val="006D0DB6"/>
    <w:rsid w:val="006D2B6B"/>
    <w:rsid w:val="006D3251"/>
    <w:rsid w:val="006D572D"/>
    <w:rsid w:val="006D5C20"/>
    <w:rsid w:val="006D6CED"/>
    <w:rsid w:val="006E019B"/>
    <w:rsid w:val="006E088B"/>
    <w:rsid w:val="006E1531"/>
    <w:rsid w:val="006E1712"/>
    <w:rsid w:val="006E17E4"/>
    <w:rsid w:val="006E2B82"/>
    <w:rsid w:val="006E3ABA"/>
    <w:rsid w:val="006E3EC9"/>
    <w:rsid w:val="006E4752"/>
    <w:rsid w:val="006E4FB1"/>
    <w:rsid w:val="006E7363"/>
    <w:rsid w:val="006E73EF"/>
    <w:rsid w:val="006E744C"/>
    <w:rsid w:val="006E749A"/>
    <w:rsid w:val="006E7F0B"/>
    <w:rsid w:val="006F0BB4"/>
    <w:rsid w:val="006F111B"/>
    <w:rsid w:val="006F12BC"/>
    <w:rsid w:val="006F1E1C"/>
    <w:rsid w:val="006F3764"/>
    <w:rsid w:val="006F3BDE"/>
    <w:rsid w:val="006F4039"/>
    <w:rsid w:val="006F4E79"/>
    <w:rsid w:val="006F6724"/>
    <w:rsid w:val="00700957"/>
    <w:rsid w:val="007027CC"/>
    <w:rsid w:val="0070377A"/>
    <w:rsid w:val="00703B8C"/>
    <w:rsid w:val="007067D9"/>
    <w:rsid w:val="00706FDC"/>
    <w:rsid w:val="00707036"/>
    <w:rsid w:val="007077C6"/>
    <w:rsid w:val="007079C9"/>
    <w:rsid w:val="007118A0"/>
    <w:rsid w:val="00712789"/>
    <w:rsid w:val="0071357C"/>
    <w:rsid w:val="00713AF9"/>
    <w:rsid w:val="00714D4D"/>
    <w:rsid w:val="007156A1"/>
    <w:rsid w:val="007159EC"/>
    <w:rsid w:val="0071678E"/>
    <w:rsid w:val="0072042E"/>
    <w:rsid w:val="007211DC"/>
    <w:rsid w:val="00721283"/>
    <w:rsid w:val="0072197C"/>
    <w:rsid w:val="00721B0E"/>
    <w:rsid w:val="00723B92"/>
    <w:rsid w:val="00724016"/>
    <w:rsid w:val="00724B18"/>
    <w:rsid w:val="00724B40"/>
    <w:rsid w:val="007250F6"/>
    <w:rsid w:val="0072567A"/>
    <w:rsid w:val="00726118"/>
    <w:rsid w:val="007266D3"/>
    <w:rsid w:val="007303FB"/>
    <w:rsid w:val="007315FA"/>
    <w:rsid w:val="0073171D"/>
    <w:rsid w:val="00732029"/>
    <w:rsid w:val="00733CC8"/>
    <w:rsid w:val="0073506F"/>
    <w:rsid w:val="007369E1"/>
    <w:rsid w:val="007378D9"/>
    <w:rsid w:val="00740D99"/>
    <w:rsid w:val="00741A53"/>
    <w:rsid w:val="00741F50"/>
    <w:rsid w:val="00743BE3"/>
    <w:rsid w:val="00743F92"/>
    <w:rsid w:val="007501AE"/>
    <w:rsid w:val="00750712"/>
    <w:rsid w:val="00751A3A"/>
    <w:rsid w:val="00752036"/>
    <w:rsid w:val="007530F8"/>
    <w:rsid w:val="0075376D"/>
    <w:rsid w:val="00754FA1"/>
    <w:rsid w:val="00755301"/>
    <w:rsid w:val="00755C2A"/>
    <w:rsid w:val="00756EBC"/>
    <w:rsid w:val="00757A59"/>
    <w:rsid w:val="00757B30"/>
    <w:rsid w:val="00760363"/>
    <w:rsid w:val="007604BB"/>
    <w:rsid w:val="00760507"/>
    <w:rsid w:val="0076072D"/>
    <w:rsid w:val="00760FEF"/>
    <w:rsid w:val="00761572"/>
    <w:rsid w:val="007617A6"/>
    <w:rsid w:val="00761E18"/>
    <w:rsid w:val="0076237C"/>
    <w:rsid w:val="007623D4"/>
    <w:rsid w:val="0076540E"/>
    <w:rsid w:val="00765EB8"/>
    <w:rsid w:val="00765ED4"/>
    <w:rsid w:val="00766BE3"/>
    <w:rsid w:val="007679DB"/>
    <w:rsid w:val="00767A57"/>
    <w:rsid w:val="007705AA"/>
    <w:rsid w:val="00772909"/>
    <w:rsid w:val="00772BFB"/>
    <w:rsid w:val="0077438E"/>
    <w:rsid w:val="0077479D"/>
    <w:rsid w:val="007747D6"/>
    <w:rsid w:val="007754EC"/>
    <w:rsid w:val="00775DAC"/>
    <w:rsid w:val="00782999"/>
    <w:rsid w:val="00783439"/>
    <w:rsid w:val="00784B83"/>
    <w:rsid w:val="00784F18"/>
    <w:rsid w:val="00785232"/>
    <w:rsid w:val="007857CB"/>
    <w:rsid w:val="007858E2"/>
    <w:rsid w:val="00790733"/>
    <w:rsid w:val="00790861"/>
    <w:rsid w:val="007918A5"/>
    <w:rsid w:val="00794FDF"/>
    <w:rsid w:val="0079701E"/>
    <w:rsid w:val="00797382"/>
    <w:rsid w:val="007973E4"/>
    <w:rsid w:val="0079773D"/>
    <w:rsid w:val="0079799F"/>
    <w:rsid w:val="00797DE9"/>
    <w:rsid w:val="007A002C"/>
    <w:rsid w:val="007A0B4F"/>
    <w:rsid w:val="007A0DAE"/>
    <w:rsid w:val="007A13B3"/>
    <w:rsid w:val="007A21EB"/>
    <w:rsid w:val="007A2AD0"/>
    <w:rsid w:val="007A30C2"/>
    <w:rsid w:val="007A31CD"/>
    <w:rsid w:val="007A5982"/>
    <w:rsid w:val="007A6063"/>
    <w:rsid w:val="007A68C2"/>
    <w:rsid w:val="007A73A7"/>
    <w:rsid w:val="007A7F03"/>
    <w:rsid w:val="007B0100"/>
    <w:rsid w:val="007B1A93"/>
    <w:rsid w:val="007B4298"/>
    <w:rsid w:val="007B6A5C"/>
    <w:rsid w:val="007B6FA3"/>
    <w:rsid w:val="007B7878"/>
    <w:rsid w:val="007C019C"/>
    <w:rsid w:val="007C024D"/>
    <w:rsid w:val="007C2043"/>
    <w:rsid w:val="007C22FD"/>
    <w:rsid w:val="007C275A"/>
    <w:rsid w:val="007C2D47"/>
    <w:rsid w:val="007C36C9"/>
    <w:rsid w:val="007C4FA6"/>
    <w:rsid w:val="007C5C98"/>
    <w:rsid w:val="007C5E86"/>
    <w:rsid w:val="007C7E56"/>
    <w:rsid w:val="007C7E78"/>
    <w:rsid w:val="007D0ECA"/>
    <w:rsid w:val="007D11C2"/>
    <w:rsid w:val="007D11E6"/>
    <w:rsid w:val="007D181B"/>
    <w:rsid w:val="007D1F0A"/>
    <w:rsid w:val="007D3726"/>
    <w:rsid w:val="007D3E46"/>
    <w:rsid w:val="007D4CC6"/>
    <w:rsid w:val="007D52F4"/>
    <w:rsid w:val="007D6401"/>
    <w:rsid w:val="007D72C1"/>
    <w:rsid w:val="007D7AC9"/>
    <w:rsid w:val="007D7F40"/>
    <w:rsid w:val="007E01B7"/>
    <w:rsid w:val="007E01E4"/>
    <w:rsid w:val="007E2553"/>
    <w:rsid w:val="007E59B7"/>
    <w:rsid w:val="007E65C5"/>
    <w:rsid w:val="007E6C90"/>
    <w:rsid w:val="007E7A12"/>
    <w:rsid w:val="007F062D"/>
    <w:rsid w:val="007F0F6E"/>
    <w:rsid w:val="007F175B"/>
    <w:rsid w:val="007F2A9F"/>
    <w:rsid w:val="007F39C4"/>
    <w:rsid w:val="007F589B"/>
    <w:rsid w:val="007F7107"/>
    <w:rsid w:val="007F7657"/>
    <w:rsid w:val="007F7FA5"/>
    <w:rsid w:val="0080084E"/>
    <w:rsid w:val="00800D4C"/>
    <w:rsid w:val="008016E4"/>
    <w:rsid w:val="008017ED"/>
    <w:rsid w:val="00802D27"/>
    <w:rsid w:val="00803393"/>
    <w:rsid w:val="0080379E"/>
    <w:rsid w:val="00805FDA"/>
    <w:rsid w:val="008062EF"/>
    <w:rsid w:val="008071ED"/>
    <w:rsid w:val="0081030F"/>
    <w:rsid w:val="00812F4A"/>
    <w:rsid w:val="00813022"/>
    <w:rsid w:val="008136CE"/>
    <w:rsid w:val="00813980"/>
    <w:rsid w:val="00813E1A"/>
    <w:rsid w:val="00815182"/>
    <w:rsid w:val="00815ED1"/>
    <w:rsid w:val="00816F03"/>
    <w:rsid w:val="008179F5"/>
    <w:rsid w:val="0082087D"/>
    <w:rsid w:val="00822404"/>
    <w:rsid w:val="00825626"/>
    <w:rsid w:val="00826DE8"/>
    <w:rsid w:val="00826ED1"/>
    <w:rsid w:val="0083024B"/>
    <w:rsid w:val="00830819"/>
    <w:rsid w:val="00830AB9"/>
    <w:rsid w:val="0083141C"/>
    <w:rsid w:val="00832C32"/>
    <w:rsid w:val="00834F14"/>
    <w:rsid w:val="00835771"/>
    <w:rsid w:val="00835832"/>
    <w:rsid w:val="00837E4D"/>
    <w:rsid w:val="0084011F"/>
    <w:rsid w:val="008402E6"/>
    <w:rsid w:val="008403FB"/>
    <w:rsid w:val="0084099D"/>
    <w:rsid w:val="00841633"/>
    <w:rsid w:val="00842731"/>
    <w:rsid w:val="00842933"/>
    <w:rsid w:val="008433DC"/>
    <w:rsid w:val="00843821"/>
    <w:rsid w:val="00844074"/>
    <w:rsid w:val="008460A5"/>
    <w:rsid w:val="00846707"/>
    <w:rsid w:val="008469B6"/>
    <w:rsid w:val="00851087"/>
    <w:rsid w:val="008515C7"/>
    <w:rsid w:val="00851CC0"/>
    <w:rsid w:val="0085297E"/>
    <w:rsid w:val="00852A7A"/>
    <w:rsid w:val="00852D2F"/>
    <w:rsid w:val="00853037"/>
    <w:rsid w:val="00853E5F"/>
    <w:rsid w:val="00853EC6"/>
    <w:rsid w:val="00853FE6"/>
    <w:rsid w:val="0085413F"/>
    <w:rsid w:val="00854157"/>
    <w:rsid w:val="008564CD"/>
    <w:rsid w:val="0085722C"/>
    <w:rsid w:val="0086082C"/>
    <w:rsid w:val="0086126D"/>
    <w:rsid w:val="008617FA"/>
    <w:rsid w:val="008619E0"/>
    <w:rsid w:val="00861DBB"/>
    <w:rsid w:val="00861E40"/>
    <w:rsid w:val="00863A22"/>
    <w:rsid w:val="00864ADC"/>
    <w:rsid w:val="00864C49"/>
    <w:rsid w:val="00864F8F"/>
    <w:rsid w:val="00866342"/>
    <w:rsid w:val="00866686"/>
    <w:rsid w:val="00867761"/>
    <w:rsid w:val="00870328"/>
    <w:rsid w:val="0087036C"/>
    <w:rsid w:val="00873221"/>
    <w:rsid w:val="00874570"/>
    <w:rsid w:val="00874AAD"/>
    <w:rsid w:val="00874DB0"/>
    <w:rsid w:val="00876731"/>
    <w:rsid w:val="00880153"/>
    <w:rsid w:val="00880F97"/>
    <w:rsid w:val="0088133A"/>
    <w:rsid w:val="0088157D"/>
    <w:rsid w:val="00881965"/>
    <w:rsid w:val="00883156"/>
    <w:rsid w:val="00883BEE"/>
    <w:rsid w:val="0088415A"/>
    <w:rsid w:val="008868AA"/>
    <w:rsid w:val="00887477"/>
    <w:rsid w:val="0089285E"/>
    <w:rsid w:val="00892A8C"/>
    <w:rsid w:val="00892C51"/>
    <w:rsid w:val="0089436C"/>
    <w:rsid w:val="0089528A"/>
    <w:rsid w:val="00895596"/>
    <w:rsid w:val="00896E31"/>
    <w:rsid w:val="00897E52"/>
    <w:rsid w:val="008A033F"/>
    <w:rsid w:val="008A0D91"/>
    <w:rsid w:val="008A1FDC"/>
    <w:rsid w:val="008A2874"/>
    <w:rsid w:val="008A2CF7"/>
    <w:rsid w:val="008A4BC5"/>
    <w:rsid w:val="008A4C89"/>
    <w:rsid w:val="008A5351"/>
    <w:rsid w:val="008A72D2"/>
    <w:rsid w:val="008B0E5F"/>
    <w:rsid w:val="008B19D2"/>
    <w:rsid w:val="008B3E0D"/>
    <w:rsid w:val="008B42CD"/>
    <w:rsid w:val="008B66CB"/>
    <w:rsid w:val="008B6927"/>
    <w:rsid w:val="008B6C35"/>
    <w:rsid w:val="008B7E53"/>
    <w:rsid w:val="008C037C"/>
    <w:rsid w:val="008C0E4E"/>
    <w:rsid w:val="008C10DB"/>
    <w:rsid w:val="008C1AB0"/>
    <w:rsid w:val="008C1C7E"/>
    <w:rsid w:val="008C3756"/>
    <w:rsid w:val="008C3C4F"/>
    <w:rsid w:val="008C4C58"/>
    <w:rsid w:val="008C4D7C"/>
    <w:rsid w:val="008C5C46"/>
    <w:rsid w:val="008C6892"/>
    <w:rsid w:val="008C6A6F"/>
    <w:rsid w:val="008C7987"/>
    <w:rsid w:val="008D0043"/>
    <w:rsid w:val="008D0EC4"/>
    <w:rsid w:val="008D1EE2"/>
    <w:rsid w:val="008D1F24"/>
    <w:rsid w:val="008D29C4"/>
    <w:rsid w:val="008D365C"/>
    <w:rsid w:val="008D48CE"/>
    <w:rsid w:val="008D504B"/>
    <w:rsid w:val="008D540B"/>
    <w:rsid w:val="008D67F2"/>
    <w:rsid w:val="008D7622"/>
    <w:rsid w:val="008D7BAB"/>
    <w:rsid w:val="008E0338"/>
    <w:rsid w:val="008E0D0C"/>
    <w:rsid w:val="008E147D"/>
    <w:rsid w:val="008E1A29"/>
    <w:rsid w:val="008E1F00"/>
    <w:rsid w:val="008E27D0"/>
    <w:rsid w:val="008E3199"/>
    <w:rsid w:val="008E59BA"/>
    <w:rsid w:val="008E5A91"/>
    <w:rsid w:val="008E5C42"/>
    <w:rsid w:val="008E5E31"/>
    <w:rsid w:val="008E6225"/>
    <w:rsid w:val="008E67CF"/>
    <w:rsid w:val="008E758F"/>
    <w:rsid w:val="008F0378"/>
    <w:rsid w:val="008F04F3"/>
    <w:rsid w:val="008F0EAD"/>
    <w:rsid w:val="008F12F9"/>
    <w:rsid w:val="008F1AF6"/>
    <w:rsid w:val="008F24F0"/>
    <w:rsid w:val="008F313E"/>
    <w:rsid w:val="008F405C"/>
    <w:rsid w:val="008F4B2B"/>
    <w:rsid w:val="008F5C55"/>
    <w:rsid w:val="008F5DA0"/>
    <w:rsid w:val="008F5E27"/>
    <w:rsid w:val="008F5F25"/>
    <w:rsid w:val="008F6D98"/>
    <w:rsid w:val="008F710B"/>
    <w:rsid w:val="008F7B29"/>
    <w:rsid w:val="00900141"/>
    <w:rsid w:val="00900C79"/>
    <w:rsid w:val="00901D92"/>
    <w:rsid w:val="009021A6"/>
    <w:rsid w:val="009030BF"/>
    <w:rsid w:val="00903B52"/>
    <w:rsid w:val="009047E2"/>
    <w:rsid w:val="00905F90"/>
    <w:rsid w:val="00906A60"/>
    <w:rsid w:val="0091032F"/>
    <w:rsid w:val="0091232C"/>
    <w:rsid w:val="009124B7"/>
    <w:rsid w:val="0091250E"/>
    <w:rsid w:val="00913F9F"/>
    <w:rsid w:val="00914368"/>
    <w:rsid w:val="00916E2C"/>
    <w:rsid w:val="009172F1"/>
    <w:rsid w:val="009215E9"/>
    <w:rsid w:val="0092196A"/>
    <w:rsid w:val="00922430"/>
    <w:rsid w:val="00922C72"/>
    <w:rsid w:val="009308FC"/>
    <w:rsid w:val="00930A58"/>
    <w:rsid w:val="00931076"/>
    <w:rsid w:val="00931AC9"/>
    <w:rsid w:val="00931DAC"/>
    <w:rsid w:val="00932D28"/>
    <w:rsid w:val="00933024"/>
    <w:rsid w:val="009332E6"/>
    <w:rsid w:val="009334CA"/>
    <w:rsid w:val="0093381E"/>
    <w:rsid w:val="009338CA"/>
    <w:rsid w:val="00933FA5"/>
    <w:rsid w:val="009345D9"/>
    <w:rsid w:val="00934B15"/>
    <w:rsid w:val="00934B38"/>
    <w:rsid w:val="00936548"/>
    <w:rsid w:val="00936D57"/>
    <w:rsid w:val="0093746F"/>
    <w:rsid w:val="00937B1F"/>
    <w:rsid w:val="00940C87"/>
    <w:rsid w:val="00941DC9"/>
    <w:rsid w:val="00942B62"/>
    <w:rsid w:val="009447EC"/>
    <w:rsid w:val="00944D08"/>
    <w:rsid w:val="00947D72"/>
    <w:rsid w:val="009517CE"/>
    <w:rsid w:val="00951B39"/>
    <w:rsid w:val="00952434"/>
    <w:rsid w:val="00952AED"/>
    <w:rsid w:val="00952CE7"/>
    <w:rsid w:val="00952F3C"/>
    <w:rsid w:val="00953083"/>
    <w:rsid w:val="0095323B"/>
    <w:rsid w:val="0095396B"/>
    <w:rsid w:val="00956346"/>
    <w:rsid w:val="00956A0C"/>
    <w:rsid w:val="00956BD9"/>
    <w:rsid w:val="00956D15"/>
    <w:rsid w:val="00960713"/>
    <w:rsid w:val="009608AF"/>
    <w:rsid w:val="00960B9D"/>
    <w:rsid w:val="00960D96"/>
    <w:rsid w:val="0096134D"/>
    <w:rsid w:val="00961C0F"/>
    <w:rsid w:val="00961FF0"/>
    <w:rsid w:val="00962489"/>
    <w:rsid w:val="009636F1"/>
    <w:rsid w:val="009643DB"/>
    <w:rsid w:val="0096611F"/>
    <w:rsid w:val="009673FE"/>
    <w:rsid w:val="00967CD3"/>
    <w:rsid w:val="009712DC"/>
    <w:rsid w:val="0097153F"/>
    <w:rsid w:val="0097228D"/>
    <w:rsid w:val="009725C9"/>
    <w:rsid w:val="00972B73"/>
    <w:rsid w:val="009746B6"/>
    <w:rsid w:val="009747AA"/>
    <w:rsid w:val="009753EE"/>
    <w:rsid w:val="00981062"/>
    <w:rsid w:val="0098145A"/>
    <w:rsid w:val="009819D2"/>
    <w:rsid w:val="00982A95"/>
    <w:rsid w:val="00982D8B"/>
    <w:rsid w:val="00982E0A"/>
    <w:rsid w:val="009831D2"/>
    <w:rsid w:val="00983BA8"/>
    <w:rsid w:val="00983BCE"/>
    <w:rsid w:val="00983CAC"/>
    <w:rsid w:val="00983D72"/>
    <w:rsid w:val="00983DB7"/>
    <w:rsid w:val="00984318"/>
    <w:rsid w:val="009848D9"/>
    <w:rsid w:val="00984C95"/>
    <w:rsid w:val="00985030"/>
    <w:rsid w:val="0098503F"/>
    <w:rsid w:val="00985972"/>
    <w:rsid w:val="0098724B"/>
    <w:rsid w:val="00987610"/>
    <w:rsid w:val="00987B28"/>
    <w:rsid w:val="009902E0"/>
    <w:rsid w:val="009908CF"/>
    <w:rsid w:val="00990C2C"/>
    <w:rsid w:val="00991532"/>
    <w:rsid w:val="009925FE"/>
    <w:rsid w:val="00994D14"/>
    <w:rsid w:val="009952D9"/>
    <w:rsid w:val="009957FD"/>
    <w:rsid w:val="00997715"/>
    <w:rsid w:val="009A0C05"/>
    <w:rsid w:val="009A1C48"/>
    <w:rsid w:val="009A264A"/>
    <w:rsid w:val="009A2745"/>
    <w:rsid w:val="009A2C2B"/>
    <w:rsid w:val="009A30A0"/>
    <w:rsid w:val="009A4178"/>
    <w:rsid w:val="009A4783"/>
    <w:rsid w:val="009A4D45"/>
    <w:rsid w:val="009A50DC"/>
    <w:rsid w:val="009A5171"/>
    <w:rsid w:val="009A71DD"/>
    <w:rsid w:val="009A7647"/>
    <w:rsid w:val="009A7A11"/>
    <w:rsid w:val="009B0983"/>
    <w:rsid w:val="009B0C65"/>
    <w:rsid w:val="009B0F95"/>
    <w:rsid w:val="009B130A"/>
    <w:rsid w:val="009B13D2"/>
    <w:rsid w:val="009B212F"/>
    <w:rsid w:val="009B43A2"/>
    <w:rsid w:val="009B5535"/>
    <w:rsid w:val="009B7185"/>
    <w:rsid w:val="009C129B"/>
    <w:rsid w:val="009C1339"/>
    <w:rsid w:val="009C15B5"/>
    <w:rsid w:val="009C1D69"/>
    <w:rsid w:val="009C304E"/>
    <w:rsid w:val="009C338C"/>
    <w:rsid w:val="009C33BF"/>
    <w:rsid w:val="009C3758"/>
    <w:rsid w:val="009C424E"/>
    <w:rsid w:val="009C4518"/>
    <w:rsid w:val="009C5814"/>
    <w:rsid w:val="009C596F"/>
    <w:rsid w:val="009C5B8B"/>
    <w:rsid w:val="009C6535"/>
    <w:rsid w:val="009C67C3"/>
    <w:rsid w:val="009C7B59"/>
    <w:rsid w:val="009D0999"/>
    <w:rsid w:val="009D09FF"/>
    <w:rsid w:val="009D170C"/>
    <w:rsid w:val="009D358A"/>
    <w:rsid w:val="009D359A"/>
    <w:rsid w:val="009D3E2A"/>
    <w:rsid w:val="009D456D"/>
    <w:rsid w:val="009D5254"/>
    <w:rsid w:val="009D55B6"/>
    <w:rsid w:val="009D60D2"/>
    <w:rsid w:val="009D639D"/>
    <w:rsid w:val="009D68A5"/>
    <w:rsid w:val="009D6A22"/>
    <w:rsid w:val="009D6E96"/>
    <w:rsid w:val="009D7768"/>
    <w:rsid w:val="009D782A"/>
    <w:rsid w:val="009E1844"/>
    <w:rsid w:val="009E5E5A"/>
    <w:rsid w:val="009E71E7"/>
    <w:rsid w:val="009F0D1B"/>
    <w:rsid w:val="009F0EFF"/>
    <w:rsid w:val="009F2CB8"/>
    <w:rsid w:val="009F525C"/>
    <w:rsid w:val="009F5BBD"/>
    <w:rsid w:val="009F652B"/>
    <w:rsid w:val="009F696D"/>
    <w:rsid w:val="009F6BC6"/>
    <w:rsid w:val="009F74EF"/>
    <w:rsid w:val="009F77CA"/>
    <w:rsid w:val="009F7B4B"/>
    <w:rsid w:val="00A00657"/>
    <w:rsid w:val="00A025CC"/>
    <w:rsid w:val="00A02826"/>
    <w:rsid w:val="00A02D41"/>
    <w:rsid w:val="00A0521E"/>
    <w:rsid w:val="00A056B6"/>
    <w:rsid w:val="00A06326"/>
    <w:rsid w:val="00A066FB"/>
    <w:rsid w:val="00A07342"/>
    <w:rsid w:val="00A1045A"/>
    <w:rsid w:val="00A1080C"/>
    <w:rsid w:val="00A10AA4"/>
    <w:rsid w:val="00A10D30"/>
    <w:rsid w:val="00A11F74"/>
    <w:rsid w:val="00A15AB3"/>
    <w:rsid w:val="00A15D5A"/>
    <w:rsid w:val="00A16990"/>
    <w:rsid w:val="00A17328"/>
    <w:rsid w:val="00A20502"/>
    <w:rsid w:val="00A21B38"/>
    <w:rsid w:val="00A22847"/>
    <w:rsid w:val="00A23397"/>
    <w:rsid w:val="00A23A20"/>
    <w:rsid w:val="00A24443"/>
    <w:rsid w:val="00A24853"/>
    <w:rsid w:val="00A252D4"/>
    <w:rsid w:val="00A25DF3"/>
    <w:rsid w:val="00A268B9"/>
    <w:rsid w:val="00A26DBA"/>
    <w:rsid w:val="00A27034"/>
    <w:rsid w:val="00A2703A"/>
    <w:rsid w:val="00A27432"/>
    <w:rsid w:val="00A30E8C"/>
    <w:rsid w:val="00A3204C"/>
    <w:rsid w:val="00A32601"/>
    <w:rsid w:val="00A331E1"/>
    <w:rsid w:val="00A33DFF"/>
    <w:rsid w:val="00A344EE"/>
    <w:rsid w:val="00A35115"/>
    <w:rsid w:val="00A35356"/>
    <w:rsid w:val="00A35879"/>
    <w:rsid w:val="00A35C55"/>
    <w:rsid w:val="00A368AF"/>
    <w:rsid w:val="00A36D9A"/>
    <w:rsid w:val="00A36E3E"/>
    <w:rsid w:val="00A372EE"/>
    <w:rsid w:val="00A37C91"/>
    <w:rsid w:val="00A409AF"/>
    <w:rsid w:val="00A41925"/>
    <w:rsid w:val="00A41E53"/>
    <w:rsid w:val="00A432E1"/>
    <w:rsid w:val="00A43510"/>
    <w:rsid w:val="00A436B3"/>
    <w:rsid w:val="00A43EB5"/>
    <w:rsid w:val="00A44D0E"/>
    <w:rsid w:val="00A44D18"/>
    <w:rsid w:val="00A451DC"/>
    <w:rsid w:val="00A4640A"/>
    <w:rsid w:val="00A472A4"/>
    <w:rsid w:val="00A50049"/>
    <w:rsid w:val="00A50B43"/>
    <w:rsid w:val="00A50E2A"/>
    <w:rsid w:val="00A51966"/>
    <w:rsid w:val="00A5258D"/>
    <w:rsid w:val="00A54735"/>
    <w:rsid w:val="00A5480E"/>
    <w:rsid w:val="00A554AB"/>
    <w:rsid w:val="00A56440"/>
    <w:rsid w:val="00A564C5"/>
    <w:rsid w:val="00A57062"/>
    <w:rsid w:val="00A574B6"/>
    <w:rsid w:val="00A57796"/>
    <w:rsid w:val="00A61E1D"/>
    <w:rsid w:val="00A6225B"/>
    <w:rsid w:val="00A62447"/>
    <w:rsid w:val="00A6315B"/>
    <w:rsid w:val="00A647C3"/>
    <w:rsid w:val="00A652C7"/>
    <w:rsid w:val="00A6558A"/>
    <w:rsid w:val="00A65BF1"/>
    <w:rsid w:val="00A67781"/>
    <w:rsid w:val="00A70611"/>
    <w:rsid w:val="00A710EF"/>
    <w:rsid w:val="00A71163"/>
    <w:rsid w:val="00A74FD2"/>
    <w:rsid w:val="00A75DC5"/>
    <w:rsid w:val="00A761F9"/>
    <w:rsid w:val="00A761FC"/>
    <w:rsid w:val="00A764F9"/>
    <w:rsid w:val="00A77BB1"/>
    <w:rsid w:val="00A828B6"/>
    <w:rsid w:val="00A82BCA"/>
    <w:rsid w:val="00A82F33"/>
    <w:rsid w:val="00A836C9"/>
    <w:rsid w:val="00A83C53"/>
    <w:rsid w:val="00A8405D"/>
    <w:rsid w:val="00A84397"/>
    <w:rsid w:val="00A84826"/>
    <w:rsid w:val="00A84D4B"/>
    <w:rsid w:val="00A86343"/>
    <w:rsid w:val="00A86665"/>
    <w:rsid w:val="00A86C81"/>
    <w:rsid w:val="00A87D2D"/>
    <w:rsid w:val="00A90823"/>
    <w:rsid w:val="00A92048"/>
    <w:rsid w:val="00A922FE"/>
    <w:rsid w:val="00A92384"/>
    <w:rsid w:val="00A92438"/>
    <w:rsid w:val="00A92B53"/>
    <w:rsid w:val="00A9364E"/>
    <w:rsid w:val="00A94290"/>
    <w:rsid w:val="00A94805"/>
    <w:rsid w:val="00A94FA6"/>
    <w:rsid w:val="00A95832"/>
    <w:rsid w:val="00A968AE"/>
    <w:rsid w:val="00AA0399"/>
    <w:rsid w:val="00AA051E"/>
    <w:rsid w:val="00AA1280"/>
    <w:rsid w:val="00AA18B4"/>
    <w:rsid w:val="00AA1B82"/>
    <w:rsid w:val="00AA2764"/>
    <w:rsid w:val="00AA3858"/>
    <w:rsid w:val="00AA3ECB"/>
    <w:rsid w:val="00AA4697"/>
    <w:rsid w:val="00AA49A0"/>
    <w:rsid w:val="00AA5F4C"/>
    <w:rsid w:val="00AA6710"/>
    <w:rsid w:val="00AA7C8B"/>
    <w:rsid w:val="00AA7F72"/>
    <w:rsid w:val="00AB0681"/>
    <w:rsid w:val="00AB1DCF"/>
    <w:rsid w:val="00AB2920"/>
    <w:rsid w:val="00AB2CC5"/>
    <w:rsid w:val="00AB33E4"/>
    <w:rsid w:val="00AB3490"/>
    <w:rsid w:val="00AB35AB"/>
    <w:rsid w:val="00AB4104"/>
    <w:rsid w:val="00AB507B"/>
    <w:rsid w:val="00AB55B1"/>
    <w:rsid w:val="00AB5D52"/>
    <w:rsid w:val="00AB6013"/>
    <w:rsid w:val="00AB6690"/>
    <w:rsid w:val="00AC0B94"/>
    <w:rsid w:val="00AC0E60"/>
    <w:rsid w:val="00AC26C3"/>
    <w:rsid w:val="00AC3A15"/>
    <w:rsid w:val="00AC47F3"/>
    <w:rsid w:val="00AC65E1"/>
    <w:rsid w:val="00AC6F8A"/>
    <w:rsid w:val="00AC739F"/>
    <w:rsid w:val="00AC79C8"/>
    <w:rsid w:val="00AD0DC6"/>
    <w:rsid w:val="00AD1D96"/>
    <w:rsid w:val="00AD262D"/>
    <w:rsid w:val="00AD2C5A"/>
    <w:rsid w:val="00AD3EBB"/>
    <w:rsid w:val="00AD3EFC"/>
    <w:rsid w:val="00AD4525"/>
    <w:rsid w:val="00AD48BE"/>
    <w:rsid w:val="00AD520B"/>
    <w:rsid w:val="00AD56C5"/>
    <w:rsid w:val="00AD5EDA"/>
    <w:rsid w:val="00AD62EB"/>
    <w:rsid w:val="00AD7215"/>
    <w:rsid w:val="00AE2CF1"/>
    <w:rsid w:val="00AE3B8E"/>
    <w:rsid w:val="00AE3BCC"/>
    <w:rsid w:val="00AE46D5"/>
    <w:rsid w:val="00AE5B3E"/>
    <w:rsid w:val="00AE761B"/>
    <w:rsid w:val="00AE7686"/>
    <w:rsid w:val="00AF014A"/>
    <w:rsid w:val="00AF0732"/>
    <w:rsid w:val="00AF087A"/>
    <w:rsid w:val="00AF15CE"/>
    <w:rsid w:val="00AF171F"/>
    <w:rsid w:val="00AF24EE"/>
    <w:rsid w:val="00AF4F6B"/>
    <w:rsid w:val="00AF54F1"/>
    <w:rsid w:val="00AF6CEB"/>
    <w:rsid w:val="00B00535"/>
    <w:rsid w:val="00B0118C"/>
    <w:rsid w:val="00B01E0F"/>
    <w:rsid w:val="00B01FDB"/>
    <w:rsid w:val="00B0287A"/>
    <w:rsid w:val="00B02FBA"/>
    <w:rsid w:val="00B04358"/>
    <w:rsid w:val="00B045EF"/>
    <w:rsid w:val="00B04D91"/>
    <w:rsid w:val="00B04E84"/>
    <w:rsid w:val="00B051B2"/>
    <w:rsid w:val="00B054FD"/>
    <w:rsid w:val="00B1246B"/>
    <w:rsid w:val="00B131F1"/>
    <w:rsid w:val="00B1363D"/>
    <w:rsid w:val="00B15A09"/>
    <w:rsid w:val="00B164AB"/>
    <w:rsid w:val="00B17137"/>
    <w:rsid w:val="00B2375A"/>
    <w:rsid w:val="00B23A20"/>
    <w:rsid w:val="00B24054"/>
    <w:rsid w:val="00B255A8"/>
    <w:rsid w:val="00B26C9F"/>
    <w:rsid w:val="00B2728C"/>
    <w:rsid w:val="00B3229E"/>
    <w:rsid w:val="00B3447D"/>
    <w:rsid w:val="00B35FF7"/>
    <w:rsid w:val="00B36993"/>
    <w:rsid w:val="00B36B7B"/>
    <w:rsid w:val="00B37723"/>
    <w:rsid w:val="00B3779D"/>
    <w:rsid w:val="00B400F2"/>
    <w:rsid w:val="00B40256"/>
    <w:rsid w:val="00B40C56"/>
    <w:rsid w:val="00B419D4"/>
    <w:rsid w:val="00B41AF3"/>
    <w:rsid w:val="00B425C3"/>
    <w:rsid w:val="00B42DB5"/>
    <w:rsid w:val="00B4309C"/>
    <w:rsid w:val="00B43FF3"/>
    <w:rsid w:val="00B440AD"/>
    <w:rsid w:val="00B45C48"/>
    <w:rsid w:val="00B465EA"/>
    <w:rsid w:val="00B479BB"/>
    <w:rsid w:val="00B500D0"/>
    <w:rsid w:val="00B5137A"/>
    <w:rsid w:val="00B51AFD"/>
    <w:rsid w:val="00B51FAE"/>
    <w:rsid w:val="00B5213F"/>
    <w:rsid w:val="00B525E7"/>
    <w:rsid w:val="00B527D0"/>
    <w:rsid w:val="00B52983"/>
    <w:rsid w:val="00B5313E"/>
    <w:rsid w:val="00B53C62"/>
    <w:rsid w:val="00B53E7E"/>
    <w:rsid w:val="00B541B7"/>
    <w:rsid w:val="00B54A80"/>
    <w:rsid w:val="00B55C17"/>
    <w:rsid w:val="00B5758E"/>
    <w:rsid w:val="00B62A2C"/>
    <w:rsid w:val="00B6342E"/>
    <w:rsid w:val="00B64219"/>
    <w:rsid w:val="00B64BE3"/>
    <w:rsid w:val="00B702F9"/>
    <w:rsid w:val="00B70C5E"/>
    <w:rsid w:val="00B7113F"/>
    <w:rsid w:val="00B71C37"/>
    <w:rsid w:val="00B73FB4"/>
    <w:rsid w:val="00B74460"/>
    <w:rsid w:val="00B74E9F"/>
    <w:rsid w:val="00B769DD"/>
    <w:rsid w:val="00B814A3"/>
    <w:rsid w:val="00B82596"/>
    <w:rsid w:val="00B83B21"/>
    <w:rsid w:val="00B84736"/>
    <w:rsid w:val="00B8710B"/>
    <w:rsid w:val="00B90F09"/>
    <w:rsid w:val="00B9197F"/>
    <w:rsid w:val="00B92EFC"/>
    <w:rsid w:val="00B940BA"/>
    <w:rsid w:val="00B9436D"/>
    <w:rsid w:val="00B94414"/>
    <w:rsid w:val="00B95BCE"/>
    <w:rsid w:val="00B967F8"/>
    <w:rsid w:val="00B9769F"/>
    <w:rsid w:val="00BA14AD"/>
    <w:rsid w:val="00BA1F99"/>
    <w:rsid w:val="00BA2BCF"/>
    <w:rsid w:val="00BA3B4A"/>
    <w:rsid w:val="00BA5070"/>
    <w:rsid w:val="00BA5B14"/>
    <w:rsid w:val="00BA73B6"/>
    <w:rsid w:val="00BA7E27"/>
    <w:rsid w:val="00BB0B64"/>
    <w:rsid w:val="00BB0BC8"/>
    <w:rsid w:val="00BB0F05"/>
    <w:rsid w:val="00BB13D1"/>
    <w:rsid w:val="00BB2603"/>
    <w:rsid w:val="00BB2EE2"/>
    <w:rsid w:val="00BB3067"/>
    <w:rsid w:val="00BB3B14"/>
    <w:rsid w:val="00BB4104"/>
    <w:rsid w:val="00BB4198"/>
    <w:rsid w:val="00BB4FB0"/>
    <w:rsid w:val="00BB4FCD"/>
    <w:rsid w:val="00BB5B5E"/>
    <w:rsid w:val="00BB61CC"/>
    <w:rsid w:val="00BB6F6C"/>
    <w:rsid w:val="00BB793E"/>
    <w:rsid w:val="00BB7C51"/>
    <w:rsid w:val="00BC03B2"/>
    <w:rsid w:val="00BC04E9"/>
    <w:rsid w:val="00BC1167"/>
    <w:rsid w:val="00BC186F"/>
    <w:rsid w:val="00BC2CBD"/>
    <w:rsid w:val="00BC4937"/>
    <w:rsid w:val="00BC51F3"/>
    <w:rsid w:val="00BD13EA"/>
    <w:rsid w:val="00BD31B3"/>
    <w:rsid w:val="00BD6295"/>
    <w:rsid w:val="00BD72F8"/>
    <w:rsid w:val="00BD7444"/>
    <w:rsid w:val="00BD7543"/>
    <w:rsid w:val="00BD7B5B"/>
    <w:rsid w:val="00BE177C"/>
    <w:rsid w:val="00BE2119"/>
    <w:rsid w:val="00BE2F93"/>
    <w:rsid w:val="00BE3808"/>
    <w:rsid w:val="00BE44F1"/>
    <w:rsid w:val="00BE6C52"/>
    <w:rsid w:val="00BE7F26"/>
    <w:rsid w:val="00BE7FBF"/>
    <w:rsid w:val="00BF0F0D"/>
    <w:rsid w:val="00BF112D"/>
    <w:rsid w:val="00BF2857"/>
    <w:rsid w:val="00BF3A7A"/>
    <w:rsid w:val="00BF4059"/>
    <w:rsid w:val="00BF4E2E"/>
    <w:rsid w:val="00BF5CE7"/>
    <w:rsid w:val="00BF7133"/>
    <w:rsid w:val="00C00AC2"/>
    <w:rsid w:val="00C0120F"/>
    <w:rsid w:val="00C01E8F"/>
    <w:rsid w:val="00C020D1"/>
    <w:rsid w:val="00C02F74"/>
    <w:rsid w:val="00C036EE"/>
    <w:rsid w:val="00C03B88"/>
    <w:rsid w:val="00C04A68"/>
    <w:rsid w:val="00C06091"/>
    <w:rsid w:val="00C062E9"/>
    <w:rsid w:val="00C06F57"/>
    <w:rsid w:val="00C07B64"/>
    <w:rsid w:val="00C10471"/>
    <w:rsid w:val="00C109D7"/>
    <w:rsid w:val="00C10EB8"/>
    <w:rsid w:val="00C1139A"/>
    <w:rsid w:val="00C1150F"/>
    <w:rsid w:val="00C12DC6"/>
    <w:rsid w:val="00C13721"/>
    <w:rsid w:val="00C13847"/>
    <w:rsid w:val="00C138EC"/>
    <w:rsid w:val="00C14FE4"/>
    <w:rsid w:val="00C15389"/>
    <w:rsid w:val="00C16C6D"/>
    <w:rsid w:val="00C175D9"/>
    <w:rsid w:val="00C207F6"/>
    <w:rsid w:val="00C2113F"/>
    <w:rsid w:val="00C21192"/>
    <w:rsid w:val="00C22162"/>
    <w:rsid w:val="00C22986"/>
    <w:rsid w:val="00C246D5"/>
    <w:rsid w:val="00C25BFB"/>
    <w:rsid w:val="00C30485"/>
    <w:rsid w:val="00C3066D"/>
    <w:rsid w:val="00C30728"/>
    <w:rsid w:val="00C31484"/>
    <w:rsid w:val="00C322D2"/>
    <w:rsid w:val="00C328A9"/>
    <w:rsid w:val="00C330D5"/>
    <w:rsid w:val="00C33444"/>
    <w:rsid w:val="00C345A6"/>
    <w:rsid w:val="00C35847"/>
    <w:rsid w:val="00C363B5"/>
    <w:rsid w:val="00C36724"/>
    <w:rsid w:val="00C36C15"/>
    <w:rsid w:val="00C36EDB"/>
    <w:rsid w:val="00C37312"/>
    <w:rsid w:val="00C404F0"/>
    <w:rsid w:val="00C40F54"/>
    <w:rsid w:val="00C411F5"/>
    <w:rsid w:val="00C4145E"/>
    <w:rsid w:val="00C419D4"/>
    <w:rsid w:val="00C42F05"/>
    <w:rsid w:val="00C4317D"/>
    <w:rsid w:val="00C435B9"/>
    <w:rsid w:val="00C451DB"/>
    <w:rsid w:val="00C45A37"/>
    <w:rsid w:val="00C45B61"/>
    <w:rsid w:val="00C47101"/>
    <w:rsid w:val="00C4774C"/>
    <w:rsid w:val="00C50001"/>
    <w:rsid w:val="00C509C6"/>
    <w:rsid w:val="00C50ACE"/>
    <w:rsid w:val="00C513DB"/>
    <w:rsid w:val="00C51E13"/>
    <w:rsid w:val="00C52020"/>
    <w:rsid w:val="00C52416"/>
    <w:rsid w:val="00C52470"/>
    <w:rsid w:val="00C52C87"/>
    <w:rsid w:val="00C53853"/>
    <w:rsid w:val="00C53C73"/>
    <w:rsid w:val="00C53C9D"/>
    <w:rsid w:val="00C54099"/>
    <w:rsid w:val="00C543F4"/>
    <w:rsid w:val="00C54865"/>
    <w:rsid w:val="00C5563C"/>
    <w:rsid w:val="00C55A10"/>
    <w:rsid w:val="00C56714"/>
    <w:rsid w:val="00C56D24"/>
    <w:rsid w:val="00C6071D"/>
    <w:rsid w:val="00C6103D"/>
    <w:rsid w:val="00C61DFE"/>
    <w:rsid w:val="00C6291C"/>
    <w:rsid w:val="00C62C88"/>
    <w:rsid w:val="00C6337A"/>
    <w:rsid w:val="00C633CB"/>
    <w:rsid w:val="00C6342B"/>
    <w:rsid w:val="00C64543"/>
    <w:rsid w:val="00C647AB"/>
    <w:rsid w:val="00C652E3"/>
    <w:rsid w:val="00C664CD"/>
    <w:rsid w:val="00C67EA1"/>
    <w:rsid w:val="00C70E45"/>
    <w:rsid w:val="00C717AD"/>
    <w:rsid w:val="00C726AF"/>
    <w:rsid w:val="00C7323F"/>
    <w:rsid w:val="00C73287"/>
    <w:rsid w:val="00C736B7"/>
    <w:rsid w:val="00C748F6"/>
    <w:rsid w:val="00C74BD3"/>
    <w:rsid w:val="00C7620E"/>
    <w:rsid w:val="00C76265"/>
    <w:rsid w:val="00C76359"/>
    <w:rsid w:val="00C76445"/>
    <w:rsid w:val="00C76618"/>
    <w:rsid w:val="00C7675C"/>
    <w:rsid w:val="00C77666"/>
    <w:rsid w:val="00C801E0"/>
    <w:rsid w:val="00C81D4A"/>
    <w:rsid w:val="00C82373"/>
    <w:rsid w:val="00C82797"/>
    <w:rsid w:val="00C8348A"/>
    <w:rsid w:val="00C838A4"/>
    <w:rsid w:val="00C842A1"/>
    <w:rsid w:val="00C8539F"/>
    <w:rsid w:val="00C85F06"/>
    <w:rsid w:val="00C8762C"/>
    <w:rsid w:val="00C878AB"/>
    <w:rsid w:val="00C87B26"/>
    <w:rsid w:val="00C90411"/>
    <w:rsid w:val="00C90CA3"/>
    <w:rsid w:val="00C928CE"/>
    <w:rsid w:val="00C93CA8"/>
    <w:rsid w:val="00C94DAF"/>
    <w:rsid w:val="00CA00F9"/>
    <w:rsid w:val="00CA0D66"/>
    <w:rsid w:val="00CA1633"/>
    <w:rsid w:val="00CA2961"/>
    <w:rsid w:val="00CA2B2C"/>
    <w:rsid w:val="00CA3407"/>
    <w:rsid w:val="00CA3E9E"/>
    <w:rsid w:val="00CA5F93"/>
    <w:rsid w:val="00CA7BB8"/>
    <w:rsid w:val="00CB0E08"/>
    <w:rsid w:val="00CB18E4"/>
    <w:rsid w:val="00CB4476"/>
    <w:rsid w:val="00CB50D7"/>
    <w:rsid w:val="00CB5911"/>
    <w:rsid w:val="00CB5E5D"/>
    <w:rsid w:val="00CB7177"/>
    <w:rsid w:val="00CB7C1D"/>
    <w:rsid w:val="00CB7CED"/>
    <w:rsid w:val="00CC018A"/>
    <w:rsid w:val="00CC070F"/>
    <w:rsid w:val="00CC17E9"/>
    <w:rsid w:val="00CC1998"/>
    <w:rsid w:val="00CC4946"/>
    <w:rsid w:val="00CC602C"/>
    <w:rsid w:val="00CC64A1"/>
    <w:rsid w:val="00CC6542"/>
    <w:rsid w:val="00CC72BD"/>
    <w:rsid w:val="00CC736E"/>
    <w:rsid w:val="00CD31DC"/>
    <w:rsid w:val="00CD4262"/>
    <w:rsid w:val="00CD49C7"/>
    <w:rsid w:val="00CD524A"/>
    <w:rsid w:val="00CD60F3"/>
    <w:rsid w:val="00CD675E"/>
    <w:rsid w:val="00CE1508"/>
    <w:rsid w:val="00CE18E6"/>
    <w:rsid w:val="00CE2CAE"/>
    <w:rsid w:val="00CE2E36"/>
    <w:rsid w:val="00CE313B"/>
    <w:rsid w:val="00CE4393"/>
    <w:rsid w:val="00CE63AA"/>
    <w:rsid w:val="00CE6976"/>
    <w:rsid w:val="00CE7DD1"/>
    <w:rsid w:val="00CF02D7"/>
    <w:rsid w:val="00CF0378"/>
    <w:rsid w:val="00CF0EB9"/>
    <w:rsid w:val="00CF2870"/>
    <w:rsid w:val="00CF3B11"/>
    <w:rsid w:val="00CF46BE"/>
    <w:rsid w:val="00CF4B1E"/>
    <w:rsid w:val="00CF523F"/>
    <w:rsid w:val="00CF64F8"/>
    <w:rsid w:val="00CF6A34"/>
    <w:rsid w:val="00CF6E3F"/>
    <w:rsid w:val="00D00D5A"/>
    <w:rsid w:val="00D02B32"/>
    <w:rsid w:val="00D02E59"/>
    <w:rsid w:val="00D04550"/>
    <w:rsid w:val="00D0492C"/>
    <w:rsid w:val="00D053C8"/>
    <w:rsid w:val="00D07345"/>
    <w:rsid w:val="00D111B8"/>
    <w:rsid w:val="00D12EEA"/>
    <w:rsid w:val="00D13713"/>
    <w:rsid w:val="00D13F09"/>
    <w:rsid w:val="00D14E72"/>
    <w:rsid w:val="00D15D0D"/>
    <w:rsid w:val="00D1606E"/>
    <w:rsid w:val="00D16B8A"/>
    <w:rsid w:val="00D1728A"/>
    <w:rsid w:val="00D17CCA"/>
    <w:rsid w:val="00D202B1"/>
    <w:rsid w:val="00D20F87"/>
    <w:rsid w:val="00D215CC"/>
    <w:rsid w:val="00D219F4"/>
    <w:rsid w:val="00D22514"/>
    <w:rsid w:val="00D225CB"/>
    <w:rsid w:val="00D25CD5"/>
    <w:rsid w:val="00D260A0"/>
    <w:rsid w:val="00D262DE"/>
    <w:rsid w:val="00D264BC"/>
    <w:rsid w:val="00D270A4"/>
    <w:rsid w:val="00D27DDD"/>
    <w:rsid w:val="00D30D80"/>
    <w:rsid w:val="00D310D4"/>
    <w:rsid w:val="00D317CF"/>
    <w:rsid w:val="00D31FE9"/>
    <w:rsid w:val="00D3208E"/>
    <w:rsid w:val="00D32D9B"/>
    <w:rsid w:val="00D3352D"/>
    <w:rsid w:val="00D338C4"/>
    <w:rsid w:val="00D34E1B"/>
    <w:rsid w:val="00D3511E"/>
    <w:rsid w:val="00D352F9"/>
    <w:rsid w:val="00D37118"/>
    <w:rsid w:val="00D376BA"/>
    <w:rsid w:val="00D379E7"/>
    <w:rsid w:val="00D404B8"/>
    <w:rsid w:val="00D42F4C"/>
    <w:rsid w:val="00D434A0"/>
    <w:rsid w:val="00D454F9"/>
    <w:rsid w:val="00D45634"/>
    <w:rsid w:val="00D45EA7"/>
    <w:rsid w:val="00D45EB7"/>
    <w:rsid w:val="00D46C7C"/>
    <w:rsid w:val="00D4734B"/>
    <w:rsid w:val="00D47800"/>
    <w:rsid w:val="00D47E3D"/>
    <w:rsid w:val="00D521E7"/>
    <w:rsid w:val="00D539F9"/>
    <w:rsid w:val="00D53F34"/>
    <w:rsid w:val="00D5568A"/>
    <w:rsid w:val="00D55B7B"/>
    <w:rsid w:val="00D56F56"/>
    <w:rsid w:val="00D600B9"/>
    <w:rsid w:val="00D60416"/>
    <w:rsid w:val="00D60F45"/>
    <w:rsid w:val="00D61DC0"/>
    <w:rsid w:val="00D63017"/>
    <w:rsid w:val="00D63D73"/>
    <w:rsid w:val="00D64452"/>
    <w:rsid w:val="00D653FB"/>
    <w:rsid w:val="00D65BEF"/>
    <w:rsid w:val="00D6670F"/>
    <w:rsid w:val="00D66E1E"/>
    <w:rsid w:val="00D70696"/>
    <w:rsid w:val="00D70BC7"/>
    <w:rsid w:val="00D70F2A"/>
    <w:rsid w:val="00D73482"/>
    <w:rsid w:val="00D73597"/>
    <w:rsid w:val="00D736DF"/>
    <w:rsid w:val="00D744AA"/>
    <w:rsid w:val="00D75722"/>
    <w:rsid w:val="00D77C24"/>
    <w:rsid w:val="00D77DEC"/>
    <w:rsid w:val="00D80C00"/>
    <w:rsid w:val="00D80CF5"/>
    <w:rsid w:val="00D80D17"/>
    <w:rsid w:val="00D81FB6"/>
    <w:rsid w:val="00D82BB9"/>
    <w:rsid w:val="00D841EF"/>
    <w:rsid w:val="00D8441C"/>
    <w:rsid w:val="00D84434"/>
    <w:rsid w:val="00D84571"/>
    <w:rsid w:val="00D856F8"/>
    <w:rsid w:val="00D85DA1"/>
    <w:rsid w:val="00D860F5"/>
    <w:rsid w:val="00D87F0F"/>
    <w:rsid w:val="00D90A98"/>
    <w:rsid w:val="00D90D2B"/>
    <w:rsid w:val="00D92B50"/>
    <w:rsid w:val="00D9395E"/>
    <w:rsid w:val="00D94B45"/>
    <w:rsid w:val="00D94B6D"/>
    <w:rsid w:val="00D96895"/>
    <w:rsid w:val="00D9730B"/>
    <w:rsid w:val="00DA0711"/>
    <w:rsid w:val="00DA2A26"/>
    <w:rsid w:val="00DA31F0"/>
    <w:rsid w:val="00DA36B2"/>
    <w:rsid w:val="00DA384A"/>
    <w:rsid w:val="00DA4597"/>
    <w:rsid w:val="00DA487A"/>
    <w:rsid w:val="00DA513A"/>
    <w:rsid w:val="00DA5B18"/>
    <w:rsid w:val="00DA5BBA"/>
    <w:rsid w:val="00DA5F74"/>
    <w:rsid w:val="00DA77A8"/>
    <w:rsid w:val="00DA7F7C"/>
    <w:rsid w:val="00DA7F84"/>
    <w:rsid w:val="00DB0D36"/>
    <w:rsid w:val="00DB1EFC"/>
    <w:rsid w:val="00DB26D2"/>
    <w:rsid w:val="00DB2B41"/>
    <w:rsid w:val="00DB34F6"/>
    <w:rsid w:val="00DB4279"/>
    <w:rsid w:val="00DB540F"/>
    <w:rsid w:val="00DB67C9"/>
    <w:rsid w:val="00DB68DA"/>
    <w:rsid w:val="00DB76C1"/>
    <w:rsid w:val="00DC0AC8"/>
    <w:rsid w:val="00DC0C95"/>
    <w:rsid w:val="00DC2C97"/>
    <w:rsid w:val="00DC36C0"/>
    <w:rsid w:val="00DC3CC7"/>
    <w:rsid w:val="00DC4B75"/>
    <w:rsid w:val="00DC4F0B"/>
    <w:rsid w:val="00DC557D"/>
    <w:rsid w:val="00DC60A1"/>
    <w:rsid w:val="00DC6C99"/>
    <w:rsid w:val="00DC7798"/>
    <w:rsid w:val="00DC7E4D"/>
    <w:rsid w:val="00DD0229"/>
    <w:rsid w:val="00DD2000"/>
    <w:rsid w:val="00DD25C6"/>
    <w:rsid w:val="00DD3709"/>
    <w:rsid w:val="00DD405B"/>
    <w:rsid w:val="00DD46D5"/>
    <w:rsid w:val="00DD502D"/>
    <w:rsid w:val="00DD522A"/>
    <w:rsid w:val="00DD60CF"/>
    <w:rsid w:val="00DD6580"/>
    <w:rsid w:val="00DE00B2"/>
    <w:rsid w:val="00DE1581"/>
    <w:rsid w:val="00DE1DA7"/>
    <w:rsid w:val="00DE2F00"/>
    <w:rsid w:val="00DE5A06"/>
    <w:rsid w:val="00DE6888"/>
    <w:rsid w:val="00DE68CD"/>
    <w:rsid w:val="00DE7A0D"/>
    <w:rsid w:val="00DF0206"/>
    <w:rsid w:val="00DF0923"/>
    <w:rsid w:val="00DF1185"/>
    <w:rsid w:val="00DF182A"/>
    <w:rsid w:val="00DF19CB"/>
    <w:rsid w:val="00DF21B0"/>
    <w:rsid w:val="00DF3D3F"/>
    <w:rsid w:val="00DF3FFC"/>
    <w:rsid w:val="00DF53C4"/>
    <w:rsid w:val="00DF5662"/>
    <w:rsid w:val="00DF649B"/>
    <w:rsid w:val="00DF69A9"/>
    <w:rsid w:val="00DF75A8"/>
    <w:rsid w:val="00E001D1"/>
    <w:rsid w:val="00E00847"/>
    <w:rsid w:val="00E01D7F"/>
    <w:rsid w:val="00E03D1B"/>
    <w:rsid w:val="00E04D4D"/>
    <w:rsid w:val="00E05C03"/>
    <w:rsid w:val="00E1009F"/>
    <w:rsid w:val="00E113A7"/>
    <w:rsid w:val="00E118CC"/>
    <w:rsid w:val="00E139B1"/>
    <w:rsid w:val="00E145D0"/>
    <w:rsid w:val="00E17C72"/>
    <w:rsid w:val="00E205F9"/>
    <w:rsid w:val="00E21FC6"/>
    <w:rsid w:val="00E230A9"/>
    <w:rsid w:val="00E24948"/>
    <w:rsid w:val="00E24ACB"/>
    <w:rsid w:val="00E27516"/>
    <w:rsid w:val="00E302C2"/>
    <w:rsid w:val="00E30334"/>
    <w:rsid w:val="00E30392"/>
    <w:rsid w:val="00E312DF"/>
    <w:rsid w:val="00E3253C"/>
    <w:rsid w:val="00E327A5"/>
    <w:rsid w:val="00E331D5"/>
    <w:rsid w:val="00E33872"/>
    <w:rsid w:val="00E3420F"/>
    <w:rsid w:val="00E35CC3"/>
    <w:rsid w:val="00E35D42"/>
    <w:rsid w:val="00E35E4B"/>
    <w:rsid w:val="00E360BE"/>
    <w:rsid w:val="00E36E63"/>
    <w:rsid w:val="00E3744C"/>
    <w:rsid w:val="00E410DB"/>
    <w:rsid w:val="00E41267"/>
    <w:rsid w:val="00E41502"/>
    <w:rsid w:val="00E420EC"/>
    <w:rsid w:val="00E42806"/>
    <w:rsid w:val="00E431A9"/>
    <w:rsid w:val="00E434C8"/>
    <w:rsid w:val="00E44857"/>
    <w:rsid w:val="00E44C4E"/>
    <w:rsid w:val="00E45261"/>
    <w:rsid w:val="00E462DB"/>
    <w:rsid w:val="00E50564"/>
    <w:rsid w:val="00E506BA"/>
    <w:rsid w:val="00E50B92"/>
    <w:rsid w:val="00E54C89"/>
    <w:rsid w:val="00E55C0F"/>
    <w:rsid w:val="00E56D95"/>
    <w:rsid w:val="00E56F30"/>
    <w:rsid w:val="00E57C65"/>
    <w:rsid w:val="00E604D5"/>
    <w:rsid w:val="00E6112B"/>
    <w:rsid w:val="00E65CE7"/>
    <w:rsid w:val="00E669E2"/>
    <w:rsid w:val="00E67F49"/>
    <w:rsid w:val="00E7226C"/>
    <w:rsid w:val="00E72D4D"/>
    <w:rsid w:val="00E73494"/>
    <w:rsid w:val="00E73EE5"/>
    <w:rsid w:val="00E754BB"/>
    <w:rsid w:val="00E75E1F"/>
    <w:rsid w:val="00E760F3"/>
    <w:rsid w:val="00E76135"/>
    <w:rsid w:val="00E76E1C"/>
    <w:rsid w:val="00E773F2"/>
    <w:rsid w:val="00E7782A"/>
    <w:rsid w:val="00E77896"/>
    <w:rsid w:val="00E778F0"/>
    <w:rsid w:val="00E81EDB"/>
    <w:rsid w:val="00E823D1"/>
    <w:rsid w:val="00E82CD2"/>
    <w:rsid w:val="00E82F4F"/>
    <w:rsid w:val="00E83BB8"/>
    <w:rsid w:val="00E84194"/>
    <w:rsid w:val="00E864DF"/>
    <w:rsid w:val="00E871A1"/>
    <w:rsid w:val="00E87609"/>
    <w:rsid w:val="00E8777A"/>
    <w:rsid w:val="00E905E7"/>
    <w:rsid w:val="00E913B2"/>
    <w:rsid w:val="00E9159E"/>
    <w:rsid w:val="00E917C8"/>
    <w:rsid w:val="00E9197F"/>
    <w:rsid w:val="00E91ADB"/>
    <w:rsid w:val="00E920D2"/>
    <w:rsid w:val="00E92ACA"/>
    <w:rsid w:val="00E933DC"/>
    <w:rsid w:val="00E945A6"/>
    <w:rsid w:val="00E9536C"/>
    <w:rsid w:val="00E95884"/>
    <w:rsid w:val="00E96D95"/>
    <w:rsid w:val="00EA10D9"/>
    <w:rsid w:val="00EA1494"/>
    <w:rsid w:val="00EA219E"/>
    <w:rsid w:val="00EA2D38"/>
    <w:rsid w:val="00EA3FB3"/>
    <w:rsid w:val="00EA4414"/>
    <w:rsid w:val="00EA5E57"/>
    <w:rsid w:val="00EA62BF"/>
    <w:rsid w:val="00EA6D88"/>
    <w:rsid w:val="00EA7470"/>
    <w:rsid w:val="00EA782E"/>
    <w:rsid w:val="00EA78BC"/>
    <w:rsid w:val="00EA7E75"/>
    <w:rsid w:val="00EB0A17"/>
    <w:rsid w:val="00EB14EB"/>
    <w:rsid w:val="00EB18A9"/>
    <w:rsid w:val="00EB2CC3"/>
    <w:rsid w:val="00EB4402"/>
    <w:rsid w:val="00EB4B4D"/>
    <w:rsid w:val="00EB52EB"/>
    <w:rsid w:val="00EB5CE6"/>
    <w:rsid w:val="00EC14E3"/>
    <w:rsid w:val="00EC19FC"/>
    <w:rsid w:val="00EC1E9E"/>
    <w:rsid w:val="00EC2482"/>
    <w:rsid w:val="00EC262E"/>
    <w:rsid w:val="00EC2844"/>
    <w:rsid w:val="00EC2D33"/>
    <w:rsid w:val="00EC3764"/>
    <w:rsid w:val="00EC3D5C"/>
    <w:rsid w:val="00EC3DB7"/>
    <w:rsid w:val="00EC5500"/>
    <w:rsid w:val="00EC5AAD"/>
    <w:rsid w:val="00EC5FEA"/>
    <w:rsid w:val="00EC679D"/>
    <w:rsid w:val="00EC77A5"/>
    <w:rsid w:val="00EC7E5E"/>
    <w:rsid w:val="00ED18F8"/>
    <w:rsid w:val="00ED1D75"/>
    <w:rsid w:val="00ED4972"/>
    <w:rsid w:val="00ED5082"/>
    <w:rsid w:val="00ED53DD"/>
    <w:rsid w:val="00EE2028"/>
    <w:rsid w:val="00EE27F4"/>
    <w:rsid w:val="00EE37D8"/>
    <w:rsid w:val="00EE394B"/>
    <w:rsid w:val="00EE590B"/>
    <w:rsid w:val="00EE5950"/>
    <w:rsid w:val="00EE6EDA"/>
    <w:rsid w:val="00EE778E"/>
    <w:rsid w:val="00EE7962"/>
    <w:rsid w:val="00EE7E84"/>
    <w:rsid w:val="00EF086D"/>
    <w:rsid w:val="00EF0871"/>
    <w:rsid w:val="00EF1645"/>
    <w:rsid w:val="00EF17CB"/>
    <w:rsid w:val="00EF2CD4"/>
    <w:rsid w:val="00EF31F2"/>
    <w:rsid w:val="00EF3886"/>
    <w:rsid w:val="00EF3F6C"/>
    <w:rsid w:val="00EF5B5D"/>
    <w:rsid w:val="00EF5C96"/>
    <w:rsid w:val="00EF64AE"/>
    <w:rsid w:val="00EF6719"/>
    <w:rsid w:val="00EF6C6C"/>
    <w:rsid w:val="00F01054"/>
    <w:rsid w:val="00F01885"/>
    <w:rsid w:val="00F01A9D"/>
    <w:rsid w:val="00F02872"/>
    <w:rsid w:val="00F030E8"/>
    <w:rsid w:val="00F03803"/>
    <w:rsid w:val="00F04579"/>
    <w:rsid w:val="00F046A6"/>
    <w:rsid w:val="00F049DB"/>
    <w:rsid w:val="00F056FC"/>
    <w:rsid w:val="00F0605D"/>
    <w:rsid w:val="00F062EA"/>
    <w:rsid w:val="00F0632F"/>
    <w:rsid w:val="00F069AE"/>
    <w:rsid w:val="00F06FE8"/>
    <w:rsid w:val="00F101F7"/>
    <w:rsid w:val="00F10476"/>
    <w:rsid w:val="00F10E18"/>
    <w:rsid w:val="00F11CC1"/>
    <w:rsid w:val="00F12161"/>
    <w:rsid w:val="00F12635"/>
    <w:rsid w:val="00F12650"/>
    <w:rsid w:val="00F13540"/>
    <w:rsid w:val="00F135D8"/>
    <w:rsid w:val="00F14D09"/>
    <w:rsid w:val="00F15282"/>
    <w:rsid w:val="00F15665"/>
    <w:rsid w:val="00F15680"/>
    <w:rsid w:val="00F16721"/>
    <w:rsid w:val="00F179AA"/>
    <w:rsid w:val="00F20112"/>
    <w:rsid w:val="00F23941"/>
    <w:rsid w:val="00F2695F"/>
    <w:rsid w:val="00F269B6"/>
    <w:rsid w:val="00F27F9D"/>
    <w:rsid w:val="00F30787"/>
    <w:rsid w:val="00F30FDF"/>
    <w:rsid w:val="00F31299"/>
    <w:rsid w:val="00F314CB"/>
    <w:rsid w:val="00F3170C"/>
    <w:rsid w:val="00F31D3E"/>
    <w:rsid w:val="00F31DD2"/>
    <w:rsid w:val="00F32B3B"/>
    <w:rsid w:val="00F32D2C"/>
    <w:rsid w:val="00F33135"/>
    <w:rsid w:val="00F331D8"/>
    <w:rsid w:val="00F3496C"/>
    <w:rsid w:val="00F34EA0"/>
    <w:rsid w:val="00F3534A"/>
    <w:rsid w:val="00F35935"/>
    <w:rsid w:val="00F35BFB"/>
    <w:rsid w:val="00F36023"/>
    <w:rsid w:val="00F36A10"/>
    <w:rsid w:val="00F36ACC"/>
    <w:rsid w:val="00F3748C"/>
    <w:rsid w:val="00F40642"/>
    <w:rsid w:val="00F4090C"/>
    <w:rsid w:val="00F41ADD"/>
    <w:rsid w:val="00F41C95"/>
    <w:rsid w:val="00F42A86"/>
    <w:rsid w:val="00F42F09"/>
    <w:rsid w:val="00F43CD5"/>
    <w:rsid w:val="00F445D2"/>
    <w:rsid w:val="00F44A58"/>
    <w:rsid w:val="00F44F31"/>
    <w:rsid w:val="00F4592B"/>
    <w:rsid w:val="00F45D30"/>
    <w:rsid w:val="00F46157"/>
    <w:rsid w:val="00F47B1A"/>
    <w:rsid w:val="00F47D8D"/>
    <w:rsid w:val="00F515DE"/>
    <w:rsid w:val="00F51609"/>
    <w:rsid w:val="00F5234F"/>
    <w:rsid w:val="00F52485"/>
    <w:rsid w:val="00F524DF"/>
    <w:rsid w:val="00F525A4"/>
    <w:rsid w:val="00F5295A"/>
    <w:rsid w:val="00F52B57"/>
    <w:rsid w:val="00F53C67"/>
    <w:rsid w:val="00F54931"/>
    <w:rsid w:val="00F55C25"/>
    <w:rsid w:val="00F56601"/>
    <w:rsid w:val="00F56992"/>
    <w:rsid w:val="00F57377"/>
    <w:rsid w:val="00F573A4"/>
    <w:rsid w:val="00F57493"/>
    <w:rsid w:val="00F578D9"/>
    <w:rsid w:val="00F60571"/>
    <w:rsid w:val="00F60C28"/>
    <w:rsid w:val="00F61507"/>
    <w:rsid w:val="00F6167C"/>
    <w:rsid w:val="00F61E4C"/>
    <w:rsid w:val="00F63F8D"/>
    <w:rsid w:val="00F6495F"/>
    <w:rsid w:val="00F6578F"/>
    <w:rsid w:val="00F65B40"/>
    <w:rsid w:val="00F66B35"/>
    <w:rsid w:val="00F674C7"/>
    <w:rsid w:val="00F67A82"/>
    <w:rsid w:val="00F67CC4"/>
    <w:rsid w:val="00F70044"/>
    <w:rsid w:val="00F70126"/>
    <w:rsid w:val="00F7060A"/>
    <w:rsid w:val="00F707DA"/>
    <w:rsid w:val="00F70825"/>
    <w:rsid w:val="00F70A08"/>
    <w:rsid w:val="00F73727"/>
    <w:rsid w:val="00F744F8"/>
    <w:rsid w:val="00F74F40"/>
    <w:rsid w:val="00F7597E"/>
    <w:rsid w:val="00F766A7"/>
    <w:rsid w:val="00F76808"/>
    <w:rsid w:val="00F77862"/>
    <w:rsid w:val="00F8007F"/>
    <w:rsid w:val="00F80163"/>
    <w:rsid w:val="00F80674"/>
    <w:rsid w:val="00F80DBE"/>
    <w:rsid w:val="00F81006"/>
    <w:rsid w:val="00F81616"/>
    <w:rsid w:val="00F83174"/>
    <w:rsid w:val="00F844A6"/>
    <w:rsid w:val="00F84EA3"/>
    <w:rsid w:val="00F85325"/>
    <w:rsid w:val="00F865C1"/>
    <w:rsid w:val="00F87456"/>
    <w:rsid w:val="00F9012F"/>
    <w:rsid w:val="00F9061A"/>
    <w:rsid w:val="00F92CE6"/>
    <w:rsid w:val="00F92DC9"/>
    <w:rsid w:val="00F94F0C"/>
    <w:rsid w:val="00F958B5"/>
    <w:rsid w:val="00F968C9"/>
    <w:rsid w:val="00F972E8"/>
    <w:rsid w:val="00FA004F"/>
    <w:rsid w:val="00FA335F"/>
    <w:rsid w:val="00FA34A4"/>
    <w:rsid w:val="00FA427E"/>
    <w:rsid w:val="00FA6D15"/>
    <w:rsid w:val="00FB0616"/>
    <w:rsid w:val="00FB33A7"/>
    <w:rsid w:val="00FB4941"/>
    <w:rsid w:val="00FB5017"/>
    <w:rsid w:val="00FB530A"/>
    <w:rsid w:val="00FB5A82"/>
    <w:rsid w:val="00FB703F"/>
    <w:rsid w:val="00FC0587"/>
    <w:rsid w:val="00FC08BC"/>
    <w:rsid w:val="00FC0987"/>
    <w:rsid w:val="00FC2BA9"/>
    <w:rsid w:val="00FC323B"/>
    <w:rsid w:val="00FC32DC"/>
    <w:rsid w:val="00FC3637"/>
    <w:rsid w:val="00FC3A1B"/>
    <w:rsid w:val="00FC3E4C"/>
    <w:rsid w:val="00FC5788"/>
    <w:rsid w:val="00FC598D"/>
    <w:rsid w:val="00FC6317"/>
    <w:rsid w:val="00FD0FF0"/>
    <w:rsid w:val="00FD135D"/>
    <w:rsid w:val="00FD1E56"/>
    <w:rsid w:val="00FD22B1"/>
    <w:rsid w:val="00FD33F1"/>
    <w:rsid w:val="00FD347F"/>
    <w:rsid w:val="00FD3566"/>
    <w:rsid w:val="00FD37E4"/>
    <w:rsid w:val="00FD4288"/>
    <w:rsid w:val="00FD4D0A"/>
    <w:rsid w:val="00FD4D60"/>
    <w:rsid w:val="00FD4FB5"/>
    <w:rsid w:val="00FD5A1A"/>
    <w:rsid w:val="00FD6636"/>
    <w:rsid w:val="00FD6F92"/>
    <w:rsid w:val="00FD7488"/>
    <w:rsid w:val="00FE1110"/>
    <w:rsid w:val="00FE1C56"/>
    <w:rsid w:val="00FE2BA9"/>
    <w:rsid w:val="00FE2FF6"/>
    <w:rsid w:val="00FE31E0"/>
    <w:rsid w:val="00FE42B9"/>
    <w:rsid w:val="00FE4A40"/>
    <w:rsid w:val="00FE5397"/>
    <w:rsid w:val="00FE6082"/>
    <w:rsid w:val="00FE74C9"/>
    <w:rsid w:val="00FF0008"/>
    <w:rsid w:val="00FF09D6"/>
    <w:rsid w:val="00FF2DE0"/>
    <w:rsid w:val="00FF2EEA"/>
    <w:rsid w:val="00FF4835"/>
    <w:rsid w:val="00FF4DE0"/>
    <w:rsid w:val="00FF5810"/>
    <w:rsid w:val="00FF60E2"/>
    <w:rsid w:val="00FF7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6593"/>
    <o:shapelayout v:ext="edit">
      <o:idmap v:ext="edit" data="1"/>
    </o:shapelayout>
  </w:shapeDefaults>
  <w:decimalSymbol w:val="."/>
  <w:listSeparator w:val=","/>
  <w14:docId w14:val="341A8F92"/>
  <w15:docId w15:val="{9D784874-2929-4F5A-9109-B06BD5CD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0D84"/>
    <w:rPr>
      <w:sz w:val="24"/>
      <w:szCs w:val="24"/>
    </w:rPr>
  </w:style>
  <w:style w:type="paragraph" w:styleId="Heading1">
    <w:name w:val="heading 1"/>
    <w:basedOn w:val="BodyText"/>
    <w:next w:val="BodyText"/>
    <w:rsid w:val="001A0D84"/>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1A0D84"/>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1A0D84"/>
    <w:pPr>
      <w:spacing w:before="560" w:line="320" w:lineRule="exact"/>
      <w:ind w:left="0" w:firstLine="0"/>
      <w:outlineLvl w:val="2"/>
    </w:pPr>
    <w:rPr>
      <w:sz w:val="26"/>
    </w:rPr>
  </w:style>
  <w:style w:type="paragraph" w:styleId="Heading4">
    <w:name w:val="heading 4"/>
    <w:basedOn w:val="Heading3"/>
    <w:next w:val="BodyText"/>
    <w:link w:val="Heading4Char"/>
    <w:qFormat/>
    <w:rsid w:val="001A0D84"/>
    <w:pPr>
      <w:spacing w:before="480"/>
      <w:outlineLvl w:val="3"/>
    </w:pPr>
    <w:rPr>
      <w:b w:val="0"/>
      <w:sz w:val="24"/>
    </w:rPr>
  </w:style>
  <w:style w:type="paragraph" w:styleId="Heading5">
    <w:name w:val="heading 5"/>
    <w:basedOn w:val="Heading4"/>
    <w:next w:val="BodyText"/>
    <w:link w:val="Heading5Char"/>
    <w:qFormat/>
    <w:rsid w:val="001A0D84"/>
    <w:pPr>
      <w:outlineLvl w:val="4"/>
    </w:pPr>
    <w:rPr>
      <w:i/>
      <w:sz w:val="22"/>
    </w:rPr>
  </w:style>
  <w:style w:type="paragraph" w:styleId="Heading6">
    <w:name w:val="heading 6"/>
    <w:basedOn w:val="BodyText"/>
    <w:next w:val="BodyText"/>
    <w:semiHidden/>
    <w:rsid w:val="001A0D84"/>
    <w:pPr>
      <w:spacing w:after="60"/>
      <w:jc w:val="left"/>
      <w:outlineLvl w:val="5"/>
    </w:pPr>
    <w:rPr>
      <w:i/>
      <w:sz w:val="22"/>
    </w:rPr>
  </w:style>
  <w:style w:type="paragraph" w:styleId="Heading7">
    <w:name w:val="heading 7"/>
    <w:basedOn w:val="BodyText"/>
    <w:next w:val="BodyText"/>
    <w:semiHidden/>
    <w:rsid w:val="001A0D84"/>
    <w:pPr>
      <w:spacing w:after="60" w:line="240" w:lineRule="auto"/>
      <w:jc w:val="left"/>
      <w:outlineLvl w:val="6"/>
    </w:pPr>
    <w:rPr>
      <w:rFonts w:ascii="Arial" w:hAnsi="Arial"/>
      <w:sz w:val="20"/>
    </w:rPr>
  </w:style>
  <w:style w:type="paragraph" w:styleId="Heading8">
    <w:name w:val="heading 8"/>
    <w:basedOn w:val="BodyText"/>
    <w:next w:val="BodyText"/>
    <w:semiHidden/>
    <w:rsid w:val="001A0D84"/>
    <w:pPr>
      <w:spacing w:after="60" w:line="240" w:lineRule="auto"/>
      <w:jc w:val="left"/>
      <w:outlineLvl w:val="7"/>
    </w:pPr>
    <w:rPr>
      <w:rFonts w:ascii="Arial" w:hAnsi="Arial"/>
      <w:i/>
      <w:sz w:val="20"/>
    </w:rPr>
  </w:style>
  <w:style w:type="paragraph" w:styleId="Heading9">
    <w:name w:val="heading 9"/>
    <w:basedOn w:val="BodyText"/>
    <w:next w:val="BodyText"/>
    <w:semiHidden/>
    <w:rsid w:val="001A0D84"/>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1A0D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0D84"/>
  </w:style>
  <w:style w:type="paragraph" w:styleId="BodyText">
    <w:name w:val="Body Text"/>
    <w:link w:val="BodyTextChar"/>
    <w:qFormat/>
    <w:rsid w:val="001A0D84"/>
    <w:pPr>
      <w:spacing w:before="240" w:line="300" w:lineRule="atLeast"/>
      <w:jc w:val="both"/>
    </w:pPr>
    <w:rPr>
      <w:sz w:val="24"/>
    </w:rPr>
  </w:style>
  <w:style w:type="paragraph" w:styleId="Footer">
    <w:name w:val="footer"/>
    <w:basedOn w:val="BodyText"/>
    <w:link w:val="FooterChar"/>
    <w:semiHidden/>
    <w:rsid w:val="001A0D84"/>
    <w:pPr>
      <w:spacing w:before="80" w:line="200" w:lineRule="exact"/>
      <w:ind w:right="6"/>
      <w:jc w:val="left"/>
    </w:pPr>
    <w:rPr>
      <w:rFonts w:ascii="Arial" w:hAnsi="Arial"/>
      <w:caps/>
      <w:spacing w:val="-4"/>
      <w:sz w:val="16"/>
    </w:rPr>
  </w:style>
  <w:style w:type="paragraph" w:customStyle="1" w:styleId="FooterEnd">
    <w:name w:val="Footer End"/>
    <w:basedOn w:val="Footer"/>
    <w:rsid w:val="001A0D84"/>
    <w:pPr>
      <w:spacing w:before="0" w:line="20" w:lineRule="exact"/>
    </w:pPr>
  </w:style>
  <w:style w:type="paragraph" w:styleId="Header">
    <w:name w:val="header"/>
    <w:basedOn w:val="BodyText"/>
    <w:rsid w:val="001A0D84"/>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1A0D84"/>
    <w:pPr>
      <w:spacing w:line="20" w:lineRule="exact"/>
    </w:pPr>
    <w:rPr>
      <w:sz w:val="16"/>
    </w:rPr>
  </w:style>
  <w:style w:type="paragraph" w:customStyle="1" w:styleId="HeaderEven">
    <w:name w:val="Header Even"/>
    <w:basedOn w:val="Header"/>
    <w:semiHidden/>
    <w:rsid w:val="001A0D84"/>
  </w:style>
  <w:style w:type="paragraph" w:customStyle="1" w:styleId="HeaderOdd">
    <w:name w:val="Header Odd"/>
    <w:basedOn w:val="Header"/>
    <w:semiHidden/>
    <w:rsid w:val="001A0D84"/>
  </w:style>
  <w:style w:type="character" w:styleId="PageNumber">
    <w:name w:val="page number"/>
    <w:basedOn w:val="DefaultParagraphFont"/>
    <w:rsid w:val="001A0D84"/>
    <w:rPr>
      <w:rFonts w:ascii="Arial" w:hAnsi="Arial"/>
      <w:b/>
      <w:sz w:val="16"/>
    </w:rPr>
  </w:style>
  <w:style w:type="paragraph" w:customStyle="1" w:styleId="Abbreviation">
    <w:name w:val="Abbreviation"/>
    <w:basedOn w:val="BodyText"/>
    <w:rsid w:val="001A0D84"/>
    <w:pPr>
      <w:spacing w:before="120"/>
      <w:ind w:left="2381" w:hanging="2381"/>
      <w:jc w:val="left"/>
    </w:pPr>
  </w:style>
  <w:style w:type="paragraph" w:customStyle="1" w:styleId="Box">
    <w:name w:val="Box"/>
    <w:basedOn w:val="BodyText"/>
    <w:qFormat/>
    <w:rsid w:val="001A0D84"/>
    <w:pPr>
      <w:keepNext/>
      <w:spacing w:before="120" w:line="260" w:lineRule="atLeast"/>
    </w:pPr>
    <w:rPr>
      <w:rFonts w:ascii="Arial" w:hAnsi="Arial"/>
      <w:sz w:val="20"/>
    </w:rPr>
  </w:style>
  <w:style w:type="paragraph" w:customStyle="1" w:styleId="BoxContinued">
    <w:name w:val="Box Continued"/>
    <w:basedOn w:val="BodyText"/>
    <w:next w:val="BodyText"/>
    <w:semiHidden/>
    <w:rsid w:val="001A0D84"/>
    <w:pPr>
      <w:spacing w:before="180" w:line="220" w:lineRule="exact"/>
      <w:jc w:val="right"/>
    </w:pPr>
    <w:rPr>
      <w:rFonts w:ascii="Arial" w:hAnsi="Arial"/>
      <w:sz w:val="18"/>
    </w:rPr>
  </w:style>
  <w:style w:type="paragraph" w:customStyle="1" w:styleId="BoxHeading1">
    <w:name w:val="Box Heading 1"/>
    <w:basedOn w:val="BodyText"/>
    <w:next w:val="Box"/>
    <w:rsid w:val="001A0D84"/>
    <w:pPr>
      <w:keepNext/>
      <w:spacing w:before="200" w:line="280" w:lineRule="atLeast"/>
    </w:pPr>
    <w:rPr>
      <w:rFonts w:ascii="Arial" w:hAnsi="Arial"/>
      <w:b/>
      <w:sz w:val="22"/>
    </w:rPr>
  </w:style>
  <w:style w:type="paragraph" w:customStyle="1" w:styleId="BoxHeading2">
    <w:name w:val="Box Heading 2"/>
    <w:basedOn w:val="BoxHeading1"/>
    <w:next w:val="Normal"/>
    <w:rsid w:val="001A0D84"/>
    <w:rPr>
      <w:b w:val="0"/>
      <w:i/>
    </w:rPr>
  </w:style>
  <w:style w:type="paragraph" w:customStyle="1" w:styleId="BoxListBullet">
    <w:name w:val="Box List Bullet"/>
    <w:basedOn w:val="BodyText"/>
    <w:rsid w:val="001A0D84"/>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1A0D84"/>
    <w:pPr>
      <w:numPr>
        <w:numId w:val="13"/>
      </w:numPr>
      <w:ind w:left="568" w:hanging="284"/>
    </w:pPr>
  </w:style>
  <w:style w:type="paragraph" w:customStyle="1" w:styleId="BoxListNumber">
    <w:name w:val="Box List Number"/>
    <w:basedOn w:val="BodyText"/>
    <w:rsid w:val="001A0D84"/>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1A0D84"/>
    <w:pPr>
      <w:numPr>
        <w:ilvl w:val="1"/>
      </w:numPr>
      <w:ind w:left="681" w:hanging="397"/>
    </w:pPr>
  </w:style>
  <w:style w:type="paragraph" w:customStyle="1" w:styleId="BoxQuote">
    <w:name w:val="Box Quote"/>
    <w:basedOn w:val="BodyText"/>
    <w:next w:val="Box"/>
    <w:qFormat/>
    <w:rsid w:val="001A0D84"/>
    <w:pPr>
      <w:keepNext/>
      <w:spacing w:before="60" w:line="240" w:lineRule="exact"/>
      <w:ind w:left="284"/>
    </w:pPr>
    <w:rPr>
      <w:rFonts w:ascii="Arial" w:hAnsi="Arial"/>
      <w:sz w:val="18"/>
    </w:rPr>
  </w:style>
  <w:style w:type="paragraph" w:customStyle="1" w:styleId="Note">
    <w:name w:val="Note"/>
    <w:basedOn w:val="BodyText"/>
    <w:next w:val="BodyText"/>
    <w:rsid w:val="001A0D84"/>
    <w:pPr>
      <w:keepLines/>
      <w:spacing w:before="80" w:line="220" w:lineRule="exact"/>
    </w:pPr>
    <w:rPr>
      <w:rFonts w:ascii="Arial" w:hAnsi="Arial"/>
      <w:sz w:val="18"/>
    </w:rPr>
  </w:style>
  <w:style w:type="paragraph" w:customStyle="1" w:styleId="Source">
    <w:name w:val="Source"/>
    <w:basedOn w:val="Normal"/>
    <w:next w:val="BodyText"/>
    <w:rsid w:val="001A0D84"/>
    <w:pPr>
      <w:keepLines/>
      <w:spacing w:before="80" w:line="220" w:lineRule="exact"/>
      <w:jc w:val="both"/>
    </w:pPr>
    <w:rPr>
      <w:rFonts w:ascii="Arial" w:hAnsi="Arial"/>
      <w:sz w:val="18"/>
      <w:szCs w:val="20"/>
    </w:rPr>
  </w:style>
  <w:style w:type="paragraph" w:customStyle="1" w:styleId="BoxSource">
    <w:name w:val="Box Source"/>
    <w:basedOn w:val="Source"/>
    <w:next w:val="BodyText"/>
    <w:rsid w:val="001A0D84"/>
    <w:pPr>
      <w:spacing w:before="120"/>
    </w:pPr>
  </w:style>
  <w:style w:type="paragraph" w:customStyle="1" w:styleId="BoxSpaceAbove">
    <w:name w:val="Box Space Above"/>
    <w:basedOn w:val="BodyText"/>
    <w:rsid w:val="001A0D84"/>
    <w:pPr>
      <w:keepNext/>
      <w:spacing w:before="360" w:line="80" w:lineRule="exact"/>
      <w:jc w:val="left"/>
    </w:pPr>
  </w:style>
  <w:style w:type="paragraph" w:styleId="Caption">
    <w:name w:val="caption"/>
    <w:basedOn w:val="Normal"/>
    <w:next w:val="BodyText"/>
    <w:rsid w:val="001A0D84"/>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1A0D84"/>
    <w:pPr>
      <w:spacing w:before="120" w:after="0"/>
    </w:pPr>
  </w:style>
  <w:style w:type="paragraph" w:customStyle="1" w:styleId="BoxSubtitle">
    <w:name w:val="Box Subtitle"/>
    <w:basedOn w:val="BoxTitle"/>
    <w:next w:val="Normal"/>
    <w:rsid w:val="001A0D84"/>
    <w:pPr>
      <w:spacing w:after="80" w:line="200" w:lineRule="exact"/>
      <w:ind w:firstLine="0"/>
    </w:pPr>
    <w:rPr>
      <w:b w:val="0"/>
      <w:sz w:val="20"/>
    </w:rPr>
  </w:style>
  <w:style w:type="paragraph" w:customStyle="1" w:styleId="Chapter">
    <w:name w:val="Chapter"/>
    <w:basedOn w:val="Heading1"/>
    <w:next w:val="BodyText"/>
    <w:semiHidden/>
    <w:rsid w:val="001A0D84"/>
    <w:pPr>
      <w:ind w:left="0" w:firstLine="0"/>
      <w:outlineLvl w:val="9"/>
    </w:pPr>
  </w:style>
  <w:style w:type="paragraph" w:customStyle="1" w:styleId="ChapterSummary">
    <w:name w:val="Chapter Summary"/>
    <w:basedOn w:val="BodyText"/>
    <w:rsid w:val="001A0D84"/>
    <w:pPr>
      <w:spacing w:line="280" w:lineRule="atLeast"/>
      <w:ind w:left="907"/>
    </w:pPr>
    <w:rPr>
      <w:rFonts w:ascii="Arial" w:hAnsi="Arial"/>
      <w:b/>
      <w:sz w:val="20"/>
    </w:rPr>
  </w:style>
  <w:style w:type="character" w:styleId="CommentReference">
    <w:name w:val="annotation reference"/>
    <w:basedOn w:val="DefaultParagraphFont"/>
    <w:semiHidden/>
    <w:rsid w:val="001A0D84"/>
    <w:rPr>
      <w:b/>
      <w:vanish/>
      <w:color w:val="FF00FF"/>
      <w:sz w:val="20"/>
    </w:rPr>
  </w:style>
  <w:style w:type="paragraph" w:styleId="CommentText">
    <w:name w:val="annotation text"/>
    <w:basedOn w:val="Normal"/>
    <w:link w:val="CommentTextChar"/>
    <w:semiHidden/>
    <w:rsid w:val="001A0D84"/>
    <w:pPr>
      <w:spacing w:before="120" w:line="240" w:lineRule="atLeast"/>
      <w:ind w:left="567" w:hanging="567"/>
    </w:pPr>
    <w:rPr>
      <w:sz w:val="20"/>
    </w:rPr>
  </w:style>
  <w:style w:type="paragraph" w:customStyle="1" w:styleId="Continued">
    <w:name w:val="Continued"/>
    <w:basedOn w:val="BoxContinued"/>
    <w:next w:val="BodyText"/>
    <w:rsid w:val="001A0D84"/>
  </w:style>
  <w:style w:type="character" w:customStyle="1" w:styleId="DocumentInfo">
    <w:name w:val="Document Info"/>
    <w:basedOn w:val="DefaultParagraphFont"/>
    <w:semiHidden/>
    <w:rsid w:val="001A0D84"/>
    <w:rPr>
      <w:rFonts w:ascii="Arial" w:hAnsi="Arial"/>
      <w:sz w:val="14"/>
    </w:rPr>
  </w:style>
  <w:style w:type="character" w:customStyle="1" w:styleId="DraftingNote">
    <w:name w:val="Drafting Note"/>
    <w:basedOn w:val="DefaultParagraphFont"/>
    <w:rsid w:val="001A0D84"/>
    <w:rPr>
      <w:b/>
      <w:color w:val="FF0000"/>
      <w:sz w:val="24"/>
      <w:u w:val="dotted"/>
    </w:rPr>
  </w:style>
  <w:style w:type="paragraph" w:customStyle="1" w:styleId="Figure">
    <w:name w:val="Figure"/>
    <w:basedOn w:val="BodyText"/>
    <w:rsid w:val="001A0D84"/>
    <w:pPr>
      <w:keepNext/>
      <w:spacing w:before="120" w:after="120" w:line="240" w:lineRule="atLeast"/>
      <w:jc w:val="center"/>
    </w:pPr>
  </w:style>
  <w:style w:type="paragraph" w:customStyle="1" w:styleId="FigureTitle">
    <w:name w:val="Figure Title"/>
    <w:basedOn w:val="Caption"/>
    <w:next w:val="Subtitle"/>
    <w:rsid w:val="001A0D84"/>
    <w:pPr>
      <w:spacing w:before="120"/>
    </w:pPr>
  </w:style>
  <w:style w:type="paragraph" w:styleId="Subtitle">
    <w:name w:val="Subtitle"/>
    <w:basedOn w:val="Caption"/>
    <w:link w:val="SubtitleChar"/>
    <w:qFormat/>
    <w:rsid w:val="001A0D84"/>
    <w:pPr>
      <w:spacing w:before="0" w:line="200" w:lineRule="exact"/>
      <w:ind w:firstLine="0"/>
    </w:pPr>
    <w:rPr>
      <w:b w:val="0"/>
      <w:sz w:val="20"/>
    </w:rPr>
  </w:style>
  <w:style w:type="paragraph" w:customStyle="1" w:styleId="Finding">
    <w:name w:val="Finding"/>
    <w:basedOn w:val="BodyText"/>
    <w:rsid w:val="001A0D84"/>
    <w:pPr>
      <w:keepLines/>
      <w:spacing w:before="120" w:line="280" w:lineRule="atLeast"/>
    </w:pPr>
    <w:rPr>
      <w:rFonts w:ascii="Arial" w:hAnsi="Arial"/>
      <w:sz w:val="22"/>
    </w:rPr>
  </w:style>
  <w:style w:type="paragraph" w:customStyle="1" w:styleId="FindingBullet">
    <w:name w:val="Finding Bullet"/>
    <w:basedOn w:val="Finding"/>
    <w:rsid w:val="001A0D84"/>
    <w:pPr>
      <w:numPr>
        <w:numId w:val="15"/>
      </w:numPr>
      <w:spacing w:before="80"/>
    </w:pPr>
  </w:style>
  <w:style w:type="paragraph" w:customStyle="1" w:styleId="FindingNoTitle">
    <w:name w:val="Finding NoTitle"/>
    <w:basedOn w:val="Finding"/>
    <w:semiHidden/>
    <w:rsid w:val="001A0D84"/>
    <w:pPr>
      <w:spacing w:before="240"/>
    </w:pPr>
  </w:style>
  <w:style w:type="paragraph" w:customStyle="1" w:styleId="RecTitle">
    <w:name w:val="Rec Title"/>
    <w:basedOn w:val="BodyText"/>
    <w:next w:val="Rec"/>
    <w:qFormat/>
    <w:rsid w:val="001A0D84"/>
    <w:pPr>
      <w:keepNext/>
      <w:keepLines/>
      <w:spacing w:line="280" w:lineRule="atLeast"/>
    </w:pPr>
    <w:rPr>
      <w:rFonts w:ascii="Arial" w:hAnsi="Arial"/>
      <w:caps/>
      <w:sz w:val="18"/>
    </w:rPr>
  </w:style>
  <w:style w:type="paragraph" w:customStyle="1" w:styleId="FindingTitle">
    <w:name w:val="Finding Title"/>
    <w:basedOn w:val="RecTitle"/>
    <w:next w:val="Finding"/>
    <w:rsid w:val="001A0D84"/>
  </w:style>
  <w:style w:type="character" w:styleId="FootnoteReference">
    <w:name w:val="footnote reference"/>
    <w:basedOn w:val="DefaultParagraphFont"/>
    <w:semiHidden/>
    <w:rsid w:val="001A0D84"/>
    <w:rPr>
      <w:rFonts w:ascii="Times New Roman" w:hAnsi="Times New Roman"/>
      <w:position w:val="6"/>
      <w:sz w:val="20"/>
      <w:vertAlign w:val="baseline"/>
    </w:rPr>
  </w:style>
  <w:style w:type="paragraph" w:styleId="FootnoteText">
    <w:name w:val="footnote text"/>
    <w:basedOn w:val="BodyText"/>
    <w:link w:val="FootnoteTextChar"/>
    <w:rsid w:val="001A0D84"/>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1A0D84"/>
    <w:rPr>
      <w:i/>
    </w:rPr>
  </w:style>
  <w:style w:type="paragraph" w:customStyle="1" w:styleId="Jurisdictioncommentsbodytext">
    <w:name w:val="Jurisdiction comments body text"/>
    <w:rsid w:val="001A0D84"/>
    <w:pPr>
      <w:spacing w:after="140"/>
      <w:jc w:val="both"/>
    </w:pPr>
    <w:rPr>
      <w:rFonts w:ascii="Arial" w:hAnsi="Arial"/>
      <w:sz w:val="24"/>
      <w:lang w:eastAsia="en-US"/>
    </w:rPr>
  </w:style>
  <w:style w:type="paragraph" w:customStyle="1" w:styleId="Jurisdictioncommentsheading">
    <w:name w:val="Jurisdiction comments heading"/>
    <w:rsid w:val="001A0D84"/>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1A0D84"/>
    <w:pPr>
      <w:numPr>
        <w:numId w:val="2"/>
      </w:numPr>
      <w:spacing w:after="140"/>
      <w:jc w:val="both"/>
    </w:pPr>
    <w:rPr>
      <w:rFonts w:ascii="Arial" w:hAnsi="Arial"/>
      <w:sz w:val="24"/>
      <w:lang w:eastAsia="en-US"/>
    </w:rPr>
  </w:style>
  <w:style w:type="paragraph" w:styleId="ListBullet">
    <w:name w:val="List Bullet"/>
    <w:basedOn w:val="BodyText"/>
    <w:rsid w:val="001A0D84"/>
    <w:pPr>
      <w:numPr>
        <w:numId w:val="3"/>
      </w:numPr>
      <w:spacing w:before="120"/>
    </w:pPr>
  </w:style>
  <w:style w:type="paragraph" w:styleId="ListBullet2">
    <w:name w:val="List Bullet 2"/>
    <w:basedOn w:val="BodyText"/>
    <w:rsid w:val="001A0D84"/>
    <w:pPr>
      <w:numPr>
        <w:numId w:val="4"/>
      </w:numPr>
      <w:spacing w:before="120"/>
    </w:pPr>
  </w:style>
  <w:style w:type="paragraph" w:styleId="ListBullet3">
    <w:name w:val="List Bullet 3"/>
    <w:basedOn w:val="BodyText"/>
    <w:rsid w:val="001A0D84"/>
    <w:pPr>
      <w:numPr>
        <w:numId w:val="5"/>
      </w:numPr>
      <w:spacing w:before="120"/>
      <w:ind w:left="1020" w:hanging="340"/>
    </w:pPr>
  </w:style>
  <w:style w:type="paragraph" w:styleId="ListNumber">
    <w:name w:val="List Number"/>
    <w:basedOn w:val="BodyText"/>
    <w:rsid w:val="001A0D84"/>
    <w:pPr>
      <w:numPr>
        <w:numId w:val="9"/>
      </w:numPr>
      <w:spacing w:before="120"/>
    </w:pPr>
  </w:style>
  <w:style w:type="paragraph" w:styleId="ListNumber2">
    <w:name w:val="List Number 2"/>
    <w:basedOn w:val="ListNumber"/>
    <w:rsid w:val="001A0D84"/>
    <w:pPr>
      <w:numPr>
        <w:ilvl w:val="1"/>
      </w:numPr>
    </w:pPr>
  </w:style>
  <w:style w:type="paragraph" w:styleId="ListNumber3">
    <w:name w:val="List Number 3"/>
    <w:basedOn w:val="ListNumber2"/>
    <w:rsid w:val="001A0D84"/>
    <w:pPr>
      <w:numPr>
        <w:ilvl w:val="2"/>
      </w:numPr>
    </w:pPr>
  </w:style>
  <w:style w:type="character" w:customStyle="1" w:styleId="NoteLabel">
    <w:name w:val="Note Label"/>
    <w:basedOn w:val="DefaultParagraphFont"/>
    <w:rsid w:val="001A0D84"/>
    <w:rPr>
      <w:rFonts w:ascii="Arial" w:hAnsi="Arial"/>
      <w:b/>
      <w:position w:val="6"/>
      <w:sz w:val="18"/>
    </w:rPr>
  </w:style>
  <w:style w:type="paragraph" w:customStyle="1" w:styleId="PartDivider">
    <w:name w:val="Part Divider"/>
    <w:basedOn w:val="BodyText"/>
    <w:next w:val="BodyText"/>
    <w:semiHidden/>
    <w:rsid w:val="001A0D84"/>
    <w:pPr>
      <w:spacing w:before="0" w:line="40" w:lineRule="exact"/>
      <w:jc w:val="right"/>
    </w:pPr>
    <w:rPr>
      <w:smallCaps/>
      <w:sz w:val="16"/>
    </w:rPr>
  </w:style>
  <w:style w:type="paragraph" w:customStyle="1" w:styleId="PartNumber">
    <w:name w:val="Part Number"/>
    <w:basedOn w:val="BodyText"/>
    <w:next w:val="BodyText"/>
    <w:semiHidden/>
    <w:rsid w:val="001A0D84"/>
    <w:pPr>
      <w:spacing w:before="4000" w:line="320" w:lineRule="exact"/>
      <w:ind w:left="6634"/>
      <w:jc w:val="right"/>
    </w:pPr>
    <w:rPr>
      <w:smallCaps/>
      <w:spacing w:val="60"/>
      <w:sz w:val="32"/>
    </w:rPr>
  </w:style>
  <w:style w:type="paragraph" w:customStyle="1" w:styleId="PartTitle">
    <w:name w:val="Part Title"/>
    <w:basedOn w:val="BodyText"/>
    <w:semiHidden/>
    <w:rsid w:val="001A0D84"/>
    <w:pPr>
      <w:spacing w:before="160" w:after="1360" w:line="520" w:lineRule="exact"/>
      <w:ind w:right="2381"/>
      <w:jc w:val="right"/>
    </w:pPr>
    <w:rPr>
      <w:smallCaps/>
      <w:sz w:val="52"/>
    </w:rPr>
  </w:style>
  <w:style w:type="paragraph" w:styleId="Quote">
    <w:name w:val="Quote"/>
    <w:basedOn w:val="BodyText"/>
    <w:next w:val="BodyText"/>
    <w:link w:val="QuoteChar"/>
    <w:qFormat/>
    <w:rsid w:val="001A0D84"/>
    <w:pPr>
      <w:spacing w:before="120" w:line="280" w:lineRule="exact"/>
      <w:ind w:left="340"/>
    </w:pPr>
    <w:rPr>
      <w:sz w:val="22"/>
    </w:rPr>
  </w:style>
  <w:style w:type="paragraph" w:customStyle="1" w:styleId="QuoteBullet">
    <w:name w:val="Quote Bullet"/>
    <w:basedOn w:val="Quote"/>
    <w:rsid w:val="001A0D84"/>
    <w:pPr>
      <w:numPr>
        <w:numId w:val="6"/>
      </w:numPr>
    </w:pPr>
  </w:style>
  <w:style w:type="paragraph" w:customStyle="1" w:styleId="Rec">
    <w:name w:val="Rec"/>
    <w:basedOn w:val="BodyText"/>
    <w:qFormat/>
    <w:rsid w:val="001A0D84"/>
    <w:pPr>
      <w:keepLines/>
      <w:spacing w:before="120" w:line="280" w:lineRule="atLeast"/>
    </w:pPr>
    <w:rPr>
      <w:rFonts w:ascii="Arial" w:hAnsi="Arial"/>
      <w:sz w:val="22"/>
    </w:rPr>
  </w:style>
  <w:style w:type="paragraph" w:customStyle="1" w:styleId="RecBullet">
    <w:name w:val="Rec Bullet"/>
    <w:basedOn w:val="Rec"/>
    <w:rsid w:val="001A0D84"/>
    <w:pPr>
      <w:numPr>
        <w:numId w:val="17"/>
      </w:numPr>
      <w:spacing w:before="80"/>
    </w:pPr>
  </w:style>
  <w:style w:type="paragraph" w:customStyle="1" w:styleId="RecB">
    <w:name w:val="RecB"/>
    <w:basedOn w:val="Normal"/>
    <w:semiHidden/>
    <w:rsid w:val="001A0D84"/>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1A0D84"/>
    <w:pPr>
      <w:numPr>
        <w:numId w:val="11"/>
      </w:numPr>
      <w:spacing w:before="80"/>
    </w:pPr>
  </w:style>
  <w:style w:type="paragraph" w:customStyle="1" w:styleId="RecBNoTitle">
    <w:name w:val="RecB NoTitle"/>
    <w:basedOn w:val="RecB"/>
    <w:semiHidden/>
    <w:rsid w:val="001A0D84"/>
    <w:pPr>
      <w:spacing w:before="240"/>
    </w:pPr>
  </w:style>
  <w:style w:type="paragraph" w:customStyle="1" w:styleId="Reference">
    <w:name w:val="Reference"/>
    <w:basedOn w:val="BodyText"/>
    <w:rsid w:val="001A0D84"/>
    <w:pPr>
      <w:spacing w:before="120"/>
      <w:ind w:left="340" w:hanging="340"/>
    </w:pPr>
  </w:style>
  <w:style w:type="paragraph" w:customStyle="1" w:styleId="SequenceInfo">
    <w:name w:val="Sequence Info"/>
    <w:basedOn w:val="BodyText"/>
    <w:semiHidden/>
    <w:rsid w:val="001A0D84"/>
    <w:rPr>
      <w:vanish/>
      <w:sz w:val="16"/>
    </w:rPr>
  </w:style>
  <w:style w:type="paragraph" w:customStyle="1" w:styleId="SideNote">
    <w:name w:val="Side Note"/>
    <w:basedOn w:val="BodyText"/>
    <w:next w:val="BodyText"/>
    <w:semiHidden/>
    <w:rsid w:val="001A0D84"/>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1A0D84"/>
    <w:pPr>
      <w:framePr w:wrap="around"/>
      <w:numPr>
        <w:numId w:val="7"/>
      </w:numPr>
      <w:tabs>
        <w:tab w:val="left" w:pos="227"/>
      </w:tabs>
    </w:pPr>
  </w:style>
  <w:style w:type="paragraph" w:customStyle="1" w:styleId="SideNoteGraphic">
    <w:name w:val="Side Note Graphic"/>
    <w:basedOn w:val="SideNote"/>
    <w:next w:val="BodyText"/>
    <w:semiHidden/>
    <w:rsid w:val="001A0D84"/>
    <w:pPr>
      <w:framePr w:wrap="around"/>
    </w:pPr>
  </w:style>
  <w:style w:type="paragraph" w:customStyle="1" w:styleId="TableBodyText">
    <w:name w:val="Table Body Text"/>
    <w:basedOn w:val="BodyText"/>
    <w:rsid w:val="001A0D84"/>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1A0D84"/>
    <w:pPr>
      <w:numPr>
        <w:numId w:val="8"/>
      </w:numPr>
      <w:jc w:val="left"/>
    </w:pPr>
  </w:style>
  <w:style w:type="paragraph" w:customStyle="1" w:styleId="TableColumnHeading">
    <w:name w:val="Table Column Heading"/>
    <w:basedOn w:val="TableBodyText"/>
    <w:rsid w:val="001A0D84"/>
    <w:pPr>
      <w:spacing w:before="80" w:after="80"/>
    </w:pPr>
    <w:rPr>
      <w:i/>
    </w:rPr>
  </w:style>
  <w:style w:type="paragraph" w:styleId="TOC2">
    <w:name w:val="toc 2"/>
    <w:basedOn w:val="TOC1"/>
    <w:rsid w:val="001A0D84"/>
    <w:pPr>
      <w:ind w:left="1134" w:hanging="624"/>
    </w:pPr>
    <w:rPr>
      <w:b w:val="0"/>
    </w:rPr>
  </w:style>
  <w:style w:type="paragraph" w:styleId="TOC3">
    <w:name w:val="toc 3"/>
    <w:basedOn w:val="TOC2"/>
    <w:rsid w:val="001A0D84"/>
    <w:pPr>
      <w:spacing w:before="60"/>
      <w:ind w:left="1190" w:hanging="680"/>
    </w:pPr>
  </w:style>
  <w:style w:type="paragraph" w:styleId="TableofFigures">
    <w:name w:val="table of figures"/>
    <w:basedOn w:val="TOC3"/>
    <w:next w:val="BodyText"/>
    <w:semiHidden/>
    <w:rsid w:val="001A0D84"/>
    <w:pPr>
      <w:ind w:left="737" w:hanging="737"/>
    </w:pPr>
  </w:style>
  <w:style w:type="paragraph" w:customStyle="1" w:styleId="TableTitle">
    <w:name w:val="Table Title"/>
    <w:basedOn w:val="Caption"/>
    <w:next w:val="Subtitle"/>
    <w:qFormat/>
    <w:rsid w:val="001A0D84"/>
    <w:pPr>
      <w:spacing w:before="120"/>
    </w:pPr>
  </w:style>
  <w:style w:type="paragraph" w:customStyle="1" w:styleId="TableUnitsRow">
    <w:name w:val="Table Units Row"/>
    <w:basedOn w:val="TableBodyText"/>
    <w:rsid w:val="001A0D84"/>
    <w:pPr>
      <w:spacing w:before="40"/>
    </w:pPr>
  </w:style>
  <w:style w:type="paragraph" w:styleId="TOC1">
    <w:name w:val="toc 1"/>
    <w:basedOn w:val="Normal"/>
    <w:next w:val="TOC2"/>
    <w:link w:val="TOC1Char"/>
    <w:rsid w:val="001A0D84"/>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1A0D84"/>
    <w:pPr>
      <w:ind w:left="1191" w:firstLine="0"/>
    </w:pPr>
  </w:style>
  <w:style w:type="paragraph" w:customStyle="1" w:styleId="RecBBullet2">
    <w:name w:val="RecB Bullet 2"/>
    <w:basedOn w:val="ListBullet2"/>
    <w:semiHidden/>
    <w:rsid w:val="001A0D84"/>
    <w:pPr>
      <w:pBdr>
        <w:left w:val="single" w:sz="24" w:space="29" w:color="C0C0C0"/>
      </w:pBdr>
    </w:pPr>
    <w:rPr>
      <w:b/>
      <w:i/>
    </w:rPr>
  </w:style>
  <w:style w:type="paragraph" w:styleId="BalloonText">
    <w:name w:val="Balloon Text"/>
    <w:basedOn w:val="Normal"/>
    <w:link w:val="BalloonTextChar"/>
    <w:rsid w:val="001A0D84"/>
    <w:rPr>
      <w:rFonts w:ascii="Tahoma" w:hAnsi="Tahoma" w:cs="Tahoma"/>
      <w:sz w:val="16"/>
      <w:szCs w:val="16"/>
    </w:rPr>
  </w:style>
  <w:style w:type="character" w:customStyle="1" w:styleId="BalloonTextChar">
    <w:name w:val="Balloon Text Char"/>
    <w:basedOn w:val="DefaultParagraphFont"/>
    <w:link w:val="BalloonText"/>
    <w:rsid w:val="001A0D84"/>
    <w:rPr>
      <w:rFonts w:ascii="Tahoma" w:hAnsi="Tahoma" w:cs="Tahoma"/>
      <w:sz w:val="16"/>
      <w:szCs w:val="16"/>
    </w:rPr>
  </w:style>
  <w:style w:type="character" w:customStyle="1" w:styleId="SubtitleChar">
    <w:name w:val="Subtitle Char"/>
    <w:basedOn w:val="DefaultParagraphFont"/>
    <w:link w:val="Subtitle"/>
    <w:rsid w:val="001A0D84"/>
    <w:rPr>
      <w:rFonts w:ascii="Arial" w:hAnsi="Arial"/>
      <w:szCs w:val="24"/>
    </w:rPr>
  </w:style>
  <w:style w:type="paragraph" w:customStyle="1" w:styleId="BoxListBullet3">
    <w:name w:val="Box List Bullet 3"/>
    <w:basedOn w:val="ListBullet3"/>
    <w:rsid w:val="001A0D84"/>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1A0D84"/>
    <w:rPr>
      <w:i/>
      <w:iCs/>
    </w:rPr>
  </w:style>
  <w:style w:type="paragraph" w:customStyle="1" w:styleId="BoxQuoteBullet">
    <w:name w:val="Box Quote Bullet"/>
    <w:basedOn w:val="BoxQuote"/>
    <w:next w:val="Box"/>
    <w:rsid w:val="001A0D84"/>
    <w:pPr>
      <w:numPr>
        <w:numId w:val="12"/>
      </w:numPr>
      <w:ind w:left="568" w:hanging="284"/>
    </w:pPr>
  </w:style>
  <w:style w:type="paragraph" w:customStyle="1" w:styleId="InformationRequestBullet">
    <w:name w:val="Information Request Bullet"/>
    <w:basedOn w:val="ListBullet"/>
    <w:next w:val="BodyText"/>
    <w:rsid w:val="001A0D84"/>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1A0D84"/>
    <w:pPr>
      <w:keepNext w:val="0"/>
      <w:spacing w:before="60" w:after="60" w:line="80" w:lineRule="exact"/>
    </w:pPr>
    <w:rPr>
      <w:sz w:val="14"/>
    </w:rPr>
  </w:style>
  <w:style w:type="paragraph" w:customStyle="1" w:styleId="KeyPointsListBullet">
    <w:name w:val="Key Points List Bullet"/>
    <w:basedOn w:val="Normal"/>
    <w:qFormat/>
    <w:rsid w:val="001A0D84"/>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1A0D84"/>
    <w:pPr>
      <w:numPr>
        <w:numId w:val="21"/>
      </w:numPr>
      <w:ind w:left="568" w:hanging="284"/>
    </w:pPr>
  </w:style>
  <w:style w:type="paragraph" w:customStyle="1" w:styleId="InformationRequestTitle">
    <w:name w:val="Information Request Title"/>
    <w:basedOn w:val="FindingTitle"/>
    <w:next w:val="InformationRequest"/>
    <w:rsid w:val="001A0D84"/>
    <w:rPr>
      <w:i/>
    </w:rPr>
  </w:style>
  <w:style w:type="paragraph" w:customStyle="1" w:styleId="Space">
    <w:name w:val="Space"/>
    <w:basedOn w:val="Normal"/>
    <w:rsid w:val="001A0D84"/>
    <w:pPr>
      <w:keepNext/>
      <w:spacing w:line="120" w:lineRule="exact"/>
      <w:jc w:val="both"/>
    </w:pPr>
    <w:rPr>
      <w:rFonts w:ascii="Arial" w:hAnsi="Arial"/>
      <w:sz w:val="20"/>
      <w:szCs w:val="20"/>
    </w:rPr>
  </w:style>
  <w:style w:type="paragraph" w:customStyle="1" w:styleId="Heading1nochapterno">
    <w:name w:val="Heading 1 (no chapter no.)"/>
    <w:basedOn w:val="Heading1"/>
    <w:rsid w:val="001A0D84"/>
    <w:pPr>
      <w:spacing w:before="0"/>
      <w:ind w:left="0" w:firstLine="0"/>
    </w:pPr>
  </w:style>
  <w:style w:type="paragraph" w:customStyle="1" w:styleId="Heading2nosectionno">
    <w:name w:val="Heading 2 (no section no.)"/>
    <w:basedOn w:val="Heading2"/>
    <w:rsid w:val="001A0D84"/>
    <w:pPr>
      <w:ind w:left="0" w:firstLine="0"/>
    </w:pPr>
  </w:style>
  <w:style w:type="character" w:customStyle="1" w:styleId="Heading5Char">
    <w:name w:val="Heading 5 Char"/>
    <w:basedOn w:val="DefaultParagraphFont"/>
    <w:link w:val="Heading5"/>
    <w:rsid w:val="001A0D84"/>
    <w:rPr>
      <w:rFonts w:ascii="Arial" w:hAnsi="Arial"/>
      <w:i/>
      <w:sz w:val="22"/>
    </w:rPr>
  </w:style>
  <w:style w:type="paragraph" w:customStyle="1" w:styleId="Figurespace">
    <w:name w:val="Figure space"/>
    <w:basedOn w:val="Box"/>
    <w:rsid w:val="001A0D84"/>
    <w:pPr>
      <w:spacing w:before="0" w:line="120" w:lineRule="exact"/>
    </w:pPr>
  </w:style>
  <w:style w:type="paragraph" w:customStyle="1" w:styleId="FooterDraftReport">
    <w:name w:val="FooterDraftReport"/>
    <w:basedOn w:val="Footer"/>
    <w:link w:val="FooterDraftReportChar"/>
    <w:rsid w:val="001A0D8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1A0D84"/>
    <w:rPr>
      <w:sz w:val="24"/>
    </w:rPr>
  </w:style>
  <w:style w:type="character" w:customStyle="1" w:styleId="FooterChar">
    <w:name w:val="Footer Char"/>
    <w:basedOn w:val="BodyTextChar"/>
    <w:link w:val="Footer"/>
    <w:semiHidden/>
    <w:rsid w:val="001A0D84"/>
    <w:rPr>
      <w:rFonts w:ascii="Arial" w:hAnsi="Arial"/>
      <w:caps/>
      <w:spacing w:val="-4"/>
      <w:sz w:val="16"/>
    </w:rPr>
  </w:style>
  <w:style w:type="character" w:customStyle="1" w:styleId="FooterDraftReportChar">
    <w:name w:val="FooterDraftReport Char"/>
    <w:basedOn w:val="FooterChar"/>
    <w:link w:val="FooterDraftReport"/>
    <w:rsid w:val="001A0D8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1A0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1A0D84"/>
    <w:rPr>
      <w:rFonts w:ascii="Arial" w:hAnsi="Arial"/>
      <w:b/>
      <w:sz w:val="26"/>
      <w:szCs w:val="26"/>
      <w:lang w:eastAsia="en-US"/>
    </w:rPr>
  </w:style>
  <w:style w:type="character" w:styleId="EndnoteReference">
    <w:name w:val="endnote reference"/>
    <w:basedOn w:val="DefaultParagraphFont"/>
    <w:rsid w:val="003430EF"/>
    <w:rPr>
      <w:vertAlign w:val="superscript"/>
    </w:rPr>
  </w:style>
  <w:style w:type="paragraph" w:customStyle="1" w:styleId="Default">
    <w:name w:val="Default"/>
    <w:rsid w:val="009746B6"/>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rsid w:val="00C21192"/>
    <w:rPr>
      <w:rFonts w:ascii="Arial" w:hAnsi="Arial"/>
      <w:b/>
      <w:sz w:val="32"/>
    </w:rPr>
  </w:style>
  <w:style w:type="paragraph" w:customStyle="1" w:styleId="BoxSpaceAboveElement">
    <w:name w:val="Box Space Above Element"/>
    <w:basedOn w:val="Normal"/>
    <w:link w:val="BoxSpaceAboveElementChar"/>
    <w:qFormat/>
    <w:rsid w:val="00C21192"/>
    <w:pPr>
      <w:keepNext/>
      <w:spacing w:before="240" w:line="80" w:lineRule="exact"/>
    </w:pPr>
    <w:rPr>
      <w:b/>
      <w:vanish/>
      <w:color w:val="FF00FF"/>
      <w:sz w:val="14"/>
      <w:szCs w:val="20"/>
    </w:rPr>
  </w:style>
  <w:style w:type="character" w:customStyle="1" w:styleId="BoxSpaceAboveElementChar">
    <w:name w:val="Box Space Above Element Char"/>
    <w:basedOn w:val="DefaultParagraphFont"/>
    <w:link w:val="BoxSpaceAboveElement"/>
    <w:rsid w:val="00C21192"/>
    <w:rPr>
      <w:b/>
      <w:vanish/>
      <w:color w:val="FF00FF"/>
      <w:sz w:val="14"/>
    </w:rPr>
  </w:style>
  <w:style w:type="character" w:customStyle="1" w:styleId="Heading3Char">
    <w:name w:val="Heading 3 Char"/>
    <w:basedOn w:val="DefaultParagraphFont"/>
    <w:link w:val="Heading3"/>
    <w:rsid w:val="00C21192"/>
    <w:rPr>
      <w:rFonts w:ascii="Arial" w:hAnsi="Arial"/>
      <w:b/>
      <w:sz w:val="26"/>
    </w:rPr>
  </w:style>
  <w:style w:type="character" w:styleId="Hyperlink">
    <w:name w:val="Hyperlink"/>
    <w:basedOn w:val="DefaultParagraphFont"/>
    <w:uiPriority w:val="99"/>
    <w:rsid w:val="00654B05"/>
    <w:rPr>
      <w:color w:val="78A22F" w:themeColor="hyperlink"/>
      <w:u w:val="single"/>
    </w:rPr>
  </w:style>
  <w:style w:type="character" w:styleId="FollowedHyperlink">
    <w:name w:val="FollowedHyperlink"/>
    <w:basedOn w:val="DefaultParagraphFont"/>
    <w:rsid w:val="0005422E"/>
    <w:rPr>
      <w:color w:val="387DD2" w:themeColor="followedHyperlink"/>
      <w:u w:val="single"/>
    </w:rPr>
  </w:style>
  <w:style w:type="character" w:customStyle="1" w:styleId="Heading4Char">
    <w:name w:val="Heading 4 Char"/>
    <w:basedOn w:val="DefaultParagraphFont"/>
    <w:link w:val="Heading4"/>
    <w:rsid w:val="001D1F34"/>
    <w:rPr>
      <w:rFonts w:ascii="Arial" w:hAnsi="Arial"/>
      <w:sz w:val="24"/>
    </w:rPr>
  </w:style>
  <w:style w:type="paragraph" w:styleId="CommentSubject">
    <w:name w:val="annotation subject"/>
    <w:basedOn w:val="CommentText"/>
    <w:next w:val="CommentText"/>
    <w:link w:val="CommentSubjectChar"/>
    <w:semiHidden/>
    <w:unhideWhenUsed/>
    <w:rsid w:val="00EE7962"/>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E7962"/>
    <w:rPr>
      <w:szCs w:val="24"/>
    </w:rPr>
  </w:style>
  <w:style w:type="character" w:customStyle="1" w:styleId="CommentSubjectChar">
    <w:name w:val="Comment Subject Char"/>
    <w:basedOn w:val="CommentTextChar"/>
    <w:link w:val="CommentSubject"/>
    <w:semiHidden/>
    <w:rsid w:val="00EE7962"/>
    <w:rPr>
      <w:b/>
      <w:bCs/>
      <w:szCs w:val="24"/>
    </w:rPr>
  </w:style>
  <w:style w:type="paragraph" w:styleId="Revision">
    <w:name w:val="Revision"/>
    <w:hidden/>
    <w:uiPriority w:val="99"/>
    <w:semiHidden/>
    <w:rsid w:val="00AC0E60"/>
    <w:rPr>
      <w:sz w:val="24"/>
      <w:szCs w:val="24"/>
    </w:rPr>
  </w:style>
  <w:style w:type="paragraph" w:styleId="Bibliography">
    <w:name w:val="Bibliography"/>
    <w:basedOn w:val="Normal"/>
    <w:next w:val="Normal"/>
    <w:uiPriority w:val="37"/>
    <w:unhideWhenUsed/>
    <w:rsid w:val="00C717AD"/>
    <w:pPr>
      <w:spacing w:after="240"/>
      <w:ind w:left="720" w:hanging="720"/>
    </w:pPr>
  </w:style>
  <w:style w:type="paragraph" w:styleId="NormalWeb">
    <w:name w:val="Normal (Web)"/>
    <w:basedOn w:val="Normal"/>
    <w:uiPriority w:val="99"/>
    <w:semiHidden/>
    <w:unhideWhenUsed/>
    <w:rsid w:val="00191A14"/>
    <w:pPr>
      <w:spacing w:before="100" w:beforeAutospacing="1" w:after="100" w:afterAutospacing="1"/>
    </w:pPr>
    <w:rPr>
      <w:rFonts w:eastAsiaTheme="minorEastAsia"/>
    </w:rPr>
  </w:style>
  <w:style w:type="character" w:customStyle="1" w:styleId="QuoteChar">
    <w:name w:val="Quote Char"/>
    <w:basedOn w:val="DefaultParagraphFont"/>
    <w:link w:val="Quote"/>
    <w:rsid w:val="00D262DE"/>
    <w:rPr>
      <w:sz w:val="22"/>
    </w:rPr>
  </w:style>
  <w:style w:type="character" w:customStyle="1" w:styleId="FootnoteTextChar">
    <w:name w:val="Footnote Text Char"/>
    <w:basedOn w:val="DefaultParagraphFont"/>
    <w:link w:val="FootnoteText"/>
    <w:rsid w:val="008C5C46"/>
  </w:style>
  <w:style w:type="character" w:styleId="PlaceholderText">
    <w:name w:val="Placeholder Text"/>
    <w:basedOn w:val="DefaultParagraphFont"/>
    <w:uiPriority w:val="99"/>
    <w:semiHidden/>
    <w:rsid w:val="00483BCA"/>
    <w:rPr>
      <w:color w:val="808080"/>
    </w:rPr>
  </w:style>
  <w:style w:type="paragraph" w:customStyle="1" w:styleId="Heading1NotTOC">
    <w:name w:val="Heading 1 Not TOC"/>
    <w:basedOn w:val="Heading1"/>
    <w:next w:val="BodyText"/>
    <w:rsid w:val="00DC7E4D"/>
    <w:rPr>
      <w:kern w:val="28"/>
      <w:szCs w:val="26"/>
      <w:lang w:eastAsia="en-US"/>
    </w:rPr>
  </w:style>
  <w:style w:type="paragraph" w:customStyle="1" w:styleId="Copyrightheading">
    <w:name w:val="Copyright heading"/>
    <w:basedOn w:val="TOC1"/>
    <w:link w:val="CopyrightheadingChar"/>
    <w:qFormat/>
    <w:rsid w:val="002039E5"/>
    <w:pPr>
      <w:spacing w:line="300" w:lineRule="exact"/>
    </w:pPr>
    <w:rPr>
      <w:sz w:val="22"/>
    </w:rPr>
  </w:style>
  <w:style w:type="character" w:customStyle="1" w:styleId="CopyrightheadingChar">
    <w:name w:val="Copyright heading Char"/>
    <w:basedOn w:val="DefaultParagraphFont"/>
    <w:link w:val="Copyrightheading"/>
    <w:rsid w:val="002039E5"/>
    <w:rPr>
      <w:rFonts w:ascii="Arial" w:hAnsi="Arial"/>
      <w:b/>
      <w:sz w:val="22"/>
      <w:szCs w:val="26"/>
      <w:lang w:eastAsia="en-US"/>
    </w:rPr>
  </w:style>
  <w:style w:type="paragraph" w:customStyle="1" w:styleId="Copyrightsubtitle">
    <w:name w:val="Copyright subtitle"/>
    <w:basedOn w:val="BodyText"/>
    <w:rsid w:val="002039E5"/>
    <w:rPr>
      <w:rFonts w:ascii="Arial" w:hAnsi="Arial"/>
      <w:b/>
      <w:sz w:val="22"/>
      <w:szCs w:val="25"/>
    </w:rPr>
  </w:style>
  <w:style w:type="paragraph" w:customStyle="1" w:styleId="Copyrightbodytext">
    <w:name w:val="Copyright bodytext"/>
    <w:basedOn w:val="BodyText"/>
    <w:link w:val="CopyrightbodytextChar"/>
    <w:qFormat/>
    <w:rsid w:val="002039E5"/>
    <w:pPr>
      <w:spacing w:before="60"/>
    </w:pPr>
  </w:style>
  <w:style w:type="character" w:customStyle="1" w:styleId="CopyrightbodytextChar">
    <w:name w:val="Copyright bodytext Char"/>
    <w:basedOn w:val="BodyTextChar"/>
    <w:link w:val="Copyrightbodytext"/>
    <w:rsid w:val="002039E5"/>
    <w:rPr>
      <w:sz w:val="24"/>
    </w:rPr>
  </w:style>
  <w:style w:type="character" w:customStyle="1" w:styleId="Continuedintitle">
    <w:name w:val="Continued (in title)"/>
    <w:basedOn w:val="DefaultParagraphFont"/>
    <w:rsid w:val="001A0D84"/>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4939">
      <w:bodyDiv w:val="1"/>
      <w:marLeft w:val="0"/>
      <w:marRight w:val="0"/>
      <w:marTop w:val="0"/>
      <w:marBottom w:val="0"/>
      <w:divBdr>
        <w:top w:val="none" w:sz="0" w:space="0" w:color="auto"/>
        <w:left w:val="none" w:sz="0" w:space="0" w:color="auto"/>
        <w:bottom w:val="none" w:sz="0" w:space="0" w:color="auto"/>
        <w:right w:val="none" w:sz="0" w:space="0" w:color="auto"/>
      </w:divBdr>
    </w:div>
    <w:div w:id="113522711">
      <w:bodyDiv w:val="1"/>
      <w:marLeft w:val="0"/>
      <w:marRight w:val="0"/>
      <w:marTop w:val="0"/>
      <w:marBottom w:val="0"/>
      <w:divBdr>
        <w:top w:val="none" w:sz="0" w:space="0" w:color="auto"/>
        <w:left w:val="none" w:sz="0" w:space="0" w:color="auto"/>
        <w:bottom w:val="none" w:sz="0" w:space="0" w:color="auto"/>
        <w:right w:val="none" w:sz="0" w:space="0" w:color="auto"/>
      </w:divBdr>
      <w:divsChild>
        <w:div w:id="905266214">
          <w:marLeft w:val="0"/>
          <w:marRight w:val="0"/>
          <w:marTop w:val="0"/>
          <w:marBottom w:val="0"/>
          <w:divBdr>
            <w:top w:val="none" w:sz="0" w:space="0" w:color="auto"/>
            <w:left w:val="none" w:sz="0" w:space="0" w:color="auto"/>
            <w:bottom w:val="none" w:sz="0" w:space="0" w:color="auto"/>
            <w:right w:val="none" w:sz="0" w:space="0" w:color="auto"/>
          </w:divBdr>
          <w:divsChild>
            <w:div w:id="262033505">
              <w:marLeft w:val="0"/>
              <w:marRight w:val="0"/>
              <w:marTop w:val="0"/>
              <w:marBottom w:val="0"/>
              <w:divBdr>
                <w:top w:val="none" w:sz="0" w:space="0" w:color="auto"/>
                <w:left w:val="none" w:sz="0" w:space="0" w:color="auto"/>
                <w:bottom w:val="none" w:sz="0" w:space="0" w:color="auto"/>
                <w:right w:val="none" w:sz="0" w:space="0" w:color="auto"/>
              </w:divBdr>
              <w:divsChild>
                <w:div w:id="2090153715">
                  <w:marLeft w:val="0"/>
                  <w:marRight w:val="0"/>
                  <w:marTop w:val="0"/>
                  <w:marBottom w:val="0"/>
                  <w:divBdr>
                    <w:top w:val="none" w:sz="0" w:space="0" w:color="auto"/>
                    <w:left w:val="none" w:sz="0" w:space="0" w:color="auto"/>
                    <w:bottom w:val="none" w:sz="0" w:space="0" w:color="auto"/>
                    <w:right w:val="none" w:sz="0" w:space="0" w:color="auto"/>
                  </w:divBdr>
                  <w:divsChild>
                    <w:div w:id="1649548513">
                      <w:marLeft w:val="0"/>
                      <w:marRight w:val="0"/>
                      <w:marTop w:val="0"/>
                      <w:marBottom w:val="0"/>
                      <w:divBdr>
                        <w:top w:val="none" w:sz="0" w:space="0" w:color="auto"/>
                        <w:left w:val="none" w:sz="0" w:space="0" w:color="auto"/>
                        <w:bottom w:val="none" w:sz="0" w:space="0" w:color="auto"/>
                        <w:right w:val="none" w:sz="0" w:space="0" w:color="auto"/>
                      </w:divBdr>
                      <w:divsChild>
                        <w:div w:id="4213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786568">
      <w:bodyDiv w:val="1"/>
      <w:marLeft w:val="0"/>
      <w:marRight w:val="0"/>
      <w:marTop w:val="0"/>
      <w:marBottom w:val="0"/>
      <w:divBdr>
        <w:top w:val="none" w:sz="0" w:space="0" w:color="auto"/>
        <w:left w:val="none" w:sz="0" w:space="0" w:color="auto"/>
        <w:bottom w:val="none" w:sz="0" w:space="0" w:color="auto"/>
        <w:right w:val="none" w:sz="0" w:space="0" w:color="auto"/>
      </w:divBdr>
      <w:divsChild>
        <w:div w:id="2122843373">
          <w:marLeft w:val="0"/>
          <w:marRight w:val="0"/>
          <w:marTop w:val="0"/>
          <w:marBottom w:val="0"/>
          <w:divBdr>
            <w:top w:val="none" w:sz="0" w:space="0" w:color="auto"/>
            <w:left w:val="none" w:sz="0" w:space="0" w:color="auto"/>
            <w:bottom w:val="none" w:sz="0" w:space="0" w:color="auto"/>
            <w:right w:val="none" w:sz="0" w:space="0" w:color="auto"/>
          </w:divBdr>
          <w:divsChild>
            <w:div w:id="317807242">
              <w:marLeft w:val="0"/>
              <w:marRight w:val="0"/>
              <w:marTop w:val="0"/>
              <w:marBottom w:val="0"/>
              <w:divBdr>
                <w:top w:val="none" w:sz="0" w:space="0" w:color="auto"/>
                <w:left w:val="none" w:sz="0" w:space="0" w:color="auto"/>
                <w:bottom w:val="none" w:sz="0" w:space="0" w:color="auto"/>
                <w:right w:val="none" w:sz="0" w:space="0" w:color="auto"/>
              </w:divBdr>
              <w:divsChild>
                <w:div w:id="2021851346">
                  <w:marLeft w:val="-75"/>
                  <w:marRight w:val="-75"/>
                  <w:marTop w:val="0"/>
                  <w:marBottom w:val="0"/>
                  <w:divBdr>
                    <w:top w:val="none" w:sz="0" w:space="0" w:color="auto"/>
                    <w:left w:val="none" w:sz="0" w:space="0" w:color="auto"/>
                    <w:bottom w:val="none" w:sz="0" w:space="0" w:color="auto"/>
                    <w:right w:val="none" w:sz="0" w:space="0" w:color="auto"/>
                  </w:divBdr>
                  <w:divsChild>
                    <w:div w:id="391395091">
                      <w:marLeft w:val="0"/>
                      <w:marRight w:val="0"/>
                      <w:marTop w:val="0"/>
                      <w:marBottom w:val="0"/>
                      <w:divBdr>
                        <w:top w:val="none" w:sz="0" w:space="0" w:color="auto"/>
                        <w:left w:val="none" w:sz="0" w:space="0" w:color="auto"/>
                        <w:bottom w:val="none" w:sz="0" w:space="0" w:color="auto"/>
                        <w:right w:val="none" w:sz="0" w:space="0" w:color="auto"/>
                      </w:divBdr>
                      <w:divsChild>
                        <w:div w:id="1400208643">
                          <w:marLeft w:val="-75"/>
                          <w:marRight w:val="-75"/>
                          <w:marTop w:val="0"/>
                          <w:marBottom w:val="0"/>
                          <w:divBdr>
                            <w:top w:val="none" w:sz="0" w:space="0" w:color="auto"/>
                            <w:left w:val="none" w:sz="0" w:space="0" w:color="auto"/>
                            <w:bottom w:val="none" w:sz="0" w:space="0" w:color="auto"/>
                            <w:right w:val="none" w:sz="0" w:space="0" w:color="auto"/>
                          </w:divBdr>
                          <w:divsChild>
                            <w:div w:id="772288067">
                              <w:marLeft w:val="0"/>
                              <w:marRight w:val="0"/>
                              <w:marTop w:val="0"/>
                              <w:marBottom w:val="0"/>
                              <w:divBdr>
                                <w:top w:val="none" w:sz="0" w:space="0" w:color="auto"/>
                                <w:left w:val="none" w:sz="0" w:space="0" w:color="auto"/>
                                <w:bottom w:val="none" w:sz="0" w:space="0" w:color="auto"/>
                                <w:right w:val="none" w:sz="0" w:space="0" w:color="auto"/>
                              </w:divBdr>
                              <w:divsChild>
                                <w:div w:id="16097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529626">
      <w:bodyDiv w:val="1"/>
      <w:marLeft w:val="0"/>
      <w:marRight w:val="0"/>
      <w:marTop w:val="0"/>
      <w:marBottom w:val="0"/>
      <w:divBdr>
        <w:top w:val="none" w:sz="0" w:space="0" w:color="auto"/>
        <w:left w:val="none" w:sz="0" w:space="0" w:color="auto"/>
        <w:bottom w:val="none" w:sz="0" w:space="0" w:color="auto"/>
        <w:right w:val="none" w:sz="0" w:space="0" w:color="auto"/>
      </w:divBdr>
    </w:div>
    <w:div w:id="597374994">
      <w:bodyDiv w:val="1"/>
      <w:marLeft w:val="0"/>
      <w:marRight w:val="0"/>
      <w:marTop w:val="0"/>
      <w:marBottom w:val="0"/>
      <w:divBdr>
        <w:top w:val="none" w:sz="0" w:space="0" w:color="auto"/>
        <w:left w:val="none" w:sz="0" w:space="0" w:color="auto"/>
        <w:bottom w:val="none" w:sz="0" w:space="0" w:color="auto"/>
        <w:right w:val="none" w:sz="0" w:space="0" w:color="auto"/>
      </w:divBdr>
      <w:divsChild>
        <w:div w:id="242419613">
          <w:marLeft w:val="0"/>
          <w:marRight w:val="0"/>
          <w:marTop w:val="0"/>
          <w:marBottom w:val="0"/>
          <w:divBdr>
            <w:top w:val="none" w:sz="0" w:space="0" w:color="auto"/>
            <w:left w:val="none" w:sz="0" w:space="0" w:color="auto"/>
            <w:bottom w:val="none" w:sz="0" w:space="0" w:color="auto"/>
            <w:right w:val="none" w:sz="0" w:space="0" w:color="auto"/>
          </w:divBdr>
          <w:divsChild>
            <w:div w:id="28337887">
              <w:marLeft w:val="0"/>
              <w:marRight w:val="0"/>
              <w:marTop w:val="0"/>
              <w:marBottom w:val="0"/>
              <w:divBdr>
                <w:top w:val="none" w:sz="0" w:space="0" w:color="auto"/>
                <w:left w:val="none" w:sz="0" w:space="0" w:color="auto"/>
                <w:bottom w:val="none" w:sz="0" w:space="0" w:color="auto"/>
                <w:right w:val="none" w:sz="0" w:space="0" w:color="auto"/>
              </w:divBdr>
              <w:divsChild>
                <w:div w:id="199302504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619646052">
      <w:bodyDiv w:val="1"/>
      <w:marLeft w:val="0"/>
      <w:marRight w:val="0"/>
      <w:marTop w:val="0"/>
      <w:marBottom w:val="0"/>
      <w:divBdr>
        <w:top w:val="none" w:sz="0" w:space="0" w:color="auto"/>
        <w:left w:val="none" w:sz="0" w:space="0" w:color="auto"/>
        <w:bottom w:val="none" w:sz="0" w:space="0" w:color="auto"/>
        <w:right w:val="none" w:sz="0" w:space="0" w:color="auto"/>
      </w:divBdr>
      <w:divsChild>
        <w:div w:id="1487239484">
          <w:marLeft w:val="0"/>
          <w:marRight w:val="0"/>
          <w:marTop w:val="0"/>
          <w:marBottom w:val="0"/>
          <w:divBdr>
            <w:top w:val="none" w:sz="0" w:space="0" w:color="auto"/>
            <w:left w:val="none" w:sz="0" w:space="0" w:color="auto"/>
            <w:bottom w:val="none" w:sz="0" w:space="0" w:color="auto"/>
            <w:right w:val="none" w:sz="0" w:space="0" w:color="auto"/>
          </w:divBdr>
          <w:divsChild>
            <w:div w:id="1807622979">
              <w:marLeft w:val="0"/>
              <w:marRight w:val="0"/>
              <w:marTop w:val="0"/>
              <w:marBottom w:val="0"/>
              <w:divBdr>
                <w:top w:val="none" w:sz="0" w:space="0" w:color="auto"/>
                <w:left w:val="none" w:sz="0" w:space="0" w:color="auto"/>
                <w:bottom w:val="none" w:sz="0" w:space="0" w:color="auto"/>
                <w:right w:val="none" w:sz="0" w:space="0" w:color="auto"/>
              </w:divBdr>
              <w:divsChild>
                <w:div w:id="1027024581">
                  <w:marLeft w:val="0"/>
                  <w:marRight w:val="0"/>
                  <w:marTop w:val="0"/>
                  <w:marBottom w:val="0"/>
                  <w:divBdr>
                    <w:top w:val="none" w:sz="0" w:space="0" w:color="auto"/>
                    <w:left w:val="none" w:sz="0" w:space="0" w:color="auto"/>
                    <w:bottom w:val="none" w:sz="0" w:space="0" w:color="auto"/>
                    <w:right w:val="none" w:sz="0" w:space="0" w:color="auto"/>
                  </w:divBdr>
                  <w:divsChild>
                    <w:div w:id="449863291">
                      <w:marLeft w:val="168"/>
                      <w:marRight w:val="0"/>
                      <w:marTop w:val="0"/>
                      <w:marBottom w:val="0"/>
                      <w:divBdr>
                        <w:top w:val="none" w:sz="0" w:space="0" w:color="auto"/>
                        <w:left w:val="none" w:sz="0" w:space="0" w:color="auto"/>
                        <w:bottom w:val="none" w:sz="0" w:space="0" w:color="auto"/>
                        <w:right w:val="none" w:sz="0" w:space="0" w:color="auto"/>
                      </w:divBdr>
                      <w:divsChild>
                        <w:div w:id="318652271">
                          <w:marLeft w:val="0"/>
                          <w:marRight w:val="0"/>
                          <w:marTop w:val="0"/>
                          <w:marBottom w:val="0"/>
                          <w:divBdr>
                            <w:top w:val="none" w:sz="0" w:space="0" w:color="auto"/>
                            <w:left w:val="none" w:sz="0" w:space="0" w:color="auto"/>
                            <w:bottom w:val="none" w:sz="0" w:space="0" w:color="auto"/>
                            <w:right w:val="none" w:sz="0" w:space="0" w:color="auto"/>
                          </w:divBdr>
                          <w:divsChild>
                            <w:div w:id="766001751">
                              <w:marLeft w:val="0"/>
                              <w:marRight w:val="0"/>
                              <w:marTop w:val="0"/>
                              <w:marBottom w:val="0"/>
                              <w:divBdr>
                                <w:top w:val="none" w:sz="0" w:space="0" w:color="auto"/>
                                <w:left w:val="none" w:sz="0" w:space="0" w:color="auto"/>
                                <w:bottom w:val="none" w:sz="0" w:space="0" w:color="auto"/>
                                <w:right w:val="none" w:sz="0" w:space="0" w:color="auto"/>
                              </w:divBdr>
                              <w:divsChild>
                                <w:div w:id="587156380">
                                  <w:marLeft w:val="0"/>
                                  <w:marRight w:val="0"/>
                                  <w:marTop w:val="0"/>
                                  <w:marBottom w:val="0"/>
                                  <w:divBdr>
                                    <w:top w:val="none" w:sz="0" w:space="0" w:color="auto"/>
                                    <w:left w:val="none" w:sz="0" w:space="0" w:color="auto"/>
                                    <w:bottom w:val="none" w:sz="0" w:space="0" w:color="auto"/>
                                    <w:right w:val="none" w:sz="0" w:space="0" w:color="auto"/>
                                  </w:divBdr>
                                  <w:divsChild>
                                    <w:div w:id="844629443">
                                      <w:marLeft w:val="0"/>
                                      <w:marRight w:val="0"/>
                                      <w:marTop w:val="0"/>
                                      <w:marBottom w:val="0"/>
                                      <w:divBdr>
                                        <w:top w:val="none" w:sz="0" w:space="0" w:color="auto"/>
                                        <w:left w:val="none" w:sz="0" w:space="0" w:color="auto"/>
                                        <w:bottom w:val="none" w:sz="0" w:space="0" w:color="auto"/>
                                        <w:right w:val="none" w:sz="0" w:space="0" w:color="auto"/>
                                      </w:divBdr>
                                      <w:divsChild>
                                        <w:div w:id="43798038">
                                          <w:marLeft w:val="0"/>
                                          <w:marRight w:val="0"/>
                                          <w:marTop w:val="120"/>
                                          <w:marBottom w:val="120"/>
                                          <w:divBdr>
                                            <w:top w:val="none" w:sz="0" w:space="0" w:color="auto"/>
                                            <w:left w:val="none" w:sz="0" w:space="0" w:color="auto"/>
                                            <w:bottom w:val="none" w:sz="0" w:space="0" w:color="auto"/>
                                            <w:right w:val="none" w:sz="0" w:space="0" w:color="auto"/>
                                          </w:divBdr>
                                          <w:divsChild>
                                            <w:div w:id="17182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236538">
      <w:bodyDiv w:val="1"/>
      <w:marLeft w:val="0"/>
      <w:marRight w:val="0"/>
      <w:marTop w:val="0"/>
      <w:marBottom w:val="0"/>
      <w:divBdr>
        <w:top w:val="none" w:sz="0" w:space="0" w:color="auto"/>
        <w:left w:val="none" w:sz="0" w:space="0" w:color="auto"/>
        <w:bottom w:val="none" w:sz="0" w:space="0" w:color="auto"/>
        <w:right w:val="none" w:sz="0" w:space="0" w:color="auto"/>
      </w:divBdr>
      <w:divsChild>
        <w:div w:id="294332727">
          <w:marLeft w:val="0"/>
          <w:marRight w:val="0"/>
          <w:marTop w:val="0"/>
          <w:marBottom w:val="0"/>
          <w:divBdr>
            <w:top w:val="none" w:sz="0" w:space="0" w:color="auto"/>
            <w:left w:val="none" w:sz="0" w:space="0" w:color="auto"/>
            <w:bottom w:val="none" w:sz="0" w:space="0" w:color="auto"/>
            <w:right w:val="none" w:sz="0" w:space="0" w:color="auto"/>
          </w:divBdr>
          <w:divsChild>
            <w:div w:id="1491367918">
              <w:marLeft w:val="0"/>
              <w:marRight w:val="0"/>
              <w:marTop w:val="0"/>
              <w:marBottom w:val="0"/>
              <w:divBdr>
                <w:top w:val="none" w:sz="0" w:space="0" w:color="auto"/>
                <w:left w:val="none" w:sz="0" w:space="0" w:color="auto"/>
                <w:bottom w:val="none" w:sz="0" w:space="0" w:color="auto"/>
                <w:right w:val="none" w:sz="0" w:space="0" w:color="auto"/>
              </w:divBdr>
              <w:divsChild>
                <w:div w:id="927542614">
                  <w:marLeft w:val="0"/>
                  <w:marRight w:val="0"/>
                  <w:marTop w:val="0"/>
                  <w:marBottom w:val="0"/>
                  <w:divBdr>
                    <w:top w:val="none" w:sz="0" w:space="0" w:color="auto"/>
                    <w:left w:val="none" w:sz="0" w:space="0" w:color="auto"/>
                    <w:bottom w:val="none" w:sz="0" w:space="0" w:color="auto"/>
                    <w:right w:val="none" w:sz="0" w:space="0" w:color="auto"/>
                  </w:divBdr>
                  <w:divsChild>
                    <w:div w:id="1077482882">
                      <w:marLeft w:val="0"/>
                      <w:marRight w:val="0"/>
                      <w:marTop w:val="0"/>
                      <w:marBottom w:val="0"/>
                      <w:divBdr>
                        <w:top w:val="none" w:sz="0" w:space="0" w:color="auto"/>
                        <w:left w:val="none" w:sz="0" w:space="0" w:color="auto"/>
                        <w:bottom w:val="none" w:sz="0" w:space="0" w:color="auto"/>
                        <w:right w:val="none" w:sz="0" w:space="0" w:color="auto"/>
                      </w:divBdr>
                      <w:divsChild>
                        <w:div w:id="1373111088">
                          <w:marLeft w:val="0"/>
                          <w:marRight w:val="0"/>
                          <w:marTop w:val="0"/>
                          <w:marBottom w:val="0"/>
                          <w:divBdr>
                            <w:top w:val="none" w:sz="0" w:space="0" w:color="auto"/>
                            <w:left w:val="none" w:sz="0" w:space="0" w:color="auto"/>
                            <w:bottom w:val="none" w:sz="0" w:space="0" w:color="auto"/>
                            <w:right w:val="none" w:sz="0" w:space="0" w:color="auto"/>
                          </w:divBdr>
                          <w:divsChild>
                            <w:div w:id="645160285">
                              <w:marLeft w:val="0"/>
                              <w:marRight w:val="0"/>
                              <w:marTop w:val="0"/>
                              <w:marBottom w:val="0"/>
                              <w:divBdr>
                                <w:top w:val="none" w:sz="0" w:space="0" w:color="auto"/>
                                <w:left w:val="none" w:sz="0" w:space="0" w:color="auto"/>
                                <w:bottom w:val="none" w:sz="0" w:space="0" w:color="auto"/>
                                <w:right w:val="none" w:sz="0" w:space="0" w:color="auto"/>
                              </w:divBdr>
                              <w:divsChild>
                                <w:div w:id="34546982">
                                  <w:marLeft w:val="0"/>
                                  <w:marRight w:val="0"/>
                                  <w:marTop w:val="0"/>
                                  <w:marBottom w:val="0"/>
                                  <w:divBdr>
                                    <w:top w:val="none" w:sz="0" w:space="0" w:color="auto"/>
                                    <w:left w:val="none" w:sz="0" w:space="0" w:color="auto"/>
                                    <w:bottom w:val="none" w:sz="0" w:space="0" w:color="auto"/>
                                    <w:right w:val="none" w:sz="0" w:space="0" w:color="auto"/>
                                  </w:divBdr>
                                  <w:divsChild>
                                    <w:div w:id="993946795">
                                      <w:marLeft w:val="0"/>
                                      <w:marRight w:val="0"/>
                                      <w:marTop w:val="0"/>
                                      <w:marBottom w:val="0"/>
                                      <w:divBdr>
                                        <w:top w:val="none" w:sz="0" w:space="0" w:color="auto"/>
                                        <w:left w:val="none" w:sz="0" w:space="0" w:color="auto"/>
                                        <w:bottom w:val="none" w:sz="0" w:space="0" w:color="auto"/>
                                        <w:right w:val="none" w:sz="0" w:space="0" w:color="auto"/>
                                      </w:divBdr>
                                      <w:divsChild>
                                        <w:div w:id="1787311222">
                                          <w:marLeft w:val="0"/>
                                          <w:marRight w:val="0"/>
                                          <w:marTop w:val="0"/>
                                          <w:marBottom w:val="0"/>
                                          <w:divBdr>
                                            <w:top w:val="none" w:sz="0" w:space="0" w:color="auto"/>
                                            <w:left w:val="none" w:sz="0" w:space="0" w:color="auto"/>
                                            <w:bottom w:val="none" w:sz="0" w:space="0" w:color="auto"/>
                                            <w:right w:val="none" w:sz="0" w:space="0" w:color="auto"/>
                                          </w:divBdr>
                                          <w:divsChild>
                                            <w:div w:id="1220552619">
                                              <w:marLeft w:val="0"/>
                                              <w:marRight w:val="0"/>
                                              <w:marTop w:val="0"/>
                                              <w:marBottom w:val="0"/>
                                              <w:divBdr>
                                                <w:top w:val="none" w:sz="0" w:space="0" w:color="auto"/>
                                                <w:left w:val="none" w:sz="0" w:space="0" w:color="auto"/>
                                                <w:bottom w:val="none" w:sz="0" w:space="0" w:color="auto"/>
                                                <w:right w:val="none" w:sz="0" w:space="0" w:color="auto"/>
                                              </w:divBdr>
                                              <w:divsChild>
                                                <w:div w:id="14395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040128">
      <w:bodyDiv w:val="1"/>
      <w:marLeft w:val="0"/>
      <w:marRight w:val="0"/>
      <w:marTop w:val="0"/>
      <w:marBottom w:val="0"/>
      <w:divBdr>
        <w:top w:val="none" w:sz="0" w:space="0" w:color="auto"/>
        <w:left w:val="none" w:sz="0" w:space="0" w:color="auto"/>
        <w:bottom w:val="none" w:sz="0" w:space="0" w:color="auto"/>
        <w:right w:val="none" w:sz="0" w:space="0" w:color="auto"/>
      </w:divBdr>
      <w:divsChild>
        <w:div w:id="1397556850">
          <w:marLeft w:val="0"/>
          <w:marRight w:val="0"/>
          <w:marTop w:val="0"/>
          <w:marBottom w:val="0"/>
          <w:divBdr>
            <w:top w:val="none" w:sz="0" w:space="0" w:color="auto"/>
            <w:left w:val="none" w:sz="0" w:space="0" w:color="auto"/>
            <w:bottom w:val="none" w:sz="0" w:space="0" w:color="auto"/>
            <w:right w:val="none" w:sz="0" w:space="0" w:color="auto"/>
          </w:divBdr>
          <w:divsChild>
            <w:div w:id="2111315802">
              <w:marLeft w:val="0"/>
              <w:marRight w:val="0"/>
              <w:marTop w:val="0"/>
              <w:marBottom w:val="0"/>
              <w:divBdr>
                <w:top w:val="none" w:sz="0" w:space="0" w:color="auto"/>
                <w:left w:val="none" w:sz="0" w:space="0" w:color="auto"/>
                <w:bottom w:val="none" w:sz="0" w:space="0" w:color="auto"/>
                <w:right w:val="none" w:sz="0" w:space="0" w:color="auto"/>
              </w:divBdr>
              <w:divsChild>
                <w:div w:id="1887789541">
                  <w:marLeft w:val="0"/>
                  <w:marRight w:val="0"/>
                  <w:marTop w:val="0"/>
                  <w:marBottom w:val="0"/>
                  <w:divBdr>
                    <w:top w:val="none" w:sz="0" w:space="0" w:color="auto"/>
                    <w:left w:val="none" w:sz="0" w:space="0" w:color="auto"/>
                    <w:bottom w:val="none" w:sz="0" w:space="0" w:color="auto"/>
                    <w:right w:val="none" w:sz="0" w:space="0" w:color="auto"/>
                  </w:divBdr>
                  <w:divsChild>
                    <w:div w:id="903177853">
                      <w:marLeft w:val="0"/>
                      <w:marRight w:val="0"/>
                      <w:marTop w:val="0"/>
                      <w:marBottom w:val="0"/>
                      <w:divBdr>
                        <w:top w:val="none" w:sz="0" w:space="0" w:color="auto"/>
                        <w:left w:val="none" w:sz="0" w:space="0" w:color="auto"/>
                        <w:bottom w:val="none" w:sz="0" w:space="0" w:color="auto"/>
                        <w:right w:val="none" w:sz="0" w:space="0" w:color="auto"/>
                      </w:divBdr>
                      <w:divsChild>
                        <w:div w:id="1654481741">
                          <w:marLeft w:val="0"/>
                          <w:marRight w:val="0"/>
                          <w:marTop w:val="0"/>
                          <w:marBottom w:val="0"/>
                          <w:divBdr>
                            <w:top w:val="none" w:sz="0" w:space="0" w:color="auto"/>
                            <w:left w:val="none" w:sz="0" w:space="0" w:color="auto"/>
                            <w:bottom w:val="none" w:sz="0" w:space="0" w:color="auto"/>
                            <w:right w:val="none" w:sz="0" w:space="0" w:color="auto"/>
                          </w:divBdr>
                          <w:divsChild>
                            <w:div w:id="1309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5279">
                  <w:marLeft w:val="0"/>
                  <w:marRight w:val="0"/>
                  <w:marTop w:val="0"/>
                  <w:marBottom w:val="0"/>
                  <w:divBdr>
                    <w:top w:val="none" w:sz="0" w:space="0" w:color="auto"/>
                    <w:left w:val="none" w:sz="0" w:space="0" w:color="auto"/>
                    <w:bottom w:val="none" w:sz="0" w:space="0" w:color="auto"/>
                    <w:right w:val="none" w:sz="0" w:space="0" w:color="auto"/>
                  </w:divBdr>
                  <w:divsChild>
                    <w:div w:id="479738499">
                      <w:marLeft w:val="0"/>
                      <w:marRight w:val="0"/>
                      <w:marTop w:val="0"/>
                      <w:marBottom w:val="0"/>
                      <w:divBdr>
                        <w:top w:val="none" w:sz="0" w:space="0" w:color="auto"/>
                        <w:left w:val="none" w:sz="0" w:space="0" w:color="auto"/>
                        <w:bottom w:val="none" w:sz="0" w:space="0" w:color="auto"/>
                        <w:right w:val="none" w:sz="0" w:space="0" w:color="auto"/>
                      </w:divBdr>
                      <w:divsChild>
                        <w:div w:id="523328734">
                          <w:marLeft w:val="0"/>
                          <w:marRight w:val="0"/>
                          <w:marTop w:val="0"/>
                          <w:marBottom w:val="0"/>
                          <w:divBdr>
                            <w:top w:val="none" w:sz="0" w:space="0" w:color="auto"/>
                            <w:left w:val="none" w:sz="0" w:space="0" w:color="auto"/>
                            <w:bottom w:val="none" w:sz="0" w:space="0" w:color="auto"/>
                            <w:right w:val="none" w:sz="0" w:space="0" w:color="auto"/>
                          </w:divBdr>
                        </w:div>
                        <w:div w:id="1198738121">
                          <w:marLeft w:val="0"/>
                          <w:marRight w:val="0"/>
                          <w:marTop w:val="225"/>
                          <w:marBottom w:val="0"/>
                          <w:divBdr>
                            <w:top w:val="none" w:sz="0" w:space="0" w:color="auto"/>
                            <w:left w:val="none" w:sz="0" w:space="0" w:color="auto"/>
                            <w:bottom w:val="none" w:sz="0" w:space="0" w:color="auto"/>
                            <w:right w:val="none" w:sz="0" w:space="0" w:color="auto"/>
                          </w:divBdr>
                          <w:divsChild>
                            <w:div w:id="18291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5706">
                  <w:marLeft w:val="0"/>
                  <w:marRight w:val="0"/>
                  <w:marTop w:val="0"/>
                  <w:marBottom w:val="0"/>
                  <w:divBdr>
                    <w:top w:val="none" w:sz="0" w:space="0" w:color="auto"/>
                    <w:left w:val="none" w:sz="0" w:space="0" w:color="auto"/>
                    <w:bottom w:val="none" w:sz="0" w:space="0" w:color="auto"/>
                    <w:right w:val="none" w:sz="0" w:space="0" w:color="auto"/>
                  </w:divBdr>
                  <w:divsChild>
                    <w:div w:id="1320117791">
                      <w:marLeft w:val="0"/>
                      <w:marRight w:val="0"/>
                      <w:marTop w:val="0"/>
                      <w:marBottom w:val="0"/>
                      <w:divBdr>
                        <w:top w:val="none" w:sz="0" w:space="0" w:color="auto"/>
                        <w:left w:val="none" w:sz="0" w:space="0" w:color="auto"/>
                        <w:bottom w:val="none" w:sz="0" w:space="0" w:color="auto"/>
                        <w:right w:val="none" w:sz="0" w:space="0" w:color="auto"/>
                      </w:divBdr>
                      <w:divsChild>
                        <w:div w:id="1618413594">
                          <w:marLeft w:val="0"/>
                          <w:marRight w:val="0"/>
                          <w:marTop w:val="0"/>
                          <w:marBottom w:val="0"/>
                          <w:divBdr>
                            <w:top w:val="none" w:sz="0" w:space="0" w:color="auto"/>
                            <w:left w:val="none" w:sz="0" w:space="0" w:color="auto"/>
                            <w:bottom w:val="none" w:sz="0" w:space="0" w:color="auto"/>
                            <w:right w:val="none" w:sz="0" w:space="0" w:color="auto"/>
                          </w:divBdr>
                          <w:divsChild>
                            <w:div w:id="2144496703">
                              <w:marLeft w:val="0"/>
                              <w:marRight w:val="0"/>
                              <w:marTop w:val="0"/>
                              <w:marBottom w:val="0"/>
                              <w:divBdr>
                                <w:top w:val="none" w:sz="0" w:space="0" w:color="auto"/>
                                <w:left w:val="none" w:sz="0" w:space="0" w:color="auto"/>
                                <w:bottom w:val="none" w:sz="0" w:space="0" w:color="auto"/>
                                <w:right w:val="none" w:sz="0" w:space="0" w:color="auto"/>
                              </w:divBdr>
                              <w:divsChild>
                                <w:div w:id="4752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394535">
      <w:bodyDiv w:val="1"/>
      <w:marLeft w:val="0"/>
      <w:marRight w:val="0"/>
      <w:marTop w:val="0"/>
      <w:marBottom w:val="0"/>
      <w:divBdr>
        <w:top w:val="none" w:sz="0" w:space="0" w:color="auto"/>
        <w:left w:val="none" w:sz="0" w:space="0" w:color="auto"/>
        <w:bottom w:val="none" w:sz="0" w:space="0" w:color="auto"/>
        <w:right w:val="none" w:sz="0" w:space="0" w:color="auto"/>
      </w:divBdr>
    </w:div>
    <w:div w:id="1508011424">
      <w:bodyDiv w:val="1"/>
      <w:marLeft w:val="0"/>
      <w:marRight w:val="0"/>
      <w:marTop w:val="0"/>
      <w:marBottom w:val="0"/>
      <w:divBdr>
        <w:top w:val="none" w:sz="0" w:space="0" w:color="auto"/>
        <w:left w:val="none" w:sz="0" w:space="0" w:color="auto"/>
        <w:bottom w:val="none" w:sz="0" w:space="0" w:color="auto"/>
        <w:right w:val="none" w:sz="0" w:space="0" w:color="auto"/>
      </w:divBdr>
      <w:divsChild>
        <w:div w:id="383145952">
          <w:marLeft w:val="0"/>
          <w:marRight w:val="0"/>
          <w:marTop w:val="0"/>
          <w:marBottom w:val="0"/>
          <w:divBdr>
            <w:top w:val="none" w:sz="0" w:space="0" w:color="auto"/>
            <w:left w:val="none" w:sz="0" w:space="0" w:color="auto"/>
            <w:bottom w:val="none" w:sz="0" w:space="0" w:color="auto"/>
            <w:right w:val="none" w:sz="0" w:space="0" w:color="auto"/>
          </w:divBdr>
          <w:divsChild>
            <w:div w:id="1707102978">
              <w:marLeft w:val="0"/>
              <w:marRight w:val="0"/>
              <w:marTop w:val="0"/>
              <w:marBottom w:val="0"/>
              <w:divBdr>
                <w:top w:val="none" w:sz="0" w:space="0" w:color="auto"/>
                <w:left w:val="none" w:sz="0" w:space="0" w:color="auto"/>
                <w:bottom w:val="none" w:sz="0" w:space="0" w:color="auto"/>
                <w:right w:val="none" w:sz="0" w:space="0" w:color="auto"/>
              </w:divBdr>
              <w:divsChild>
                <w:div w:id="770704123">
                  <w:marLeft w:val="0"/>
                  <w:marRight w:val="0"/>
                  <w:marTop w:val="0"/>
                  <w:marBottom w:val="0"/>
                  <w:divBdr>
                    <w:top w:val="none" w:sz="0" w:space="0" w:color="auto"/>
                    <w:left w:val="none" w:sz="0" w:space="0" w:color="auto"/>
                    <w:bottom w:val="none" w:sz="0" w:space="0" w:color="auto"/>
                    <w:right w:val="none" w:sz="0" w:space="0" w:color="auto"/>
                  </w:divBdr>
                  <w:divsChild>
                    <w:div w:id="13083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26062692">
      <w:bodyDiv w:val="1"/>
      <w:marLeft w:val="0"/>
      <w:marRight w:val="0"/>
      <w:marTop w:val="0"/>
      <w:marBottom w:val="0"/>
      <w:divBdr>
        <w:top w:val="none" w:sz="0" w:space="0" w:color="auto"/>
        <w:left w:val="none" w:sz="0" w:space="0" w:color="auto"/>
        <w:bottom w:val="none" w:sz="0" w:space="0" w:color="auto"/>
        <w:right w:val="none" w:sz="0" w:space="0" w:color="auto"/>
      </w:divBdr>
      <w:divsChild>
        <w:div w:id="1233808481">
          <w:marLeft w:val="0"/>
          <w:marRight w:val="0"/>
          <w:marTop w:val="0"/>
          <w:marBottom w:val="0"/>
          <w:divBdr>
            <w:top w:val="none" w:sz="0" w:space="0" w:color="auto"/>
            <w:left w:val="none" w:sz="0" w:space="0" w:color="auto"/>
            <w:bottom w:val="none" w:sz="0" w:space="0" w:color="auto"/>
            <w:right w:val="none" w:sz="0" w:space="0" w:color="auto"/>
          </w:divBdr>
          <w:divsChild>
            <w:div w:id="2120952783">
              <w:marLeft w:val="0"/>
              <w:marRight w:val="0"/>
              <w:marTop w:val="0"/>
              <w:marBottom w:val="0"/>
              <w:divBdr>
                <w:top w:val="none" w:sz="0" w:space="0" w:color="auto"/>
                <w:left w:val="none" w:sz="0" w:space="0" w:color="auto"/>
                <w:bottom w:val="none" w:sz="0" w:space="0" w:color="auto"/>
                <w:right w:val="none" w:sz="0" w:space="0" w:color="auto"/>
              </w:divBdr>
              <w:divsChild>
                <w:div w:id="1057435584">
                  <w:marLeft w:val="0"/>
                  <w:marRight w:val="0"/>
                  <w:marTop w:val="0"/>
                  <w:marBottom w:val="0"/>
                  <w:divBdr>
                    <w:top w:val="none" w:sz="0" w:space="0" w:color="auto"/>
                    <w:left w:val="none" w:sz="0" w:space="0" w:color="auto"/>
                    <w:bottom w:val="none" w:sz="0" w:space="0" w:color="auto"/>
                    <w:right w:val="none" w:sz="0" w:space="0" w:color="auto"/>
                  </w:divBdr>
                  <w:divsChild>
                    <w:div w:id="1304580797">
                      <w:marLeft w:val="0"/>
                      <w:marRight w:val="0"/>
                      <w:marTop w:val="0"/>
                      <w:marBottom w:val="0"/>
                      <w:divBdr>
                        <w:top w:val="none" w:sz="0" w:space="0" w:color="auto"/>
                        <w:left w:val="none" w:sz="0" w:space="0" w:color="auto"/>
                        <w:bottom w:val="none" w:sz="0" w:space="0" w:color="auto"/>
                        <w:right w:val="none" w:sz="0" w:space="0" w:color="auto"/>
                      </w:divBdr>
                      <w:divsChild>
                        <w:div w:id="440494176">
                          <w:marLeft w:val="0"/>
                          <w:marRight w:val="0"/>
                          <w:marTop w:val="0"/>
                          <w:marBottom w:val="0"/>
                          <w:divBdr>
                            <w:top w:val="none" w:sz="0" w:space="0" w:color="auto"/>
                            <w:left w:val="none" w:sz="0" w:space="0" w:color="auto"/>
                            <w:bottom w:val="none" w:sz="0" w:space="0" w:color="auto"/>
                            <w:right w:val="none" w:sz="0" w:space="0" w:color="auto"/>
                          </w:divBdr>
                          <w:divsChild>
                            <w:div w:id="387388561">
                              <w:marLeft w:val="0"/>
                              <w:marRight w:val="0"/>
                              <w:marTop w:val="0"/>
                              <w:marBottom w:val="0"/>
                              <w:divBdr>
                                <w:top w:val="none" w:sz="0" w:space="0" w:color="auto"/>
                                <w:left w:val="none" w:sz="0" w:space="0" w:color="auto"/>
                                <w:bottom w:val="none" w:sz="0" w:space="0" w:color="auto"/>
                                <w:right w:val="none" w:sz="0" w:space="0" w:color="auto"/>
                              </w:divBdr>
                              <w:divsChild>
                                <w:div w:id="109515771">
                                  <w:marLeft w:val="0"/>
                                  <w:marRight w:val="0"/>
                                  <w:marTop w:val="0"/>
                                  <w:marBottom w:val="0"/>
                                  <w:divBdr>
                                    <w:top w:val="none" w:sz="0" w:space="0" w:color="auto"/>
                                    <w:left w:val="none" w:sz="0" w:space="0" w:color="auto"/>
                                    <w:bottom w:val="none" w:sz="0" w:space="0" w:color="auto"/>
                                    <w:right w:val="none" w:sz="0" w:space="0" w:color="auto"/>
                                  </w:divBdr>
                                  <w:divsChild>
                                    <w:div w:id="7383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oter" Target="foot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Value>Compiled</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2ba7de50-4c1d-4453-9bfb-2c08018fad73</TermId>
        </TermInfo>
      </Terms>
    </p7a0baa8c88445a78b6f55906390ba17>
    <TaxCatchAll xmlns="3f4bcce7-ac1a-4c9d-aa3e-7e77695652db">
      <Value>270</Value>
    </TaxCatchAll>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Reports" ma:contentTypeID="0x0101007916246811615643A710C6FEAFF56A871104006E3BDAB9F67AF64BB2EC3946D13B8675" ma:contentTypeVersion="15" ma:contentTypeDescription="" ma:contentTypeScope="" ma:versionID="db48918a113756321c78c81870ea9f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b18e4d98b20a7a670c4a06565f8bc84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0da5c63-8548-4ac8-9616-83b0f373280e" ContentTypeId="0x0101007916246811615643A710C6FEAFF56A871104" PreviousValue="false"/>
</file>

<file path=customXml/itemProps1.xml><?xml version="1.0" encoding="utf-8"?>
<ds:datastoreItem xmlns:ds="http://schemas.openxmlformats.org/officeDocument/2006/customXml" ds:itemID="{B4CBB4BF-9E68-43EE-A49D-1D7EF8D61DD4}">
  <ds:schemaRefs>
    <ds:schemaRef ds:uri="http://schemas.microsoft.com/sharepoint/v3"/>
    <ds:schemaRef ds:uri="3f4bcce7-ac1a-4c9d-aa3e-7e77695652db"/>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05541F75-4C77-4B7E-87BE-694CDF5C83C3}">
  <ds:schemaRefs>
    <ds:schemaRef ds:uri="http://schemas.microsoft.com/office/2006/metadata/customXsn"/>
  </ds:schemaRefs>
</ds:datastoreItem>
</file>

<file path=customXml/itemProps3.xml><?xml version="1.0" encoding="utf-8"?>
<ds:datastoreItem xmlns:ds="http://schemas.openxmlformats.org/officeDocument/2006/customXml" ds:itemID="{0E3C2E73-5AEB-4932-8654-CF03CAE2F0D6}">
  <ds:schemaRefs>
    <ds:schemaRef ds:uri="http://schemas.microsoft.com/sharepoint/events"/>
  </ds:schemaRefs>
</ds:datastoreItem>
</file>

<file path=customXml/itemProps4.xml><?xml version="1.0" encoding="utf-8"?>
<ds:datastoreItem xmlns:ds="http://schemas.openxmlformats.org/officeDocument/2006/customXml" ds:itemID="{E96996AD-28FB-421D-B503-AA34EEEF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143261-12C2-4F87-B0EB-017B6774A3B6}">
  <ds:schemaRefs>
    <ds:schemaRef ds:uri="http://schemas.microsoft.com/sharepoint/v3/contenttype/forms"/>
  </ds:schemaRefs>
</ds:datastoreItem>
</file>

<file path=customXml/itemProps6.xml><?xml version="1.0" encoding="utf-8"?>
<ds:datastoreItem xmlns:ds="http://schemas.openxmlformats.org/officeDocument/2006/customXml" ds:itemID="{1047C3E5-9E10-4247-95C5-F585499C78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chapter.dotm</Template>
  <TotalTime>2</TotalTime>
  <Pages>51</Pages>
  <Words>15975</Words>
  <Characters>91064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Supporting paper 8: Upskilling and retraining - Productivity Review</vt:lpstr>
    </vt:vector>
  </TitlesOfParts>
  <Company>Productivity Commission</Company>
  <LinksUpToDate>false</LinksUpToDate>
  <CharactersWithSpaces>106826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8: Upskilling and retraining - Productivity Review</dc:title>
  <dc:subject/>
  <dc:creator>Productivity Commission</dc:creator>
  <cp:keywords/>
  <dc:description/>
  <cp:lastModifiedBy>Productivity Commission</cp:lastModifiedBy>
  <cp:revision>4</cp:revision>
  <dcterms:created xsi:type="dcterms:W3CDTF">2017-08-01T10:31:00Z</dcterms:created>
  <dcterms:modified xsi:type="dcterms:W3CDTF">2017-10-05T01:14:00Z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0x0101007916246811615643A710C6FEAFF56A871104006E3BDAB9F67AF64BB2EC3946D13B8675</vt:lpwstr>
  </property>
  <property fmtid="{D5CDD505-2E9C-101B-9397-08002B2CF9AE}" pid="3" name="Record Tag">
    <vt:lpwstr>270;#Final Report|2ba7de50-4c1d-4453-9bfb-2c08018fad73</vt:lpwstr>
  </property>
  <property fmtid="{D5CDD505-2E9C-101B-9397-08002B2CF9AE}" pid="4" name="TaxKeyword">
    <vt:lpwstr/>
  </property>
</Properties>
</file>