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94885E8" w14:textId="77777777" w:rsidR="004F7BE2" w:rsidRPr="00461CE9" w:rsidRDefault="004F7BE2" w:rsidP="004F7BE2">
          <w:pPr>
            <w:pStyle w:val="BodyText"/>
            <w:spacing w:after="0"/>
          </w:pPr>
        </w:p>
        <w:p w14:paraId="0FA1E657" w14:textId="71089E10" w:rsidR="00C52B01" w:rsidRPr="00DC5DFF" w:rsidRDefault="00C52B01" w:rsidP="00C52B01">
          <w:pPr>
            <w:pStyle w:val="Coverdate"/>
            <w:framePr w:wrap="around"/>
          </w:pPr>
          <w:r>
            <w:t>Interim report no. 3 – September 2022</w:t>
          </w:r>
        </w:p>
        <w:p w14:paraId="6C8BA314" w14:textId="0244D939" w:rsidR="004F7BE2" w:rsidRDefault="00C52B01" w:rsidP="004F7BE2">
          <w:pPr>
            <w:pStyle w:val="CoverImage"/>
            <w:framePr w:h="10036" w:hRule="exact" w:wrap="around" w:y="6805" w:anchorLock="0"/>
          </w:pPr>
          <w:r>
            <w:rPr>
              <w:noProof/>
            </w:rPr>
            <w:drawing>
              <wp:inline distT="0" distB="0" distL="0" distR="0" wp14:anchorId="264E0DF1" wp14:editId="551DEA8F">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a:ext>
                          </a:extLst>
                        </a:blip>
                        <a:stretch>
                          <a:fillRect/>
                        </a:stretch>
                      </pic:blipFill>
                      <pic:spPr>
                        <a:xfrm>
                          <a:off x="0" y="0"/>
                          <a:ext cx="7583621" cy="6389070"/>
                        </a:xfrm>
                        <a:prstGeom prst="rect">
                          <a:avLst/>
                        </a:prstGeom>
                      </pic:spPr>
                    </pic:pic>
                  </a:graphicData>
                </a:graphic>
              </wp:inline>
            </w:drawing>
          </w:r>
        </w:p>
        <w:p w14:paraId="43FC1B6B" w14:textId="17B9B136" w:rsidR="004F7BE2" w:rsidRPr="008970C2" w:rsidRDefault="00A90285" w:rsidP="00C52B01">
          <w:pPr>
            <w:pStyle w:val="Title"/>
            <w:spacing w:before="120"/>
            <w:ind w:right="1841"/>
            <w:rPr>
              <w:color w:val="auto"/>
            </w:rPr>
          </w:pPr>
          <w:r>
            <w:rPr>
              <w:color w:val="auto"/>
            </w:rPr>
            <w:t>5-year Productivity Inquiry: Innovation for the 98%</w:t>
          </w:r>
        </w:p>
        <w:p w14:paraId="39B4BA1A" w14:textId="5654E71F" w:rsidR="004F7BE2" w:rsidRPr="004F7BE2" w:rsidRDefault="006E2795" w:rsidP="004F7BE2">
          <w:pPr>
            <w:pStyle w:val="Subtitle"/>
            <w:rPr>
              <w:color w:val="auto"/>
            </w:rPr>
          </w:pPr>
          <w:r>
            <w:rPr>
              <w:color w:val="auto"/>
            </w:rPr>
            <w:t>Interim</w:t>
          </w:r>
          <w:r w:rsidR="009E3265">
            <w:rPr>
              <w:color w:val="auto"/>
            </w:rPr>
            <w:t xml:space="preserve"> report</w:t>
          </w:r>
        </w:p>
        <w:p w14:paraId="6554564D" w14:textId="77777777" w:rsidR="004F7BE2" w:rsidRDefault="004F7BE2" w:rsidP="004F7BE2">
          <w:pPr>
            <w:spacing w:after="160" w:line="259" w:lineRule="auto"/>
          </w:pPr>
        </w:p>
        <w:p w14:paraId="6F7FC686" w14:textId="77777777" w:rsidR="004F7BE2" w:rsidRDefault="004F7BE2" w:rsidP="004F7BE2">
          <w:pPr>
            <w:spacing w:after="160" w:line="259" w:lineRule="auto"/>
            <w:sectPr w:rsidR="004F7BE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18A731EA" w14:textId="77777777">
            <w:trPr>
              <w:trHeight w:hRule="exact" w:val="12586"/>
            </w:trPr>
            <w:tc>
              <w:tcPr>
                <w:tcW w:w="9638" w:type="dxa"/>
                <w:tcMar>
                  <w:top w:w="113" w:type="dxa"/>
                </w:tcMar>
              </w:tcPr>
              <w:p w14:paraId="13EFFADE"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877D79C" w14:textId="77777777" w:rsidR="004F7BE2" w:rsidRPr="00F37CB6" w:rsidRDefault="004F7BE2">
                <w:pPr>
                  <w:pStyle w:val="Copyrightpage-Keylinenotext"/>
                  <w:ind w:right="-284"/>
                </w:pPr>
              </w:p>
              <w:p w14:paraId="28976805" w14:textId="77777777" w:rsidR="004F7BE2" w:rsidRPr="00D96F65" w:rsidRDefault="004F7BE2">
                <w:pPr>
                  <w:pStyle w:val="Copyrightpage-Heading"/>
                  <w:ind w:right="-284"/>
                </w:pPr>
                <w:r w:rsidRPr="00D96F65">
                  <w:t>The Productivity Commission</w:t>
                </w:r>
              </w:p>
              <w:p w14:paraId="537E5478" w14:textId="77777777" w:rsidR="004F7BE2" w:rsidRPr="00585498" w:rsidRDefault="004F7BE2">
                <w:pPr>
                  <w:pStyle w:val="Copyrightpage-BodyBold"/>
                  <w:rPr>
                    <w:spacing w:val="-4"/>
                  </w:rPr>
                </w:pPr>
                <w:r w:rsidRPr="00585498">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585498">
                  <w:rPr>
                    <w:spacing w:val="-4"/>
                  </w:rPr>
                  <w:t>long term</w:t>
                </w:r>
                <w:proofErr w:type="gramEnd"/>
                <w:r w:rsidRPr="00585498">
                  <w:rPr>
                    <w:spacing w:val="-4"/>
                  </w:rPr>
                  <w:t xml:space="preserve"> interest of the Australian community.</w:t>
                </w:r>
              </w:p>
              <w:p w14:paraId="307B5277"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177507" w14:textId="77777777" w:rsidR="004F7BE2" w:rsidRPr="000F4488" w:rsidRDefault="004F7BE2">
                <w:pPr>
                  <w:pStyle w:val="Copyrightpage-BodyBold"/>
                </w:pPr>
                <w:r w:rsidRPr="000561CF">
                  <w:t>Further information on the Productivity Commission can be obtained from the Commission’s website (www.pc.gov.au).</w:t>
                </w:r>
              </w:p>
              <w:p w14:paraId="4CF14032" w14:textId="77777777" w:rsidR="004F7BE2" w:rsidRPr="000F4488" w:rsidRDefault="004F7BE2">
                <w:pPr>
                  <w:pStyle w:val="Copyrightpage-Keylinenotext"/>
                  <w:ind w:right="-284"/>
                  <w:rPr>
                    <w:b/>
                    <w:bCs/>
                  </w:rPr>
                </w:pPr>
              </w:p>
              <w:p w14:paraId="5E388FE9" w14:textId="77777777" w:rsidR="004F7BE2" w:rsidRPr="000561CF" w:rsidRDefault="004F7BE2">
                <w:pPr>
                  <w:pStyle w:val="Copyrightpage-BodyBold"/>
                </w:pPr>
                <w:r w:rsidRPr="00E72EE0">
                  <w:t>©</w:t>
                </w:r>
                <w:r w:rsidRPr="00137FAB">
                  <w:t xml:space="preserve"> Commonwealth of Australia 202</w:t>
                </w:r>
                <w:r w:rsidR="000324B2">
                  <w:t>2</w:t>
                </w:r>
              </w:p>
              <w:p w14:paraId="3AF5BE01" w14:textId="77777777" w:rsidR="004F7BE2" w:rsidRPr="00E72EE0" w:rsidRDefault="004F7BE2">
                <w:pPr>
                  <w:pStyle w:val="Copyrightpage-Heading2"/>
                  <w:spacing w:before="0"/>
                  <w:ind w:right="-284"/>
                  <w:rPr>
                    <w:bCs/>
                  </w:rPr>
                </w:pPr>
                <w:r w:rsidRPr="00E72EE0">
                  <w:rPr>
                    <w:bCs/>
                    <w:noProof/>
                  </w:rPr>
                  <w:drawing>
                    <wp:inline distT="0" distB="0" distL="0" distR="0" wp14:anchorId="3BEA840F" wp14:editId="2ED9007A">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0086F679"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4AA25B8" w14:textId="73D9020F" w:rsidR="004F7BE2" w:rsidRPr="000F4488" w:rsidRDefault="004F7BE2">
                <w:pPr>
                  <w:pStyle w:val="Copyrightpage-BodyBold"/>
                </w:pPr>
                <w:r w:rsidRPr="000561CF">
                  <w:t>The terms under which the Coat of Arms can be used are detailed at: www.pmc.gov.au/government/commonwealth</w:t>
                </w:r>
                <w:r w:rsidR="000565F7">
                  <w:noBreakHyphen/>
                </w:r>
                <w:r w:rsidRPr="000561CF">
                  <w:t>coat</w:t>
                </w:r>
                <w:r w:rsidR="000565F7">
                  <w:noBreakHyphen/>
                </w:r>
                <w:r w:rsidRPr="000561CF">
                  <w:t>arms.</w:t>
                </w:r>
              </w:p>
              <w:p w14:paraId="1E75F2AB"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2DEB3B80" w14:textId="6D639C45" w:rsidR="004F7BE2" w:rsidRPr="00CE2149" w:rsidRDefault="004F7BE2">
                <w:pPr>
                  <w:pStyle w:val="Copyrightpage-BodyBold"/>
                  <w:rPr>
                    <w:spacing w:val="-4"/>
                  </w:rPr>
                </w:pPr>
                <w:r w:rsidRPr="000F4488">
                  <w:t>An appropriate reference for this publication is:</w:t>
                </w:r>
                <w:r>
                  <w:br/>
                </w:r>
                <w:r w:rsidRPr="00CE2149">
                  <w:rPr>
                    <w:spacing w:val="-4"/>
                  </w:rPr>
                  <w:t xml:space="preserve">Productivity Commission </w:t>
                </w:r>
                <w:r w:rsidR="003E6577" w:rsidRPr="00CE2149">
                  <w:rPr>
                    <w:spacing w:val="-4"/>
                  </w:rPr>
                  <w:t xml:space="preserve">2022, </w:t>
                </w:r>
                <w:r w:rsidR="00C52B01" w:rsidRPr="00CE2149">
                  <w:rPr>
                    <w:i/>
                    <w:iCs/>
                    <w:spacing w:val="-4"/>
                  </w:rPr>
                  <w:t>5</w:t>
                </w:r>
                <w:r w:rsidR="000565F7" w:rsidRPr="00CE2149">
                  <w:rPr>
                    <w:i/>
                    <w:iCs/>
                    <w:spacing w:val="-4"/>
                  </w:rPr>
                  <w:noBreakHyphen/>
                </w:r>
                <w:r w:rsidR="00C52B01" w:rsidRPr="00CE2149">
                  <w:rPr>
                    <w:i/>
                    <w:iCs/>
                    <w:spacing w:val="-4"/>
                  </w:rPr>
                  <w:t xml:space="preserve">year Productivity </w:t>
                </w:r>
                <w:r w:rsidR="00203ECB" w:rsidRPr="00CE2149">
                  <w:rPr>
                    <w:i/>
                    <w:iCs/>
                    <w:spacing w:val="-4"/>
                  </w:rPr>
                  <w:t>Inquiry</w:t>
                </w:r>
                <w:r w:rsidR="00C52B01" w:rsidRPr="00CE2149">
                  <w:rPr>
                    <w:i/>
                    <w:iCs/>
                    <w:spacing w:val="-4"/>
                  </w:rPr>
                  <w:t xml:space="preserve">: </w:t>
                </w:r>
                <w:r w:rsidR="0092694E" w:rsidRPr="00CE2149">
                  <w:rPr>
                    <w:i/>
                    <w:iCs/>
                    <w:spacing w:val="-4"/>
                  </w:rPr>
                  <w:t>Innovation for the</w:t>
                </w:r>
                <w:r w:rsidR="00CE2149" w:rsidRPr="00CE2149">
                  <w:rPr>
                    <w:i/>
                    <w:iCs/>
                    <w:spacing w:val="-4"/>
                  </w:rPr>
                  <w:t> 98%</w:t>
                </w:r>
                <w:r w:rsidR="00C52B01" w:rsidRPr="00CE2149">
                  <w:rPr>
                    <w:i/>
                    <w:spacing w:val="-4"/>
                  </w:rPr>
                  <w:t>,</w:t>
                </w:r>
                <w:r w:rsidR="00C52B01" w:rsidRPr="00CE2149">
                  <w:rPr>
                    <w:spacing w:val="-4"/>
                  </w:rPr>
                  <w:t xml:space="preserve"> Interim Report, Canberra, September</w:t>
                </w:r>
              </w:p>
              <w:p w14:paraId="34566BE0" w14:textId="77777777" w:rsidR="004F7BE2" w:rsidRDefault="004F7BE2">
                <w:pPr>
                  <w:pStyle w:val="Copyrightpage-BodyBold"/>
                  <w:ind w:right="-284"/>
                </w:pPr>
              </w:p>
              <w:p w14:paraId="72754A10"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1329946"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275E1F3D" w14:textId="77777777">
        <w:trPr>
          <w:trHeight w:hRule="exact" w:val="12586"/>
        </w:trPr>
        <w:tc>
          <w:tcPr>
            <w:tcW w:w="9638" w:type="dxa"/>
            <w:shd w:val="clear" w:color="auto" w:fill="F4F5F6"/>
          </w:tcPr>
          <w:p w14:paraId="6D2F0644" w14:textId="77777777" w:rsidR="004F7BE2" w:rsidRDefault="004F7BE2" w:rsidP="004F7BE2">
            <w:pPr>
              <w:pStyle w:val="Heading1-nobackground"/>
            </w:pPr>
            <w:bookmarkStart w:id="0" w:name="_Toc113969642"/>
            <w:r>
              <w:lastRenderedPageBreak/>
              <w:t>Opportunity for comment</w:t>
            </w:r>
            <w:bookmarkEnd w:id="0"/>
          </w:p>
          <w:p w14:paraId="7D63F7F7" w14:textId="77777777" w:rsidR="00C52B01" w:rsidRDefault="00C52B01" w:rsidP="00C52B01">
            <w:pPr>
              <w:pStyle w:val="BodyText"/>
            </w:pPr>
            <w:r>
              <w:t>The Commission thanks all participants for their contribution to the inquiry and now seeks additional input for the final report.</w:t>
            </w:r>
          </w:p>
          <w:p w14:paraId="7F2CB903" w14:textId="760F2C9C" w:rsidR="00C52B01" w:rsidRDefault="00C52B01" w:rsidP="00C52B01">
            <w:pPr>
              <w:pStyle w:val="BodyText"/>
            </w:pPr>
            <w:r>
              <w:t xml:space="preserve">You are invited to examine this interim report and comment on it by written submission to the Productivity Commission, preferably in electronic format, by </w:t>
            </w:r>
            <w:r w:rsidR="009F7AD6">
              <w:t>21</w:t>
            </w:r>
            <w:r w:rsidR="005E3B68">
              <w:t> </w:t>
            </w:r>
            <w:r>
              <w:t xml:space="preserve">October </w:t>
            </w:r>
            <w:r w:rsidRPr="00E5020C">
              <w:t>2022</w:t>
            </w:r>
            <w:r>
              <w:t xml:space="preserve">. </w:t>
            </w:r>
          </w:p>
          <w:p w14:paraId="71C292B6" w14:textId="6E0CB12A" w:rsidR="00C52B01" w:rsidRDefault="00C52B01" w:rsidP="00C52B01">
            <w:pPr>
              <w:pStyle w:val="BodyText"/>
            </w:pPr>
            <w:r>
              <w:t xml:space="preserve">Further information on how to provide a submission is included on the inquiry website: </w:t>
            </w:r>
            <w:r w:rsidRPr="00060BCF">
              <w:t>www.pc.gov.au/inquiries/current/productivity</w:t>
            </w:r>
            <w:r>
              <w:t xml:space="preserve"> </w:t>
            </w:r>
          </w:p>
          <w:p w14:paraId="50833C3D" w14:textId="77777777" w:rsidR="00C52B01" w:rsidRDefault="00C52B01" w:rsidP="00C52B01">
            <w:pPr>
              <w:pStyle w:val="BodyText"/>
            </w:pPr>
            <w:r>
              <w:t>The Commission will prepare the final report after further submissions have been received and it will hold further discussions with participants. The Commission will forward the final report to the Government in February 2023.</w:t>
            </w:r>
          </w:p>
          <w:p w14:paraId="1200572E" w14:textId="1E51F3E9" w:rsidR="004F7BE2" w:rsidRDefault="004F7BE2">
            <w:pPr>
              <w:pStyle w:val="Heading2-noTOC"/>
            </w:pPr>
            <w:r w:rsidRPr="00B146AA">
              <w:t>Public hearing date</w:t>
            </w:r>
            <w:r>
              <w:t>s</w:t>
            </w:r>
            <w:r w:rsidRPr="00B146AA">
              <w:t xml:space="preserve"> and venues</w:t>
            </w:r>
          </w:p>
          <w:p w14:paraId="72718989" w14:textId="77777777" w:rsidR="003406B1" w:rsidRPr="005339E4" w:rsidRDefault="003406B1" w:rsidP="003406B1">
            <w:pPr>
              <w:pStyle w:val="BodyText"/>
            </w:pPr>
            <w:r>
              <w:t>Dates and venues will be listed on the inquiry website once confirmed.</w:t>
            </w:r>
          </w:p>
          <w:p w14:paraId="1FAC93F0" w14:textId="77777777" w:rsidR="004F7BE2" w:rsidRPr="00683E2C" w:rsidRDefault="004F7BE2">
            <w:pPr>
              <w:pStyle w:val="Heading2-noTOC"/>
            </w:pPr>
            <w:r w:rsidRPr="00683E2C">
              <w:t>Commissioners</w:t>
            </w:r>
          </w:p>
          <w:p w14:paraId="6AC0A66D" w14:textId="1BDE35C4" w:rsidR="004F7BE2" w:rsidRDefault="004F7BE2">
            <w:pPr>
              <w:pStyle w:val="BodyText"/>
            </w:pPr>
            <w:r w:rsidRPr="007151C7">
              <w:t>For the purposes of this inquiry and draft report, in accordance with section</w:t>
            </w:r>
            <w:r w:rsidR="000565F7">
              <w:t> </w:t>
            </w:r>
            <w:r w:rsidRPr="007151C7">
              <w:t xml:space="preserve">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969"/>
              <w:gridCol w:w="4820"/>
            </w:tblGrid>
            <w:tr w:rsidR="003406B1" w14:paraId="5EB64200" w14:textId="77777777">
              <w:tc>
                <w:tcPr>
                  <w:tcW w:w="3969" w:type="dxa"/>
                  <w:tcMar>
                    <w:left w:w="0" w:type="dxa"/>
                    <w:right w:w="0" w:type="dxa"/>
                  </w:tcMar>
                </w:tcPr>
                <w:p w14:paraId="7BBD86F3" w14:textId="186315FC" w:rsidR="003406B1" w:rsidRDefault="003406B1" w:rsidP="003406B1">
                  <w:pPr>
                    <w:pStyle w:val="BodyText"/>
                  </w:pPr>
                  <w:r>
                    <w:t>Michael Brennan</w:t>
                  </w:r>
                </w:p>
              </w:tc>
              <w:tc>
                <w:tcPr>
                  <w:tcW w:w="4820" w:type="dxa"/>
                </w:tcPr>
                <w:p w14:paraId="30EF12F0" w14:textId="714B107F" w:rsidR="003406B1" w:rsidRDefault="003406B1" w:rsidP="003406B1">
                  <w:pPr>
                    <w:pStyle w:val="BodyText"/>
                  </w:pPr>
                  <w:r>
                    <w:t>Chair</w:t>
                  </w:r>
                </w:p>
              </w:tc>
            </w:tr>
            <w:tr w:rsidR="003406B1" w14:paraId="340ED704" w14:textId="77777777">
              <w:tc>
                <w:tcPr>
                  <w:tcW w:w="3969" w:type="dxa"/>
                  <w:tcMar>
                    <w:left w:w="0" w:type="dxa"/>
                    <w:right w:w="0" w:type="dxa"/>
                  </w:tcMar>
                </w:tcPr>
                <w:p w14:paraId="110ED86A" w14:textId="02F1D2B5" w:rsidR="003406B1" w:rsidRDefault="003406B1" w:rsidP="003406B1">
                  <w:pPr>
                    <w:pStyle w:val="BodyText"/>
                  </w:pPr>
                  <w:r>
                    <w:t>Alex Robson</w:t>
                  </w:r>
                </w:p>
              </w:tc>
              <w:tc>
                <w:tcPr>
                  <w:tcW w:w="4820" w:type="dxa"/>
                </w:tcPr>
                <w:p w14:paraId="019108E4" w14:textId="684E4C07" w:rsidR="003406B1" w:rsidRDefault="003406B1" w:rsidP="003406B1">
                  <w:pPr>
                    <w:pStyle w:val="BodyText"/>
                  </w:pPr>
                  <w:r>
                    <w:t>Commissioner</w:t>
                  </w:r>
                </w:p>
              </w:tc>
            </w:tr>
            <w:tr w:rsidR="003406B1" w14:paraId="6B4748F1" w14:textId="77777777">
              <w:tc>
                <w:tcPr>
                  <w:tcW w:w="3969" w:type="dxa"/>
                  <w:tcMar>
                    <w:left w:w="0" w:type="dxa"/>
                    <w:right w:w="0" w:type="dxa"/>
                  </w:tcMar>
                </w:tcPr>
                <w:p w14:paraId="479AE481" w14:textId="1EC79711" w:rsidR="003406B1" w:rsidRDefault="003406B1" w:rsidP="003406B1">
                  <w:pPr>
                    <w:pStyle w:val="BodyText"/>
                  </w:pPr>
                  <w:r>
                    <w:t>Stephen King</w:t>
                  </w:r>
                </w:p>
              </w:tc>
              <w:tc>
                <w:tcPr>
                  <w:tcW w:w="4820" w:type="dxa"/>
                </w:tcPr>
                <w:p w14:paraId="1C3D0075" w14:textId="69FB1794" w:rsidR="003406B1" w:rsidRDefault="003406B1" w:rsidP="003406B1">
                  <w:pPr>
                    <w:pStyle w:val="BodyText"/>
                  </w:pPr>
                  <w:r>
                    <w:t>Commissioner</w:t>
                  </w:r>
                </w:p>
              </w:tc>
            </w:tr>
            <w:tr w:rsidR="003406B1" w14:paraId="1B45EA04" w14:textId="77777777">
              <w:tc>
                <w:tcPr>
                  <w:tcW w:w="3969" w:type="dxa"/>
                  <w:tcMar>
                    <w:left w:w="0" w:type="dxa"/>
                    <w:right w:w="0" w:type="dxa"/>
                  </w:tcMar>
                </w:tcPr>
                <w:p w14:paraId="7938475B" w14:textId="60C46FA4" w:rsidR="003406B1" w:rsidRDefault="003406B1" w:rsidP="003406B1">
                  <w:pPr>
                    <w:pStyle w:val="BodyText"/>
                  </w:pPr>
                  <w:r>
                    <w:t>Lisa Gropp</w:t>
                  </w:r>
                </w:p>
              </w:tc>
              <w:tc>
                <w:tcPr>
                  <w:tcW w:w="4820" w:type="dxa"/>
                </w:tcPr>
                <w:p w14:paraId="7F1672FA" w14:textId="6AFBCF7A" w:rsidR="003406B1" w:rsidRDefault="003406B1" w:rsidP="003406B1">
                  <w:pPr>
                    <w:pStyle w:val="BodyText"/>
                  </w:pPr>
                  <w:r>
                    <w:t>Commissioner</w:t>
                  </w:r>
                </w:p>
              </w:tc>
            </w:tr>
          </w:tbl>
          <w:p w14:paraId="385B732C" w14:textId="77777777" w:rsidR="004F7BE2" w:rsidRPr="00DD6473" w:rsidRDefault="004F7BE2">
            <w:pPr>
              <w:pStyle w:val="BodyText"/>
            </w:pPr>
          </w:p>
        </w:tc>
      </w:tr>
    </w:tbl>
    <w:p w14:paraId="60E12473"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bookmarkStart w:id="1" w:name="_Toc77943765"/>
    </w:p>
    <w:p w14:paraId="38403FF2" w14:textId="77777777" w:rsidR="004F7BE2" w:rsidRPr="003B7DB1" w:rsidRDefault="004F7BE2" w:rsidP="00C97F43">
      <w:pPr>
        <w:pStyle w:val="Heading1-nobackground"/>
      </w:pPr>
      <w:bookmarkStart w:id="2" w:name="_Toc113969643"/>
      <w:r w:rsidRPr="003B7DB1">
        <w:lastRenderedPageBreak/>
        <w:t xml:space="preserve">Terms of </w:t>
      </w:r>
      <w:r w:rsidRPr="002E7A0E">
        <w:t>reference</w:t>
      </w:r>
      <w:bookmarkEnd w:id="1"/>
      <w:bookmarkEnd w:id="2"/>
    </w:p>
    <w:p w14:paraId="3DB3BB1F" w14:textId="16FC60D7" w:rsidR="003406B1" w:rsidRDefault="003406B1" w:rsidP="003406B1">
      <w:pPr>
        <w:pStyle w:val="BodyText"/>
      </w:pPr>
      <w:r w:rsidRPr="00B07EDA">
        <w:t xml:space="preserve">I, Josh Frydenberg, Treasurer, pursuant to parts 2 and 3 of the </w:t>
      </w:r>
      <w:r w:rsidRPr="00483AD5">
        <w:rPr>
          <w:i/>
          <w:iCs/>
        </w:rPr>
        <w:t>Productivity Commission Act 1998</w:t>
      </w:r>
      <w:r w:rsidRPr="00B07EDA">
        <w:t>, hereby request that the Productivity Commission undertake an inquiry into the Australia’s productivity performance and provide recommendations on productivity</w:t>
      </w:r>
      <w:r w:rsidR="000565F7">
        <w:noBreakHyphen/>
      </w:r>
      <w:r w:rsidRPr="00B07EDA">
        <w:t>enhancing reform. This inquiry is the second of a regular series, undertaken at five</w:t>
      </w:r>
      <w:r w:rsidR="000565F7">
        <w:noBreakHyphen/>
      </w:r>
      <w:r w:rsidRPr="00B07EDA">
        <w:t>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331E645C" w14:textId="77777777" w:rsidR="003406B1" w:rsidRPr="003B7DB1" w:rsidRDefault="003406B1" w:rsidP="003406B1">
      <w:pPr>
        <w:pStyle w:val="Heading2-nonumber"/>
      </w:pPr>
      <w:bookmarkStart w:id="3" w:name="_Toc110438702"/>
      <w:bookmarkStart w:id="4" w:name="_Toc110938425"/>
      <w:bookmarkStart w:id="5" w:name="_Toc87880292"/>
      <w:bookmarkStart w:id="6" w:name="_Toc111492762"/>
      <w:bookmarkStart w:id="7" w:name="_Toc113532982"/>
      <w:bookmarkStart w:id="8" w:name="_Toc113628750"/>
      <w:bookmarkStart w:id="9" w:name="_Toc113969644"/>
      <w:r w:rsidRPr="003B7DB1">
        <w:t>Background</w:t>
      </w:r>
      <w:bookmarkEnd w:id="3"/>
      <w:bookmarkEnd w:id="4"/>
      <w:bookmarkEnd w:id="5"/>
      <w:bookmarkEnd w:id="6"/>
      <w:bookmarkEnd w:id="7"/>
      <w:bookmarkEnd w:id="8"/>
      <w:bookmarkEnd w:id="9"/>
    </w:p>
    <w:p w14:paraId="2FFCFDEE" w14:textId="49F4389F" w:rsidR="003406B1" w:rsidRDefault="003406B1" w:rsidP="003406B1">
      <w:pPr>
        <w:pStyle w:val="BodyText"/>
      </w:pPr>
      <w:r>
        <w:t>Australia’s economy has performed strongly in recent decades enjoying robust growth in incomes and living standards following 28 years of consecutive economic growth interrupted by the COVID</w:t>
      </w:r>
      <w:r w:rsidR="000565F7">
        <w:noBreakHyphen/>
      </w:r>
      <w:r>
        <w:t>19 pandemic. Australia’s economic recovery from the pandemic has been world leading however to ensure Australians continue to enjoy higher living standards, we need to continue to focus on the task of lifting productivity.</w:t>
      </w:r>
    </w:p>
    <w:p w14:paraId="17A66B81" w14:textId="793802E3" w:rsidR="003406B1" w:rsidRDefault="003406B1" w:rsidP="003406B1">
      <w:pPr>
        <w:pStyle w:val="BodyText"/>
      </w:pPr>
      <w:r>
        <w:t>Productivity growth is vital for Australia’s future, particularly as the Australian and global economies emerge and begin to recover from the economic impacts of COVID</w:t>
      </w:r>
      <w:r w:rsidR="000565F7">
        <w:noBreakHyphen/>
      </w:r>
      <w:r>
        <w:t>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w:t>
      </w:r>
      <w:r w:rsidR="000565F7">
        <w:noBreakHyphen/>
      </w:r>
      <w:r>
        <w:t>19 pandemic and the global and domestic policy responses will also provide a unique historical context for this Review.</w:t>
      </w:r>
    </w:p>
    <w:p w14:paraId="6676F7BF" w14:textId="52781603" w:rsidR="003406B1" w:rsidRDefault="003406B1" w:rsidP="003406B1">
      <w:pPr>
        <w:pStyle w:val="BodyText"/>
      </w:pPr>
      <w:r>
        <w:t>Given the scale and nature of the economic shock caused by the COVID</w:t>
      </w:r>
      <w:r w:rsidR="000565F7">
        <w:noBreakHyphen/>
      </w:r>
      <w:r>
        <w:t>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7D0B49F4" w14:textId="318AABD9" w:rsidR="003406B1" w:rsidRDefault="003406B1" w:rsidP="003406B1">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w:t>
      </w:r>
      <w:r w:rsidR="000565F7">
        <w:noBreakHyphen/>
      </w:r>
      <w:r>
        <w:t>taking, and innovation and technological adoption.</w:t>
      </w:r>
    </w:p>
    <w:p w14:paraId="3521013D" w14:textId="404B5EA4" w:rsidR="003406B1" w:rsidRDefault="003406B1" w:rsidP="003406B1">
      <w:pPr>
        <w:pStyle w:val="BodyText"/>
      </w:pPr>
      <w:r>
        <w:t>Against this background, the Review can play a critical role in making high</w:t>
      </w:r>
      <w:r w:rsidR="000565F7">
        <w:noBreakHyphen/>
      </w:r>
      <w:r>
        <w:t>value and implementable recommendations to support Australia’s productivity growth. Lifting Australia’s productivity growth will involve a combination of economy</w:t>
      </w:r>
      <w:r w:rsidR="000565F7">
        <w:noBreakHyphen/>
      </w:r>
      <w:r>
        <w:t>wide and structural reforms, in addition to targeted policies in particular sectors to push Australian industries closer to the global frontier.</w:t>
      </w:r>
    </w:p>
    <w:p w14:paraId="4E3954B4" w14:textId="77777777" w:rsidR="003406B1" w:rsidRPr="003B7DB1" w:rsidRDefault="003406B1" w:rsidP="003406B1">
      <w:pPr>
        <w:pStyle w:val="Heading2-nonumber"/>
      </w:pPr>
      <w:bookmarkStart w:id="10" w:name="_Toc110438703"/>
      <w:bookmarkStart w:id="11" w:name="_Toc110938426"/>
      <w:bookmarkStart w:id="12" w:name="_Toc87880293"/>
      <w:bookmarkStart w:id="13" w:name="_Toc111492763"/>
      <w:bookmarkStart w:id="14" w:name="_Toc113532983"/>
      <w:bookmarkStart w:id="15" w:name="_Toc113628751"/>
      <w:bookmarkStart w:id="16" w:name="_Toc113969645"/>
      <w:r w:rsidRPr="003B7DB1">
        <w:t>Scope of the inquiry</w:t>
      </w:r>
      <w:bookmarkEnd w:id="10"/>
      <w:bookmarkEnd w:id="11"/>
      <w:bookmarkEnd w:id="12"/>
      <w:bookmarkEnd w:id="13"/>
      <w:bookmarkEnd w:id="14"/>
      <w:bookmarkEnd w:id="15"/>
      <w:bookmarkEnd w:id="16"/>
    </w:p>
    <w:p w14:paraId="08736B8A" w14:textId="3879EC0C" w:rsidR="003406B1" w:rsidRDefault="003406B1" w:rsidP="003406B1">
      <w:pPr>
        <w:pStyle w:val="BodyText"/>
      </w:pPr>
      <w:r w:rsidRPr="00BB7146">
        <w:t>The Commission is to review Australia’s productivity performance and recommend an actionable roadmap to assist governments to make productivity</w:t>
      </w:r>
      <w:r w:rsidR="000565F7">
        <w:noBreakHyphen/>
      </w:r>
      <w:r w:rsidRPr="00BB7146">
        <w:t xml:space="preserve">enhancing reforms. Each recommendation should qualitatively and quantitatively estimate the benefit of making the reform and identify an owner for the action and a timeframe in which it might occur. </w:t>
      </w:r>
    </w:p>
    <w:p w14:paraId="4EF1410F" w14:textId="77777777" w:rsidR="003406B1" w:rsidRDefault="003406B1" w:rsidP="003406B1">
      <w:pPr>
        <w:pStyle w:val="BodyText"/>
      </w:pPr>
      <w:r w:rsidRPr="00BB7146">
        <w:lastRenderedPageBreak/>
        <w:t xml:space="preserve">Without limiting related matters on which the Commission may report, its report to the Government should: </w:t>
      </w:r>
    </w:p>
    <w:p w14:paraId="1859B192" w14:textId="4E3BE45B" w:rsidR="003406B1" w:rsidRDefault="003406B1" w:rsidP="003406B1">
      <w:pPr>
        <w:pStyle w:val="ListNumber"/>
        <w:numPr>
          <w:ilvl w:val="0"/>
          <w:numId w:val="18"/>
        </w:numPr>
        <w:ind w:left="426" w:hanging="426"/>
      </w:pPr>
      <w:r w:rsidRPr="00BB7146">
        <w:t>Analyse Australia’s productivity performance in both the market and non</w:t>
      </w:r>
      <w:r w:rsidR="000565F7">
        <w:noBreakHyphen/>
      </w:r>
      <w:r w:rsidRPr="00BB7146">
        <w:t>market sectors, including an assessment of the settings for productive investment in human and physical capital and how they can be improved to lift productivity.</w:t>
      </w:r>
    </w:p>
    <w:p w14:paraId="43FDEEB4" w14:textId="3A2803AE" w:rsidR="003406B1" w:rsidRDefault="003406B1" w:rsidP="003406B1">
      <w:pPr>
        <w:pStyle w:val="ListNumber"/>
        <w:numPr>
          <w:ilvl w:val="0"/>
          <w:numId w:val="18"/>
        </w:numPr>
        <w:ind w:left="426" w:hanging="426"/>
      </w:pPr>
      <w:r w:rsidRPr="00BB7146">
        <w:t>Identify forces shaping Australia’s productivity challenge as a result of the COVID</w:t>
      </w:r>
      <w:r w:rsidR="000565F7">
        <w:noBreakHyphen/>
      </w:r>
      <w:r w:rsidRPr="00BB7146">
        <w:t xml:space="preserve">19 pandemic and policy response. </w:t>
      </w:r>
    </w:p>
    <w:p w14:paraId="7FBB3FDC" w14:textId="2985E40F" w:rsidR="003406B1" w:rsidRDefault="003406B1" w:rsidP="003406B1">
      <w:pPr>
        <w:pStyle w:val="ListNumber"/>
        <w:numPr>
          <w:ilvl w:val="0"/>
          <w:numId w:val="18"/>
        </w:numPr>
        <w:ind w:left="426" w:hanging="426"/>
      </w:pPr>
      <w:r w:rsidRPr="00BB7146">
        <w:t>Consider the opportunities created for improvements in productivity as a result of Australia’s COVID</w:t>
      </w:r>
      <w:r w:rsidR="000565F7">
        <w:noBreakHyphen/>
      </w:r>
      <w:r w:rsidRPr="00BB7146">
        <w:t xml:space="preserve">19 experience, especially through changes in Australia’s labour markets, delivery of services (including retail, health and education) and digital adoption. </w:t>
      </w:r>
    </w:p>
    <w:p w14:paraId="4D8DDE45" w14:textId="77777777" w:rsidR="003406B1" w:rsidRDefault="003406B1" w:rsidP="003406B1">
      <w:pPr>
        <w:pStyle w:val="ListNumber"/>
        <w:numPr>
          <w:ilvl w:val="0"/>
          <w:numId w:val="18"/>
        </w:numPr>
        <w:ind w:left="426" w:hanging="426"/>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5694E6F0" w14:textId="77777777" w:rsidR="003406B1" w:rsidRDefault="003406B1" w:rsidP="003406B1">
      <w:pPr>
        <w:pStyle w:val="ListNumber"/>
        <w:numPr>
          <w:ilvl w:val="0"/>
          <w:numId w:val="18"/>
        </w:numPr>
        <w:ind w:left="426" w:hanging="426"/>
      </w:pPr>
      <w:r w:rsidRPr="00BB7146">
        <w:t xml:space="preserve">Examine the factors that may have affected productivity growth, including domestic and global factors and an assessment of the impact of major policy changes, if relevant. </w:t>
      </w:r>
    </w:p>
    <w:p w14:paraId="296C7847" w14:textId="77777777" w:rsidR="003406B1" w:rsidRDefault="003406B1" w:rsidP="003406B1">
      <w:pPr>
        <w:pStyle w:val="ListNumber"/>
        <w:numPr>
          <w:ilvl w:val="0"/>
          <w:numId w:val="18"/>
        </w:numPr>
        <w:ind w:left="426" w:hanging="426"/>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414F15A2" w14:textId="77777777" w:rsidR="003406B1" w:rsidRDefault="003406B1" w:rsidP="003406B1">
      <w:pPr>
        <w:pStyle w:val="ListNumber"/>
        <w:numPr>
          <w:ilvl w:val="0"/>
          <w:numId w:val="18"/>
        </w:numPr>
        <w:ind w:left="426" w:hanging="426"/>
      </w:pPr>
      <w:r w:rsidRPr="00BB7146">
        <w:t xml:space="preserve">Revisit key recommendations and themes from the previous five yearly review in light of the above, where relevant. </w:t>
      </w:r>
    </w:p>
    <w:p w14:paraId="11FDB987" w14:textId="77777777" w:rsidR="003406B1" w:rsidRPr="00BB7146" w:rsidRDefault="003406B1" w:rsidP="003406B1">
      <w:pPr>
        <w:pStyle w:val="BodyText"/>
      </w:pPr>
      <w:r>
        <w:t>T</w:t>
      </w:r>
      <w:r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 .</w:t>
      </w:r>
    </w:p>
    <w:p w14:paraId="4DC32312" w14:textId="77777777" w:rsidR="003406B1" w:rsidRPr="00BB7146" w:rsidRDefault="003406B1" w:rsidP="003406B1">
      <w:pPr>
        <w:pStyle w:val="Heading2-nonumber"/>
      </w:pPr>
      <w:bookmarkStart w:id="17" w:name="_Toc87880294"/>
      <w:bookmarkStart w:id="18" w:name="_Toc110438704"/>
      <w:bookmarkStart w:id="19" w:name="_Toc110938427"/>
      <w:bookmarkStart w:id="20" w:name="_Toc111492764"/>
      <w:bookmarkStart w:id="21" w:name="_Toc113532984"/>
      <w:bookmarkStart w:id="22" w:name="_Toc113628752"/>
      <w:bookmarkStart w:id="23" w:name="_Toc113969646"/>
      <w:r w:rsidRPr="00BB7146">
        <w:t>Process</w:t>
      </w:r>
      <w:bookmarkEnd w:id="17"/>
      <w:bookmarkEnd w:id="18"/>
      <w:bookmarkEnd w:id="19"/>
      <w:bookmarkEnd w:id="20"/>
      <w:bookmarkEnd w:id="21"/>
      <w:bookmarkEnd w:id="22"/>
      <w:bookmarkEnd w:id="23"/>
    </w:p>
    <w:p w14:paraId="522537C3" w14:textId="77777777" w:rsidR="003406B1" w:rsidRPr="00BB7146" w:rsidRDefault="003406B1" w:rsidP="003406B1">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78D925F4" w14:textId="77777777" w:rsidR="003406B1" w:rsidRDefault="003406B1" w:rsidP="003406B1">
      <w:pPr>
        <w:pStyle w:val="BodyText"/>
      </w:pPr>
    </w:p>
    <w:p w14:paraId="3D91F3FB" w14:textId="77777777" w:rsidR="003406B1" w:rsidRPr="003B7DB1" w:rsidRDefault="003406B1" w:rsidP="003406B1">
      <w:pPr>
        <w:pStyle w:val="BodyText"/>
      </w:pPr>
      <w:r w:rsidRPr="007D1569">
        <w:rPr>
          <w:b/>
          <w:bCs/>
        </w:rPr>
        <w:t xml:space="preserve">The Hon </w:t>
      </w:r>
      <w:r>
        <w:rPr>
          <w:b/>
          <w:bCs/>
        </w:rPr>
        <w:t>Josh Frydenberg</w:t>
      </w:r>
      <w:r w:rsidRPr="007D1569">
        <w:rPr>
          <w:b/>
          <w:bCs/>
        </w:rPr>
        <w:t xml:space="preserve"> MP</w:t>
      </w:r>
      <w:r>
        <w:br/>
      </w:r>
      <w:r w:rsidRPr="003B7DB1">
        <w:t>Treasurer</w:t>
      </w:r>
    </w:p>
    <w:p w14:paraId="5F04D9BB" w14:textId="1CD225F5" w:rsidR="00A70D8C" w:rsidRDefault="003406B1" w:rsidP="003406B1">
      <w:pPr>
        <w:pStyle w:val="BodyText"/>
      </w:pPr>
      <w:r>
        <w:t xml:space="preserve">[Received </w:t>
      </w:r>
      <w:r w:rsidRPr="00BB7146">
        <w:t>7</w:t>
      </w:r>
      <w:r w:rsidR="000565F7">
        <w:t> </w:t>
      </w:r>
      <w:r w:rsidRPr="00BB7146">
        <w:t>February 2022</w:t>
      </w:r>
      <w:r>
        <w:t>]</w:t>
      </w:r>
      <w:r w:rsidR="00A70D8C">
        <w:br w:type="page"/>
      </w:r>
    </w:p>
    <w:p w14:paraId="5821C99A" w14:textId="51382F9F" w:rsidR="00A70D8C" w:rsidRPr="007D1569" w:rsidRDefault="003406B1" w:rsidP="00A70D8C">
      <w:pPr>
        <w:pStyle w:val="Heading2-nonumber"/>
      </w:pPr>
      <w:bookmarkStart w:id="24" w:name="_Toc113532985"/>
      <w:bookmarkStart w:id="25" w:name="_Toc113628753"/>
      <w:bookmarkStart w:id="26" w:name="_Toc113969647"/>
      <w:r>
        <w:lastRenderedPageBreak/>
        <w:t>Acknowledgements</w:t>
      </w:r>
      <w:bookmarkEnd w:id="24"/>
      <w:bookmarkEnd w:id="25"/>
      <w:bookmarkEnd w:id="26"/>
    </w:p>
    <w:p w14:paraId="233FFDA7" w14:textId="5E5235B8" w:rsidR="00A70D8C" w:rsidRPr="004F7BE2" w:rsidRDefault="003406B1" w:rsidP="00A70D8C">
      <w:r>
        <w:t xml:space="preserve">The Commission acknowledges and thanks </w:t>
      </w:r>
      <w:r w:rsidR="00395608">
        <w:t>Emily Gray,</w:t>
      </w:r>
      <w:r w:rsidR="00395608" w:rsidRPr="00395608">
        <w:t xml:space="preserve"> </w:t>
      </w:r>
      <w:r w:rsidR="00395608">
        <w:t>Chris</w:t>
      </w:r>
      <w:r w:rsidR="00DE3EC4">
        <w:t>topher</w:t>
      </w:r>
      <w:r>
        <w:t xml:space="preserve"> Bottomley,</w:t>
      </w:r>
      <w:r w:rsidR="001A2ACE">
        <w:t xml:space="preserve"> </w:t>
      </w:r>
      <w:r w:rsidR="00797F80">
        <w:t>Yael Jacoby</w:t>
      </w:r>
      <w:r w:rsidR="00194CDC">
        <w:t xml:space="preserve">, </w:t>
      </w:r>
      <w:r w:rsidR="00395608">
        <w:t>Mat</w:t>
      </w:r>
      <w:r w:rsidR="00BA116C">
        <w:t>t</w:t>
      </w:r>
      <w:r w:rsidR="00395608">
        <w:t>hew</w:t>
      </w:r>
      <w:r>
        <w:t xml:space="preserve"> Jones, </w:t>
      </w:r>
      <w:r w:rsidR="00F43B5F">
        <w:t>Ralph Lattimore</w:t>
      </w:r>
      <w:r w:rsidR="00395608">
        <w:t xml:space="preserve">, </w:t>
      </w:r>
      <w:r>
        <w:t xml:space="preserve">Sebastian Porter </w:t>
      </w:r>
      <w:r w:rsidR="00333E2E">
        <w:t>and Jasna Rogic</w:t>
      </w:r>
      <w:r>
        <w:t xml:space="preserve"> for their work on this interim report and its underlying analysis. Commissioner</w:t>
      </w:r>
      <w:r w:rsidR="00194CDC">
        <w:t xml:space="preserve"> Catherine de Fontenay </w:t>
      </w:r>
      <w:r w:rsidR="003437DD">
        <w:t xml:space="preserve">and </w:t>
      </w:r>
      <w:r w:rsidR="00F74D42">
        <w:t xml:space="preserve">Rosalyn Bell </w:t>
      </w:r>
      <w:r>
        <w:t xml:space="preserve">provided </w:t>
      </w:r>
      <w:r w:rsidR="00127D0A">
        <w:t xml:space="preserve">guidance and </w:t>
      </w:r>
      <w:r>
        <w:t>input to this interim report.</w:t>
      </w:r>
    </w:p>
    <w:p w14:paraId="68F2A7F0" w14:textId="77777777" w:rsidR="004F7BE2" w:rsidRDefault="004F7BE2" w:rsidP="004F7BE2">
      <w:pPr>
        <w:pStyle w:val="BodyText"/>
      </w:pPr>
    </w:p>
    <w:p w14:paraId="40218BD6" w14:textId="77777777" w:rsidR="004F7BE2" w:rsidRDefault="004F7BE2" w:rsidP="004F7BE2">
      <w:pPr>
        <w:sectPr w:rsidR="004F7BE2" w:rsidSect="000D7AC2">
          <w:headerReference w:type="default" r:id="rId26"/>
          <w:pgSz w:w="11906" w:h="16838" w:code="9"/>
          <w:pgMar w:top="1134" w:right="1134" w:bottom="1134" w:left="1134" w:header="794" w:footer="510" w:gutter="0"/>
          <w:pgNumType w:fmt="lowerRoman"/>
          <w:cols w:space="708"/>
          <w:docGrid w:linePitch="360"/>
        </w:sectPr>
      </w:pPr>
    </w:p>
    <w:p w14:paraId="61FE6EED" w14:textId="77777777" w:rsidR="00B43AF4" w:rsidRPr="00B43AF4" w:rsidRDefault="00B43AF4" w:rsidP="00ED6125">
      <w:pPr>
        <w:pStyle w:val="Heading1-nobackground"/>
      </w:pPr>
      <w:bookmarkStart w:id="27" w:name="_Toc113628754"/>
      <w:bookmarkStart w:id="28" w:name="_Toc113969648"/>
      <w:r w:rsidRPr="00B43AF4">
        <w:lastRenderedPageBreak/>
        <w:t>Contents</w:t>
      </w:r>
      <w:bookmarkEnd w:id="27"/>
      <w:bookmarkEnd w:id="28"/>
    </w:p>
    <w:sdt>
      <w:sdtPr>
        <w:rPr>
          <w:rFonts w:asciiTheme="minorHAnsi" w:hAnsiTheme="minorHAnsi"/>
          <w:b/>
          <w:color w:val="auto"/>
        </w:rPr>
        <w:id w:val="-896974578"/>
        <w:docPartObj>
          <w:docPartGallery w:val="Table of Contents"/>
          <w:docPartUnique/>
        </w:docPartObj>
      </w:sdtPr>
      <w:sdtEndPr>
        <w:rPr>
          <w:rFonts w:asciiTheme="majorHAnsi" w:hAnsiTheme="majorHAnsi"/>
          <w:b w:val="0"/>
          <w:noProof/>
          <w:color w:val="265A9A" w:themeColor="background2"/>
        </w:rPr>
      </w:sdtEndPr>
      <w:sdtContent>
        <w:p w14:paraId="40E3B35B" w14:textId="17C4FE9E" w:rsidR="00BA651E" w:rsidRDefault="00BA651E" w:rsidP="00760739">
          <w:pPr>
            <w:pStyle w:val="TOC1"/>
            <w:tabs>
              <w:tab w:val="clear" w:pos="7937"/>
              <w:tab w:val="right" w:pos="8080"/>
            </w:tabs>
            <w:rPr>
              <w:rFonts w:asciiTheme="minorHAnsi" w:eastAsiaTheme="minorEastAsia" w:hAnsiTheme="minorHAnsi"/>
              <w:noProof/>
              <w:color w:val="auto"/>
              <w:sz w:val="22"/>
              <w:szCs w:val="22"/>
              <w:lang w:eastAsia="en-AU"/>
            </w:rPr>
          </w:pPr>
          <w:r>
            <w:rPr>
              <w:noProof/>
            </w:rPr>
            <w:t>Opportunity for comment</w:t>
          </w:r>
          <w:r>
            <w:rPr>
              <w:noProof/>
              <w:webHidden/>
            </w:rPr>
            <w:tab/>
            <w:t>iii</w:t>
          </w:r>
        </w:p>
        <w:p w14:paraId="7A646E17" w14:textId="187578C7" w:rsidR="00BA651E" w:rsidRDefault="00BA651E" w:rsidP="00760739">
          <w:pPr>
            <w:pStyle w:val="TOC1"/>
            <w:tabs>
              <w:tab w:val="clear" w:pos="7937"/>
              <w:tab w:val="right" w:pos="8080"/>
            </w:tabs>
            <w:rPr>
              <w:rFonts w:asciiTheme="minorHAnsi" w:eastAsiaTheme="minorEastAsia" w:hAnsiTheme="minorHAnsi"/>
              <w:noProof/>
              <w:color w:val="auto"/>
              <w:sz w:val="22"/>
              <w:szCs w:val="22"/>
              <w:lang w:eastAsia="en-AU"/>
            </w:rPr>
          </w:pPr>
          <w:r>
            <w:rPr>
              <w:noProof/>
            </w:rPr>
            <w:t>Terms of reference</w:t>
          </w:r>
          <w:r>
            <w:rPr>
              <w:noProof/>
              <w:webHidden/>
            </w:rPr>
            <w:tab/>
            <w:t>i</w:t>
          </w:r>
          <w:r w:rsidR="005D7E5F">
            <w:rPr>
              <w:noProof/>
              <w:webHidden/>
            </w:rPr>
            <w:t>v</w:t>
          </w:r>
        </w:p>
        <w:p w14:paraId="3AA39232" w14:textId="1F70C909" w:rsidR="00BA651E" w:rsidRDefault="00BA651E" w:rsidP="00760739">
          <w:pPr>
            <w:pStyle w:val="TOC1"/>
            <w:tabs>
              <w:tab w:val="clear" w:pos="7937"/>
              <w:tab w:val="right" w:pos="8080"/>
            </w:tabs>
            <w:rPr>
              <w:rFonts w:asciiTheme="minorHAnsi" w:eastAsiaTheme="minorEastAsia" w:hAnsiTheme="minorHAnsi"/>
              <w:noProof/>
              <w:color w:val="auto"/>
              <w:sz w:val="22"/>
              <w:szCs w:val="22"/>
              <w:lang w:eastAsia="en-AU"/>
            </w:rPr>
          </w:pPr>
          <w:r>
            <w:rPr>
              <w:noProof/>
            </w:rPr>
            <w:t>Foreword</w:t>
          </w:r>
          <w:r>
            <w:rPr>
              <w:noProof/>
              <w:webHidden/>
            </w:rPr>
            <w:tab/>
          </w:r>
          <w:r w:rsidR="005D7E5F">
            <w:rPr>
              <w:noProof/>
              <w:webHidden/>
            </w:rPr>
            <w:t>ix</w:t>
          </w:r>
        </w:p>
        <w:p w14:paraId="302C4B00" w14:textId="5956FDC1" w:rsidR="00BA651E" w:rsidRDefault="00BA651E" w:rsidP="00760739">
          <w:pPr>
            <w:pStyle w:val="TOC1"/>
            <w:tabs>
              <w:tab w:val="clear" w:pos="7937"/>
              <w:tab w:val="right" w:pos="8080"/>
            </w:tabs>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The case for strengthening the diffusion of innovation</w:t>
          </w:r>
          <w:r>
            <w:rPr>
              <w:noProof/>
              <w:webHidden/>
            </w:rPr>
            <w:tab/>
            <w:t>1</w:t>
          </w:r>
        </w:p>
        <w:p w14:paraId="2E4619BD" w14:textId="4F9DE39F" w:rsidR="00BA651E" w:rsidRDefault="00BA651E" w:rsidP="00760739">
          <w:pPr>
            <w:pStyle w:val="TOC2"/>
            <w:tabs>
              <w:tab w:val="clear" w:pos="7938"/>
              <w:tab w:val="right" w:pos="8080"/>
            </w:tabs>
            <w:ind w:right="1871"/>
            <w:rPr>
              <w:rFonts w:eastAsiaTheme="minorEastAsia"/>
              <w:sz w:val="22"/>
              <w:szCs w:val="22"/>
              <w:lang w:eastAsia="en-AU"/>
            </w:rPr>
          </w:pPr>
          <w:r>
            <w:t>1.1</w:t>
          </w:r>
          <w:r>
            <w:rPr>
              <w:rFonts w:eastAsiaTheme="minorEastAsia"/>
              <w:sz w:val="22"/>
              <w:szCs w:val="22"/>
              <w:lang w:eastAsia="en-AU"/>
            </w:rPr>
            <w:tab/>
          </w:r>
          <w:r>
            <w:t>A focus on diffusion</w:t>
          </w:r>
          <w:r>
            <w:rPr>
              <w:webHidden/>
            </w:rPr>
            <w:tab/>
            <w:t>1</w:t>
          </w:r>
        </w:p>
        <w:p w14:paraId="52564039" w14:textId="2C5D0C16" w:rsidR="00BA651E" w:rsidRDefault="00BA651E" w:rsidP="00760739">
          <w:pPr>
            <w:pStyle w:val="TOC2"/>
            <w:tabs>
              <w:tab w:val="clear" w:pos="7938"/>
              <w:tab w:val="right" w:pos="8080"/>
            </w:tabs>
            <w:ind w:right="1871"/>
            <w:rPr>
              <w:rFonts w:eastAsiaTheme="minorEastAsia"/>
              <w:sz w:val="22"/>
              <w:szCs w:val="22"/>
              <w:lang w:eastAsia="en-AU"/>
            </w:rPr>
          </w:pPr>
          <w:r>
            <w:t>1.2</w:t>
          </w:r>
          <w:r>
            <w:rPr>
              <w:rFonts w:eastAsiaTheme="minorEastAsia"/>
              <w:sz w:val="22"/>
              <w:szCs w:val="22"/>
              <w:lang w:eastAsia="en-AU"/>
            </w:rPr>
            <w:tab/>
          </w:r>
          <w:r>
            <w:t>How does Australia fare?</w:t>
          </w:r>
          <w:r>
            <w:rPr>
              <w:webHidden/>
            </w:rPr>
            <w:tab/>
            <w:t>6</w:t>
          </w:r>
        </w:p>
        <w:p w14:paraId="51EABF5F" w14:textId="58C5AAEF" w:rsidR="00BA651E" w:rsidRDefault="00BA651E" w:rsidP="00760739">
          <w:pPr>
            <w:pStyle w:val="TOC2"/>
            <w:tabs>
              <w:tab w:val="clear" w:pos="7938"/>
              <w:tab w:val="right" w:pos="8080"/>
            </w:tabs>
            <w:ind w:right="1871"/>
            <w:rPr>
              <w:rFonts w:eastAsiaTheme="minorEastAsia"/>
              <w:sz w:val="22"/>
              <w:szCs w:val="22"/>
              <w:lang w:eastAsia="en-AU"/>
            </w:rPr>
          </w:pPr>
          <w:r>
            <w:t>1.3</w:t>
          </w:r>
          <w:r>
            <w:rPr>
              <w:rFonts w:eastAsiaTheme="minorEastAsia"/>
              <w:sz w:val="22"/>
              <w:szCs w:val="22"/>
              <w:lang w:eastAsia="en-AU"/>
            </w:rPr>
            <w:tab/>
          </w:r>
          <w:r>
            <w:t>The policy levers for diffusion are different from those for novel innovation</w:t>
          </w:r>
          <w:r>
            <w:rPr>
              <w:webHidden/>
            </w:rPr>
            <w:tab/>
            <w:t>19</w:t>
          </w:r>
        </w:p>
        <w:p w14:paraId="35BC723C" w14:textId="07B2B021" w:rsidR="00BA651E" w:rsidRDefault="00BA651E" w:rsidP="00760739">
          <w:pPr>
            <w:pStyle w:val="TOC1"/>
            <w:tabs>
              <w:tab w:val="clear" w:pos="7937"/>
              <w:tab w:val="right" w:pos="8080"/>
            </w:tabs>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Enabling innovation diffusion in Australia</w:t>
          </w:r>
          <w:r>
            <w:rPr>
              <w:noProof/>
              <w:webHidden/>
            </w:rPr>
            <w:tab/>
            <w:t>21</w:t>
          </w:r>
        </w:p>
        <w:p w14:paraId="19772FA8" w14:textId="4A60174B" w:rsidR="00BA651E" w:rsidRDefault="00BA651E" w:rsidP="00760739">
          <w:pPr>
            <w:pStyle w:val="TOC2"/>
            <w:tabs>
              <w:tab w:val="clear" w:pos="7938"/>
              <w:tab w:val="right" w:pos="8080"/>
            </w:tabs>
            <w:ind w:right="1871"/>
            <w:rPr>
              <w:rFonts w:eastAsiaTheme="minorEastAsia"/>
              <w:sz w:val="22"/>
              <w:szCs w:val="22"/>
              <w:lang w:eastAsia="en-AU"/>
            </w:rPr>
          </w:pPr>
          <w:r>
            <w:t>2.1</w:t>
          </w:r>
          <w:r>
            <w:rPr>
              <w:rFonts w:eastAsiaTheme="minorEastAsia"/>
              <w:sz w:val="22"/>
              <w:szCs w:val="22"/>
              <w:lang w:eastAsia="en-AU"/>
            </w:rPr>
            <w:tab/>
          </w:r>
          <w:r>
            <w:t>An enabling environment for diffusion of new knowledge and technologies</w:t>
          </w:r>
          <w:r>
            <w:rPr>
              <w:webHidden/>
            </w:rPr>
            <w:tab/>
            <w:t>22</w:t>
          </w:r>
        </w:p>
        <w:p w14:paraId="0C6BFAEE" w14:textId="107A4939" w:rsidR="00BA651E" w:rsidRDefault="00BA651E" w:rsidP="00760739">
          <w:pPr>
            <w:pStyle w:val="TOC2"/>
            <w:tabs>
              <w:tab w:val="clear" w:pos="7938"/>
              <w:tab w:val="right" w:pos="8080"/>
            </w:tabs>
            <w:ind w:right="1871"/>
            <w:rPr>
              <w:rFonts w:eastAsiaTheme="minorEastAsia"/>
              <w:sz w:val="22"/>
              <w:szCs w:val="22"/>
              <w:lang w:eastAsia="en-AU"/>
            </w:rPr>
          </w:pPr>
          <w:r>
            <w:t>2.2</w:t>
          </w:r>
          <w:r>
            <w:rPr>
              <w:rFonts w:eastAsiaTheme="minorEastAsia"/>
              <w:sz w:val="22"/>
              <w:szCs w:val="22"/>
              <w:lang w:eastAsia="en-AU"/>
            </w:rPr>
            <w:tab/>
          </w:r>
          <w:r>
            <w:t>Facilitating the diffusion of innovations developed overseas</w:t>
          </w:r>
          <w:r>
            <w:rPr>
              <w:webHidden/>
            </w:rPr>
            <w:tab/>
            <w:t>26</w:t>
          </w:r>
        </w:p>
        <w:p w14:paraId="25862719" w14:textId="44BB5DCA" w:rsidR="00BA651E" w:rsidRDefault="00BA651E" w:rsidP="00760739">
          <w:pPr>
            <w:pStyle w:val="TOC2"/>
            <w:tabs>
              <w:tab w:val="clear" w:pos="7938"/>
              <w:tab w:val="right" w:pos="8080"/>
            </w:tabs>
            <w:ind w:right="1871"/>
            <w:rPr>
              <w:rFonts w:eastAsiaTheme="minorEastAsia"/>
              <w:sz w:val="22"/>
              <w:szCs w:val="22"/>
              <w:lang w:eastAsia="en-AU"/>
            </w:rPr>
          </w:pPr>
          <w:r>
            <w:t>2.3</w:t>
          </w:r>
          <w:r>
            <w:rPr>
              <w:rFonts w:eastAsiaTheme="minorEastAsia"/>
              <w:sz w:val="22"/>
              <w:szCs w:val="22"/>
              <w:lang w:eastAsia="en-AU"/>
            </w:rPr>
            <w:tab/>
          </w:r>
          <w:r>
            <w:t>Diffusion through human capital</w:t>
          </w:r>
          <w:r>
            <w:rPr>
              <w:webHidden/>
            </w:rPr>
            <w:tab/>
            <w:t>34</w:t>
          </w:r>
        </w:p>
        <w:p w14:paraId="2696AB1F" w14:textId="1765282F" w:rsidR="00BA651E" w:rsidRDefault="00BA651E" w:rsidP="00760739">
          <w:pPr>
            <w:pStyle w:val="TOC2"/>
            <w:tabs>
              <w:tab w:val="clear" w:pos="7938"/>
              <w:tab w:val="right" w:pos="8080"/>
            </w:tabs>
            <w:ind w:right="1871"/>
            <w:rPr>
              <w:rFonts w:eastAsiaTheme="minorEastAsia"/>
              <w:sz w:val="22"/>
              <w:szCs w:val="22"/>
              <w:lang w:eastAsia="en-AU"/>
            </w:rPr>
          </w:pPr>
          <w:r>
            <w:t>2.4</w:t>
          </w:r>
          <w:r>
            <w:rPr>
              <w:rFonts w:eastAsiaTheme="minorEastAsia"/>
              <w:sz w:val="22"/>
              <w:szCs w:val="22"/>
              <w:lang w:eastAsia="en-AU"/>
            </w:rPr>
            <w:tab/>
          </w:r>
          <w:r>
            <w:t>Collaboration and networks can catalyse innovation diffusion</w:t>
          </w:r>
          <w:r>
            <w:rPr>
              <w:webHidden/>
            </w:rPr>
            <w:tab/>
            <w:t>45</w:t>
          </w:r>
        </w:p>
        <w:p w14:paraId="7D2F9136" w14:textId="420D398A" w:rsidR="00BA651E" w:rsidRDefault="00BA651E" w:rsidP="00760739">
          <w:pPr>
            <w:pStyle w:val="TOC1"/>
            <w:tabs>
              <w:tab w:val="clear" w:pos="7937"/>
              <w:tab w:val="right" w:pos="8080"/>
            </w:tabs>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Innovation and diffusion in government services</w:t>
          </w:r>
          <w:r>
            <w:rPr>
              <w:noProof/>
              <w:webHidden/>
            </w:rPr>
            <w:tab/>
            <w:t>57</w:t>
          </w:r>
        </w:p>
        <w:p w14:paraId="24E2B35D" w14:textId="2300D8BA" w:rsidR="00BA651E" w:rsidRDefault="00BA651E" w:rsidP="00760739">
          <w:pPr>
            <w:pStyle w:val="TOC2"/>
            <w:tabs>
              <w:tab w:val="clear" w:pos="7938"/>
              <w:tab w:val="right" w:pos="8080"/>
            </w:tabs>
            <w:ind w:right="1871"/>
            <w:rPr>
              <w:rFonts w:eastAsiaTheme="minorEastAsia"/>
              <w:sz w:val="22"/>
              <w:szCs w:val="22"/>
              <w:lang w:eastAsia="en-AU"/>
            </w:rPr>
          </w:pPr>
          <w:r>
            <w:t>3.1</w:t>
          </w:r>
          <w:r>
            <w:rPr>
              <w:rFonts w:eastAsiaTheme="minorEastAsia"/>
              <w:sz w:val="22"/>
              <w:szCs w:val="22"/>
              <w:lang w:eastAsia="en-AU"/>
            </w:rPr>
            <w:tab/>
          </w:r>
          <w:r>
            <w:t>There is abundant innovation and diffusion …</w:t>
          </w:r>
          <w:r>
            <w:rPr>
              <w:webHidden/>
            </w:rPr>
            <w:tab/>
            <w:t>59</w:t>
          </w:r>
        </w:p>
        <w:p w14:paraId="2807BC3F" w14:textId="09AC77A1" w:rsidR="00BA651E" w:rsidRDefault="00BA651E" w:rsidP="00760739">
          <w:pPr>
            <w:pStyle w:val="TOC2"/>
            <w:tabs>
              <w:tab w:val="clear" w:pos="7938"/>
              <w:tab w:val="right" w:pos="8080"/>
            </w:tabs>
            <w:ind w:right="1871"/>
            <w:rPr>
              <w:rFonts w:eastAsiaTheme="minorEastAsia"/>
              <w:sz w:val="22"/>
              <w:szCs w:val="22"/>
              <w:lang w:eastAsia="en-AU"/>
            </w:rPr>
          </w:pPr>
          <w:r>
            <w:t>3.2</w:t>
          </w:r>
          <w:r>
            <w:rPr>
              <w:rFonts w:eastAsiaTheme="minorEastAsia"/>
              <w:sz w:val="22"/>
              <w:szCs w:val="22"/>
              <w:lang w:eastAsia="en-AU"/>
            </w:rPr>
            <w:tab/>
          </w:r>
          <w:r w:rsidRPr="00B6757D">
            <w:rPr>
              <w:spacing w:val="-2"/>
            </w:rPr>
            <w:t>… but adopting best practice can be slow or weak in some important areas</w:t>
          </w:r>
          <w:r w:rsidRPr="00B6757D">
            <w:rPr>
              <w:webHidden/>
              <w:spacing w:val="-2"/>
            </w:rPr>
            <w:tab/>
          </w:r>
          <w:r>
            <w:rPr>
              <w:webHidden/>
            </w:rPr>
            <w:t>62</w:t>
          </w:r>
        </w:p>
        <w:p w14:paraId="4BCD7EF9" w14:textId="192FB0C5" w:rsidR="00BA651E" w:rsidRDefault="00BA651E" w:rsidP="00760739">
          <w:pPr>
            <w:pStyle w:val="TOC2"/>
            <w:tabs>
              <w:tab w:val="clear" w:pos="7938"/>
              <w:tab w:val="right" w:pos="8080"/>
            </w:tabs>
            <w:ind w:left="1134" w:right="1871" w:hanging="567"/>
            <w:rPr>
              <w:rFonts w:eastAsiaTheme="minorEastAsia"/>
              <w:sz w:val="22"/>
              <w:szCs w:val="22"/>
              <w:lang w:eastAsia="en-AU"/>
            </w:rPr>
          </w:pPr>
          <w:r>
            <w:t>3.3</w:t>
          </w:r>
          <w:r>
            <w:rPr>
              <w:rFonts w:eastAsiaTheme="minorEastAsia"/>
              <w:sz w:val="22"/>
              <w:szCs w:val="22"/>
              <w:lang w:eastAsia="en-AU"/>
            </w:rPr>
            <w:tab/>
          </w:r>
          <w:r>
            <w:t>There are major obstacles to innovation and diffusion that need to be reformed or managed</w:t>
          </w:r>
          <w:r>
            <w:rPr>
              <w:webHidden/>
            </w:rPr>
            <w:tab/>
            <w:t>66</w:t>
          </w:r>
        </w:p>
        <w:p w14:paraId="258CF83E" w14:textId="37C35A5E" w:rsidR="00BA651E" w:rsidRDefault="00BA651E" w:rsidP="00760739">
          <w:pPr>
            <w:pStyle w:val="TOC2"/>
            <w:tabs>
              <w:tab w:val="clear" w:pos="7938"/>
              <w:tab w:val="right" w:pos="8080"/>
            </w:tabs>
            <w:ind w:right="1871"/>
            <w:rPr>
              <w:rFonts w:eastAsiaTheme="minorEastAsia"/>
              <w:sz w:val="22"/>
              <w:szCs w:val="22"/>
              <w:lang w:eastAsia="en-AU"/>
            </w:rPr>
          </w:pPr>
          <w:r>
            <w:t>3.4</w:t>
          </w:r>
          <w:r>
            <w:rPr>
              <w:rFonts w:eastAsiaTheme="minorEastAsia"/>
              <w:sz w:val="22"/>
              <w:szCs w:val="22"/>
              <w:lang w:eastAsia="en-AU"/>
            </w:rPr>
            <w:tab/>
          </w:r>
          <w:r>
            <w:t>What is to be done?</w:t>
          </w:r>
          <w:r>
            <w:rPr>
              <w:webHidden/>
            </w:rPr>
            <w:tab/>
            <w:t>70</w:t>
          </w:r>
        </w:p>
        <w:p w14:paraId="1660EB8A" w14:textId="5379238B" w:rsidR="00087EF7" w:rsidRPr="00D6781B" w:rsidRDefault="00BA651E" w:rsidP="00D6781B">
          <w:pPr>
            <w:pStyle w:val="TOC1"/>
            <w:tabs>
              <w:tab w:val="clear" w:pos="7937"/>
              <w:tab w:val="right" w:pos="8080"/>
            </w:tabs>
            <w:rPr>
              <w:rFonts w:asciiTheme="minorHAnsi" w:eastAsiaTheme="minorEastAsia" w:hAnsiTheme="minorHAnsi"/>
              <w:noProof/>
              <w:color w:val="auto"/>
              <w:sz w:val="22"/>
              <w:szCs w:val="22"/>
              <w:lang w:eastAsia="en-AU"/>
            </w:rPr>
          </w:pPr>
          <w:r>
            <w:rPr>
              <w:noProof/>
            </w:rPr>
            <w:t>References</w:t>
          </w:r>
          <w:r>
            <w:rPr>
              <w:noProof/>
              <w:webHidden/>
            </w:rPr>
            <w:tab/>
            <w:t>81</w:t>
          </w:r>
        </w:p>
      </w:sdtContent>
    </w:sdt>
    <w:p w14:paraId="1F38D764" w14:textId="77777777" w:rsidR="000E2226" w:rsidRDefault="000E2226" w:rsidP="00B43AF4">
      <w:pPr>
        <w:rPr>
          <w:bCs/>
          <w:noProof/>
        </w:rPr>
      </w:pPr>
    </w:p>
    <w:p w14:paraId="62ABCB07" w14:textId="77777777" w:rsidR="000E2226" w:rsidRDefault="000E2226" w:rsidP="00B43AF4">
      <w:pPr>
        <w:rPr>
          <w:bCs/>
          <w:noProof/>
        </w:rPr>
        <w:sectPr w:rsidR="000E2226" w:rsidSect="002736A5">
          <w:headerReference w:type="default" r:id="rId27"/>
          <w:footerReference w:type="even" r:id="rId28"/>
          <w:footerReference w:type="default" r:id="rId29"/>
          <w:type w:val="oddPage"/>
          <w:pgSz w:w="11906" w:h="16838" w:code="9"/>
          <w:pgMar w:top="1134" w:right="1134" w:bottom="1134" w:left="1134" w:header="794" w:footer="510" w:gutter="0"/>
          <w:pgNumType w:fmt="lowerRoman"/>
          <w:cols w:space="708"/>
          <w:docGrid w:linePitch="360"/>
        </w:sectPr>
      </w:pPr>
    </w:p>
    <w:p w14:paraId="53A8123B" w14:textId="535D600F" w:rsidR="000E2226" w:rsidRPr="003D4FA5" w:rsidRDefault="003D4FA5" w:rsidP="003D4FA5">
      <w:pPr>
        <w:pStyle w:val="Heading1-nobackground"/>
      </w:pPr>
      <w:bookmarkStart w:id="29" w:name="_Toc113969649"/>
      <w:r w:rsidRPr="003D4FA5">
        <w:lastRenderedPageBreak/>
        <w:t>Foreword</w:t>
      </w:r>
      <w:bookmarkEnd w:id="29"/>
    </w:p>
    <w:p w14:paraId="2C0130DB" w14:textId="1ABEF421" w:rsidR="00CC459A" w:rsidRPr="00D6781B" w:rsidRDefault="00CC459A" w:rsidP="00D6781B">
      <w:pPr>
        <w:pStyle w:val="BodyText"/>
      </w:pPr>
      <w:r w:rsidRPr="00D6781B">
        <w:t xml:space="preserve">Between 1 and 2 per cent of Australian businesses </w:t>
      </w:r>
      <w:r w:rsidR="00D142E8" w:rsidRPr="00D6781B">
        <w:t>innovate in ways</w:t>
      </w:r>
      <w:r w:rsidRPr="00D6781B">
        <w:t xml:space="preserve"> that </w:t>
      </w:r>
      <w:r w:rsidR="00D142E8" w:rsidRPr="00D6781B">
        <w:t>are</w:t>
      </w:r>
      <w:r w:rsidRPr="00D6781B">
        <w:t xml:space="preserve"> new to the world. Such leading innovations promote productivity but are already the focus of industry policy. What of the neglected 98</w:t>
      </w:r>
      <w:r w:rsidR="00254C7D" w:rsidRPr="00D6781B">
        <w:t> per cent</w:t>
      </w:r>
      <w:r w:rsidRPr="00D6781B">
        <w:t xml:space="preserve"> for which the potential for, and desirability of, new</w:t>
      </w:r>
      <w:r w:rsidR="000565F7" w:rsidRPr="00D6781B">
        <w:noBreakHyphen/>
      </w:r>
      <w:r w:rsidRPr="00D6781B">
        <w:t>to</w:t>
      </w:r>
      <w:r w:rsidR="000565F7" w:rsidRPr="00D6781B">
        <w:noBreakHyphen/>
      </w:r>
      <w:r w:rsidRPr="00D6781B">
        <w:t>the</w:t>
      </w:r>
      <w:r w:rsidR="00B1739D" w:rsidRPr="00D6781B">
        <w:noBreakHyphen/>
      </w:r>
      <w:r w:rsidRPr="00D6781B">
        <w:t xml:space="preserve">world innovation is weaker? Much productivity improvement involves the wider adoption of established, even dated, technologies and practices among those </w:t>
      </w:r>
      <w:r w:rsidR="001125AC" w:rsidRPr="00D6781B">
        <w:t>millions</w:t>
      </w:r>
      <w:r w:rsidRPr="00D6781B">
        <w:t xml:space="preserve"> of businesses.</w:t>
      </w:r>
    </w:p>
    <w:p w14:paraId="44BC1C12" w14:textId="0432837C" w:rsidR="00CC459A" w:rsidRDefault="00CC459A" w:rsidP="00CC459A">
      <w:pPr>
        <w:pStyle w:val="BodyText"/>
      </w:pPr>
      <w:r>
        <w:t>There is a large group of Australian businesses whose management practices, uptake of technology and productivity are below their best practice peers. For example, many businesses undertake little or no assessment of their performance</w:t>
      </w:r>
      <w:r w:rsidR="00E561DE">
        <w:t>,</w:t>
      </w:r>
      <w:r>
        <w:t xml:space="preserve"> though this is a major motivator and route to improvement. It is not possible for all businesses to achieve best practice because of large variations in managers’ and employees’ aptitudes and preferences, and the operating environments of firms. However, by incrementally improving the performance of those businesses, higher rates of diffusion of best practice could significantly lift aggregate productivity growth.</w:t>
      </w:r>
    </w:p>
    <w:p w14:paraId="7F8DC88F" w14:textId="7A12B146" w:rsidR="00CC459A" w:rsidRDefault="00CC459A" w:rsidP="00CC459A">
      <w:pPr>
        <w:pStyle w:val="BodyText"/>
      </w:pPr>
      <w:r>
        <w:t xml:space="preserve">There are worrying signs that some of the principal vehicles for acquiring and transferring knowledge are dormant or slowing. Machinery and equipment investment has collapsed as a share of GDP, though such capital embeds new knowledge and best practice. Investments in intangible capital, like software and R&amp;D, have been stagnating. As workers move between businesses, they bring their experience with different technologies and practices with them, sharing them with their new employer. However, labour mobility between businesses has been declining. So too has the degree of </w:t>
      </w:r>
      <w:r w:rsidR="007D568E">
        <w:t>churn</w:t>
      </w:r>
      <w:r>
        <w:t xml:space="preserve"> in markets as measured by the generally falling rates of firm entry and exits. This is concerning because business exits and entries underpin an entrepreneurial culture and uptake of innovations, and shift resources into activities more likely to generate value and productivity. The main positive sign is that the average level of skills in the workforce has been gradually rising, which generally improves diffusion.</w:t>
      </w:r>
    </w:p>
    <w:p w14:paraId="7D5416F9" w14:textId="3637B663" w:rsidR="00CC459A" w:rsidRDefault="00CC459A" w:rsidP="00CC459A">
      <w:pPr>
        <w:pStyle w:val="BodyText"/>
      </w:pPr>
      <w:r>
        <w:t>The solutions to these problems are different from the incentives, grants, venture capital funds and public research institutes typically used to stimulate novel innovation. The most important are the settings that determine the quality of the business environment because these determine the incentives, resources and capabilities of firms to invest in and adopt established innovations. Those policies encompass tax policy, the thousands of statutes and regulations that shape business options across almost all facets of the economy, trade and competition policy, skill formation settings, the scientific research and experimentation settings, and immigration. Policies that drive economic efficiency more broadly are the focus of Productivity Inquiry companion reports on the business environment.</w:t>
      </w:r>
    </w:p>
    <w:p w14:paraId="1E024692" w14:textId="77777777" w:rsidR="00CC459A" w:rsidRPr="00D6781B" w:rsidRDefault="00CC459A" w:rsidP="00CC459A">
      <w:pPr>
        <w:pStyle w:val="BodyText"/>
        <w:rPr>
          <w:spacing w:val="-4"/>
        </w:rPr>
      </w:pPr>
      <w:r w:rsidRPr="00D6781B">
        <w:rPr>
          <w:spacing w:val="-4"/>
        </w:rPr>
        <w:t>Some aspects of the business environment are particularly relevant for enabling diffusion in the business sector.</w:t>
      </w:r>
    </w:p>
    <w:p w14:paraId="585A091B" w14:textId="77777777" w:rsidR="00CC459A" w:rsidRPr="00141E5E" w:rsidRDefault="00CC459A" w:rsidP="00CC459A">
      <w:pPr>
        <w:pStyle w:val="BodyText"/>
        <w:rPr>
          <w:spacing w:val="-2"/>
        </w:rPr>
      </w:pPr>
      <w:r w:rsidRPr="00141E5E">
        <w:rPr>
          <w:spacing w:val="-2"/>
        </w:rPr>
        <w:t xml:space="preserve">As a small open economy with limited (business and public) research capacity, </w:t>
      </w:r>
      <w:r w:rsidRPr="00141E5E">
        <w:rPr>
          <w:b/>
          <w:bCs/>
          <w:spacing w:val="-2"/>
        </w:rPr>
        <w:t>many ideas and technologies will come to Australia from overseas</w:t>
      </w:r>
      <w:r w:rsidRPr="00141E5E">
        <w:rPr>
          <w:spacing w:val="-2"/>
        </w:rPr>
        <w:t>. Linkages with overseas firms via trading relationships are important, as is foreign direct investment (FDI). Foreign investors have an incentive to channel knowledge, technologies and expertise to Australian firms, as well as financial capital, to improve the prospects for a return on their investment. More recognition of overseas standards would more rapidly diffuse overseas innovations.</w:t>
      </w:r>
    </w:p>
    <w:p w14:paraId="111C483F" w14:textId="2A16E3AE" w:rsidR="00CC459A" w:rsidRDefault="00CC459A" w:rsidP="00CC459A">
      <w:pPr>
        <w:pStyle w:val="BodyText"/>
      </w:pPr>
      <w:r>
        <w:rPr>
          <w:b/>
          <w:bCs/>
        </w:rPr>
        <w:t xml:space="preserve">Skilled migration policy should be reframed as a way of diffusing innovation and best practice among Australian businesses. </w:t>
      </w:r>
      <w:r w:rsidRPr="004C2B85">
        <w:t>Once businesses</w:t>
      </w:r>
      <w:r>
        <w:t xml:space="preserve"> are re</w:t>
      </w:r>
      <w:r>
        <w:noBreakHyphen/>
        <w:t xml:space="preserve">conceived </w:t>
      </w:r>
      <w:r w:rsidRPr="004C2B85">
        <w:t>as experiment</w:t>
      </w:r>
      <w:r>
        <w:t>al laboratories</w:t>
      </w:r>
      <w:r w:rsidRPr="004C2B85">
        <w:t xml:space="preserve"> in delivering goods and services to consumers, it m</w:t>
      </w:r>
      <w:r>
        <w:t>a</w:t>
      </w:r>
      <w:r w:rsidRPr="004C2B85">
        <w:t>ke</w:t>
      </w:r>
      <w:r>
        <w:t>s</w:t>
      </w:r>
      <w:r w:rsidRPr="004C2B85">
        <w:t xml:space="preserve"> sense to </w:t>
      </w:r>
      <w:r>
        <w:t xml:space="preserve">understand the lessons from as wide a </w:t>
      </w:r>
      <w:r>
        <w:lastRenderedPageBreak/>
        <w:t>variety of experiments as possible. Skilled migrant workers transmit knowledge and the know</w:t>
      </w:r>
      <w:r w:rsidR="000565F7">
        <w:noBreakHyphen/>
      </w:r>
      <w:r>
        <w:t>how to practically implement it from all over the world. An expanded and adapted employer</w:t>
      </w:r>
      <w:r w:rsidR="000565F7">
        <w:noBreakHyphen/>
      </w:r>
      <w:r>
        <w:t>nominated migration scheme would allow better matching of the skills and knowledge needed by employe</w:t>
      </w:r>
      <w:r w:rsidR="003C1159">
        <w:t>r</w:t>
      </w:r>
      <w:r>
        <w:t>s and the unique capabilities held by migrants.</w:t>
      </w:r>
    </w:p>
    <w:p w14:paraId="050C60E6" w14:textId="59DC1817" w:rsidR="00CC459A" w:rsidRPr="00D6781B" w:rsidRDefault="00CC459A" w:rsidP="00CC459A">
      <w:pPr>
        <w:pStyle w:val="BodyText"/>
        <w:rPr>
          <w:spacing w:val="-2"/>
        </w:rPr>
      </w:pPr>
      <w:r w:rsidRPr="00D6781B">
        <w:rPr>
          <w:b/>
          <w:bCs/>
          <w:spacing w:val="-2"/>
        </w:rPr>
        <w:t>Information flows, including those arising from other businesses’ experiences with new technologies and practices can be mediated by industry associations, consultants and experts</w:t>
      </w:r>
      <w:r w:rsidRPr="00D6781B">
        <w:rPr>
          <w:spacing w:val="-2"/>
        </w:rPr>
        <w:t xml:space="preserve"> (including academics). In Australia, industry associations play a critical role in realising </w:t>
      </w:r>
      <w:proofErr w:type="spellStart"/>
      <w:r w:rsidRPr="00D6781B">
        <w:rPr>
          <w:spacing w:val="-2"/>
        </w:rPr>
        <w:t>spillovers</w:t>
      </w:r>
      <w:proofErr w:type="spellEnd"/>
      <w:r w:rsidRPr="00D6781B">
        <w:rPr>
          <w:spacing w:val="-2"/>
        </w:rPr>
        <w:t xml:space="preserve"> by drawing together insights from their members’ experiences with innovation and helping firms to apply them to their own circumstances. The chief problem is not that associations are deficient in this role, but that the potential recipient businesses often do not know how far away they are from best practice. In their role as data collectors, the Australian Tax Office, the Australian Bureau of Statistics, and various regulators have rich data that, in a </w:t>
      </w:r>
      <w:r w:rsidR="00585FC7" w:rsidRPr="00D6781B">
        <w:rPr>
          <w:spacing w:val="-2"/>
        </w:rPr>
        <w:t>curated</w:t>
      </w:r>
      <w:r w:rsidRPr="00D6781B">
        <w:rPr>
          <w:spacing w:val="-2"/>
        </w:rPr>
        <w:t xml:space="preserve"> form</w:t>
      </w:r>
      <w:r w:rsidR="00114446" w:rsidRPr="00D6781B">
        <w:rPr>
          <w:spacing w:val="-2"/>
        </w:rPr>
        <w:t xml:space="preserve"> and with business consent</w:t>
      </w:r>
      <w:r w:rsidRPr="00D6781B">
        <w:rPr>
          <w:spacing w:val="-2"/>
        </w:rPr>
        <w:t>, they could return to businesses to tell them where they lie on the spectrum of performance with their peers. No business wants to be last in the entrepreneurial race.</w:t>
      </w:r>
    </w:p>
    <w:p w14:paraId="329D80F0" w14:textId="3EA1C6C6" w:rsidR="00CC459A" w:rsidRDefault="00CC459A" w:rsidP="00CC459A">
      <w:pPr>
        <w:pStyle w:val="BodyText"/>
      </w:pPr>
      <w:r>
        <w:t>Innovation and best practice are equally important for the public sector</w:t>
      </w:r>
      <w:r w:rsidR="006A0CE7">
        <w:t xml:space="preserve">. </w:t>
      </w:r>
      <w:r>
        <w:t>Australian Governments are the major funders (and providers) of a large part of the economy, including educational services, the justice and defence systems, health, disability and aged care, and design and implement the tax and transfer system. General government spending amounts to nearly $900 billion or over 40 per cent of GDP, with much of this — some $445 billion — spent on delivery of services to the Australian community. Against this scale and breadth of activities, even modest improvements in innovation and the diffusion of best practice will improve the quality of outcomes for citizens and in some cases, reduce fiscal pressures. (It can also have knock</w:t>
      </w:r>
      <w:r>
        <w:noBreakHyphen/>
        <w:t>on effects as best practice policy leads to improvements in the business environment.)</w:t>
      </w:r>
    </w:p>
    <w:p w14:paraId="5F6838F9" w14:textId="541F40A4" w:rsidR="00CC459A" w:rsidRDefault="00CC459A" w:rsidP="00CC459A">
      <w:pPr>
        <w:pStyle w:val="BodyText"/>
      </w:pPr>
      <w:r>
        <w:t>There are many examples of effective innovation and diffusion in government. For example, the response to COVID</w:t>
      </w:r>
      <w:r w:rsidR="00C82AD8">
        <w:t>-19</w:t>
      </w:r>
      <w:r>
        <w:t xml:space="preserve"> led to rapid expansions in e</w:t>
      </w:r>
      <w:r>
        <w:noBreakHyphen/>
        <w:t>health and new models of schooling.</w:t>
      </w:r>
    </w:p>
    <w:p w14:paraId="3C5E94BB" w14:textId="54B807BB" w:rsidR="00CC459A" w:rsidRDefault="00CC459A" w:rsidP="00CC459A">
      <w:pPr>
        <w:pStyle w:val="BodyText"/>
      </w:pPr>
      <w:r>
        <w:t>However, innovation and the uptake of best practice is often sluggish, patchy and inconsistent across jurisdictions. For instance, while it has limitations, activity</w:t>
      </w:r>
      <w:r>
        <w:noBreakHyphen/>
        <w:t xml:space="preserve">based pricing for public hospitals was a big step forward for improved efficiency in the healthcare system, but it took 17 years before it was adopted by all jurisdictions. Benchmarking of governments’ performance across multiple dimensions — school education, elective surgery waiting times, prisoner education, support services for people experiencing homelessness — suggest many have failed to mimic the practices of the best. (While </w:t>
      </w:r>
      <w:r w:rsidR="004C2F5D">
        <w:t>the public</w:t>
      </w:r>
      <w:r>
        <w:t xml:space="preserve"> know that there are big differences in performance, </w:t>
      </w:r>
      <w:r w:rsidR="009F0B31">
        <w:t>they</w:t>
      </w:r>
      <w:r>
        <w:t xml:space="preserve"> know less about why and what could be done. Governments could readily undertake more analysis to uncover what lies beneath.)</w:t>
      </w:r>
    </w:p>
    <w:p w14:paraId="137C8F78" w14:textId="77777777" w:rsidR="00CC459A" w:rsidRDefault="00CC459A" w:rsidP="00CC459A">
      <w:pPr>
        <w:pStyle w:val="BodyText"/>
      </w:pPr>
      <w:r>
        <w:t xml:space="preserve">Slow progress reflects that governments face unique challenges in innovation and the adoption of best practice. Sometimes that is reasonable. Ethics sometimes demands some slowness because people’s lifetime wellbeing may be involved, for example, a new mandated way of educating Australia’s 4 million school students. Governments have contested, ambiguous and vague objectives such that success is hard to measure, and they often (reasonably) decide to prioritise different social and economic goals. Businesses only have to measure their success through profits. </w:t>
      </w:r>
    </w:p>
    <w:p w14:paraId="2C98B7A6" w14:textId="270A4011" w:rsidR="00CC459A" w:rsidRPr="0018764D" w:rsidRDefault="00CC459A" w:rsidP="0018764D">
      <w:pPr>
        <w:pStyle w:val="BodyText"/>
      </w:pPr>
      <w:r w:rsidRPr="0018764D">
        <w:t>But slowness also reflects structural defects. Uncoordinated actions of governments and agencies that share overlapping roles, siloed services, clashing funding incentives and risk</w:t>
      </w:r>
      <w:r w:rsidRPr="0018764D">
        <w:noBreakHyphen/>
        <w:t>averse cultural norms tend to work against experimentation. Few publicly</w:t>
      </w:r>
      <w:r w:rsidRPr="0018764D">
        <w:noBreakHyphen/>
        <w:t>operated services experience the risk that poor performance will lead to their closure.</w:t>
      </w:r>
    </w:p>
    <w:p w14:paraId="79CA38F6" w14:textId="56B04DC5" w:rsidR="00CC459A" w:rsidRDefault="00CC459A" w:rsidP="00CC459A">
      <w:pPr>
        <w:pStyle w:val="BodyText"/>
      </w:pPr>
      <w:r>
        <w:t>One solution is to re</w:t>
      </w:r>
      <w:r>
        <w:noBreakHyphen/>
        <w:t xml:space="preserve">configure some of the poorly designed ways of commissioning and funding activities. In public infrastructure and defence procurement, billions are </w:t>
      </w:r>
      <w:r w:rsidR="00F47F58">
        <w:t>spent</w:t>
      </w:r>
      <w:r>
        <w:t xml:space="preserve"> on </w:t>
      </w:r>
      <w:r w:rsidR="009C7051">
        <w:t>deficient</w:t>
      </w:r>
      <w:r>
        <w:t>, slow or over</w:t>
      </w:r>
      <w:r>
        <w:noBreakHyphen/>
        <w:t xml:space="preserve">budget projects because procurement models are far from best practice. In healthcare, the Australian government funds </w:t>
      </w:r>
      <w:r>
        <w:lastRenderedPageBreak/>
        <w:t>primary care mainly through the small business sector (GPs), while the States are the primary funders of the most costly and sophisticated part of the system — large government</w:t>
      </w:r>
      <w:r>
        <w:noBreakHyphen/>
        <w:t>run public hospitals. It makes sense to keep people out of hospital</w:t>
      </w:r>
      <w:r w:rsidR="0004447A">
        <w:t xml:space="preserve"> where possible</w:t>
      </w:r>
      <w:r>
        <w:t>, but hospitals have no incentives to prevent hospitalisation (and are in any case restricted in what they are allowed to do in primary health). There are novel funding models that could reduce these perverse incentives.</w:t>
      </w:r>
    </w:p>
    <w:p w14:paraId="5DF83784" w14:textId="77777777" w:rsidR="00CC459A" w:rsidRDefault="00CC459A" w:rsidP="00CC459A">
      <w:pPr>
        <w:pStyle w:val="BodyText"/>
      </w:pPr>
      <w:r>
        <w:t>More generally, there is a question of whether national agreements between the Australian and state and territory governments could be designed to achieve coordination of the activities that are best managed by each level of government and be less shaped by the fact that the Australian Constitution has bestowed on the national government a greater capacity to collect tax revenue.</w:t>
      </w:r>
    </w:p>
    <w:p w14:paraId="1676B06D" w14:textId="43322EB1" w:rsidR="00CC459A" w:rsidRDefault="00CC459A" w:rsidP="00CC459A">
      <w:pPr>
        <w:pStyle w:val="BodyText"/>
      </w:pPr>
      <w:r>
        <w:t xml:space="preserve">Government agencies create barriers to recruiting people from overseas that are much greater than those for private sector occupations despite </w:t>
      </w:r>
      <w:r w:rsidR="00ED3721">
        <w:t>immigrants</w:t>
      </w:r>
      <w:r>
        <w:t xml:space="preserve"> being some of the best conduits for fresh ideas in policy. Citizenship and security requirements are arguably too restrictive and could be relaxed. </w:t>
      </w:r>
    </w:p>
    <w:p w14:paraId="625B0788" w14:textId="75DFFAFF" w:rsidR="00CC459A" w:rsidRDefault="00CC459A" w:rsidP="00CC459A">
      <w:pPr>
        <w:pStyle w:val="BodyText"/>
      </w:pPr>
      <w:r>
        <w:t xml:space="preserve">Ideas have a peculiarity that one person’s use of them does not stop someone else from using them. Where there is a sound public good basis, </w:t>
      </w:r>
      <w:r w:rsidR="009A21A7">
        <w:t>use of</w:t>
      </w:r>
      <w:r>
        <w:t xml:space="preserve"> ideas should be free as this encourages diffusion and innovation. Many Australian standards — which are an explicit way of codifying practices that should be widely diffused — are priced. </w:t>
      </w:r>
      <w:r w:rsidRPr="00CE49E5">
        <w:t xml:space="preserve">That, and the charging </w:t>
      </w:r>
      <w:r w:rsidRPr="00540DB1">
        <w:t xml:space="preserve">arrangements </w:t>
      </w:r>
      <w:r w:rsidRPr="00CE49E5">
        <w:t xml:space="preserve">for the </w:t>
      </w:r>
      <w:r>
        <w:t>academic literature</w:t>
      </w:r>
      <w:r w:rsidRPr="00CE49E5">
        <w:t xml:space="preserve"> arising from publicly</w:t>
      </w:r>
      <w:r w:rsidRPr="00CE49E5">
        <w:noBreakHyphen/>
        <w:t>funded research</w:t>
      </w:r>
      <w:r>
        <w:t>,</w:t>
      </w:r>
      <w:r w:rsidRPr="00CE49E5">
        <w:t xml:space="preserve"> should be reformed.</w:t>
      </w:r>
    </w:p>
    <w:p w14:paraId="593CE69D" w14:textId="77777777" w:rsidR="00CC459A" w:rsidRDefault="00CC459A" w:rsidP="00CC459A">
      <w:pPr>
        <w:pStyle w:val="BodyText"/>
      </w:pPr>
      <w:r>
        <w:t xml:space="preserve">There remain big unsolved problems about better ways of diffusing best practice. </w:t>
      </w:r>
      <w:r w:rsidRPr="000030E5">
        <w:t xml:space="preserve">The Commission invites stakeholders to respond to the issues raised in this interim report as it works towards delivering a final </w:t>
      </w:r>
      <w:r>
        <w:t>5</w:t>
      </w:r>
      <w:r>
        <w:noBreakHyphen/>
        <w:t xml:space="preserve">year Productivity Inquiry </w:t>
      </w:r>
      <w:r w:rsidRPr="000030E5">
        <w:t>report in February 2023.</w:t>
      </w:r>
    </w:p>
    <w:p w14:paraId="0D314FAA" w14:textId="77777777" w:rsidR="003D4FA5" w:rsidRDefault="003D4FA5" w:rsidP="00B43AF4">
      <w:pPr>
        <w:rPr>
          <w:bCs/>
          <w:noProof/>
        </w:rPr>
      </w:pPr>
    </w:p>
    <w:p w14:paraId="71D048FB" w14:textId="77777777" w:rsidR="002736A5" w:rsidRDefault="002736A5" w:rsidP="00B43AF4">
      <w:pPr>
        <w:rPr>
          <w:bCs/>
          <w:noProof/>
        </w:rPr>
        <w:sectPr w:rsidR="002736A5" w:rsidSect="002736A5">
          <w:type w:val="oddPage"/>
          <w:pgSz w:w="11906" w:h="16838" w:code="9"/>
          <w:pgMar w:top="1134" w:right="1134" w:bottom="1134" w:left="1134" w:header="794" w:footer="510" w:gutter="0"/>
          <w:pgNumType w:fmt="lowerRoman"/>
          <w:cols w:space="708"/>
          <w:docGrid w:linePitch="360"/>
        </w:sectPr>
      </w:pPr>
    </w:p>
    <w:p w14:paraId="14383B3A" w14:textId="77777777" w:rsidR="0003438B" w:rsidRDefault="0003438B" w:rsidP="0003438B">
      <w:pPr>
        <w:pStyle w:val="Heading1"/>
      </w:pPr>
      <w:bookmarkStart w:id="30" w:name="_Toc113969650"/>
      <w:r w:rsidRPr="009A2E1F">
        <w:lastRenderedPageBreak/>
        <w:t>The</w:t>
      </w:r>
      <w:r>
        <w:t xml:space="preserve"> case for strengthening the diffusion of innovation</w:t>
      </w:r>
      <w:bookmarkEnd w:id="30"/>
    </w:p>
    <w:tbl>
      <w:tblPr>
        <w:tblStyle w:val="Texttable-Paleblue"/>
        <w:tblW w:w="5000" w:type="pct"/>
        <w:tblLook w:val="04A0" w:firstRow="1" w:lastRow="0" w:firstColumn="1" w:lastColumn="0" w:noHBand="0" w:noVBand="1"/>
      </w:tblPr>
      <w:tblGrid>
        <w:gridCol w:w="577"/>
        <w:gridCol w:w="9061"/>
      </w:tblGrid>
      <w:tr w:rsidR="0003438B" w:rsidRPr="002F759A" w14:paraId="0B59E6A9" w14:textId="77777777" w:rsidTr="00C426E9">
        <w:tc>
          <w:tcPr>
            <w:tcW w:w="9638" w:type="dxa"/>
            <w:gridSpan w:val="2"/>
            <w:tcMar>
              <w:left w:w="170" w:type="dxa"/>
            </w:tcMar>
          </w:tcPr>
          <w:p w14:paraId="4C44ED8C" w14:textId="77777777" w:rsidR="0003438B" w:rsidRPr="002F759A" w:rsidRDefault="0003438B" w:rsidP="00C426E9">
            <w:pPr>
              <w:pStyle w:val="Keypoints-heading"/>
            </w:pPr>
            <w:r w:rsidRPr="002F759A">
              <w:t>Key points</w:t>
            </w:r>
          </w:p>
        </w:tc>
      </w:tr>
      <w:tr w:rsidR="0003438B" w14:paraId="69264509" w14:textId="77777777" w:rsidTr="00C426E9">
        <w:tc>
          <w:tcPr>
            <w:tcW w:w="577" w:type="dxa"/>
            <w:tcMar>
              <w:top w:w="0" w:type="dxa"/>
              <w:bottom w:w="0" w:type="dxa"/>
              <w:right w:w="113" w:type="dxa"/>
            </w:tcMar>
          </w:tcPr>
          <w:p w14:paraId="12F289DC" w14:textId="77777777" w:rsidR="0003438B" w:rsidRDefault="0003438B" w:rsidP="00C426E9">
            <w:pPr>
              <w:pStyle w:val="KeyPointsicon"/>
            </w:pPr>
            <w:r w:rsidRPr="00A51374">
              <w:rPr>
                <w:noProof/>
              </w:rPr>
              <w:drawing>
                <wp:inline distT="0" distB="0" distL="0" distR="0" wp14:anchorId="27C70319" wp14:editId="18CEA595">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D9F73B1" w14:textId="228F7E3E" w:rsidR="0003438B" w:rsidRDefault="0003438B" w:rsidP="00C426E9">
            <w:pPr>
              <w:pStyle w:val="KeyPoints-Bold"/>
            </w:pPr>
            <w:r>
              <w:t>While novel, ‘new</w:t>
            </w:r>
            <w:r w:rsidR="000565F7">
              <w:noBreakHyphen/>
            </w:r>
            <w:r>
              <w:t>to</w:t>
            </w:r>
            <w:r w:rsidR="000565F7">
              <w:noBreakHyphen/>
            </w:r>
            <w:r>
              <w:t>the</w:t>
            </w:r>
            <w:r w:rsidR="000565F7">
              <w:noBreakHyphen/>
            </w:r>
            <w:r>
              <w:t xml:space="preserve">world’, innovation is an important source of economic performance, it relates to </w:t>
            </w:r>
            <w:r w:rsidRPr="00F87C87">
              <w:t>only one to two per cent of Australian firms</w:t>
            </w:r>
            <w:r>
              <w:t xml:space="preserve">. The slow accretion of existing knowledge across the economy — diffusion — is often overlooked as a source of productivity. It has the scope to lift the performance of </w:t>
            </w:r>
            <w:r w:rsidR="006A72EB">
              <w:t>millions</w:t>
            </w:r>
            <w:r>
              <w:t xml:space="preserve"> of businesses.</w:t>
            </w:r>
          </w:p>
        </w:tc>
      </w:tr>
      <w:tr w:rsidR="0003438B" w14:paraId="25A9F424" w14:textId="77777777" w:rsidTr="00C426E9">
        <w:tc>
          <w:tcPr>
            <w:tcW w:w="577" w:type="dxa"/>
            <w:tcMar>
              <w:top w:w="0" w:type="dxa"/>
              <w:bottom w:w="0" w:type="dxa"/>
              <w:right w:w="113" w:type="dxa"/>
            </w:tcMar>
          </w:tcPr>
          <w:p w14:paraId="7C334E4C" w14:textId="77777777" w:rsidR="0003438B" w:rsidRPr="00A51374" w:rsidRDefault="0003438B" w:rsidP="00C426E9">
            <w:pPr>
              <w:pStyle w:val="KeyPointsicon"/>
            </w:pPr>
            <w:r w:rsidRPr="00F31E73">
              <w:rPr>
                <w:noProof/>
              </w:rPr>
              <w:drawing>
                <wp:inline distT="0" distB="0" distL="0" distR="0" wp14:anchorId="4AB31441" wp14:editId="531CD442">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74FA641" w14:textId="77777777" w:rsidR="0003438B" w:rsidRPr="00610627" w:rsidRDefault="0003438B" w:rsidP="00C426E9">
            <w:pPr>
              <w:pStyle w:val="KeyPoints-Bold"/>
            </w:pPr>
            <w:r w:rsidRPr="00AF6975">
              <w:t>Diffusion of knowledge in the non</w:t>
            </w:r>
            <w:r>
              <w:noBreakHyphen/>
            </w:r>
            <w:r w:rsidRPr="00AF6975">
              <w:t>market service sector, which governments control, fund and often run, can lift the quality of services central to Australians’ wellbeing (such as education and healthcare). Diffusion of best practice regulation can also raise the efficiency of the private sector</w:t>
            </w:r>
            <w:r>
              <w:t>.</w:t>
            </w:r>
          </w:p>
        </w:tc>
      </w:tr>
      <w:tr w:rsidR="0003438B" w14:paraId="62CABE9B" w14:textId="77777777" w:rsidTr="00C426E9">
        <w:tc>
          <w:tcPr>
            <w:tcW w:w="577" w:type="dxa"/>
            <w:tcMar>
              <w:top w:w="0" w:type="dxa"/>
              <w:bottom w:w="0" w:type="dxa"/>
              <w:right w:w="113" w:type="dxa"/>
            </w:tcMar>
          </w:tcPr>
          <w:p w14:paraId="0407CB78" w14:textId="77777777" w:rsidR="0003438B" w:rsidRPr="00A51374" w:rsidRDefault="0003438B" w:rsidP="00C426E9">
            <w:pPr>
              <w:pStyle w:val="KeyPointsicon"/>
            </w:pPr>
            <w:r w:rsidRPr="00F31E73">
              <w:rPr>
                <w:noProof/>
              </w:rPr>
              <w:drawing>
                <wp:inline distT="0" distB="0" distL="0" distR="0" wp14:anchorId="1407CF3B" wp14:editId="0AA5C974">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156B86" w14:textId="77777777" w:rsidR="0003438B" w:rsidRPr="00610627" w:rsidRDefault="0003438B" w:rsidP="00C426E9">
            <w:pPr>
              <w:pStyle w:val="KeyPoints-Bold"/>
            </w:pPr>
            <w:r w:rsidRPr="00AF6975">
              <w:t xml:space="preserve">Many Australian businesses undertake little or no assessment of their performance, and overall management capability — a critical determinant of adoption of best practice — appears to be </w:t>
            </w:r>
            <w:r>
              <w:t>weak</w:t>
            </w:r>
            <w:r w:rsidRPr="00AF6975">
              <w:t xml:space="preserve"> for a large share of businesses, and significantly worse on average compared with the United States</w:t>
            </w:r>
            <w:r>
              <w:t>.</w:t>
            </w:r>
          </w:p>
        </w:tc>
      </w:tr>
      <w:tr w:rsidR="0003438B" w14:paraId="44FFCED9" w14:textId="77777777" w:rsidTr="00C426E9">
        <w:tc>
          <w:tcPr>
            <w:tcW w:w="577" w:type="dxa"/>
            <w:tcMar>
              <w:top w:w="0" w:type="dxa"/>
              <w:bottom w:w="0" w:type="dxa"/>
              <w:right w:w="113" w:type="dxa"/>
            </w:tcMar>
          </w:tcPr>
          <w:p w14:paraId="16FF32BA" w14:textId="77777777" w:rsidR="0003438B" w:rsidRPr="00A51374" w:rsidRDefault="0003438B" w:rsidP="00C426E9">
            <w:pPr>
              <w:pStyle w:val="KeyPointsicon"/>
            </w:pPr>
            <w:r w:rsidRPr="00F31E73">
              <w:rPr>
                <w:noProof/>
              </w:rPr>
              <w:drawing>
                <wp:inline distT="0" distB="0" distL="0" distR="0" wp14:anchorId="152E1167" wp14:editId="235E60FB">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749CB0E" w14:textId="69299FB2" w:rsidR="0003438B" w:rsidRPr="0018764D" w:rsidRDefault="0003438B" w:rsidP="00C426E9">
            <w:pPr>
              <w:pStyle w:val="KeyPoints-Bold"/>
              <w:rPr>
                <w:spacing w:val="-4"/>
              </w:rPr>
            </w:pPr>
            <w:r w:rsidRPr="0018764D">
              <w:rPr>
                <w:spacing w:val="-4"/>
              </w:rPr>
              <w:t>There are signs that the ‘diffusion machine’ has weakened, with reductions in the growth of most of the key factors driving diffusion — labour mobility, business exits and entries, and overall investment in capital that embeds new ideas (‘capital with brains’) — such as equipment and machinery, R&amp;D and software.</w:t>
            </w:r>
          </w:p>
        </w:tc>
      </w:tr>
      <w:tr w:rsidR="0003438B" w14:paraId="2D94CB80" w14:textId="77777777" w:rsidTr="00C426E9">
        <w:tc>
          <w:tcPr>
            <w:tcW w:w="577" w:type="dxa"/>
            <w:tcMar>
              <w:top w:w="0" w:type="dxa"/>
              <w:bottom w:w="0" w:type="dxa"/>
              <w:right w:w="113" w:type="dxa"/>
            </w:tcMar>
          </w:tcPr>
          <w:p w14:paraId="24AF30DA" w14:textId="77777777" w:rsidR="0003438B" w:rsidRPr="00A51374" w:rsidRDefault="0003438B" w:rsidP="00C426E9">
            <w:pPr>
              <w:pStyle w:val="KeyPointsicon"/>
            </w:pPr>
            <w:r w:rsidRPr="00F31E73">
              <w:rPr>
                <w:noProof/>
              </w:rPr>
              <w:drawing>
                <wp:inline distT="0" distB="0" distL="0" distR="0" wp14:anchorId="76BB3860" wp14:editId="076EA7C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FF1E2C0" w14:textId="77777777" w:rsidR="0003438B" w:rsidRPr="00610627" w:rsidRDefault="0003438B" w:rsidP="00C426E9">
            <w:pPr>
              <w:pStyle w:val="KeyPoints-Bold"/>
            </w:pPr>
            <w:r w:rsidRPr="00AF6975">
              <w:t xml:space="preserve">The key policy levers for diffusion are different from </w:t>
            </w:r>
            <w:r>
              <w:t xml:space="preserve">those relevant to </w:t>
            </w:r>
            <w:r w:rsidRPr="00AF6975">
              <w:t>novel innovation. The quality of the business environment that affect</w:t>
            </w:r>
            <w:r>
              <w:t>s</w:t>
            </w:r>
            <w:r w:rsidRPr="00AF6975">
              <w:t xml:space="preserve"> knowledge flows and adoption — regulatory settings, skill formation, immigration and foreign direct investment policy, and competition policy — is far more influential than subsidies</w:t>
            </w:r>
            <w:r>
              <w:t xml:space="preserve"> to particular sectors or targeting inventive effort</w:t>
            </w:r>
            <w:r w:rsidRPr="00AF6975">
              <w:t>.</w:t>
            </w:r>
          </w:p>
        </w:tc>
      </w:tr>
    </w:tbl>
    <w:p w14:paraId="675387CA" w14:textId="77777777" w:rsidR="0003438B" w:rsidRDefault="0003438B" w:rsidP="0003438B">
      <w:pPr>
        <w:pStyle w:val="Heading2"/>
      </w:pPr>
      <w:bookmarkStart w:id="31" w:name="_Toc113969651"/>
      <w:r>
        <w:t>A focus on diffusion</w:t>
      </w:r>
      <w:bookmarkEnd w:id="31"/>
    </w:p>
    <w:p w14:paraId="0A8D4593" w14:textId="13F2536A" w:rsidR="0003438B" w:rsidRDefault="0003438B" w:rsidP="0003438B">
      <w:pPr>
        <w:pStyle w:val="BodyText"/>
      </w:pPr>
      <w:r>
        <w:t xml:space="preserve">Advances in knowledge and technology have been the main driver of economic growth and transformation throughout history </w:t>
      </w:r>
      <w:r w:rsidRPr="10D018CB">
        <w:rPr>
          <w:rFonts w:ascii="Arial" w:hAnsi="Arial" w:cs="Arial"/>
        </w:rPr>
        <w:t>(Williamson et al. 2015)</w:t>
      </w:r>
      <w:r>
        <w:t xml:space="preserve">. </w:t>
      </w:r>
      <w:r w:rsidRPr="10D018CB">
        <w:rPr>
          <w:rFonts w:ascii="Arial" w:eastAsia="Arial" w:hAnsi="Arial" w:cs="Arial"/>
        </w:rPr>
        <w:t xml:space="preserve">Brawn aside, workers’ contribution to output reflects what is </w:t>
      </w:r>
      <w:r>
        <w:rPr>
          <w:rFonts w:ascii="Arial" w:eastAsia="Arial" w:hAnsi="Arial" w:cs="Arial"/>
        </w:rPr>
        <w:t xml:space="preserve">ultimately </w:t>
      </w:r>
      <w:r w:rsidRPr="10D018CB">
        <w:rPr>
          <w:rFonts w:ascii="Arial" w:eastAsia="Arial" w:hAnsi="Arial" w:cs="Arial"/>
        </w:rPr>
        <w:t>inside their heads</w:t>
      </w:r>
      <w:r>
        <w:rPr>
          <w:rFonts w:ascii="Arial" w:eastAsia="Arial" w:hAnsi="Arial" w:cs="Arial"/>
        </w:rPr>
        <w:t>, regardless of how it ends up there</w:t>
      </w:r>
      <w:r w:rsidRPr="10D018CB">
        <w:rPr>
          <w:rFonts w:ascii="Arial" w:eastAsia="Arial" w:hAnsi="Arial" w:cs="Arial"/>
        </w:rPr>
        <w:t xml:space="preserve">. </w:t>
      </w:r>
      <w:r>
        <w:rPr>
          <w:rFonts w:ascii="Arial" w:eastAsia="Arial" w:hAnsi="Arial" w:cs="Arial"/>
        </w:rPr>
        <w:t xml:space="preserve">Intangible capital — such as intellectual property, training, software, and organisational methods </w:t>
      </w:r>
      <w:r>
        <w:t xml:space="preserve">— are major conduits for that knowledge. But so is </w:t>
      </w:r>
      <w:r>
        <w:rPr>
          <w:rFonts w:ascii="Arial" w:eastAsia="Arial" w:hAnsi="Arial" w:cs="Arial"/>
        </w:rPr>
        <w:t>physical capital — al</w:t>
      </w:r>
      <w:r w:rsidRPr="10D018CB">
        <w:rPr>
          <w:rFonts w:ascii="Arial" w:eastAsia="Arial" w:hAnsi="Arial" w:cs="Arial"/>
        </w:rPr>
        <w:t>l machines are the physical embodiment of knowledge.</w:t>
      </w:r>
      <w:r>
        <w:rPr>
          <w:rFonts w:ascii="Arial" w:eastAsia="Arial" w:hAnsi="Arial" w:cs="Arial"/>
        </w:rPr>
        <w:t xml:space="preserve"> </w:t>
      </w:r>
      <w:r>
        <w:t>So, creating policy environments conducive to the creation of new ways of doing things (‘innovation’), and diffusing and maintaining these, is the key to being an innovative economy.</w:t>
      </w:r>
    </w:p>
    <w:p w14:paraId="68B2CF2C" w14:textId="77777777" w:rsidR="0003438B" w:rsidRDefault="0003438B" w:rsidP="0003438B">
      <w:pPr>
        <w:pStyle w:val="BodyText"/>
      </w:pPr>
      <w:r>
        <w:lastRenderedPageBreak/>
        <w:t>In Australia, innovation policy has tended to give pre</w:t>
      </w:r>
      <w:r>
        <w:noBreakHyphen/>
        <w:t xml:space="preserve">eminence to interventions that </w:t>
      </w:r>
      <w:r w:rsidRPr="00844EBC">
        <w:t xml:space="preserve">foster the </w:t>
      </w:r>
      <w:r>
        <w:t>creation</w:t>
      </w:r>
      <w:r w:rsidRPr="00844EBC">
        <w:t xml:space="preserve"> of </w:t>
      </w:r>
      <w:r>
        <w:t xml:space="preserve">novel </w:t>
      </w:r>
      <w:r w:rsidRPr="00844EBC">
        <w:t>productivity</w:t>
      </w:r>
      <w:r>
        <w:noBreakHyphen/>
      </w:r>
      <w:r w:rsidRPr="00844EBC">
        <w:t>enhancing ideas and technologies</w:t>
      </w:r>
      <w:r>
        <w:t xml:space="preserve"> in selective parts of the business sector</w:t>
      </w:r>
      <w:r w:rsidRPr="00844EBC">
        <w:t xml:space="preserve">, </w:t>
      </w:r>
      <w:r>
        <w:t>including by leveraging the frontier research expertise in universities. Policies oriented towards novel innovation can be important for productivity growth,</w:t>
      </w:r>
      <w:r w:rsidRPr="000C2244">
        <w:rPr>
          <w:rStyle w:val="FootnoteReference"/>
        </w:rPr>
        <w:footnoteReference w:id="2"/>
      </w:r>
      <w:r>
        <w:t xml:space="preserve"> though are often inadequately tested for their appropriateness, effectiveness and overall benefits.</w:t>
      </w:r>
    </w:p>
    <w:p w14:paraId="2EC2C2B9" w14:textId="4AE55335" w:rsidR="0003438B" w:rsidRDefault="0003438B" w:rsidP="0003438B">
      <w:pPr>
        <w:pStyle w:val="BodyText"/>
      </w:pPr>
      <w:r w:rsidRPr="00E12C95">
        <w:t xml:space="preserve">One consequence is that innovation policies of seemingly general application turn out to have limited </w:t>
      </w:r>
      <w:r>
        <w:t xml:space="preserve">direct </w:t>
      </w:r>
      <w:r w:rsidRPr="00E12C95">
        <w:t>relevance to large parts of the modern economy.</w:t>
      </w:r>
      <w:r>
        <w:t xml:space="preserve"> As documented for the </w:t>
      </w:r>
      <w:r w:rsidR="009B049B">
        <w:t>United States</w:t>
      </w:r>
      <w:r>
        <w:t xml:space="preserve">, and with equal application to Australia, different parts of the economy innovate in different ways </w:t>
      </w:r>
      <w:r w:rsidRPr="00EE4616">
        <w:rPr>
          <w:rFonts w:ascii="Arial" w:hAnsi="Arial" w:cs="Arial"/>
          <w:szCs w:val="24"/>
        </w:rPr>
        <w:t xml:space="preserve">(Andrews, </w:t>
      </w:r>
      <w:proofErr w:type="spellStart"/>
      <w:r w:rsidRPr="00EE4616">
        <w:rPr>
          <w:rFonts w:ascii="Arial" w:hAnsi="Arial" w:cs="Arial"/>
          <w:szCs w:val="24"/>
        </w:rPr>
        <w:t>Chatterji</w:t>
      </w:r>
      <w:proofErr w:type="spellEnd"/>
      <w:r w:rsidRPr="00EE4616">
        <w:rPr>
          <w:rFonts w:ascii="Arial" w:hAnsi="Arial" w:cs="Arial"/>
          <w:szCs w:val="24"/>
        </w:rPr>
        <w:t xml:space="preserve"> and Stern 2022)</w:t>
      </w:r>
      <w:r>
        <w:t xml:space="preserve">. </w:t>
      </w:r>
      <w:r w:rsidRPr="00AC311E">
        <w:t>The manufacturing, ICT and some business service</w:t>
      </w:r>
      <w:r>
        <w:t xml:space="preserve"> industries</w:t>
      </w:r>
      <w:r w:rsidRPr="00AC311E">
        <w:t xml:space="preserve"> make considerable use of formal R&amp;D.</w:t>
      </w:r>
      <w:r>
        <w:rPr>
          <w:rStyle w:val="FootnoteReference"/>
        </w:rPr>
        <w:footnoteReference w:id="3"/>
      </w:r>
      <w:r w:rsidRPr="00AC311E">
        <w:t xml:space="preserve"> Much of the services sector does not. Patents are prominent in manufacturing</w:t>
      </w:r>
      <w:r>
        <w:t xml:space="preserve"> and IT development industries, </w:t>
      </w:r>
      <w:r w:rsidRPr="00433E48">
        <w:t>but of much lesser relevance in other parts of the economy</w:t>
      </w:r>
      <w:r>
        <w:t xml:space="preserve"> </w:t>
      </w:r>
      <w:r w:rsidR="00936D73" w:rsidRPr="00936D73">
        <w:rPr>
          <w:rFonts w:ascii="Arial" w:hAnsi="Arial" w:cs="Arial"/>
          <w:szCs w:val="24"/>
        </w:rPr>
        <w:t>(PC 2016a, p. 267)</w:t>
      </w:r>
      <w:r>
        <w:t>.</w:t>
      </w:r>
      <w:r w:rsidRPr="000518F2">
        <w:t xml:space="preserve"> Hence policies based on the commercialisation of patentable IP will tend to be narrow in their coverage.</w:t>
      </w:r>
      <w:r>
        <w:t xml:space="preserve"> Where innovation policy focuses mainly on cutting</w:t>
      </w:r>
      <w:r w:rsidR="00531684">
        <w:noBreakHyphen/>
      </w:r>
      <w:r>
        <w:t>edge scientific or technological breakthroughs, it tends to miss the way firms in much of the economy are innovating on the ground.</w:t>
      </w:r>
    </w:p>
    <w:p w14:paraId="00B4F0BA" w14:textId="7169E7B8" w:rsidR="0003438B" w:rsidRDefault="0003438B" w:rsidP="0003438B">
      <w:pPr>
        <w:pStyle w:val="BodyText"/>
      </w:pPr>
      <w:r>
        <w:t xml:space="preserve">As noted in the Commission’s first interim report, </w:t>
      </w:r>
      <w:r w:rsidRPr="00CC2E8D">
        <w:rPr>
          <w:i/>
          <w:iCs/>
        </w:rPr>
        <w:t>The Key to Prosperity</w:t>
      </w:r>
      <w:r>
        <w:t xml:space="preserve"> </w:t>
      </w:r>
      <w:r w:rsidRPr="00123921">
        <w:rPr>
          <w:rFonts w:ascii="Arial" w:hAnsi="Arial" w:cs="Arial"/>
          <w:szCs w:val="24"/>
        </w:rPr>
        <w:t>(PC 2022b)</w:t>
      </w:r>
      <w:r>
        <w:t>, the Australian economy is increasingly dominated by the services sector. Key questions for innovation policy are: what does innovation look like across the broad sweep of the services sector? How do service firms innovate? How do they identify and implement changes to their service offering?</w:t>
      </w:r>
    </w:p>
    <w:p w14:paraId="3883C7EB" w14:textId="77777777" w:rsidR="0003438B" w:rsidRDefault="0003438B" w:rsidP="0003438B">
      <w:pPr>
        <w:pStyle w:val="BodyText"/>
      </w:pPr>
      <w:r>
        <w:t>A narrative that concentrates on novel innovation misses a significant piece of the productivity</w:t>
      </w:r>
      <w:r>
        <w:noBreakHyphen/>
        <w:t>innovation story — the huge power of small changes across many firms. Fostering the</w:t>
      </w:r>
      <w:r w:rsidRPr="00844EBC">
        <w:t xml:space="preserve"> adoption and use </w:t>
      </w:r>
      <w:r>
        <w:t xml:space="preserve">— that is, the diffusion — of new and established technologies and ideas </w:t>
      </w:r>
      <w:r w:rsidRPr="00844EBC">
        <w:t xml:space="preserve">across the </w:t>
      </w:r>
      <w:r>
        <w:t xml:space="preserve">majority of enterprises in the </w:t>
      </w:r>
      <w:r w:rsidRPr="00844EBC">
        <w:t>economy</w:t>
      </w:r>
      <w:r>
        <w:t xml:space="preserve"> represents a significant opportunity to increase productivity (box 1.1). This applies across all industries, but with particular relevance for services, such as in retailing, hospitality, transport and low</w:t>
      </w:r>
      <w:r>
        <w:noBreakHyphen/>
        <w:t xml:space="preserve">scale construction. </w:t>
      </w:r>
    </w:p>
    <w:p w14:paraId="32994CA1" w14:textId="77777777" w:rsidR="0003438B" w:rsidRDefault="0003438B" w:rsidP="003B2192">
      <w:pPr>
        <w:pStyle w:val="BodyText"/>
      </w:pPr>
      <w:r>
        <w:t>Diffusion will often involve the incremental adoption of already widely available, even dated innovations — for example, using accounting software to manage financials (rather than a ‘shoebox of cluttered accounts’) or creating a web page to improve the customer visibility of a business. But diffusion can also involve the absorption and adaptation of existing cutting</w:t>
      </w:r>
      <w:r>
        <w:noBreakHyphen/>
        <w:t>edge technologies, such as artificial intelligence applications to business processes. In this respect, diffusion and innovation are related concepts. A firm that adopts and possibly adapts an existing idea is a beneficiary of diffusion, but at the firm or industry level is still an innovator. Moreover, an innovative mindset and capability within firms often aids the absorption of new ideas from elsewhere. And an economy with strong diffusion channels implies a market for new ideas, hence greater incentives for new pathbreaking innovation. But a focus on diffusion is a good guide for innovation policy. In many respects, it is the main game.</w:t>
      </w:r>
    </w:p>
    <w:p w14:paraId="095302E5" w14:textId="77777777" w:rsidR="003E1EFD" w:rsidRDefault="003E1EFD" w:rsidP="003E1EFD">
      <w:pPr>
        <w:pStyle w:val="NoSpacing"/>
      </w:pPr>
    </w:p>
    <w:tbl>
      <w:tblPr>
        <w:tblStyle w:val="Boxtable"/>
        <w:tblW w:w="5000" w:type="pct"/>
        <w:tblLook w:val="04A0" w:firstRow="1" w:lastRow="0" w:firstColumn="1" w:lastColumn="0" w:noHBand="0" w:noVBand="1"/>
      </w:tblPr>
      <w:tblGrid>
        <w:gridCol w:w="9638"/>
      </w:tblGrid>
      <w:tr w:rsidR="0003438B" w14:paraId="65CC57C0" w14:textId="77777777" w:rsidTr="00C426E9">
        <w:trPr>
          <w:tblHeader/>
        </w:trPr>
        <w:tc>
          <w:tcPr>
            <w:tcW w:w="9638" w:type="dxa"/>
            <w:tcMar>
              <w:top w:w="170" w:type="dxa"/>
              <w:left w:w="170" w:type="dxa"/>
              <w:bottom w:w="113" w:type="dxa"/>
              <w:right w:w="170" w:type="dxa"/>
            </w:tcMar>
            <w:hideMark/>
          </w:tcPr>
          <w:p w14:paraId="0C1D943B" w14:textId="77777777" w:rsidR="0003438B" w:rsidRDefault="0003438B" w:rsidP="0076385F">
            <w:pPr>
              <w:pStyle w:val="BoxHeading1"/>
              <w:keepLines/>
            </w:pPr>
            <w:r>
              <w:lastRenderedPageBreak/>
              <w:t>Box 1.1 – What we mean by innovation and diffusion</w:t>
            </w:r>
          </w:p>
        </w:tc>
      </w:tr>
      <w:tr w:rsidR="0003438B" w14:paraId="06D3AF2C" w14:textId="77777777" w:rsidTr="00C426E9">
        <w:tc>
          <w:tcPr>
            <w:tcW w:w="9638" w:type="dxa"/>
            <w:tcMar>
              <w:top w:w="28" w:type="dxa"/>
              <w:left w:w="170" w:type="dxa"/>
              <w:bottom w:w="170" w:type="dxa"/>
              <w:right w:w="170" w:type="dxa"/>
            </w:tcMar>
            <w:hideMark/>
          </w:tcPr>
          <w:p w14:paraId="6B4F430E" w14:textId="6C0C99C3" w:rsidR="0003438B" w:rsidRDefault="0003438B" w:rsidP="0076385F">
            <w:pPr>
              <w:pStyle w:val="BodyText"/>
              <w:keepLines/>
            </w:pPr>
            <w:r>
              <w:t>The standard definition of innovation is that it is</w:t>
            </w:r>
            <w:r w:rsidRPr="00BF4E13">
              <w:t xml:space="preserve"> the process whereby businesses, governments and other organisations and individuals </w:t>
            </w:r>
            <w:r>
              <w:t>generate</w:t>
            </w:r>
            <w:r w:rsidRPr="00BF4E13">
              <w:t xml:space="preserve"> or maintain value by </w:t>
            </w:r>
            <w:r>
              <w:t>crea</w:t>
            </w:r>
            <w:r w:rsidRPr="00BF4E13">
              <w:t>ting, adapting or using available knowledge</w:t>
            </w:r>
            <w:r>
              <w:t xml:space="preserve"> and technology</w:t>
            </w:r>
            <w:r w:rsidRPr="00BF4E13">
              <w:t xml:space="preserve"> to introduce new or improved products (goods and/or services) or internal </w:t>
            </w:r>
            <w:r>
              <w:t xml:space="preserve">business </w:t>
            </w:r>
            <w:proofErr w:type="spellStart"/>
            <w:r w:rsidRPr="00BF4E13">
              <w:t>processes.</w:t>
            </w:r>
            <w:r>
              <w:rPr>
                <w:rStyle w:val="FootnoteReference"/>
              </w:rPr>
              <w:t>a</w:t>
            </w:r>
            <w:proofErr w:type="spellEnd"/>
            <w:r>
              <w:t xml:space="preserve"> Importantly, this definition includes</w:t>
            </w:r>
            <w:r w:rsidRPr="00C83819">
              <w:t xml:space="preserve"> innovation </w:t>
            </w:r>
            <w:r>
              <w:t>that is</w:t>
            </w:r>
            <w:r w:rsidRPr="00C83819">
              <w:t xml:space="preserve"> new to the world, to Australia or </w:t>
            </w:r>
            <w:r w:rsidR="00EB24CB">
              <w:t>an</w:t>
            </w:r>
            <w:r w:rsidRPr="00C83819">
              <w:t xml:space="preserve"> industry, or even just new to the firm that is adopting and implementing the idea, </w:t>
            </w:r>
            <w:r>
              <w:t xml:space="preserve">production </w:t>
            </w:r>
            <w:r w:rsidRPr="00C83819">
              <w:t>technique or technology.</w:t>
            </w:r>
          </w:p>
          <w:p w14:paraId="5ACC55EA" w14:textId="66536DC1" w:rsidR="0003438B" w:rsidRDefault="0003438B" w:rsidP="0076385F">
            <w:pPr>
              <w:pStyle w:val="BodyText"/>
              <w:keepLines/>
            </w:pPr>
            <w:r>
              <w:t>Such innovation goes beyond physical goods with wide recognition that it also encompasses new ways to organise business processes and functions, and new marketing methods. Indeed, m</w:t>
            </w:r>
            <w:r w:rsidRPr="000D43E8">
              <w:t xml:space="preserve">any important innovations have been of the organisational kind </w:t>
            </w:r>
            <w:r>
              <w:t>— for example, new ways to organise production and distribution —</w:t>
            </w:r>
            <w:r w:rsidRPr="000D43E8">
              <w:t xml:space="preserve"> </w:t>
            </w:r>
            <w:r>
              <w:t>as opposed</w:t>
            </w:r>
            <w:r w:rsidRPr="000D43E8">
              <w:t xml:space="preserve"> </w:t>
            </w:r>
            <w:r>
              <w:t xml:space="preserve">to new </w:t>
            </w:r>
            <w:r w:rsidRPr="000D43E8">
              <w:t>product</w:t>
            </w:r>
            <w:r>
              <w:t>s</w:t>
            </w:r>
            <w:r w:rsidRPr="000D43E8">
              <w:t xml:space="preserve"> (goods </w:t>
            </w:r>
            <w:r>
              <w:t>and/</w:t>
            </w:r>
            <w:r w:rsidRPr="000D43E8">
              <w:t xml:space="preserve">or services) or </w:t>
            </w:r>
            <w:r>
              <w:t>production techniques</w:t>
            </w:r>
            <w:r w:rsidRPr="000D43E8">
              <w:t xml:space="preserve"> </w:t>
            </w:r>
            <w:r w:rsidRPr="66B883D5">
              <w:rPr>
                <w:rFonts w:ascii="Arial" w:hAnsi="Arial" w:cs="Arial"/>
              </w:rPr>
              <w:t>(Fagerberg 2018, p. 7; Thomson and Webster 2013)</w:t>
            </w:r>
            <w:r>
              <w:t>. Franchising, just in time inventory management, and web</w:t>
            </w:r>
            <w:r>
              <w:noBreakHyphen/>
              <w:t>based sales are exemplars, now widely adopted globally and in Australia. The</w:t>
            </w:r>
            <w:r w:rsidRPr="00DA179A">
              <w:t xml:space="preserve"> shift to working from home that occurred with the </w:t>
            </w:r>
            <w:r>
              <w:t>COVID</w:t>
            </w:r>
            <w:r>
              <w:noBreakHyphen/>
            </w:r>
            <w:r w:rsidRPr="00DA179A">
              <w:t>19 pandemic represent</w:t>
            </w:r>
            <w:r>
              <w:t>s one of the more recent shifts in</w:t>
            </w:r>
            <w:r w:rsidRPr="00DA179A">
              <w:t xml:space="preserve"> how work </w:t>
            </w:r>
            <w:r>
              <w:t xml:space="preserve">is </w:t>
            </w:r>
            <w:r w:rsidRPr="00DA179A">
              <w:t>organised. While the productivity impacts of that shift are not yet clear, the Commission has speculated that working from home may ultimately lead to productivity gains at the economy</w:t>
            </w:r>
            <w:r>
              <w:noBreakHyphen/>
            </w:r>
            <w:r w:rsidRPr="00DA179A">
              <w:t xml:space="preserve">wide level </w:t>
            </w:r>
            <w:r w:rsidRPr="66B883D5">
              <w:rPr>
                <w:rFonts w:ascii="Arial" w:hAnsi="Arial" w:cs="Arial"/>
              </w:rPr>
              <w:t>(PC 2021f, p. 3</w:t>
            </w:r>
            <w:r w:rsidRPr="40C668F1">
              <w:rPr>
                <w:rFonts w:ascii="Arial" w:hAnsi="Arial" w:cs="Arial"/>
              </w:rPr>
              <w:t xml:space="preserve">), and they have certainly </w:t>
            </w:r>
            <w:r w:rsidRPr="64220015">
              <w:rPr>
                <w:rFonts w:ascii="Arial" w:hAnsi="Arial" w:cs="Arial"/>
              </w:rPr>
              <w:t>saved commuting times</w:t>
            </w:r>
            <w:r w:rsidRPr="259E8179">
              <w:rPr>
                <w:rFonts w:ascii="Arial" w:hAnsi="Arial" w:cs="Arial"/>
              </w:rPr>
              <w:t xml:space="preserve"> for millions of people</w:t>
            </w:r>
            <w:r>
              <w:t>.</w:t>
            </w:r>
          </w:p>
          <w:p w14:paraId="6C08C626" w14:textId="15E3C5E4" w:rsidR="0003438B" w:rsidRDefault="0003438B" w:rsidP="0076385F">
            <w:pPr>
              <w:pStyle w:val="BodyText"/>
              <w:keepLines/>
            </w:pPr>
            <w:r>
              <w:t>Innovation</w:t>
            </w:r>
            <w:r w:rsidRPr="00BF4E13">
              <w:t xml:space="preserve"> at the frontier of </w:t>
            </w:r>
            <w:r>
              <w:t xml:space="preserve">knowledge </w:t>
            </w:r>
            <w:r w:rsidRPr="00BF4E13">
              <w:t xml:space="preserve">represents only a small share of innovation </w:t>
            </w:r>
            <w:r>
              <w:t>activity</w:t>
            </w:r>
            <w:r w:rsidRPr="00BF4E13">
              <w:t xml:space="preserve"> </w:t>
            </w:r>
            <w:r>
              <w:t xml:space="preserve">and innovating firms </w:t>
            </w:r>
            <w:r w:rsidRPr="00BF4E13">
              <w:t xml:space="preserve">in Australia </w:t>
            </w:r>
            <w:r w:rsidRPr="003C1CF8">
              <w:rPr>
                <w:rFonts w:ascii="Arial" w:hAnsi="Arial" w:cs="Arial"/>
                <w:szCs w:val="24"/>
              </w:rPr>
              <w:t>(and in most countries, see OECD 2020)</w:t>
            </w:r>
            <w:r>
              <w:t xml:space="preserve">. Innovation </w:t>
            </w:r>
            <w:r w:rsidRPr="00CE4221">
              <w:rPr>
                <w:i/>
                <w:iCs/>
              </w:rPr>
              <w:t>diffusion</w:t>
            </w:r>
            <w:r w:rsidRPr="002102A9">
              <w:t xml:space="preserve"> — the process by which knowledge and technologies are communicated</w:t>
            </w:r>
            <w:r>
              <w:t>,</w:t>
            </w:r>
            <w:r w:rsidRPr="002102A9">
              <w:t xml:space="preserve"> adopted and </w:t>
            </w:r>
            <w:r>
              <w:t>adapted</w:t>
            </w:r>
            <w:r w:rsidRPr="002102A9">
              <w:t xml:space="preserve"> over time </w:t>
            </w:r>
            <w:r>
              <w:t xml:space="preserve">in an economy </w:t>
            </w:r>
            <w:r w:rsidRPr="002102A9">
              <w:t>—</w:t>
            </w:r>
            <w:r>
              <w:t xml:space="preserve"> </w:t>
            </w:r>
            <w:r w:rsidRPr="00D4716D">
              <w:t>is how the vast majority of firms achieve productivity growth</w:t>
            </w:r>
            <w:r>
              <w:t>. W</w:t>
            </w:r>
            <w:r w:rsidRPr="002102A9">
              <w:t xml:space="preserve">ithout diffusion, new technologies and knowledge </w:t>
            </w:r>
            <w:r>
              <w:t>w</w:t>
            </w:r>
            <w:r w:rsidRPr="002102A9">
              <w:t xml:space="preserve">ould have </w:t>
            </w:r>
            <w:r>
              <w:t>less</w:t>
            </w:r>
            <w:r w:rsidRPr="002102A9">
              <w:t xml:space="preserve"> impact on productivity growth</w:t>
            </w:r>
            <w:r>
              <w:t xml:space="preserve"> — innovation requires businesses and other actors to </w:t>
            </w:r>
            <w:r w:rsidRPr="00010C1A">
              <w:rPr>
                <w:i/>
              </w:rPr>
              <w:t>implement</w:t>
            </w:r>
            <w:r>
              <w:t xml:space="preserve"> or </w:t>
            </w:r>
            <w:r w:rsidRPr="00010C1A">
              <w:rPr>
                <w:i/>
              </w:rPr>
              <w:t xml:space="preserve">apply </w:t>
            </w:r>
            <w:r>
              <w:t xml:space="preserve">new ideas and technology that generate real returns </w:t>
            </w:r>
            <w:r w:rsidRPr="00693530">
              <w:rPr>
                <w:rFonts w:ascii="Arial" w:hAnsi="Arial" w:cs="Arial"/>
                <w:szCs w:val="24"/>
              </w:rPr>
              <w:t>(Hall 2004)</w:t>
            </w:r>
            <w:r w:rsidRPr="002102A9">
              <w:t>.</w:t>
            </w:r>
          </w:p>
          <w:p w14:paraId="27A69F56" w14:textId="12FDDDCC" w:rsidR="0003438B" w:rsidRDefault="0003438B" w:rsidP="0076385F">
            <w:pPr>
              <w:pStyle w:val="BodyText"/>
              <w:keepLines/>
            </w:pPr>
            <w:r>
              <w:t>This report visualises diffusion through two associated lenses. There are diffusion mechanisms — like movements of workers with specialised knowledge between firms — that raise the overall productivity of surviving firms that are behind the frontier. In turn, the observed take</w:t>
            </w:r>
            <w:r w:rsidR="000565F7">
              <w:noBreakHyphen/>
            </w:r>
            <w:r>
              <w:t>up of best practice in an economy — the degree of observed diffusion of given technologies that is observed in an economy — also depends on the exit of firms that fail to adopt.</w:t>
            </w:r>
          </w:p>
          <w:p w14:paraId="3E3B5FB6" w14:textId="2332ECD7" w:rsidR="0003438B" w:rsidRDefault="0003438B" w:rsidP="0076385F">
            <w:pPr>
              <w:pStyle w:val="Note"/>
              <w:keepLines/>
            </w:pPr>
            <w:r w:rsidRPr="008F3194">
              <w:rPr>
                <w:b/>
              </w:rPr>
              <w:t>a.</w:t>
            </w:r>
            <w:r w:rsidRPr="008F3194">
              <w:t xml:space="preserve"> </w:t>
            </w:r>
            <w:r w:rsidRPr="009B1381">
              <w:t>Consistent with OECD/Eurostat (2018). Process innovations include new or improved methods for producing goods and services; organisational forms; marketing methods.</w:t>
            </w:r>
          </w:p>
        </w:tc>
      </w:tr>
      <w:tr w:rsidR="0003438B" w14:paraId="05EECC6B" w14:textId="77777777" w:rsidTr="00C426E9">
        <w:trPr>
          <w:hidden/>
        </w:trPr>
        <w:tc>
          <w:tcPr>
            <w:tcW w:w="9638" w:type="dxa"/>
            <w:shd w:val="clear" w:color="auto" w:fill="auto"/>
            <w:tcMar>
              <w:top w:w="0" w:type="dxa"/>
              <w:left w:w="170" w:type="dxa"/>
              <w:bottom w:w="0" w:type="dxa"/>
              <w:right w:w="170" w:type="dxa"/>
            </w:tcMar>
          </w:tcPr>
          <w:p w14:paraId="01F3ED9A" w14:textId="55E82DF6" w:rsidR="0003438B" w:rsidRPr="00465191" w:rsidRDefault="0003438B" w:rsidP="0076385F">
            <w:pPr>
              <w:pStyle w:val="BodyText"/>
              <w:keepLines/>
              <w:spacing w:before="0" w:after="0" w:line="80" w:lineRule="atLeast"/>
              <w:rPr>
                <w:smallCaps/>
                <w:vanish/>
              </w:rPr>
            </w:pPr>
          </w:p>
        </w:tc>
      </w:tr>
    </w:tbl>
    <w:p w14:paraId="3524E371" w14:textId="4B43CB09" w:rsidR="0003438B" w:rsidRDefault="0003438B" w:rsidP="0003438B">
      <w:pPr>
        <w:pStyle w:val="BodyText"/>
      </w:pPr>
      <w:r>
        <w:t>For many organisations, diffusion involves lower risks, shorter lead times, less external funding and smaller needs for a specialised workforce — making it attractive for the bulk of organisation</w:t>
      </w:r>
      <w:r w:rsidRPr="00333C40">
        <w:rPr>
          <w:rFonts w:ascii="Arial" w:hAnsi="Arial" w:cs="Arial"/>
          <w:szCs w:val="24"/>
        </w:rPr>
        <w:t xml:space="preserve">s. </w:t>
      </w:r>
      <w:r>
        <w:rPr>
          <w:rFonts w:ascii="Arial" w:hAnsi="Arial" w:cs="Arial"/>
          <w:szCs w:val="24"/>
        </w:rPr>
        <w:t>T</w:t>
      </w:r>
      <w:r w:rsidRPr="00333C40">
        <w:rPr>
          <w:rFonts w:ascii="Arial" w:hAnsi="Arial" w:cs="Arial"/>
          <w:szCs w:val="24"/>
        </w:rPr>
        <w:t xml:space="preserve">he strategy of seeking out, adapting and implementing existing innovations appears to have been a successful strategy for many Australian firms </w:t>
      </w:r>
      <w:r w:rsidRPr="00000035">
        <w:rPr>
          <w:rFonts w:ascii="Arial" w:hAnsi="Arial" w:cs="Arial"/>
          <w:szCs w:val="24"/>
        </w:rPr>
        <w:t>(DIIS 2017)</w:t>
      </w:r>
      <w:r w:rsidRPr="00333C40">
        <w:rPr>
          <w:rFonts w:ascii="Arial" w:hAnsi="Arial" w:cs="Arial"/>
          <w:szCs w:val="24"/>
        </w:rPr>
        <w:t>.</w:t>
      </w:r>
      <w:r w:rsidRPr="00046B6A">
        <w:t xml:space="preserve"> </w:t>
      </w:r>
      <w:r>
        <w:t>The importance of diffusion has become more widely recognised following evidence that the productivity slowdown may more strongly reflect slowing diffusion rather than a slowing pace of novel innovation (as discussed further below).</w:t>
      </w:r>
    </w:p>
    <w:p w14:paraId="633623DB" w14:textId="77777777" w:rsidR="0003438B" w:rsidRDefault="0003438B" w:rsidP="0003438B">
      <w:pPr>
        <w:pStyle w:val="BodyText"/>
      </w:pPr>
      <w:r>
        <w:t xml:space="preserve">Moreover, as a small, open economy with, by global standards, limited resources and R&amp;D capacity, many ideas and technologies will come from outside Australia, underlining the importance of a global perspective on diffusion. The challenges posed by climate adaptation and mitigation will require the adoption of existing technologies as much as the development of entirely new ones. </w:t>
      </w:r>
    </w:p>
    <w:p w14:paraId="2F0A73E5" w14:textId="1F9A633A" w:rsidR="0003438B" w:rsidRDefault="0003438B" w:rsidP="0003438B">
      <w:pPr>
        <w:pStyle w:val="BodyText"/>
      </w:pPr>
      <w:r w:rsidRPr="004813E1">
        <w:t xml:space="preserve">A further advantage of the diffusion lens on </w:t>
      </w:r>
      <w:r>
        <w:t xml:space="preserve">innovation policy is that it </w:t>
      </w:r>
      <w:r w:rsidRPr="004813E1">
        <w:t>better captures the realities of</w:t>
      </w:r>
      <w:r>
        <w:t xml:space="preserve"> services provided or funded by government</w:t>
      </w:r>
      <w:r w:rsidR="007A73B7">
        <w:t>,</w:t>
      </w:r>
      <w:r w:rsidRPr="00544B0B">
        <w:t xml:space="preserve"> which now make up </w:t>
      </w:r>
      <w:r w:rsidRPr="00D84B6E">
        <w:t xml:space="preserve">about one third of employment in the services sector </w:t>
      </w:r>
      <w:r w:rsidRPr="00D84B6E">
        <w:lastRenderedPageBreak/>
        <w:t>overall</w:t>
      </w:r>
      <w:r>
        <w:t xml:space="preserve"> </w:t>
      </w:r>
      <w:r w:rsidR="00936D73" w:rsidRPr="00936D73">
        <w:rPr>
          <w:rFonts w:ascii="Arial" w:hAnsi="Arial" w:cs="Arial"/>
          <w:szCs w:val="24"/>
        </w:rPr>
        <w:t>(ABS 2022d table 4)</w:t>
      </w:r>
      <w:r w:rsidRPr="00544B0B">
        <w:t>.</w:t>
      </w:r>
      <w:r>
        <w:t xml:space="preserve"> Many such services are decentralised to meet local and regional population needs (like schools, hospitals and general practices) and so the same quandary of replicating best practice facing commercial businesses also applies. </w:t>
      </w:r>
      <w:r w:rsidR="002B048E">
        <w:t>However, t</w:t>
      </w:r>
      <w:r>
        <w:t>he mechanisms that motivate and diffuse innovation in such services are different from the private sector and much more directly controlled by governments.</w:t>
      </w:r>
    </w:p>
    <w:p w14:paraId="3F0CE691" w14:textId="77777777" w:rsidR="0003438B" w:rsidRDefault="0003438B" w:rsidP="0003438B">
      <w:pPr>
        <w:pStyle w:val="Heading3"/>
      </w:pPr>
      <w:r>
        <w:t>Diffusion pushes more firms to the frontier</w:t>
      </w:r>
    </w:p>
    <w:p w14:paraId="6CF6225D" w14:textId="1D493A1F" w:rsidR="0003438B" w:rsidRPr="0018764D" w:rsidRDefault="0003438B" w:rsidP="0003438B">
      <w:pPr>
        <w:pStyle w:val="BodyText"/>
        <w:rPr>
          <w:spacing w:val="-4"/>
        </w:rPr>
      </w:pPr>
      <w:r w:rsidRPr="0018764D">
        <w:rPr>
          <w:spacing w:val="-4"/>
        </w:rPr>
        <w:t>Diffusion increases the productivity of those organisations that adopt and adapt existing, but new</w:t>
      </w:r>
      <w:r w:rsidRPr="0018764D">
        <w:rPr>
          <w:spacing w:val="-4"/>
        </w:rPr>
        <w:noBreakHyphen/>
        <w:t>to</w:t>
      </w:r>
      <w:r w:rsidRPr="0018764D">
        <w:rPr>
          <w:spacing w:val="-4"/>
        </w:rPr>
        <w:noBreakHyphen/>
        <w:t>the</w:t>
      </w:r>
      <w:r w:rsidRPr="0018764D">
        <w:rPr>
          <w:spacing w:val="-4"/>
        </w:rPr>
        <w:noBreakHyphen/>
        <w:t>business technologies and processes. This changes the relative proportions of low versus medium versus high performing organisations in the economy, raising national productivity. Among any group of organisations (comprising businesses, not</w:t>
      </w:r>
      <w:r w:rsidRPr="0018764D">
        <w:rPr>
          <w:spacing w:val="-4"/>
        </w:rPr>
        <w:noBreakHyphen/>
        <w:t>for</w:t>
      </w:r>
      <w:r w:rsidR="000565F7" w:rsidRPr="0018764D">
        <w:rPr>
          <w:spacing w:val="-4"/>
        </w:rPr>
        <w:noBreakHyphen/>
      </w:r>
      <w:r w:rsidRPr="0018764D">
        <w:rPr>
          <w:spacing w:val="-4"/>
        </w:rPr>
        <w:t>profit organisations and public sector agencies) there are some that are at the frontier of performance. These make the best use of their resources, are dynamic and future</w:t>
      </w:r>
      <w:r w:rsidRPr="0018764D">
        <w:rPr>
          <w:spacing w:val="-4"/>
        </w:rPr>
        <w:noBreakHyphen/>
        <w:t>focused, and are quick adopters of others’ technologies. They may develop new</w:t>
      </w:r>
      <w:r w:rsidRPr="0018764D">
        <w:rPr>
          <w:spacing w:val="-4"/>
        </w:rPr>
        <w:noBreakHyphen/>
        <w:t>to</w:t>
      </w:r>
      <w:r w:rsidRPr="0018764D">
        <w:rPr>
          <w:spacing w:val="-4"/>
        </w:rPr>
        <w:noBreakHyphen/>
        <w:t>the</w:t>
      </w:r>
      <w:r w:rsidRPr="0018764D">
        <w:rPr>
          <w:spacing w:val="-4"/>
        </w:rPr>
        <w:noBreakHyphen/>
        <w:t>world innovations, though that need not be a key feature of their operations. The more organisations in an economy that are like this, the more productive is society overall, and the more rapidly it can absorb global technologies.</w:t>
      </w:r>
    </w:p>
    <w:p w14:paraId="399133E2" w14:textId="77777777" w:rsidR="0003438B" w:rsidRDefault="0003438B" w:rsidP="0003438B">
      <w:pPr>
        <w:pStyle w:val="BodyText"/>
      </w:pPr>
      <w:r>
        <w:t>The bulk of organisations are behind the frontier, but by varying degrees — some close, some distant. Closing the gap between their performance and that of the best would increase average economy</w:t>
      </w:r>
      <w:r>
        <w:noBreakHyphen/>
        <w:t>wide productivity. That can occur through four mechanisms:</w:t>
      </w:r>
      <w:r w:rsidRPr="000C2244">
        <w:rPr>
          <w:rStyle w:val="FootnoteReference"/>
        </w:rPr>
        <w:footnoteReference w:id="4"/>
      </w:r>
    </w:p>
    <w:p w14:paraId="128046BC" w14:textId="77777777" w:rsidR="0003438B" w:rsidRDefault="0003438B" w:rsidP="001A1DD7">
      <w:pPr>
        <w:pStyle w:val="ListBullet"/>
      </w:pPr>
      <w:r>
        <w:t>exit by those entities that have few prospects of improving (and therefore ‘natural selection’ of the fittest)</w:t>
      </w:r>
    </w:p>
    <w:p w14:paraId="5E2667C5" w14:textId="77777777" w:rsidR="0003438B" w:rsidRDefault="0003438B" w:rsidP="001A1DD7">
      <w:pPr>
        <w:pStyle w:val="ListBullet"/>
      </w:pPr>
      <w:r>
        <w:t>entry by entities that are generally more efficient</w:t>
      </w:r>
    </w:p>
    <w:p w14:paraId="0267E9BB" w14:textId="77777777" w:rsidR="0003438B" w:rsidRDefault="0003438B" w:rsidP="001A1DD7">
      <w:pPr>
        <w:pStyle w:val="ListBullet"/>
      </w:pPr>
      <w:r>
        <w:t>growth in the capabilities of the viable but lagging surviving entities</w:t>
      </w:r>
    </w:p>
    <w:p w14:paraId="677E5365" w14:textId="77777777" w:rsidR="0003438B" w:rsidRDefault="0003438B" w:rsidP="001A1DD7">
      <w:pPr>
        <w:pStyle w:val="ListBullet"/>
      </w:pPr>
      <w:r>
        <w:t>through competitive pressures, increases in the market share of the most productive entities.</w:t>
      </w:r>
    </w:p>
    <w:p w14:paraId="745226D4" w14:textId="53614BE9" w:rsidR="0003438B" w:rsidRDefault="0003438B" w:rsidP="0003438B">
      <w:pPr>
        <w:pStyle w:val="BodyText"/>
      </w:pPr>
      <w:r>
        <w:t>These mechanisms increase the average proximity of organisations to the frontier. One of the unique features of organisations run by the public sector, like schools, is that exits are rare and competition for the market is not very important, and so diffusion can only occur through the other mechanisms.</w:t>
      </w:r>
    </w:p>
    <w:p w14:paraId="0EA87B65" w14:textId="32413ADA" w:rsidR="0003438B" w:rsidRDefault="0003438B" w:rsidP="0003438B">
      <w:pPr>
        <w:pStyle w:val="BodyText"/>
      </w:pPr>
      <w:r>
        <w:t>Figure </w:t>
      </w:r>
      <w:bookmarkStart w:id="32" w:name="_1724152063"/>
      <w:bookmarkEnd w:id="32"/>
      <w:r>
        <w:t xml:space="preserve">1.1 is a hypothetical depiction of the process, underpinned by some quantitative assumptions, which illustrates the effects of the above mechanisms. It illustrates that the reallocation of resources </w:t>
      </w:r>
      <w:r w:rsidR="003A286E">
        <w:t>—</w:t>
      </w:r>
      <w:r>
        <w:t xml:space="preserve"> from failing firms to new firms that are more efficient — can be an important driver of economy</w:t>
      </w:r>
      <w:r>
        <w:noBreakHyphen/>
        <w:t>wide productivity. The likely bigger effect arises when the surviving firms adopt better ways of producing their outputs and when the market share of the most productive firms rises. More output is produced by firms approaching the frontier.</w:t>
      </w:r>
    </w:p>
    <w:p w14:paraId="70928637" w14:textId="2595F474" w:rsidR="0003438B" w:rsidRDefault="0003438B" w:rsidP="0003438B">
      <w:pPr>
        <w:pStyle w:val="BodyText"/>
      </w:pPr>
      <w:r>
        <w:t xml:space="preserve">Figure 1.1 ignores a vital dynamic feature of real markets — the frontier moves out as there are new global and domestic innovations. This creates new laggards. Global frontier technologies are not immediately diffused to all firms, being first adopted (and if necessary, adapted to the domestic context) by the most productive firms in an economy, before diffusing to other firms </w:t>
      </w:r>
      <w:r w:rsidRPr="009F2B74">
        <w:rPr>
          <w:rFonts w:ascii="Arial" w:hAnsi="Arial" w:cs="Arial"/>
          <w:szCs w:val="24"/>
        </w:rPr>
        <w:t xml:space="preserve">(Saia, Andrews and </w:t>
      </w:r>
      <w:proofErr w:type="spellStart"/>
      <w:r w:rsidRPr="009F2B74">
        <w:rPr>
          <w:rFonts w:ascii="Arial" w:hAnsi="Arial" w:cs="Arial"/>
          <w:szCs w:val="24"/>
        </w:rPr>
        <w:t>Albrizio</w:t>
      </w:r>
      <w:proofErr w:type="spellEnd"/>
      <w:r w:rsidRPr="009F2B74">
        <w:rPr>
          <w:rFonts w:ascii="Arial" w:hAnsi="Arial" w:cs="Arial"/>
          <w:szCs w:val="24"/>
        </w:rPr>
        <w:t> 2015)</w:t>
      </w:r>
      <w:r>
        <w:t>.</w:t>
      </w:r>
    </w:p>
    <w:p w14:paraId="4033D27C" w14:textId="0914CF21" w:rsidR="0003438B" w:rsidRDefault="0003438B" w:rsidP="0003438B">
      <w:pPr>
        <w:pStyle w:val="FigureTableHeading"/>
        <w:rPr>
          <w:rStyle w:val="NoteLabel"/>
        </w:rPr>
      </w:pPr>
      <w:r>
        <w:lastRenderedPageBreak/>
        <w:t>Figure </w:t>
      </w:r>
      <w:bookmarkStart w:id="33" w:name="OLE_LINK1"/>
      <w:r>
        <w:rPr>
          <w:noProof/>
        </w:rPr>
        <w:t>1</w:t>
      </w:r>
      <w:r>
        <w:t>.</w:t>
      </w:r>
      <w:r>
        <w:rPr>
          <w:noProof/>
        </w:rPr>
        <w:t>1</w:t>
      </w:r>
      <w:bookmarkEnd w:id="33"/>
      <w:r>
        <w:rPr>
          <w:noProof/>
        </w:rPr>
        <w:t xml:space="preserve"> </w:t>
      </w:r>
      <w:r>
        <w:t xml:space="preserve">– Diffusion and firm exits compress relative </w:t>
      </w:r>
      <w:proofErr w:type="spellStart"/>
      <w:r>
        <w:t>productivity</w:t>
      </w:r>
      <w:r w:rsidRPr="00066CF5">
        <w:rPr>
          <w:vertAlign w:val="superscript"/>
        </w:rPr>
        <w:t>a</w:t>
      </w:r>
      <w:proofErr w:type="spellEnd"/>
    </w:p>
    <w:p w14:paraId="1F1EA51B" w14:textId="77777777" w:rsidR="0003438B" w:rsidRPr="00146382" w:rsidRDefault="0003438B" w:rsidP="0003438B">
      <w:pPr>
        <w:pStyle w:val="FigureTableSubheading"/>
        <w:keepLines/>
      </w:pPr>
      <w:r>
        <w:t xml:space="preserve">A simulation </w:t>
      </w:r>
    </w:p>
    <w:p w14:paraId="75B0D047" w14:textId="611E0239" w:rsidR="0003438B" w:rsidRDefault="007E788A" w:rsidP="0003438B">
      <w:pPr>
        <w:pStyle w:val="BodyText"/>
      </w:pPr>
      <w:r w:rsidRPr="007E788A">
        <w:rPr>
          <w:noProof/>
        </w:rPr>
        <w:drawing>
          <wp:inline distT="0" distB="0" distL="0" distR="0" wp14:anchorId="063C07D3" wp14:editId="61FC5AF3">
            <wp:extent cx="6119495" cy="2977515"/>
            <wp:effectExtent l="0" t="0" r="0" b="0"/>
            <wp:docPr id="16" name="Picture 16" descr="This figure shows a simulation of the share of businesses by relative productivity in three stages – the status quo, after low performing, or zombie, firms exit, and after surviving firms become higher performing. It shows that overall productivity increases by 1.9% when zombie firms exit and a further 5.9% increase when remaining firms move closer to the front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a simulation of the share of businesses by relative productivity in three stages – the status quo, after low performing, or zombie, firms exit, and after surviving firms become higher performing. It shows that overall productivity increases by 1.9% when zombie firms exit and a further 5.9% increase when remaining firms move closer to the frontier.  "/>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119495" cy="2977515"/>
                    </a:xfrm>
                    <a:prstGeom prst="rect">
                      <a:avLst/>
                    </a:prstGeom>
                    <a:noFill/>
                    <a:ln>
                      <a:noFill/>
                    </a:ln>
                  </pic:spPr>
                </pic:pic>
              </a:graphicData>
            </a:graphic>
          </wp:inline>
        </w:drawing>
      </w:r>
    </w:p>
    <w:p w14:paraId="1B331AF9" w14:textId="77777777" w:rsidR="0003438B" w:rsidRDefault="0003438B" w:rsidP="0003438B">
      <w:pPr>
        <w:pStyle w:val="Note"/>
      </w:pPr>
      <w:r w:rsidRPr="00452050">
        <w:t>a.</w:t>
      </w:r>
      <w:r w:rsidRPr="00452050">
        <w:rPr>
          <w:b/>
        </w:rPr>
        <w:t xml:space="preserve"> </w:t>
      </w:r>
      <w:r>
        <w:t xml:space="preserve">The example assumes that exits are offset by entries, with entries more likely to be higher performing. The distribution of productivity performance is illustrative, with the assumed average relative productivity of any group relative to the most efficient organisation being 0.45 for very low performers (that is, productivity just less than half of the best performer), 0.6 for low performers, 0.755 for mediocre performers, 0.855 for medium performers, 0.925 for high performers and 0.975 for the frontier organisations. The changing shifts in the shares of organisations in each productivity grouping is assumed but does not represent large shifts in the standard deviation of the distribution of productivity levels across organisations. The average productivity of the ‘after exits’ case increases by about </w:t>
      </w:r>
      <w:r w:rsidRPr="00E91BCD">
        <w:t>0.16 deviations (based on the status quo distribution of productivity values) and by 0.35 standard deviations for the ‘closing the gap’ scenario</w:t>
      </w:r>
      <w:r>
        <w:t xml:space="preserve">. </w:t>
      </w:r>
    </w:p>
    <w:p w14:paraId="129E7A95" w14:textId="77777777" w:rsidR="0003438B" w:rsidRDefault="0003438B" w:rsidP="0003438B">
      <w:pPr>
        <w:pStyle w:val="Heading3"/>
      </w:pPr>
      <w:r>
        <w:t xml:space="preserve">Fast adoption is not always optimal </w:t>
      </w:r>
    </w:p>
    <w:p w14:paraId="64D15B7A" w14:textId="77777777" w:rsidR="0003438B" w:rsidRDefault="0003438B" w:rsidP="0003438B">
      <w:pPr>
        <w:pStyle w:val="BodyText"/>
      </w:pPr>
      <w:r>
        <w:t xml:space="preserve">It would be mistaken to argue that the policy goal should be to always encourage the faster adoption of any new technology or process for </w:t>
      </w:r>
      <w:r w:rsidRPr="00B76BD4">
        <w:rPr>
          <w:i/>
          <w:iCs/>
        </w:rPr>
        <w:t>all</w:t>
      </w:r>
      <w:r>
        <w:t xml:space="preserve"> organisations.</w:t>
      </w:r>
    </w:p>
    <w:p w14:paraId="4EAF3DBF" w14:textId="0AE1AC15" w:rsidR="0003438B" w:rsidRDefault="0003438B" w:rsidP="0003438B">
      <w:pPr>
        <w:pStyle w:val="BodyText"/>
      </w:pPr>
      <w:r>
        <w:t>Where diffusion consists of making an investment, this can move a business closer to the ‘technology’</w:t>
      </w:r>
      <w:r w:rsidRPr="000C2244">
        <w:rPr>
          <w:rStyle w:val="FootnoteReference"/>
        </w:rPr>
        <w:footnoteReference w:id="5"/>
      </w:r>
      <w:r>
        <w:t xml:space="preserve"> mix of frontier businesses. But the investment entails costs, such as any equipment or software purchases, staff re</w:t>
      </w:r>
      <w:r>
        <w:noBreakHyphen/>
        <w:t>skilling, and organisational changes needed for adoption. If those costs are not adequately offset by increased returns, then adoption reduces the firm’s income, though it may still increase labour productivity.</w:t>
      </w:r>
    </w:p>
    <w:p w14:paraId="33E0ADD7" w14:textId="628DC3B6" w:rsidR="0003438B" w:rsidRPr="0018764D" w:rsidRDefault="0003438B" w:rsidP="0003438B">
      <w:pPr>
        <w:pStyle w:val="BodyText"/>
        <w:rPr>
          <w:spacing w:val="-2"/>
        </w:rPr>
      </w:pPr>
      <w:r w:rsidRPr="0018764D">
        <w:rPr>
          <w:spacing w:val="-2"/>
        </w:rPr>
        <w:t xml:space="preserve">Organisations vary in their capability to absorb existing technologies and in their need for them. So for some organisations, adopting an innovation later, if at all, may be a better strategy </w:t>
      </w:r>
      <w:r w:rsidRPr="0018764D">
        <w:rPr>
          <w:rFonts w:cs="Arial"/>
          <w:spacing w:val="-2"/>
          <w:szCs w:val="24"/>
        </w:rPr>
        <w:t>(</w:t>
      </w:r>
      <w:proofErr w:type="spellStart"/>
      <w:r w:rsidRPr="0018764D">
        <w:rPr>
          <w:rFonts w:cs="Arial"/>
          <w:spacing w:val="-2"/>
          <w:szCs w:val="24"/>
        </w:rPr>
        <w:t>Geroski</w:t>
      </w:r>
      <w:proofErr w:type="spellEnd"/>
      <w:r w:rsidRPr="0018764D">
        <w:rPr>
          <w:rFonts w:cs="Arial"/>
          <w:spacing w:val="-2"/>
          <w:szCs w:val="24"/>
        </w:rPr>
        <w:t> 2000)</w:t>
      </w:r>
      <w:r w:rsidRPr="0018764D">
        <w:rPr>
          <w:spacing w:val="-2"/>
        </w:rPr>
        <w:t>. This allows them to obtain new technologies at lower prices, to draw on a growing pool of people familiar with the technology and to use the lessons learned from early adopters, whether in Australia or more likely overseas. Waiting can also reduce the risk of committing to path</w:t>
      </w:r>
      <w:r w:rsidRPr="0018764D">
        <w:rPr>
          <w:spacing w:val="-2"/>
        </w:rPr>
        <w:noBreakHyphen/>
        <w:t>dependent technologies that may be sub</w:t>
      </w:r>
      <w:r w:rsidRPr="0018764D">
        <w:rPr>
          <w:spacing w:val="-2"/>
        </w:rPr>
        <w:noBreakHyphen/>
        <w:t>optimal in the long run.</w:t>
      </w:r>
    </w:p>
    <w:p w14:paraId="4D79E8B2" w14:textId="25B63A8C" w:rsidR="0003438B" w:rsidRPr="0018764D" w:rsidRDefault="0003438B" w:rsidP="0003438B">
      <w:pPr>
        <w:pStyle w:val="BodyText"/>
        <w:rPr>
          <w:spacing w:val="-4"/>
        </w:rPr>
      </w:pPr>
      <w:r w:rsidRPr="0018764D">
        <w:rPr>
          <w:spacing w:val="-4"/>
        </w:rPr>
        <w:t>For other businesses, diffusion of a productivity</w:t>
      </w:r>
      <w:r w:rsidRPr="0018764D">
        <w:rPr>
          <w:spacing w:val="-4"/>
        </w:rPr>
        <w:noBreakHyphen/>
        <w:t xml:space="preserve">promoting technology requires complementary investments and other changes to their processes. For instance, effective digitalisation of businesses requires skills and integration of systems, yet nearly 60 per cent of Australian SMEs experience ‘bad digitalisation’ </w:t>
      </w:r>
      <w:r w:rsidR="00FC4D74" w:rsidRPr="0018764D">
        <w:rPr>
          <w:rFonts w:cs="Arial"/>
          <w:spacing w:val="-4"/>
          <w:szCs w:val="24"/>
        </w:rPr>
        <w:t>(MYOB 2022)</w:t>
      </w:r>
      <w:r w:rsidRPr="0018764D">
        <w:rPr>
          <w:spacing w:val="-4"/>
        </w:rPr>
        <w:t>.</w:t>
      </w:r>
    </w:p>
    <w:p w14:paraId="58E0DB77" w14:textId="5056112E" w:rsidR="0003438B" w:rsidRDefault="0003438B" w:rsidP="0003438B">
      <w:pPr>
        <w:pStyle w:val="BodyText"/>
      </w:pPr>
      <w:r>
        <w:lastRenderedPageBreak/>
        <w:t>Some firms are ‘</w:t>
      </w:r>
      <w:proofErr w:type="spellStart"/>
      <w:r>
        <w:t>satisficers</w:t>
      </w:r>
      <w:proofErr w:type="spellEnd"/>
      <w:r>
        <w:t>’, and do not necessarily want to advance much towards the frontier or have little realistic prospect of transforming their businesses. These might be pejoratively called ‘laggards’, but they can serve people’s lifestyle choices and may improve labour market efficiency in some cases.</w:t>
      </w:r>
    </w:p>
    <w:p w14:paraId="45504629" w14:textId="4E21DED7" w:rsidR="0003438B" w:rsidRDefault="0003438B" w:rsidP="0003438B">
      <w:pPr>
        <w:pStyle w:val="Quote"/>
      </w:pPr>
      <w:r>
        <w:t xml:space="preserve">… some of the laggards with limited scope for growth, such as some family businesses, may still support employment, in particular for workers with </w:t>
      </w:r>
      <w:proofErr w:type="gramStart"/>
      <w:r>
        <w:t>lower than average</w:t>
      </w:r>
      <w:proofErr w:type="gramEnd"/>
      <w:r>
        <w:t xml:space="preserve"> employability and in lagging regions. </w:t>
      </w:r>
      <w:r w:rsidRPr="00631963">
        <w:rPr>
          <w:rFonts w:ascii="Arial" w:hAnsi="Arial" w:cs="Arial"/>
          <w:szCs w:val="24"/>
        </w:rPr>
        <w:t>(</w:t>
      </w:r>
      <w:proofErr w:type="spellStart"/>
      <w:r w:rsidRPr="00631963">
        <w:rPr>
          <w:rFonts w:ascii="Arial" w:hAnsi="Arial" w:cs="Arial"/>
          <w:szCs w:val="24"/>
        </w:rPr>
        <w:t>Berlingieri</w:t>
      </w:r>
      <w:proofErr w:type="spellEnd"/>
      <w:r w:rsidRPr="00631963">
        <w:rPr>
          <w:rFonts w:ascii="Arial" w:hAnsi="Arial" w:cs="Arial"/>
          <w:szCs w:val="24"/>
        </w:rPr>
        <w:t xml:space="preserve"> et al. 2020, p. 20)</w:t>
      </w:r>
    </w:p>
    <w:p w14:paraId="33A07C3F" w14:textId="7D7ED2E6" w:rsidR="0003438B" w:rsidRDefault="0003438B" w:rsidP="0003438B">
      <w:pPr>
        <w:pStyle w:val="BodyText"/>
      </w:pPr>
      <w:r>
        <w:t>In meetings with various industry associations, the Commission was often told about business owners — typically of smaller businesses — who have little time to put aside to focus on innovation or future</w:t>
      </w:r>
      <w:r w:rsidR="006B3635">
        <w:noBreakHyphen/>
      </w:r>
      <w:r>
        <w:t>looking business strategies. For these businesses, the impetus for change comes from external advice (by their accountants for example) or from impending closure.</w:t>
      </w:r>
    </w:p>
    <w:p w14:paraId="2ECB3F33" w14:textId="66868BC5" w:rsidR="0003438B" w:rsidRPr="00D77C79" w:rsidRDefault="0003438B" w:rsidP="0003438B">
      <w:pPr>
        <w:pStyle w:val="BodyText"/>
        <w:rPr>
          <w:spacing w:val="-4"/>
        </w:rPr>
      </w:pPr>
      <w:r w:rsidRPr="00D77C79">
        <w:rPr>
          <w:spacing w:val="-4"/>
        </w:rPr>
        <w:t>Moreover, in some cases, a new technology or organisational innovation has limited applicability to many businesses, such that their absence is not a problem. For example, the take</w:t>
      </w:r>
      <w:r w:rsidR="000565F7" w:rsidRPr="00D77C79">
        <w:rPr>
          <w:spacing w:val="-4"/>
        </w:rPr>
        <w:noBreakHyphen/>
      </w:r>
      <w:r w:rsidRPr="00D77C79">
        <w:rPr>
          <w:spacing w:val="-4"/>
        </w:rPr>
        <w:t>up of working from home — spurred by lockdowns and COVID</w:t>
      </w:r>
      <w:r w:rsidR="000565F7" w:rsidRPr="00D77C79">
        <w:rPr>
          <w:spacing w:val="-4"/>
        </w:rPr>
        <w:noBreakHyphen/>
      </w:r>
      <w:r w:rsidRPr="00D77C79">
        <w:rPr>
          <w:spacing w:val="-4"/>
        </w:rPr>
        <w:t xml:space="preserve">19 infection risks — represented a new, or at least more frequently, adopted way of organising work. Its diffusion amongst businesses was variable, but in many instances, a low rate of adoption is desirable (or inevitable) given the nature of the businesses. Very few businesses in accommodation, food services and construction have any significant share of their workforce working from home as their businesses rely on workers being physically present at the location of production </w:t>
      </w:r>
      <w:r w:rsidR="00936D73" w:rsidRPr="00D77C79">
        <w:rPr>
          <w:rFonts w:cs="Arial"/>
          <w:spacing w:val="-4"/>
          <w:szCs w:val="24"/>
        </w:rPr>
        <w:t>(PC 2021f, p. 16)</w:t>
      </w:r>
      <w:r w:rsidRPr="00D77C79">
        <w:rPr>
          <w:spacing w:val="-4"/>
        </w:rPr>
        <w:t>.</w:t>
      </w:r>
    </w:p>
    <w:p w14:paraId="464457DA" w14:textId="6996AE04" w:rsidR="0003438B" w:rsidRDefault="0003438B" w:rsidP="0003438B">
      <w:pPr>
        <w:pStyle w:val="BodyText"/>
      </w:pPr>
      <w:r>
        <w:t xml:space="preserve">The Commission’s analysis of cloud computing further illustrates the complexity of firm variations in adoption of technology </w:t>
      </w:r>
      <w:r w:rsidR="00FC34CA" w:rsidRPr="00FC34CA">
        <w:rPr>
          <w:rFonts w:ascii="Arial" w:hAnsi="Arial" w:cs="Arial"/>
          <w:szCs w:val="24"/>
        </w:rPr>
        <w:t>(McMillan et al. 2022)</w:t>
      </w:r>
      <w:r>
        <w:t>. We found four groups of businesses — those who adopted cloud services and benefitted from them (</w:t>
      </w:r>
      <w:r w:rsidRPr="00212C9C">
        <w:rPr>
          <w:i/>
          <w:iCs/>
        </w:rPr>
        <w:t>leaders</w:t>
      </w:r>
      <w:r>
        <w:t>), those who did not adopt and should not have (</w:t>
      </w:r>
      <w:r w:rsidRPr="00212C9C">
        <w:rPr>
          <w:i/>
          <w:iCs/>
        </w:rPr>
        <w:t>wise non</w:t>
      </w:r>
      <w:r>
        <w:rPr>
          <w:i/>
          <w:iCs/>
        </w:rPr>
        <w:noBreakHyphen/>
      </w:r>
      <w:r w:rsidRPr="00212C9C">
        <w:rPr>
          <w:i/>
          <w:iCs/>
        </w:rPr>
        <w:t>adopters</w:t>
      </w:r>
      <w:r>
        <w:t>), those who adopted them but should not have (</w:t>
      </w:r>
      <w:r w:rsidRPr="00212C9C">
        <w:rPr>
          <w:i/>
          <w:iCs/>
        </w:rPr>
        <w:t>‘naïve’ leaders</w:t>
      </w:r>
      <w:r>
        <w:t>), and finally those that did not adopt, but should have (</w:t>
      </w:r>
      <w:r w:rsidRPr="00EA229D">
        <w:rPr>
          <w:i/>
          <w:iCs/>
        </w:rPr>
        <w:t>true</w:t>
      </w:r>
      <w:r>
        <w:t xml:space="preserve"> </w:t>
      </w:r>
      <w:r w:rsidRPr="00212C9C">
        <w:rPr>
          <w:i/>
          <w:iCs/>
        </w:rPr>
        <w:t>laggards</w:t>
      </w:r>
      <w:r>
        <w:t>). A policy and economic environment that limits the significance of naïve leaders and laggards will tend to improve productivity.</w:t>
      </w:r>
    </w:p>
    <w:p w14:paraId="46EB153F" w14:textId="3FE49FF9" w:rsidR="0003438B" w:rsidRDefault="0003438B" w:rsidP="0003438B">
      <w:pPr>
        <w:pStyle w:val="BodyText"/>
      </w:pPr>
      <w:r>
        <w:t>Finally, the resources for being at the frontier are scarce in Australia, regardless of whether the organisation is private, public sector or not</w:t>
      </w:r>
      <w:r>
        <w:noBreakHyphen/>
        <w:t>for</w:t>
      </w:r>
      <w:r>
        <w:noBreakHyphen/>
        <w:t>profit. For example, one of the challenges for many social programs is that they rely on highly skilled and motivated staff and managers, who are in short supply, meaning that complete diffusion of best practice is not feasible.</w:t>
      </w:r>
    </w:p>
    <w:p w14:paraId="439ADD90" w14:textId="77777777" w:rsidR="0003438B" w:rsidRDefault="0003438B" w:rsidP="0003438B">
      <w:pPr>
        <w:pStyle w:val="Heading2"/>
      </w:pPr>
      <w:bookmarkStart w:id="34" w:name="_Toc113969652"/>
      <w:r>
        <w:t>How does Australia fare?</w:t>
      </w:r>
      <w:bookmarkEnd w:id="34"/>
    </w:p>
    <w:p w14:paraId="2732C8B0" w14:textId="77777777" w:rsidR="0003438B" w:rsidRDefault="0003438B" w:rsidP="0003438B">
      <w:pPr>
        <w:pStyle w:val="Heading3-noTOC"/>
      </w:pPr>
      <w:r>
        <w:t>The static picture</w:t>
      </w:r>
    </w:p>
    <w:p w14:paraId="6249C693" w14:textId="6BBD50B3" w:rsidR="0003438B" w:rsidRDefault="0003438B" w:rsidP="0003438B">
      <w:pPr>
        <w:pStyle w:val="BodyText"/>
      </w:pPr>
      <w:r>
        <w:t xml:space="preserve">Most Australian businesses do not introduce </w:t>
      </w:r>
      <w:r w:rsidRPr="004D286C">
        <w:t xml:space="preserve">new or </w:t>
      </w:r>
      <w:r w:rsidRPr="00DF691F">
        <w:rPr>
          <w:i/>
          <w:iCs/>
        </w:rPr>
        <w:t>significantly</w:t>
      </w:r>
      <w:r w:rsidRPr="004D286C">
        <w:t xml:space="preserve"> improved</w:t>
      </w:r>
      <w:r>
        <w:t xml:space="preserve"> products or processes (the usual measure of innovation). For example, i</w:t>
      </w:r>
      <w:r w:rsidRPr="00BB7821">
        <w:t>n the two years ending mid</w:t>
      </w:r>
      <w:r w:rsidRPr="00BB7821">
        <w:noBreakHyphen/>
        <w:t xml:space="preserve">2021, </w:t>
      </w:r>
      <w:r w:rsidRPr="00ED46E8">
        <w:t>almost</w:t>
      </w:r>
      <w:r w:rsidRPr="00BB7821">
        <w:t xml:space="preserve"> 80 per cent of Australian businesses did not introduce any (significant) new good or service, and </w:t>
      </w:r>
      <w:r w:rsidRPr="00ED46E8">
        <w:t>over</w:t>
      </w:r>
      <w:r w:rsidRPr="00BB7821">
        <w:t xml:space="preserve"> 60 per cent did not introduce a new process</w:t>
      </w:r>
      <w:r>
        <w:t xml:space="preserve"> </w:t>
      </w:r>
      <w:r w:rsidR="00936D73" w:rsidRPr="00936D73">
        <w:rPr>
          <w:rFonts w:ascii="Arial" w:hAnsi="Arial" w:cs="Arial"/>
          <w:szCs w:val="24"/>
        </w:rPr>
        <w:t>(ABS 2022c)</w:t>
      </w:r>
      <w:r>
        <w:t xml:space="preserve">. And far fewer Australian businesses are at the global frontier in respect to innovation — over the same period, </w:t>
      </w:r>
      <w:r w:rsidRPr="004E4ABF">
        <w:t>more than 98 percent of businesses did not introduce any goods or services that were new to the world and almost 99 per cent did not introduce any processes that were new to the world.</w:t>
      </w:r>
      <w:r>
        <w:t xml:space="preserve"> Looking at this tiny group of firms therefore misses the bulk of innovators.</w:t>
      </w:r>
    </w:p>
    <w:p w14:paraId="4353EFE9" w14:textId="114D7AD5" w:rsidR="0003438B" w:rsidRPr="00BB3CE8" w:rsidRDefault="0003438B" w:rsidP="0003438B">
      <w:pPr>
        <w:pStyle w:val="BodyText"/>
        <w:rPr>
          <w:spacing w:val="-4"/>
        </w:rPr>
      </w:pPr>
      <w:r w:rsidRPr="00BB3CE8">
        <w:rPr>
          <w:spacing w:val="-4"/>
        </w:rPr>
        <w:t>When businesses do innovate, the new products or processes are usually only new to the business — which is one measure of diffusion since such innovation draws on other established products and processes (figure 1.2).</w:t>
      </w:r>
    </w:p>
    <w:p w14:paraId="062796D0" w14:textId="4BBD98B4" w:rsidR="0003438B" w:rsidRPr="00BB3CE8" w:rsidRDefault="0003438B" w:rsidP="0003438B">
      <w:pPr>
        <w:pStyle w:val="BodyText"/>
        <w:rPr>
          <w:spacing w:val="-2"/>
        </w:rPr>
      </w:pPr>
      <w:r w:rsidRPr="00BB3CE8">
        <w:rPr>
          <w:spacing w:val="-2"/>
        </w:rPr>
        <w:t>These figures underestimate the importance of diffusion. These modest incremental low</w:t>
      </w:r>
      <w:r w:rsidRPr="00BB3CE8">
        <w:rPr>
          <w:spacing w:val="-2"/>
        </w:rPr>
        <w:noBreakHyphen/>
        <w:t xml:space="preserve">cost changes to a business’ processes, goods and services (‘micro innovation’) that underpin much diffusion are not classified as </w:t>
      </w:r>
      <w:r w:rsidRPr="00BB3CE8">
        <w:rPr>
          <w:spacing w:val="-2"/>
        </w:rPr>
        <w:lastRenderedPageBreak/>
        <w:t>innovation even though such changes shift them closer to the frontier of the most productive firms. It is doubtful that the last Australian business to relinquish a typewriter (for readers aged 30 years or less, this is a ‘mechanical or electromechanical machine for typing characters’) for a computer conceived this as innovation.</w:t>
      </w:r>
    </w:p>
    <w:p w14:paraId="37D162E2" w14:textId="158426E1" w:rsidR="0003438B" w:rsidRDefault="0003438B" w:rsidP="0003438B">
      <w:pPr>
        <w:pStyle w:val="BodyText"/>
      </w:pPr>
      <w:r>
        <w:t>In many cases, micro innovation creeps up on organisations because it is forced on them in response to the demands of others. Cash</w:t>
      </w:r>
      <w:r>
        <w:noBreakHyphen/>
        <w:t>free transactions, for example, became essential for many organisations during the COVID</w:t>
      </w:r>
      <w:r>
        <w:noBreakHyphen/>
        <w:t>19 pandemic as did online ordering and video</w:t>
      </w:r>
      <w:r>
        <w:noBreakHyphen/>
        <w:t xml:space="preserve">conferencing. The Restaurant and Catering Association told the Commission that most cafes and restaurants now use Uber Eats/Deliveroo </w:t>
      </w:r>
      <w:r w:rsidR="00144DF8">
        <w:t>(R</w:t>
      </w:r>
      <w:r w:rsidR="004B4E3B">
        <w:t>&amp;</w:t>
      </w:r>
      <w:r w:rsidR="00144DF8">
        <w:t xml:space="preserve">CA, pers. comm., 9 June 2022) </w:t>
      </w:r>
      <w:r w:rsidR="00B24F69">
        <w:t>—</w:t>
      </w:r>
      <w:r>
        <w:t xml:space="preserve"> a massive uptake of technology compared with their previous models of delivery. Most regulators have relinquished paper forms (their own micro</w:t>
      </w:r>
      <w:r w:rsidR="008E66BB">
        <w:t xml:space="preserve"> </w:t>
      </w:r>
      <w:r>
        <w:t>innovation), which in turn has required the regulated to go online. New equipment incorporates new technologies that require them to learn new skills and make organisational changes to use the equipment effectively. For example, new heavy vehicles have additional safety measures that their drivers and owners must understand and use, while mechanics for such equipment must acquire new skills (and diagnostic equipment).</w:t>
      </w:r>
    </w:p>
    <w:p w14:paraId="76CB5037" w14:textId="7F3EA84C" w:rsidR="0003438B" w:rsidRPr="00146382" w:rsidRDefault="0003438B" w:rsidP="0003438B">
      <w:pPr>
        <w:pStyle w:val="FigureTableHeading"/>
      </w:pPr>
      <w:r>
        <w:t>Figure </w:t>
      </w:r>
      <w:bookmarkStart w:id="35" w:name="OLE_LINK2"/>
      <w:r>
        <w:rPr>
          <w:noProof/>
        </w:rPr>
        <w:t>1</w:t>
      </w:r>
      <w:r>
        <w:t>.</w:t>
      </w:r>
      <w:r>
        <w:rPr>
          <w:noProof/>
        </w:rPr>
        <w:t>2</w:t>
      </w:r>
      <w:bookmarkEnd w:id="35"/>
      <w:r>
        <w:rPr>
          <w:noProof/>
        </w:rPr>
        <w:t xml:space="preserve"> </w:t>
      </w:r>
      <w:r>
        <w:t xml:space="preserve">– Most Australian business innovations are only new to the </w:t>
      </w:r>
      <w:proofErr w:type="spellStart"/>
      <w:r>
        <w:t>firm</w:t>
      </w:r>
      <w:r w:rsidRPr="00066CF5">
        <w:rPr>
          <w:vertAlign w:val="superscript"/>
        </w:rPr>
        <w:t>a</w:t>
      </w:r>
      <w:proofErr w:type="spellEnd"/>
    </w:p>
    <w:p w14:paraId="70D13F32" w14:textId="77777777" w:rsidR="0003438B" w:rsidRDefault="0003438B" w:rsidP="0003438B">
      <w:pPr>
        <w:pStyle w:val="FigureTableSubheading"/>
        <w:keepLines/>
      </w:pPr>
      <w:r>
        <w:t>Product and process innovation, 2 years ending June 2021</w:t>
      </w:r>
    </w:p>
    <w:p w14:paraId="26724CB0" w14:textId="641386FF" w:rsidR="0003438B" w:rsidRPr="005550A0" w:rsidRDefault="008E12EC" w:rsidP="0003438B">
      <w:pPr>
        <w:pStyle w:val="BodyText"/>
      </w:pPr>
      <w:r w:rsidRPr="008E12EC">
        <w:rPr>
          <w:noProof/>
        </w:rPr>
        <w:drawing>
          <wp:inline distT="0" distB="0" distL="0" distR="0" wp14:anchorId="65893514" wp14:editId="276A337B">
            <wp:extent cx="5832000" cy="2568660"/>
            <wp:effectExtent l="0" t="0" r="0" b="3175"/>
            <wp:docPr id="17" name="Picture 17" descr="This figure shows the share of innovating businesses that engage in product and process innovations that are new to the world, new to Australia, new to their industry or new to their business only; covering the period over 2 years ending June 2021. It shows that most business innovations are only new to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the share of innovating businesses that engage in product and process innovations that are new to the world, new to Australia, new to their industry or new to their business only; covering the period over 2 years ending June 2021. It shows that most business innovations are only new to businesses."/>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l="5172"/>
                    <a:stretch/>
                  </pic:blipFill>
                  <pic:spPr bwMode="auto">
                    <a:xfrm>
                      <a:off x="0" y="0"/>
                      <a:ext cx="5832000" cy="2568660"/>
                    </a:xfrm>
                    <a:prstGeom prst="rect">
                      <a:avLst/>
                    </a:prstGeom>
                    <a:noFill/>
                    <a:ln>
                      <a:noFill/>
                    </a:ln>
                    <a:extLst>
                      <a:ext uri="{53640926-AAD7-44D8-BBD7-CCE9431645EC}">
                        <a14:shadowObscured xmlns:a14="http://schemas.microsoft.com/office/drawing/2010/main"/>
                      </a:ext>
                    </a:extLst>
                  </pic:spPr>
                </pic:pic>
              </a:graphicData>
            </a:graphic>
          </wp:inline>
        </w:drawing>
      </w:r>
    </w:p>
    <w:p w14:paraId="09F4C898" w14:textId="77777777" w:rsidR="0003438B" w:rsidRDefault="0003438B" w:rsidP="0003438B">
      <w:pPr>
        <w:pStyle w:val="Note"/>
        <w:keepLines/>
      </w:pPr>
      <w:r w:rsidRPr="00180E66">
        <w:rPr>
          <w:b/>
          <w:bCs/>
        </w:rPr>
        <w:t>a.</w:t>
      </w:r>
      <w:r>
        <w:t xml:space="preserve"> </w:t>
      </w:r>
      <w:r w:rsidRPr="00D9704F">
        <w:t>Process innovations include new or improved methods for producing goods and services; organisational forms; and marketing methods.</w:t>
      </w:r>
      <w:r>
        <w:t xml:space="preserve"> </w:t>
      </w:r>
    </w:p>
    <w:p w14:paraId="0EC01BBB" w14:textId="0F75F415" w:rsidR="0003438B" w:rsidRDefault="0003438B" w:rsidP="0003438B">
      <w:pPr>
        <w:pStyle w:val="Source"/>
      </w:pPr>
      <w:r w:rsidRPr="00696447">
        <w:t xml:space="preserve">Source: </w:t>
      </w:r>
      <w:r>
        <w:t xml:space="preserve">ABS </w:t>
      </w:r>
      <w:r w:rsidR="00820D64">
        <w:t>(</w:t>
      </w:r>
      <w:r w:rsidRPr="006D4D6B">
        <w:rPr>
          <w:i/>
          <w:iCs/>
        </w:rPr>
        <w:t>Characteristics of Australian Business, 2020</w:t>
      </w:r>
      <w:r>
        <w:rPr>
          <w:i/>
          <w:iCs/>
        </w:rPr>
        <w:noBreakHyphen/>
      </w:r>
      <w:r w:rsidRPr="006D4D6B">
        <w:rPr>
          <w:i/>
          <w:iCs/>
        </w:rPr>
        <w:t>21</w:t>
      </w:r>
      <w:r w:rsidR="007B3ABC">
        <w:rPr>
          <w:i/>
          <w:iCs/>
        </w:rPr>
        <w:t xml:space="preserve"> financial year</w:t>
      </w:r>
      <w:r>
        <w:t xml:space="preserve">, Cat. No. </w:t>
      </w:r>
      <w:r w:rsidRPr="006D4D6B">
        <w:t>8158</w:t>
      </w:r>
      <w:r w:rsidRPr="00696447">
        <w:t>.</w:t>
      </w:r>
      <w:r w:rsidR="007B3ABC">
        <w:t>0)</w:t>
      </w:r>
      <w:r w:rsidRPr="00696447">
        <w:t>.</w:t>
      </w:r>
    </w:p>
    <w:p w14:paraId="7AF4845C" w14:textId="5A690BE3" w:rsidR="0003438B" w:rsidRDefault="0003438B" w:rsidP="0003438B">
      <w:pPr>
        <w:pStyle w:val="BodyText"/>
      </w:pPr>
      <w:r>
        <w:t xml:space="preserve">While it is difficult to measure the degree of micro innovation in Australia and the barriers to it, the management practices of businesses provide some indication of their capacity to make even small productive changes. Firms using advanced management practices have been shown to be more productive across a broad range of countries </w:t>
      </w:r>
      <w:r w:rsidRPr="00CE36A7">
        <w:rPr>
          <w:rFonts w:ascii="Arial" w:hAnsi="Arial" w:cs="Arial"/>
          <w:szCs w:val="24"/>
        </w:rPr>
        <w:t xml:space="preserve">(Bloom, </w:t>
      </w:r>
      <w:proofErr w:type="spellStart"/>
      <w:r w:rsidRPr="00CE36A7">
        <w:rPr>
          <w:rFonts w:ascii="Arial" w:hAnsi="Arial" w:cs="Arial"/>
          <w:szCs w:val="24"/>
        </w:rPr>
        <w:t>Sadun</w:t>
      </w:r>
      <w:proofErr w:type="spellEnd"/>
      <w:r w:rsidRPr="00CE36A7">
        <w:rPr>
          <w:rFonts w:ascii="Arial" w:hAnsi="Arial" w:cs="Arial"/>
          <w:szCs w:val="24"/>
        </w:rPr>
        <w:t xml:space="preserve"> and Van Reenen 2017, pp. 16–17; Bloom and Van Reenen 2007, pp. 1368–1371; </w:t>
      </w:r>
      <w:proofErr w:type="spellStart"/>
      <w:r w:rsidRPr="00CE36A7">
        <w:rPr>
          <w:rFonts w:ascii="Arial" w:hAnsi="Arial" w:cs="Arial"/>
          <w:szCs w:val="24"/>
        </w:rPr>
        <w:t>Criscuolo</w:t>
      </w:r>
      <w:proofErr w:type="spellEnd"/>
      <w:r w:rsidRPr="00CE36A7">
        <w:rPr>
          <w:rFonts w:ascii="Arial" w:hAnsi="Arial" w:cs="Arial"/>
          <w:szCs w:val="24"/>
        </w:rPr>
        <w:t xml:space="preserve"> et al. 2021, pp. 23–31; O’Neill, </w:t>
      </w:r>
      <w:proofErr w:type="spellStart"/>
      <w:r w:rsidRPr="00CE36A7">
        <w:rPr>
          <w:rFonts w:ascii="Arial" w:hAnsi="Arial" w:cs="Arial"/>
          <w:szCs w:val="24"/>
        </w:rPr>
        <w:t>Sohal</w:t>
      </w:r>
      <w:proofErr w:type="spellEnd"/>
      <w:r w:rsidRPr="00CE36A7">
        <w:rPr>
          <w:rFonts w:ascii="Arial" w:hAnsi="Arial" w:cs="Arial"/>
          <w:szCs w:val="24"/>
        </w:rPr>
        <w:t xml:space="preserve"> and Teng 2016)</w:t>
      </w:r>
      <w:r>
        <w:t xml:space="preserve">, including Australia </w:t>
      </w:r>
      <w:r w:rsidRPr="0057297F">
        <w:rPr>
          <w:rFonts w:ascii="Arial" w:hAnsi="Arial" w:cs="Arial"/>
          <w:szCs w:val="24"/>
        </w:rPr>
        <w:t>(Agarwal et al. 2014, p. 6497)</w:t>
      </w:r>
      <w:r>
        <w:t xml:space="preserve">. Management training also has large and persistent effects on firm performance over time </w:t>
      </w:r>
      <w:r w:rsidRPr="00322EB2">
        <w:rPr>
          <w:rFonts w:ascii="Arial" w:hAnsi="Arial" w:cs="Arial"/>
          <w:szCs w:val="24"/>
        </w:rPr>
        <w:t>(</w:t>
      </w:r>
      <w:proofErr w:type="spellStart"/>
      <w:r w:rsidRPr="00322EB2">
        <w:rPr>
          <w:rFonts w:ascii="Arial" w:hAnsi="Arial" w:cs="Arial"/>
          <w:szCs w:val="24"/>
        </w:rPr>
        <w:t>Giorcelli</w:t>
      </w:r>
      <w:proofErr w:type="spellEnd"/>
      <w:r w:rsidRPr="00322EB2">
        <w:rPr>
          <w:rFonts w:ascii="Arial" w:hAnsi="Arial" w:cs="Arial"/>
          <w:szCs w:val="24"/>
        </w:rPr>
        <w:t> 2019, p. 139)</w:t>
      </w:r>
      <w:r>
        <w:t>. The OECD estimates that the productivity gains from upskilling managers could be three times higher than for upskilling workers,</w:t>
      </w:r>
      <w:r w:rsidRPr="00092A24">
        <w:rPr>
          <w:rStyle w:val="FootnoteReference"/>
        </w:rPr>
        <w:footnoteReference w:id="6"/>
      </w:r>
      <w:r>
        <w:t xml:space="preserve"> with significant gains in less knowledge</w:t>
      </w:r>
      <w:r>
        <w:noBreakHyphen/>
        <w:t xml:space="preserve">intensive services like wholesale and retail trade and transport </w:t>
      </w:r>
      <w:r w:rsidRPr="00DE5523">
        <w:rPr>
          <w:rFonts w:ascii="Arial" w:hAnsi="Arial" w:cs="Arial"/>
          <w:szCs w:val="24"/>
        </w:rPr>
        <w:t>(</w:t>
      </w:r>
      <w:proofErr w:type="spellStart"/>
      <w:r w:rsidRPr="00DE5523">
        <w:rPr>
          <w:rFonts w:ascii="Arial" w:hAnsi="Arial" w:cs="Arial"/>
          <w:szCs w:val="24"/>
        </w:rPr>
        <w:t>Criscuolo</w:t>
      </w:r>
      <w:proofErr w:type="spellEnd"/>
      <w:r w:rsidRPr="00DE5523">
        <w:rPr>
          <w:rFonts w:ascii="Arial" w:hAnsi="Arial" w:cs="Arial"/>
          <w:szCs w:val="24"/>
        </w:rPr>
        <w:t xml:space="preserve"> et al. 2021, pp. 28–29)</w:t>
      </w:r>
      <w:r>
        <w:t>.</w:t>
      </w:r>
    </w:p>
    <w:p w14:paraId="1186BCCE" w14:textId="608A1DB6" w:rsidR="0003438B" w:rsidRDefault="0003438B" w:rsidP="0003438B">
      <w:pPr>
        <w:pStyle w:val="BodyText"/>
      </w:pPr>
      <w:r>
        <w:lastRenderedPageBreak/>
        <w:t>Evidence on the practices of Australian managers suggest that many do not examine key performance aspects of their businesses, which acts as a barrier to making changes (figure </w:t>
      </w:r>
      <w:r w:rsidR="00946388">
        <w:t>1.3</w:t>
      </w:r>
      <w:r>
        <w:t xml:space="preserve">). A composite score of overall management capability among Australian businesses shows that capabilities are at the lower end of the possible scores between 0 and 1 </w:t>
      </w:r>
      <w:r w:rsidRPr="008D31AC">
        <w:rPr>
          <w:rFonts w:ascii="Arial" w:hAnsi="Arial" w:cs="Arial"/>
          <w:szCs w:val="24"/>
        </w:rPr>
        <w:t>(figure 1.4 and Agarwal et al. 2019)</w:t>
      </w:r>
      <w:r>
        <w:t xml:space="preserve">. Digital management skills are relatively low compared </w:t>
      </w:r>
      <w:r w:rsidR="00037118">
        <w:t>with</w:t>
      </w:r>
      <w:r>
        <w:t xml:space="preserve"> other management skills. As expected, management capability is positively associated with differences in productivity. An increase in the overall management capability score of 0.1 is associated with a 6.2 per cent increase in labour productivity (ibid p. 28).</w:t>
      </w:r>
    </w:p>
    <w:p w14:paraId="7905D637" w14:textId="77777777" w:rsidR="0003438B" w:rsidRPr="00146382" w:rsidRDefault="0003438B" w:rsidP="0003438B">
      <w:pPr>
        <w:pStyle w:val="FigureTableHeading"/>
      </w:pPr>
      <w:r>
        <w:t>Figure </w:t>
      </w:r>
      <w:bookmarkStart w:id="36" w:name="OLE_LINK21"/>
      <w:r>
        <w:t>1.3</w:t>
      </w:r>
      <w:bookmarkEnd w:id="36"/>
      <w:r>
        <w:rPr>
          <w:noProof/>
        </w:rPr>
        <w:t xml:space="preserve"> </w:t>
      </w:r>
      <w:r>
        <w:t>– Many Australian businesses undertake little or no assessment of their performance</w:t>
      </w:r>
    </w:p>
    <w:p w14:paraId="6FF802B3" w14:textId="77777777" w:rsidR="0003438B" w:rsidRDefault="0003438B" w:rsidP="0003438B">
      <w:pPr>
        <w:pStyle w:val="FigureTableSubheading"/>
        <w:keepLines/>
      </w:pPr>
      <w:r>
        <w:t>2019</w:t>
      </w:r>
      <w:r>
        <w:noBreakHyphen/>
        <w:t>20</w:t>
      </w:r>
    </w:p>
    <w:p w14:paraId="188C7DA6" w14:textId="24A02441" w:rsidR="0003438B" w:rsidRDefault="0003438B" w:rsidP="0003438B">
      <w:pPr>
        <w:pStyle w:val="Note"/>
        <w:keepLines/>
      </w:pPr>
      <w:r w:rsidRPr="00034935">
        <w:rPr>
          <w:noProof/>
        </w:rPr>
        <w:drawing>
          <wp:inline distT="0" distB="0" distL="0" distR="0" wp14:anchorId="5B6B4007" wp14:editId="356CEF3C">
            <wp:extent cx="6120130" cy="2736215"/>
            <wp:effectExtent l="0" t="0" r="0" b="0"/>
            <wp:docPr id="15" name="Picture 15" descr="This figure shows the share of businesses which undertook assessment of their performance in 2018-19 across six kinds of measures: innovation, cost, human resource, quality, financial, and operational. It shows that depending on the kinds of measure, 30%-60% of businesses either did not undertake any assessment at all, or only undertook assessment to a small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the share of businesses which undertook assessment of their performance in 2018-19 across six kinds of measures: innovation, cost, human resource, quality, financial, and operational. It shows that depending on the kinds of measure, 30%-60% of businesses either did not undertake any assessment at all, or only undertook assessment to a small extent."/>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120130" cy="2736215"/>
                    </a:xfrm>
                    <a:prstGeom prst="rect">
                      <a:avLst/>
                    </a:prstGeom>
                    <a:noFill/>
                    <a:ln>
                      <a:noFill/>
                    </a:ln>
                  </pic:spPr>
                </pic:pic>
              </a:graphicData>
            </a:graphic>
          </wp:inline>
        </w:drawing>
      </w:r>
    </w:p>
    <w:p w14:paraId="60BCFD14" w14:textId="28A8ED82" w:rsidR="0003438B" w:rsidRDefault="0003438B" w:rsidP="0003438B">
      <w:pPr>
        <w:pStyle w:val="Source"/>
      </w:pPr>
      <w:r w:rsidRPr="00ED46E8">
        <w:t xml:space="preserve">Source: ABS </w:t>
      </w:r>
      <w:r w:rsidR="007B3ABC">
        <w:t>(</w:t>
      </w:r>
      <w:r>
        <w:rPr>
          <w:i/>
          <w:iCs/>
        </w:rPr>
        <w:t>Characteristics of Australian Businesses, 2019</w:t>
      </w:r>
      <w:r>
        <w:rPr>
          <w:i/>
          <w:iCs/>
        </w:rPr>
        <w:noBreakHyphen/>
        <w:t xml:space="preserve">20, </w:t>
      </w:r>
      <w:r>
        <w:t>Cat. no. 8167</w:t>
      </w:r>
      <w:r w:rsidR="007B3ABC">
        <w:t>.0</w:t>
      </w:r>
      <w:r w:rsidR="008F1B0F">
        <w:t>)</w:t>
      </w:r>
      <w:r w:rsidRPr="00ED46E8">
        <w:t>.</w:t>
      </w:r>
    </w:p>
    <w:p w14:paraId="4D45D5CF" w14:textId="626B6417" w:rsidR="0003438B" w:rsidRDefault="0003438B" w:rsidP="0003438B">
      <w:pPr>
        <w:pStyle w:val="BodyText"/>
      </w:pPr>
      <w:r>
        <w:t>These results will likely be similar to other industries given that the overall differences in average capabilities do not vary greatly across industries, while the variation in scores across all businesses is substantial (figure </w:t>
      </w:r>
      <w:r w:rsidR="00461D04">
        <w:t>1.4</w:t>
      </w:r>
      <w:r>
        <w:t>).</w:t>
      </w:r>
      <w:r w:rsidR="00F13C83" w:rsidRPr="00F13C83">
        <w:t xml:space="preserve"> </w:t>
      </w:r>
      <w:r w:rsidR="00F13C83">
        <w:t>More detailed information is available on the distribution of performance in Australian manufacturing (figure 1.5).</w:t>
      </w:r>
    </w:p>
    <w:p w14:paraId="0B285579" w14:textId="7477E413" w:rsidR="0003438B" w:rsidRPr="00BB3CE8" w:rsidRDefault="0003438B" w:rsidP="0003438B">
      <w:pPr>
        <w:pStyle w:val="BodyText"/>
        <w:rPr>
          <w:spacing w:val="-4"/>
        </w:rPr>
      </w:pPr>
      <w:r w:rsidRPr="00BB3CE8">
        <w:rPr>
          <w:spacing w:val="-4"/>
        </w:rPr>
        <w:t>While entrepreneurship and managerial capability will always vary across business managers, just as occurs for any kind of talent, the global evidence (shown further below for manufacturing alone) suggests that there are opportunities to improve average capabilities and with that, improve upon the slow accretion of better practices.</w:t>
      </w:r>
    </w:p>
    <w:p w14:paraId="7BD68374" w14:textId="77777777" w:rsidR="0003438B" w:rsidRPr="00146382" w:rsidRDefault="0003438B" w:rsidP="0003438B">
      <w:pPr>
        <w:pStyle w:val="FigureTableHeading"/>
      </w:pPr>
      <w:r>
        <w:lastRenderedPageBreak/>
        <w:t>Figure </w:t>
      </w:r>
      <w:bookmarkStart w:id="37" w:name="OLE_LINK22"/>
      <w:r>
        <w:t>1.4</w:t>
      </w:r>
      <w:bookmarkEnd w:id="37"/>
      <w:r>
        <w:rPr>
          <w:noProof/>
        </w:rPr>
        <w:t xml:space="preserve"> </w:t>
      </w:r>
      <w:r>
        <w:t xml:space="preserve">– Management capabilities in </w:t>
      </w:r>
      <w:proofErr w:type="spellStart"/>
      <w:r>
        <w:t>Australia</w:t>
      </w:r>
      <w:r w:rsidRPr="00066CF5">
        <w:rPr>
          <w:vertAlign w:val="superscript"/>
        </w:rPr>
        <w:t>a</w:t>
      </w:r>
      <w:proofErr w:type="spellEnd"/>
    </w:p>
    <w:p w14:paraId="6F7DE5C9" w14:textId="77777777" w:rsidR="0003438B" w:rsidRDefault="0003438B" w:rsidP="0003438B">
      <w:pPr>
        <w:pStyle w:val="FigureTableSubheading"/>
        <w:keepLines/>
      </w:pPr>
      <w:r>
        <w:t>Average scores by industry and type of capability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910"/>
        <w:gridCol w:w="4728"/>
      </w:tblGrid>
      <w:tr w:rsidR="0003438B" w:rsidRPr="005550A0" w14:paraId="11B9C90D" w14:textId="77777777" w:rsidTr="00C426E9">
        <w:trPr>
          <w:tblHeader/>
        </w:trPr>
        <w:tc>
          <w:tcPr>
            <w:tcW w:w="2500" w:type="pct"/>
            <w:shd w:val="clear" w:color="auto" w:fill="auto"/>
          </w:tcPr>
          <w:p w14:paraId="4BE5388B" w14:textId="43BBC269" w:rsidR="0003438B" w:rsidRPr="005550A0" w:rsidRDefault="002A6930" w:rsidP="00C426E9">
            <w:pPr>
              <w:pStyle w:val="TableBody"/>
            </w:pPr>
            <w:r w:rsidRPr="002A6930">
              <w:rPr>
                <w:noProof/>
              </w:rPr>
              <w:drawing>
                <wp:inline distT="0" distB="0" distL="0" distR="0" wp14:anchorId="5E37A446" wp14:editId="6A17D260">
                  <wp:extent cx="3106420" cy="2872105"/>
                  <wp:effectExtent l="0" t="0" r="0" b="0"/>
                  <wp:docPr id="99" name="Picture 99" descr="This figure contains two charts showing a score of management capability in Australia between 0 and 1. The left chart shows the average score by industry, while the right chart shows the average score by type of capability (strategic, supply chain, environmental, digital, and overall) as well as the standard deviation in scores between firms. These charts show that average management capability in Australia are at the lower end of the possible score between 0 and 1, with average scores not varying greatly between industries but varying more substantially across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is figure contains two charts showing a score of management capability in Australia between 0 and 1. The left chart shows the average score by industry, while the right chart shows the average score by type of capability (strategic, supply chain, environmental, digital, and overall) as well as the standard deviation in scores between firms. These charts show that average management capability in Australia are at the lower end of the possible score between 0 and 1, with average scores not varying greatly between industries but varying more substantially across businesses."/>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106420" cy="2872105"/>
                          </a:xfrm>
                          <a:prstGeom prst="rect">
                            <a:avLst/>
                          </a:prstGeom>
                          <a:noFill/>
                          <a:ln>
                            <a:noFill/>
                          </a:ln>
                        </pic:spPr>
                      </pic:pic>
                    </a:graphicData>
                  </a:graphic>
                </wp:inline>
              </w:drawing>
            </w:r>
          </w:p>
        </w:tc>
        <w:tc>
          <w:tcPr>
            <w:tcW w:w="2500" w:type="pct"/>
            <w:shd w:val="clear" w:color="auto" w:fill="auto"/>
          </w:tcPr>
          <w:p w14:paraId="33B71552" w14:textId="105DBEB7" w:rsidR="0003438B" w:rsidRPr="005550A0" w:rsidRDefault="009B3E92" w:rsidP="00C426E9">
            <w:pPr>
              <w:pStyle w:val="TableBody"/>
            </w:pPr>
            <w:r w:rsidRPr="009B3E92">
              <w:rPr>
                <w:noProof/>
              </w:rPr>
              <w:drawing>
                <wp:inline distT="0" distB="0" distL="0" distR="0" wp14:anchorId="33852CAF" wp14:editId="2CACA4BA">
                  <wp:extent cx="2989580" cy="2872105"/>
                  <wp:effectExtent l="0" t="0" r="0" b="0"/>
                  <wp:docPr id="100" name="Picture 100" descr="This figure contains two charts showing a score of management capability in Australia between 0 and 1. The left chart shows the average score by industry, while the right chart shows the average score by type of capability (strategic, supply chain, environmental, digital, and overall) as well as the standard deviation in scores between firms. These charts show that average management capability in Australia are at the lower end of the possible score between 0 and 1, with average scores not varying greatly between industries but varying more substantially across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is figure contains two charts showing a score of management capability in Australia between 0 and 1. The left chart shows the average score by industry, while the right chart shows the average score by type of capability (strategic, supply chain, environmental, digital, and overall) as well as the standard deviation in scores between firms. These charts show that average management capability in Australia are at the lower end of the possible score between 0 and 1, with average scores not varying greatly between industries but varying more substantially across businesses."/>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989580" cy="2872105"/>
                          </a:xfrm>
                          <a:prstGeom prst="rect">
                            <a:avLst/>
                          </a:prstGeom>
                          <a:noFill/>
                          <a:ln>
                            <a:noFill/>
                          </a:ln>
                        </pic:spPr>
                      </pic:pic>
                    </a:graphicData>
                  </a:graphic>
                </wp:inline>
              </w:drawing>
            </w:r>
          </w:p>
        </w:tc>
      </w:tr>
    </w:tbl>
    <w:p w14:paraId="1F62BE88" w14:textId="20F2182F" w:rsidR="0003438B" w:rsidRDefault="0003438B" w:rsidP="0003438B">
      <w:pPr>
        <w:pStyle w:val="Note"/>
        <w:keepLines/>
      </w:pPr>
      <w:r w:rsidRPr="00180E66">
        <w:rPr>
          <w:b/>
          <w:bCs/>
        </w:rPr>
        <w:t>a.</w:t>
      </w:r>
      <w:r>
        <w:t xml:space="preserve"> The measure of overall management capability draws on the methods used by Bloom and van </w:t>
      </w:r>
      <w:proofErr w:type="spellStart"/>
      <w:r>
        <w:t>Reenan</w:t>
      </w:r>
      <w:proofErr w:type="spellEnd"/>
      <w:r>
        <w:t xml:space="preserve"> </w:t>
      </w:r>
      <w:r w:rsidRPr="00966AF4">
        <w:rPr>
          <w:rFonts w:ascii="Arial" w:hAnsi="Arial" w:cs="Arial"/>
        </w:rPr>
        <w:t>(2007)</w:t>
      </w:r>
      <w:r>
        <w:t>. The standard deviation indicates the level of variability in the results across the sampled firms.</w:t>
      </w:r>
    </w:p>
    <w:p w14:paraId="2A3433D6" w14:textId="71C1394F" w:rsidR="0003438B" w:rsidRDefault="0003438B" w:rsidP="0003438B">
      <w:pPr>
        <w:pStyle w:val="Source"/>
      </w:pPr>
      <w:r w:rsidRPr="00696447">
        <w:t>Source:</w:t>
      </w:r>
      <w:r>
        <w:t xml:space="preserve"> Agarwal et al.</w:t>
      </w:r>
      <w:r w:rsidRPr="00696447">
        <w:t xml:space="preserve"> </w:t>
      </w:r>
      <w:r w:rsidRPr="00446D81">
        <w:rPr>
          <w:rFonts w:ascii="Arial" w:hAnsi="Arial" w:cs="Arial"/>
        </w:rPr>
        <w:t>(2019)</w:t>
      </w:r>
      <w:r>
        <w:t xml:space="preserve"> based on ABS </w:t>
      </w:r>
      <w:r w:rsidR="00A26FF1">
        <w:t>(</w:t>
      </w:r>
      <w:r w:rsidRPr="002D6B7C">
        <w:rPr>
          <w:i/>
          <w:iCs/>
        </w:rPr>
        <w:t>Management and Organisational Capabilities of Australian Business</w:t>
      </w:r>
      <w:r w:rsidRPr="007907AB">
        <w:t>,</w:t>
      </w:r>
      <w:r>
        <w:t xml:space="preserve"> </w:t>
      </w:r>
      <w:r w:rsidRPr="00A26FF1">
        <w:rPr>
          <w:i/>
        </w:rPr>
        <w:t>2015</w:t>
      </w:r>
      <w:r w:rsidRPr="00A26FF1">
        <w:rPr>
          <w:i/>
        </w:rPr>
        <w:noBreakHyphen/>
        <w:t>16</w:t>
      </w:r>
      <w:r w:rsidR="00CF5381">
        <w:t>,</w:t>
      </w:r>
      <w:r w:rsidRPr="007907AB">
        <w:t xml:space="preserve"> </w:t>
      </w:r>
      <w:r>
        <w:t xml:space="preserve">Cat. no. </w:t>
      </w:r>
      <w:r w:rsidRPr="007907AB">
        <w:t>8172</w:t>
      </w:r>
      <w:r>
        <w:t>.0</w:t>
      </w:r>
      <w:r w:rsidR="00CF5381">
        <w:t>)</w:t>
      </w:r>
      <w:r w:rsidRPr="00696447">
        <w:t>.</w:t>
      </w:r>
    </w:p>
    <w:p w14:paraId="2FB556B6" w14:textId="4714B8A7" w:rsidR="0003438B" w:rsidRDefault="0003438B" w:rsidP="0003438B">
      <w:pPr>
        <w:pStyle w:val="BodyText"/>
      </w:pPr>
      <w:r>
        <w:t xml:space="preserve">There appears to be a gulf between actual deficiencies and perceived ones. In 2020, </w:t>
      </w:r>
      <w:r w:rsidRPr="00695E87">
        <w:t>only 2.4 per cent of Australian businesses sa</w:t>
      </w:r>
      <w:r w:rsidR="003C05B9">
        <w:t>id</w:t>
      </w:r>
      <w:r w:rsidRPr="00695E87">
        <w:t xml:space="preserve"> that shortages or deficiencies in business management skills adversely affect</w:t>
      </w:r>
      <w:r w:rsidR="000549C7">
        <w:t>ed</w:t>
      </w:r>
      <w:r w:rsidRPr="00695E87">
        <w:t xml:space="preserve"> their core business activities</w:t>
      </w:r>
      <w:r>
        <w:t>.</w:t>
      </w:r>
      <w:r w:rsidRPr="000C2244">
        <w:rPr>
          <w:rStyle w:val="FootnoteReference"/>
        </w:rPr>
        <w:footnoteReference w:id="7"/>
      </w:r>
      <w:r>
        <w:t xml:space="preserve"> This suggests that approaches to improve management practices may need to go beyond providing skills but will also need to credibly reveal the deficiencies to managers who do not recognise they have any.</w:t>
      </w:r>
    </w:p>
    <w:p w14:paraId="5ACC3FE9" w14:textId="7EC42EF0" w:rsidR="0003438B" w:rsidRDefault="0003438B" w:rsidP="0003438B">
      <w:pPr>
        <w:pStyle w:val="BodyText"/>
      </w:pPr>
      <w:r>
        <w:t xml:space="preserve">Diffusion of technologies (including ways of organising firms) requires skills that go beyond managerial competencies. Nearly one in four businesses cite skill shortages within or outside their businesses as affecting their performance or capacity for innovation </w:t>
      </w:r>
      <w:r w:rsidRPr="000560FF">
        <w:rPr>
          <w:rFonts w:ascii="Arial" w:hAnsi="Arial" w:cs="Arial"/>
          <w:szCs w:val="24"/>
        </w:rPr>
        <w:t>(ABS 2022a table 8)</w:t>
      </w:r>
      <w:r w:rsidRPr="00EC6127">
        <w:t>.</w:t>
      </w:r>
      <w:r>
        <w:t xml:space="preserve"> This highlights the importance of Australia’s skill formation system (including the role of immigration policy). Notwithstanding the importance of skills in acquiring and developing new ideas, in 2020</w:t>
      </w:r>
      <w:r>
        <w:noBreakHyphen/>
        <w:t>21, about half of Australian businesses engage</w:t>
      </w:r>
      <w:r w:rsidR="007D78E5">
        <w:t>d</w:t>
      </w:r>
      <w:r>
        <w:t xml:space="preserve"> in no structured or formal training of their employees, which may limit their capacity for absorption of ideas </w:t>
      </w:r>
      <w:r w:rsidRPr="000560FF">
        <w:rPr>
          <w:rFonts w:ascii="Arial" w:hAnsi="Arial" w:cs="Arial"/>
          <w:szCs w:val="24"/>
        </w:rPr>
        <w:t>(ABS 2022a table 2)</w:t>
      </w:r>
      <w:r>
        <w:t>.</w:t>
      </w:r>
    </w:p>
    <w:p w14:paraId="68BCA589" w14:textId="4D5441CA" w:rsidR="0003438B" w:rsidRPr="00146382" w:rsidRDefault="0003438B" w:rsidP="0003438B">
      <w:pPr>
        <w:pStyle w:val="FigureTableHeading"/>
      </w:pPr>
      <w:bookmarkStart w:id="38" w:name="_Toc30502221"/>
      <w:r>
        <w:lastRenderedPageBreak/>
        <w:t>Figure 1.5</w:t>
      </w:r>
      <w:r>
        <w:rPr>
          <w:noProof/>
        </w:rPr>
        <w:t xml:space="preserve"> </w:t>
      </w:r>
      <w:r>
        <w:t xml:space="preserve">– There is wide dispersion in managerial capability in </w:t>
      </w:r>
      <w:proofErr w:type="spellStart"/>
      <w:r>
        <w:t>Australia</w:t>
      </w:r>
      <w:r w:rsidRPr="00066CF5">
        <w:rPr>
          <w:vertAlign w:val="superscript"/>
        </w:rPr>
        <w:t>a</w:t>
      </w:r>
      <w:proofErr w:type="spellEnd"/>
    </w:p>
    <w:p w14:paraId="28275515" w14:textId="77777777" w:rsidR="0003438B" w:rsidRDefault="0003438B" w:rsidP="0003438B">
      <w:pPr>
        <w:pStyle w:val="FigureTableSubheading"/>
        <w:keepLines/>
      </w:pPr>
      <w:r>
        <w:t>Manufacturing firms</w:t>
      </w:r>
    </w:p>
    <w:p w14:paraId="3EAD62AB" w14:textId="132BEB95" w:rsidR="0003438B" w:rsidRDefault="00E03DD0" w:rsidP="0003438B">
      <w:pPr>
        <w:pStyle w:val="Note"/>
        <w:keepLines/>
      </w:pPr>
      <w:r w:rsidRPr="00E03DD0">
        <w:rPr>
          <w:noProof/>
        </w:rPr>
        <w:drawing>
          <wp:inline distT="0" distB="0" distL="0" distR="0" wp14:anchorId="463F65E5" wp14:editId="17F58436">
            <wp:extent cx="6120130" cy="5228590"/>
            <wp:effectExtent l="0" t="0" r="0" b="0"/>
            <wp:docPr id="8" name="Picture 8"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contains four charts showing the distribution of management capability across businesses in the manufacturing industry in Australia. The charts each show the distribution of scores across different measures: the first chart shows scores for overall management capability, the second shows scores for ‘effective monitoring’, the third shows scores for ‘targeting the right things’, and the fourth shows scores for ‘people management’. The charts show a wide dispersion in management capability across different businesses."/>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120130" cy="5228590"/>
                    </a:xfrm>
                    <a:prstGeom prst="rect">
                      <a:avLst/>
                    </a:prstGeom>
                    <a:noFill/>
                    <a:ln>
                      <a:noFill/>
                    </a:ln>
                  </pic:spPr>
                </pic:pic>
              </a:graphicData>
            </a:graphic>
          </wp:inline>
        </w:drawing>
      </w:r>
      <w:r w:rsidR="0003438B" w:rsidRPr="00180E66">
        <w:rPr>
          <w:b/>
          <w:bCs/>
        </w:rPr>
        <w:t>a.</w:t>
      </w:r>
      <w:r w:rsidR="0003438B">
        <w:t xml:space="preserve"> </w:t>
      </w:r>
      <w:r w:rsidRPr="00E03DD0">
        <w:t>Scores range from 1 (worst practice) to 5 (best practice)</w:t>
      </w:r>
      <w:r w:rsidR="0003438B">
        <w:t>.</w:t>
      </w:r>
    </w:p>
    <w:p w14:paraId="1CAF035E" w14:textId="77817D3C" w:rsidR="0003438B" w:rsidRDefault="0003438B" w:rsidP="0003438B">
      <w:pPr>
        <w:pStyle w:val="Source"/>
      </w:pPr>
      <w:r w:rsidRPr="00696447">
        <w:t xml:space="preserve">Source: </w:t>
      </w:r>
      <w:r w:rsidRPr="0021483D">
        <w:t xml:space="preserve">Based on data from 451 Australian manufacturing businesses from the World Management Survey </w:t>
      </w:r>
      <w:bookmarkEnd w:id="38"/>
      <w:r w:rsidRPr="0021483D">
        <w:rPr>
          <w:rFonts w:ascii="Arial" w:hAnsi="Arial" w:cs="Arial"/>
          <w:szCs w:val="24"/>
        </w:rPr>
        <w:t>(Bloom et al. 2021)</w:t>
      </w:r>
      <w:r>
        <w:t xml:space="preserve"> </w:t>
      </w:r>
      <w:r w:rsidRPr="0021483D">
        <w:t xml:space="preserve">and described in Bloom et al. </w:t>
      </w:r>
      <w:r w:rsidRPr="0021483D">
        <w:rPr>
          <w:rFonts w:ascii="Arial" w:hAnsi="Arial" w:cs="Arial"/>
        </w:rPr>
        <w:t>(2014)</w:t>
      </w:r>
      <w:r w:rsidRPr="0021483D">
        <w:t>.</w:t>
      </w:r>
    </w:p>
    <w:p w14:paraId="0120E2A7" w14:textId="129B7446" w:rsidR="0003438B" w:rsidRDefault="0003438B" w:rsidP="0003438B">
      <w:pPr>
        <w:pStyle w:val="BodyText"/>
      </w:pPr>
      <w:r>
        <w:t xml:space="preserve">As discussed in the Commission’s report on </w:t>
      </w:r>
      <w:r w:rsidR="00B12ADB" w:rsidRPr="00B12ADB">
        <w:rPr>
          <w:i/>
          <w:iCs/>
        </w:rPr>
        <w:t xml:space="preserve">Australia’s data and </w:t>
      </w:r>
      <w:r w:rsidRPr="00B12ADB">
        <w:rPr>
          <w:i/>
        </w:rPr>
        <w:t xml:space="preserve">digital </w:t>
      </w:r>
      <w:r w:rsidR="00B12ADB" w:rsidRPr="00B12ADB">
        <w:rPr>
          <w:i/>
          <w:iCs/>
        </w:rPr>
        <w:t>dividend</w:t>
      </w:r>
      <w:r>
        <w:t>, increasing productivity requires the wider adoption of ICT across businesses</w:t>
      </w:r>
      <w:r w:rsidR="00182A5A">
        <w:t xml:space="preserve"> </w:t>
      </w:r>
      <w:r w:rsidR="00DA3223" w:rsidRPr="00DA3223">
        <w:rPr>
          <w:rFonts w:ascii="Arial" w:hAnsi="Arial" w:cs="Arial"/>
          <w:szCs w:val="24"/>
        </w:rPr>
        <w:t>(PC 2022a)</w:t>
      </w:r>
      <w:r>
        <w:t>. Notwithstanding the ubiquitous and accelerating role of ICT in industries as diverse as retail, accommodation, professional services, construction and health care, in 2019</w:t>
      </w:r>
      <w:r>
        <w:noBreakHyphen/>
        <w:t xml:space="preserve">20, </w:t>
      </w:r>
      <w:r w:rsidRPr="009C4A72">
        <w:t xml:space="preserve">41 per cent of businesses’ ICT/digital skills or capabilities did not change over the previous year </w:t>
      </w:r>
      <w:r w:rsidR="00936D73" w:rsidRPr="00936D73">
        <w:rPr>
          <w:rFonts w:ascii="Arial" w:hAnsi="Arial" w:cs="Arial"/>
          <w:szCs w:val="24"/>
        </w:rPr>
        <w:t>(ABS 2021b table 5)</w:t>
      </w:r>
      <w:r>
        <w:t>. (Global comparisons are discussed further below.)</w:t>
      </w:r>
    </w:p>
    <w:p w14:paraId="65A3C84E" w14:textId="36DB845D" w:rsidR="0003438B" w:rsidRDefault="0003438B" w:rsidP="0003438B">
      <w:pPr>
        <w:pStyle w:val="Heading3"/>
      </w:pPr>
      <w:r>
        <w:lastRenderedPageBreak/>
        <w:t>International league tables of diffusion tell divergent stories, but some are better measures than others</w:t>
      </w:r>
    </w:p>
    <w:p w14:paraId="5748358C" w14:textId="77777777" w:rsidR="0003438B" w:rsidRDefault="0003438B" w:rsidP="0003438B">
      <w:pPr>
        <w:pStyle w:val="Heading4"/>
      </w:pPr>
      <w:r>
        <w:t>Crisis? …</w:t>
      </w:r>
    </w:p>
    <w:p w14:paraId="083B1FAB" w14:textId="6503DD63" w:rsidR="0003438B" w:rsidRDefault="0003438B" w:rsidP="0003438B">
      <w:pPr>
        <w:pStyle w:val="BodyText"/>
      </w:pPr>
      <w:r>
        <w:t xml:space="preserve">On the one hand, the World Intellectual Property Organisation paints a dismal picture of Australia as a weak diffuser — </w:t>
      </w:r>
      <w:r w:rsidRPr="009907BA">
        <w:t>78</w:t>
      </w:r>
      <w:r w:rsidRPr="009907BA">
        <w:rPr>
          <w:vertAlign w:val="superscript"/>
        </w:rPr>
        <w:t>th</w:t>
      </w:r>
      <w:r w:rsidRPr="009907BA">
        <w:t xml:space="preserve"> in the world in ‘knowledge diffusion’ and 52</w:t>
      </w:r>
      <w:r w:rsidRPr="009907BA">
        <w:rPr>
          <w:vertAlign w:val="superscript"/>
        </w:rPr>
        <w:t>nd</w:t>
      </w:r>
      <w:r w:rsidRPr="009907BA">
        <w:t xml:space="preserve"> in terms of knowledge absorption</w:t>
      </w:r>
      <w:r>
        <w:t xml:space="preserve"> </w:t>
      </w:r>
      <w:r w:rsidRPr="00295182">
        <w:rPr>
          <w:rFonts w:ascii="Arial" w:hAnsi="Arial" w:cs="Arial"/>
          <w:szCs w:val="24"/>
        </w:rPr>
        <w:t>(WIPO 2021, p. 47)</w:t>
      </w:r>
      <w:r>
        <w:t>. The WIPO definition of diffusion is measured as a weighted combination of the IP receipts’ share of total trade, production and export complexity, the high</w:t>
      </w:r>
      <w:r>
        <w:noBreakHyphen/>
        <w:t xml:space="preserve">tech export share and ICT service export share. This is a </w:t>
      </w:r>
      <w:r w:rsidRPr="006B2884">
        <w:t>problematic measure of diffusion in the sense meant by this report because it is more about the translation of novel innovation into export income, rather than diffusion of technology between domestic firms</w:t>
      </w:r>
      <w:r>
        <w:t>.</w:t>
      </w:r>
      <w:r w:rsidRPr="000C2244">
        <w:rPr>
          <w:rStyle w:val="FootnoteReference"/>
        </w:rPr>
        <w:footnoteReference w:id="8"/>
      </w:r>
      <w:r>
        <w:t xml:space="preserve"> The absorption measure is based on the weighted shares of trade for IP payments, high tech imports and ICT services, FDI net inflows as a share of GDP, and the share of research talent employed in the business sector, which is a very narrow perspective on the ways in which absorption of knowledge occurs in an economy. Accordingly, the definitions for these measures have the same bias that surrounds typical narratives of innovation, accentuating high</w:t>
      </w:r>
      <w:r>
        <w:noBreakHyphen/>
        <w:t>technology and manufacturing, and ignoring the non</w:t>
      </w:r>
      <w:r>
        <w:noBreakHyphen/>
        <w:t>business sector and non</w:t>
      </w:r>
      <w:r>
        <w:noBreakHyphen/>
        <w:t>traded sector despite their pre</w:t>
      </w:r>
      <w:r>
        <w:noBreakHyphen/>
        <w:t>eminence in modern economies like Australia.</w:t>
      </w:r>
    </w:p>
    <w:p w14:paraId="5F3A947F" w14:textId="77777777" w:rsidR="0003438B" w:rsidRDefault="0003438B" w:rsidP="0003438B">
      <w:pPr>
        <w:pStyle w:val="Heading4"/>
      </w:pPr>
      <w:r>
        <w:t>… or mediocrity?</w:t>
      </w:r>
    </w:p>
    <w:p w14:paraId="655FC0DF" w14:textId="62EC6FE0" w:rsidR="0003438B" w:rsidRDefault="0003438B" w:rsidP="0003438B">
      <w:pPr>
        <w:pStyle w:val="BodyText"/>
      </w:pPr>
      <w:r>
        <w:t>Better measures of diffusion and diffusion capability paint a more sanguine, albeit still mixed, picture of Australia’s comparative diffusion performance.</w:t>
      </w:r>
    </w:p>
    <w:p w14:paraId="25772B11" w14:textId="01A9CD6E" w:rsidR="0003438B" w:rsidRDefault="0003438B" w:rsidP="0003438B">
      <w:pPr>
        <w:pStyle w:val="BodyText"/>
      </w:pPr>
      <w:r>
        <w:t xml:space="preserve">Global comparisons of the uptake of certain digital technologies, such as business adoption of cloud computing and broadband connections, suggest that Australian businesses are moderate or fast adopters in some areas and slow in others. For example, in 2020 more than </w:t>
      </w:r>
      <w:r w:rsidRPr="009C4944">
        <w:t>70 per cent</w:t>
      </w:r>
      <w:r>
        <w:t xml:space="preserve"> of Australian businesses with employment of 10 or more people had purchased cloud computing services, which places Australia in the top 5 per cent of firms in the OECD.</w:t>
      </w:r>
      <w:r w:rsidRPr="000C2244">
        <w:rPr>
          <w:rStyle w:val="FootnoteReference"/>
        </w:rPr>
        <w:footnoteReference w:id="9"/>
      </w:r>
      <w:r>
        <w:t xml:space="preserve"> On the other hand, Australian businesses’ take up of more advanced digital capabilities, like big data analysis and artificial intelligence (AI), lags most other developed economies </w:t>
      </w:r>
      <w:r w:rsidRPr="00123921">
        <w:rPr>
          <w:rFonts w:ascii="Arial" w:hAnsi="Arial" w:cs="Arial"/>
          <w:szCs w:val="24"/>
        </w:rPr>
        <w:t>(PC 2022a)</w:t>
      </w:r>
      <w:r>
        <w:t>. The rate of AI adoption, for example, is relatively low with Australia in the 15</w:t>
      </w:r>
      <w:r w:rsidRPr="002E32D9">
        <w:rPr>
          <w:vertAlign w:val="superscript"/>
        </w:rPr>
        <w:t>th</w:t>
      </w:r>
      <w:r>
        <w:t xml:space="preserve"> percentile among OECD countries in 2020.</w:t>
      </w:r>
    </w:p>
    <w:p w14:paraId="08025343" w14:textId="77777777" w:rsidR="00F0437C" w:rsidRDefault="0003438B" w:rsidP="00D93722">
      <w:pPr>
        <w:pStyle w:val="BodyText"/>
      </w:pPr>
      <w:r>
        <w:t>Overall rates of goods and services innovation — which includes new</w:t>
      </w:r>
      <w:r>
        <w:noBreakHyphen/>
        <w:t>to</w:t>
      </w:r>
      <w:r>
        <w:noBreakHyphen/>
        <w:t>the</w:t>
      </w:r>
      <w:r>
        <w:noBreakHyphen/>
        <w:t>world, new</w:t>
      </w:r>
      <w:r>
        <w:noBreakHyphen/>
        <w:t>to</w:t>
      </w:r>
      <w:r>
        <w:noBreakHyphen/>
        <w:t>Australia and new</w:t>
      </w:r>
      <w:r>
        <w:noBreakHyphen/>
        <w:t>to</w:t>
      </w:r>
      <w:r>
        <w:noBreakHyphen/>
        <w:t>the</w:t>
      </w:r>
      <w:r w:rsidR="000565F7">
        <w:noBreakHyphen/>
      </w:r>
      <w:r>
        <w:t xml:space="preserve">firm innovations — among Australian businesses is about at average levels of OECD countries (figure 1.6). </w:t>
      </w:r>
      <w:r w:rsidR="00F0437C">
        <w:t>Process innovation is also significantly higher than the OECD average. However, Australian innovators more often than other OECD countries tend to produce innovations that are only new to their business — diffusion rather than novel innovation. Nonetheless, new</w:t>
      </w:r>
      <w:r w:rsidR="00F0437C">
        <w:noBreakHyphen/>
        <w:t>to</w:t>
      </w:r>
      <w:r w:rsidR="00F0437C">
        <w:noBreakHyphen/>
        <w:t>the</w:t>
      </w:r>
      <w:r w:rsidR="00F0437C">
        <w:noBreakHyphen/>
        <w:t>firm innovation still accounts for about 50 percent of all innovative activity among OECD countries.</w:t>
      </w:r>
    </w:p>
    <w:p w14:paraId="2FC94247" w14:textId="77777777" w:rsidR="0003438B" w:rsidRPr="00146382" w:rsidRDefault="0003438B" w:rsidP="0003438B">
      <w:pPr>
        <w:pStyle w:val="FigureTableHeading"/>
      </w:pPr>
      <w:r>
        <w:lastRenderedPageBreak/>
        <w:t>Figure 1.6</w:t>
      </w:r>
      <w:r>
        <w:rPr>
          <w:noProof/>
        </w:rPr>
        <w:t xml:space="preserve"> </w:t>
      </w:r>
      <w:r>
        <w:t xml:space="preserve">– How Australia fares in innovation compared with OECD </w:t>
      </w:r>
      <w:proofErr w:type="spellStart"/>
      <w:r>
        <w:t>peers</w:t>
      </w:r>
      <w:r w:rsidRPr="00066CF5">
        <w:rPr>
          <w:vertAlign w:val="superscript"/>
        </w:rPr>
        <w:t>a</w:t>
      </w:r>
      <w:proofErr w:type="spellEnd"/>
    </w:p>
    <w:p w14:paraId="57006B45" w14:textId="77777777" w:rsidR="0003438B" w:rsidRDefault="0003438B" w:rsidP="0003438B">
      <w:pPr>
        <w:pStyle w:val="FigureTableSubheading"/>
        <w:keepLines/>
      </w:pPr>
      <w:r>
        <w:t>Various years 2015–2019</w:t>
      </w:r>
      <w:r w:rsidRPr="00066CF5">
        <w:rPr>
          <w:vertAlign w:val="superscript"/>
        </w:rPr>
        <w:t>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3438B" w:rsidRPr="005550A0" w14:paraId="78FC704E" w14:textId="77777777" w:rsidTr="00C426E9">
        <w:trPr>
          <w:tblHeader/>
        </w:trPr>
        <w:tc>
          <w:tcPr>
            <w:tcW w:w="2500" w:type="pct"/>
            <w:shd w:val="clear" w:color="auto" w:fill="auto"/>
          </w:tcPr>
          <w:p w14:paraId="462008DD" w14:textId="3BE7C841" w:rsidR="0003438B" w:rsidRPr="005550A0" w:rsidRDefault="00342004" w:rsidP="007A5A89">
            <w:pPr>
              <w:pStyle w:val="TableBody"/>
              <w:ind w:left="0"/>
            </w:pPr>
            <w:r>
              <w:t>Product innovation</w:t>
            </w:r>
            <w:r w:rsidR="00082945" w:rsidRPr="00082945">
              <w:rPr>
                <w:noProof/>
              </w:rPr>
              <w:drawing>
                <wp:inline distT="0" distB="0" distL="0" distR="0" wp14:anchorId="14EEB886" wp14:editId="4441D9F6">
                  <wp:extent cx="2993390" cy="2971800"/>
                  <wp:effectExtent l="0" t="0" r="0" b="0"/>
                  <wp:docPr id="130" name="Picture 130"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993390" cy="2971800"/>
                          </a:xfrm>
                          <a:prstGeom prst="rect">
                            <a:avLst/>
                          </a:prstGeom>
                          <a:noFill/>
                          <a:ln>
                            <a:noFill/>
                          </a:ln>
                        </pic:spPr>
                      </pic:pic>
                    </a:graphicData>
                  </a:graphic>
                </wp:inline>
              </w:drawing>
            </w:r>
          </w:p>
        </w:tc>
        <w:tc>
          <w:tcPr>
            <w:tcW w:w="2500" w:type="pct"/>
            <w:shd w:val="clear" w:color="auto" w:fill="auto"/>
          </w:tcPr>
          <w:p w14:paraId="5600D51C" w14:textId="07C3008A" w:rsidR="0003438B" w:rsidRPr="005550A0" w:rsidRDefault="00342004" w:rsidP="00C426E9">
            <w:pPr>
              <w:pStyle w:val="TableBody"/>
            </w:pPr>
            <w:r>
              <w:t>Process innovation</w:t>
            </w:r>
            <w:r w:rsidR="00A70BDC" w:rsidRPr="00A70BDC">
              <w:rPr>
                <w:noProof/>
              </w:rPr>
              <w:drawing>
                <wp:inline distT="0" distB="0" distL="0" distR="0" wp14:anchorId="77EE27AC" wp14:editId="52A89174">
                  <wp:extent cx="2993390" cy="2971800"/>
                  <wp:effectExtent l="0" t="0" r="0" b="0"/>
                  <wp:docPr id="131" name="Picture 131"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993390" cy="2971800"/>
                          </a:xfrm>
                          <a:prstGeom prst="rect">
                            <a:avLst/>
                          </a:prstGeom>
                          <a:noFill/>
                          <a:ln>
                            <a:noFill/>
                          </a:ln>
                        </pic:spPr>
                      </pic:pic>
                    </a:graphicData>
                  </a:graphic>
                </wp:inline>
              </w:drawing>
            </w:r>
          </w:p>
        </w:tc>
      </w:tr>
      <w:tr w:rsidR="0003438B" w:rsidRPr="005550A0" w14:paraId="76E23D52" w14:textId="77777777" w:rsidTr="00C426E9">
        <w:trPr>
          <w:tblHeader/>
        </w:trPr>
        <w:tc>
          <w:tcPr>
            <w:tcW w:w="2500" w:type="pct"/>
            <w:shd w:val="clear" w:color="auto" w:fill="auto"/>
          </w:tcPr>
          <w:p w14:paraId="1D667A86" w14:textId="544AF5C9" w:rsidR="00446EC7" w:rsidRPr="00446EC7" w:rsidRDefault="00446EC7" w:rsidP="007A5A89">
            <w:pPr>
              <w:pStyle w:val="TableBody"/>
              <w:ind w:left="0"/>
              <w:rPr>
                <w:noProof/>
              </w:rPr>
            </w:pPr>
            <w:r>
              <w:rPr>
                <w:noProof/>
              </w:rPr>
              <w:t>New-to-firm product innovation</w:t>
            </w:r>
          </w:p>
          <w:p w14:paraId="076D5813" w14:textId="7A9A3B22" w:rsidR="0003438B" w:rsidRPr="00446EC7" w:rsidRDefault="00A70BDC" w:rsidP="007A5A89">
            <w:pPr>
              <w:pStyle w:val="TableBody"/>
              <w:ind w:left="0"/>
              <w:rPr>
                <w:noProof/>
              </w:rPr>
            </w:pPr>
            <w:r w:rsidRPr="00A70BDC">
              <w:rPr>
                <w:noProof/>
              </w:rPr>
              <w:drawing>
                <wp:inline distT="0" distB="0" distL="0" distR="0" wp14:anchorId="5B17E235" wp14:editId="4C5D469A">
                  <wp:extent cx="2993390" cy="2971800"/>
                  <wp:effectExtent l="0" t="0" r="0" b="0"/>
                  <wp:docPr id="132" name="Picture 132"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993390" cy="2971800"/>
                          </a:xfrm>
                          <a:prstGeom prst="rect">
                            <a:avLst/>
                          </a:prstGeom>
                          <a:noFill/>
                          <a:ln>
                            <a:noFill/>
                          </a:ln>
                        </pic:spPr>
                      </pic:pic>
                    </a:graphicData>
                  </a:graphic>
                </wp:inline>
              </w:drawing>
            </w:r>
          </w:p>
        </w:tc>
        <w:tc>
          <w:tcPr>
            <w:tcW w:w="2500" w:type="pct"/>
            <w:shd w:val="clear" w:color="auto" w:fill="auto"/>
          </w:tcPr>
          <w:p w14:paraId="08D88E92" w14:textId="6E48F6EB" w:rsidR="0003438B" w:rsidRPr="00446EC7" w:rsidRDefault="001E06DF" w:rsidP="001E06DF">
            <w:pPr>
              <w:pStyle w:val="TableBody"/>
              <w:rPr>
                <w:noProof/>
              </w:rPr>
            </w:pPr>
            <w:r w:rsidRPr="001E06DF">
              <w:rPr>
                <w:noProof/>
                <w:szCs w:val="18"/>
              </w:rPr>
              <w:t>Relative importance of new-to-firm</w:t>
            </w:r>
            <w:r w:rsidRPr="00446EC7">
              <w:rPr>
                <w:noProof/>
                <w:szCs w:val="18"/>
              </w:rPr>
              <w:t xml:space="preserve"> product innovation</w:t>
            </w:r>
            <w:r w:rsidR="00A70BDC" w:rsidRPr="00A70BDC">
              <w:rPr>
                <w:noProof/>
                <w:szCs w:val="18"/>
              </w:rPr>
              <w:drawing>
                <wp:inline distT="0" distB="0" distL="0" distR="0" wp14:anchorId="472993CC" wp14:editId="5B62AA7F">
                  <wp:extent cx="2993390" cy="2971800"/>
                  <wp:effectExtent l="0" t="0" r="0" b="0"/>
                  <wp:docPr id="133" name="Picture 133"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is figure contains four charts showing where Australia is placed on the probability density function of OECD countries across various measures of business innovation. The first chart shows the share of businesses undertaking product innovation, the second shows the share of businesses undertaking process innovation, the third shows the share of businesses undertaking only new-to-the-firm innovation, and the fourth shows the share of product innovation that is only new-to-the-firm. It shows that rates of product innovation among Australian businesses are about at the OECD average, while rates of process innovation are above the OECD average. It also shows that Australia significantly exceeds the OECD average for share of businesses undertaking only new-to-the-firm innovation, and for the share of product innovation that is only new-to-the-firm."/>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993390" cy="2971800"/>
                          </a:xfrm>
                          <a:prstGeom prst="rect">
                            <a:avLst/>
                          </a:prstGeom>
                          <a:noFill/>
                          <a:ln>
                            <a:noFill/>
                          </a:ln>
                        </pic:spPr>
                      </pic:pic>
                    </a:graphicData>
                  </a:graphic>
                </wp:inline>
              </w:drawing>
            </w:r>
          </w:p>
        </w:tc>
      </w:tr>
    </w:tbl>
    <w:p w14:paraId="60575B2A" w14:textId="5C4F66E7" w:rsidR="0003438B" w:rsidRPr="006F42AA" w:rsidRDefault="0003438B" w:rsidP="0003438B">
      <w:pPr>
        <w:pStyle w:val="Note"/>
        <w:keepLines/>
        <w:rPr>
          <w:spacing w:val="-4"/>
        </w:rPr>
      </w:pPr>
      <w:r w:rsidRPr="006F42AA">
        <w:rPr>
          <w:b/>
          <w:bCs/>
          <w:spacing w:val="-4"/>
        </w:rPr>
        <w:t>a.</w:t>
      </w:r>
      <w:r w:rsidRPr="006F42AA">
        <w:rPr>
          <w:spacing w:val="-4"/>
        </w:rPr>
        <w:t xml:space="preserve"> The charts are the frequency distributions for the various measures of innovative activity. They relate only to businesses with employment of 10 or more persons. A good or service that is new to the market includes those that are new to the industry, new to the country as a whole and new to the world. Any other innovation is new to the firm only and is the best definition of incremental innovation. The data excludes those OECD countries where the data is not sufficiently on a consistent basis (for example, covering significantly different firm sizes). In most instances data covers more than one year so that a firm that innovates in any one year of the reference period is recorded as being an innovator. In Australia’s case the data relates only to 2018</w:t>
      </w:r>
      <w:r w:rsidRPr="006F42AA">
        <w:rPr>
          <w:spacing w:val="-4"/>
        </w:rPr>
        <w:noBreakHyphen/>
        <w:t>19 and consequently if a longer reference period was used the estimates for Australia would be higher than shown for the two top charts and the left</w:t>
      </w:r>
      <w:r w:rsidR="000565F7" w:rsidRPr="006F42AA">
        <w:rPr>
          <w:spacing w:val="-4"/>
        </w:rPr>
        <w:noBreakHyphen/>
      </w:r>
      <w:r w:rsidRPr="006F42AA">
        <w:rPr>
          <w:spacing w:val="-4"/>
        </w:rPr>
        <w:t>hand side bottom chart. Notably, other Australian evidence that covers longer spans of years, suggests that the result for Australia for the right</w:t>
      </w:r>
      <w:r w:rsidRPr="006F42AA">
        <w:rPr>
          <w:spacing w:val="-4"/>
        </w:rPr>
        <w:noBreakHyphen/>
        <w:t xml:space="preserve">hand side bottom graph is likely to be robust. </w:t>
      </w:r>
      <w:r w:rsidRPr="006F42AA">
        <w:rPr>
          <w:b/>
          <w:bCs/>
          <w:spacing w:val="-4"/>
        </w:rPr>
        <w:t>b.</w:t>
      </w:r>
      <w:r w:rsidRPr="006F42AA">
        <w:rPr>
          <w:spacing w:val="-4"/>
        </w:rPr>
        <w:t xml:space="preserve"> Data periods vary for different countries, but primarily relate to the reference period of 2016–2018.</w:t>
      </w:r>
    </w:p>
    <w:p w14:paraId="12513526" w14:textId="77777777" w:rsidR="0003438B" w:rsidRDefault="0003438B" w:rsidP="0003438B">
      <w:pPr>
        <w:pStyle w:val="Source"/>
      </w:pPr>
      <w:r w:rsidRPr="00696447">
        <w:t xml:space="preserve">Source: </w:t>
      </w:r>
      <w:r>
        <w:t>2021 OECD Innovation Indicators Dataset.</w:t>
      </w:r>
    </w:p>
    <w:p w14:paraId="0E8DB3FA" w14:textId="3DB4152C" w:rsidR="0003438B" w:rsidRDefault="0003438B" w:rsidP="0003438B">
      <w:pPr>
        <w:pStyle w:val="BodyText"/>
      </w:pPr>
      <w:r>
        <w:lastRenderedPageBreak/>
        <w:t xml:space="preserve">Further, Australian adults have relatively high </w:t>
      </w:r>
      <w:proofErr w:type="gramStart"/>
      <w:r>
        <w:t>problem solving</w:t>
      </w:r>
      <w:proofErr w:type="gramEnd"/>
      <w:r>
        <w:t xml:space="preserve"> capacities in technology rich environments, </w:t>
      </w:r>
      <w:r w:rsidRPr="0014115E">
        <w:t>with 38 per</w:t>
      </w:r>
      <w:r w:rsidR="00F52F04">
        <w:t xml:space="preserve"> </w:t>
      </w:r>
      <w:r w:rsidRPr="0014115E">
        <w:t xml:space="preserve">cent having such skills at the two highest levels — placing Australia in about the top </w:t>
      </w:r>
      <w:r w:rsidR="001A2A72">
        <w:t>quarter</w:t>
      </w:r>
      <w:r>
        <w:t xml:space="preserve"> of OECD countries </w:t>
      </w:r>
      <w:r w:rsidR="00091E93" w:rsidRPr="00091E93">
        <w:rPr>
          <w:rFonts w:ascii="Arial" w:hAnsi="Arial" w:cs="Arial"/>
          <w:szCs w:val="24"/>
        </w:rPr>
        <w:t>(OECD 2019a, p. 59)</w:t>
      </w:r>
      <w:r>
        <w:t>. Such skills are increasingly important for acquiring and communicating knowledge and therefore are one determinant of diffusion.</w:t>
      </w:r>
    </w:p>
    <w:p w14:paraId="6D3E2AED" w14:textId="3897F3CC" w:rsidR="0003438B" w:rsidRDefault="0003438B" w:rsidP="0003438B">
      <w:pPr>
        <w:pStyle w:val="BodyText"/>
      </w:pPr>
      <w:r>
        <w:t xml:space="preserve">But as noted earlier, management capabilities vary considerably within Australia and, at least in manufacturing, are worse than the United States, which has higher average capabilities (figures 1.7 and 1.8). Empirical work suggests half of the productivity gap in manufacturing between Australia and the </w:t>
      </w:r>
      <w:r w:rsidR="009B049B">
        <w:t>United States</w:t>
      </w:r>
      <w:r>
        <w:t xml:space="preserve"> is the result of lower levels of management capability </w:t>
      </w:r>
      <w:r w:rsidRPr="00740815">
        <w:rPr>
          <w:rFonts w:ascii="Arial" w:hAnsi="Arial" w:cs="Arial"/>
          <w:szCs w:val="24"/>
        </w:rPr>
        <w:t xml:space="preserve">(Bloom, </w:t>
      </w:r>
      <w:proofErr w:type="spellStart"/>
      <w:r w:rsidRPr="00740815">
        <w:rPr>
          <w:rFonts w:ascii="Arial" w:hAnsi="Arial" w:cs="Arial"/>
          <w:szCs w:val="24"/>
        </w:rPr>
        <w:t>Sadun</w:t>
      </w:r>
      <w:proofErr w:type="spellEnd"/>
      <w:r w:rsidRPr="00740815">
        <w:rPr>
          <w:rFonts w:ascii="Arial" w:hAnsi="Arial" w:cs="Arial"/>
          <w:szCs w:val="24"/>
        </w:rPr>
        <w:t xml:space="preserve"> and Van Reenen 2017)</w:t>
      </w:r>
      <w:r>
        <w:t>.</w:t>
      </w:r>
    </w:p>
    <w:p w14:paraId="0501AD47" w14:textId="77777777" w:rsidR="0003438B" w:rsidRPr="00146382" w:rsidRDefault="0003438B" w:rsidP="0003438B">
      <w:pPr>
        <w:pStyle w:val="FigureTableHeading"/>
      </w:pPr>
      <w:r>
        <w:t>Figure 1.7</w:t>
      </w:r>
      <w:r>
        <w:rPr>
          <w:noProof/>
        </w:rPr>
        <w:t xml:space="preserve"> </w:t>
      </w:r>
      <w:r>
        <w:t xml:space="preserve">– Closing the gap — there appears good scope for Australian firms to move closer to the best practice management </w:t>
      </w:r>
      <w:proofErr w:type="spellStart"/>
      <w:r>
        <w:t>frontier</w:t>
      </w:r>
      <w:r w:rsidRPr="00066CF5">
        <w:rPr>
          <w:vertAlign w:val="superscript"/>
        </w:rPr>
        <w:t>a</w:t>
      </w:r>
      <w:proofErr w:type="spellEnd"/>
    </w:p>
    <w:p w14:paraId="2C6134EA" w14:textId="1EA10DA4" w:rsidR="0003438B" w:rsidRPr="00A85E53" w:rsidRDefault="00233717" w:rsidP="00D83518">
      <w:pPr>
        <w:pStyle w:val="BodyText"/>
        <w:rPr>
          <w:rStyle w:val="BodyTextChar"/>
        </w:rPr>
      </w:pPr>
      <w:r w:rsidRPr="00233717">
        <w:rPr>
          <w:rStyle w:val="BodyTextChar"/>
          <w:noProof/>
        </w:rPr>
        <w:drawing>
          <wp:inline distT="0" distB="0" distL="0" distR="0" wp14:anchorId="4BDACE36" wp14:editId="3EC6A712">
            <wp:extent cx="6120130" cy="2967990"/>
            <wp:effectExtent l="0" t="0" r="0" b="0"/>
            <wp:docPr id="143" name="Picture 143" descr="This figure shows the probability density function for management capability among Australian and US manufacturing firms. It shows that the average management capability of Australian manufacturing firms is below that of their US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his figure shows the probability density function for management capability among Australian and US manufacturing firms. It shows that the average management capability of Australian manufacturing firms is below that of their US counterparts."/>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120130" cy="2967990"/>
                    </a:xfrm>
                    <a:prstGeom prst="rect">
                      <a:avLst/>
                    </a:prstGeom>
                    <a:noFill/>
                    <a:ln>
                      <a:noFill/>
                    </a:ln>
                  </pic:spPr>
                </pic:pic>
              </a:graphicData>
            </a:graphic>
          </wp:inline>
        </w:drawing>
      </w:r>
    </w:p>
    <w:p w14:paraId="2837D0B9" w14:textId="2ED07A48" w:rsidR="0003438B" w:rsidRDefault="0003438B" w:rsidP="0003438B">
      <w:pPr>
        <w:pStyle w:val="Note"/>
        <w:keepLines/>
      </w:pPr>
      <w:r w:rsidRPr="00180E66">
        <w:rPr>
          <w:b/>
          <w:bCs/>
        </w:rPr>
        <w:t>a.</w:t>
      </w:r>
      <w:r>
        <w:t xml:space="preserve"> </w:t>
      </w:r>
      <w:r w:rsidRPr="001F43E1">
        <w:t xml:space="preserve">Density kernels based on data from 451 Australian and 953 US manufacturing businesses from the World Management Survey </w:t>
      </w:r>
      <w:r w:rsidRPr="001F43E1">
        <w:rPr>
          <w:rFonts w:ascii="Arial" w:hAnsi="Arial" w:cs="Arial"/>
          <w:szCs w:val="24"/>
        </w:rPr>
        <w:t>(Bloom et al. 2021)</w:t>
      </w:r>
      <w:r w:rsidRPr="00004FA0">
        <w:t xml:space="preserve"> </w:t>
      </w:r>
      <w:r w:rsidRPr="001F43E1">
        <w:t>and described in Bloom et al. (2014). Higher scores represent better management capability.</w:t>
      </w:r>
    </w:p>
    <w:p w14:paraId="004F0946" w14:textId="77777777" w:rsidR="0003438B" w:rsidRDefault="0003438B" w:rsidP="0003438B">
      <w:pPr>
        <w:pStyle w:val="Heading3"/>
      </w:pPr>
      <w:r>
        <w:t>The dynamic picture — some i</w:t>
      </w:r>
      <w:r w:rsidRPr="00751154">
        <w:t xml:space="preserve">ndicators </w:t>
      </w:r>
      <w:r>
        <w:t xml:space="preserve">suggest </w:t>
      </w:r>
      <w:r w:rsidRPr="00477F85">
        <w:t>slowing</w:t>
      </w:r>
      <w:r w:rsidRPr="00751154">
        <w:t xml:space="preserve"> diffusion</w:t>
      </w:r>
    </w:p>
    <w:p w14:paraId="73238184" w14:textId="2F9EC8ED" w:rsidR="0003438B" w:rsidRDefault="0003438B" w:rsidP="0003438B">
      <w:pPr>
        <w:pStyle w:val="BodyText"/>
      </w:pPr>
      <w:r>
        <w:t xml:space="preserve">Australia’s poor productivity performance may partly be attributed to weakening diffusion of </w:t>
      </w:r>
      <w:r w:rsidRPr="00477F85">
        <w:rPr>
          <w:i/>
          <w:iCs/>
        </w:rPr>
        <w:t>global</w:t>
      </w:r>
      <w:r>
        <w:t xml:space="preserve"> frontier technologies. T</w:t>
      </w:r>
      <w:r w:rsidRPr="00F501DE">
        <w:t>he gap between global frontier firms and Australia</w:t>
      </w:r>
      <w:r>
        <w:t>n</w:t>
      </w:r>
      <w:r w:rsidRPr="00F501DE">
        <w:t xml:space="preserve"> firms </w:t>
      </w:r>
      <w:r>
        <w:t>(</w:t>
      </w:r>
      <w:r w:rsidRPr="00F501DE">
        <w:t>outside of the resources and financial market sectors</w:t>
      </w:r>
      <w:r>
        <w:t>)</w:t>
      </w:r>
      <w:r w:rsidRPr="00F501DE">
        <w:t xml:space="preserve"> </w:t>
      </w:r>
      <w:r>
        <w:t xml:space="preserve">appears to </w:t>
      </w:r>
      <w:r w:rsidRPr="00F501DE">
        <w:t>ha</w:t>
      </w:r>
      <w:r>
        <w:t>ve</w:t>
      </w:r>
      <w:r w:rsidRPr="00F501DE">
        <w:t xml:space="preserve"> grown over time, with Australia firms catching up to the frontier more slowly than previously</w:t>
      </w:r>
      <w:r>
        <w:t xml:space="preserve"> </w:t>
      </w:r>
      <w:r w:rsidRPr="00562483">
        <w:rPr>
          <w:rFonts w:ascii="Arial" w:hAnsi="Arial" w:cs="Arial"/>
          <w:szCs w:val="24"/>
        </w:rPr>
        <w:t>(Andrews et al. 2022)</w:t>
      </w:r>
      <w:r>
        <w:t>. This is a global trend, observed for OECD countries more generally, with the concern that, while progress at the global technological frontier remains strong, there has been a breakdown in the diffusion ‘machine’ so that catch</w:t>
      </w:r>
      <w:r w:rsidR="000565F7">
        <w:noBreakHyphen/>
      </w:r>
      <w:r>
        <w:t xml:space="preserve">up has flagged </w:t>
      </w:r>
      <w:r w:rsidR="00936D73" w:rsidRPr="00936D73">
        <w:rPr>
          <w:rFonts w:ascii="Arial" w:hAnsi="Arial" w:cs="Arial"/>
          <w:szCs w:val="24"/>
        </w:rPr>
        <w:t xml:space="preserve">(Andrews, </w:t>
      </w:r>
      <w:proofErr w:type="spellStart"/>
      <w:r w:rsidR="00936D73" w:rsidRPr="00936D73">
        <w:rPr>
          <w:rFonts w:ascii="Arial" w:hAnsi="Arial" w:cs="Arial"/>
          <w:szCs w:val="24"/>
        </w:rPr>
        <w:t>Criscuolo</w:t>
      </w:r>
      <w:proofErr w:type="spellEnd"/>
      <w:r w:rsidR="00936D73" w:rsidRPr="00936D73">
        <w:rPr>
          <w:rFonts w:ascii="Arial" w:hAnsi="Arial" w:cs="Arial"/>
          <w:szCs w:val="24"/>
        </w:rPr>
        <w:t xml:space="preserve"> and Hansell 2019; van Ark, </w:t>
      </w:r>
      <w:proofErr w:type="spellStart"/>
      <w:r w:rsidR="00936D73" w:rsidRPr="00936D73">
        <w:rPr>
          <w:rFonts w:ascii="Arial" w:hAnsi="Arial" w:cs="Arial"/>
          <w:szCs w:val="24"/>
        </w:rPr>
        <w:t>O’Mahony</w:t>
      </w:r>
      <w:proofErr w:type="spellEnd"/>
      <w:r w:rsidR="00936D73" w:rsidRPr="00936D73">
        <w:rPr>
          <w:rFonts w:ascii="Arial" w:hAnsi="Arial" w:cs="Arial"/>
          <w:szCs w:val="24"/>
        </w:rPr>
        <w:t xml:space="preserve"> and Timmer 2008; OECD 2015b)</w:t>
      </w:r>
      <w:r w:rsidRPr="001F47E7">
        <w:t>.</w:t>
      </w:r>
    </w:p>
    <w:p w14:paraId="342CA2E9" w14:textId="77777777" w:rsidR="0003438B" w:rsidRDefault="0003438B" w:rsidP="0003438B">
      <w:pPr>
        <w:pStyle w:val="FigureTableHeading"/>
      </w:pPr>
      <w:r>
        <w:lastRenderedPageBreak/>
        <w:t>Figure 1.8</w:t>
      </w:r>
      <w:r>
        <w:rPr>
          <w:noProof/>
        </w:rPr>
        <w:t xml:space="preserve"> </w:t>
      </w:r>
      <w:r>
        <w:t xml:space="preserve">– Management capability in Australia lags behind our global </w:t>
      </w:r>
      <w:proofErr w:type="spellStart"/>
      <w:r>
        <w:t>peers</w:t>
      </w:r>
      <w:r w:rsidRPr="00066CF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3438B" w:rsidRPr="005550A0" w14:paraId="7C302431" w14:textId="77777777" w:rsidTr="00C426E9">
        <w:trPr>
          <w:tblHeader/>
        </w:trPr>
        <w:tc>
          <w:tcPr>
            <w:tcW w:w="2500" w:type="pct"/>
            <w:shd w:val="clear" w:color="auto" w:fill="auto"/>
          </w:tcPr>
          <w:p w14:paraId="2F72938C" w14:textId="77777777" w:rsidR="0003438B" w:rsidRPr="005550A0" w:rsidRDefault="0003438B" w:rsidP="00C426E9">
            <w:pPr>
              <w:pStyle w:val="TableBody"/>
            </w:pPr>
            <w:r w:rsidRPr="002806C2">
              <w:rPr>
                <w:noProof/>
              </w:rPr>
              <w:drawing>
                <wp:inline distT="0" distB="0" distL="0" distR="0" wp14:anchorId="3C0D0416" wp14:editId="4AC350DD">
                  <wp:extent cx="2988000" cy="2876109"/>
                  <wp:effectExtent l="0" t="0" r="0" b="0"/>
                  <wp:docPr id="35" name="Picture 35"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988000" cy="2876109"/>
                          </a:xfrm>
                          <a:prstGeom prst="rect">
                            <a:avLst/>
                          </a:prstGeom>
                          <a:noFill/>
                          <a:ln>
                            <a:noFill/>
                          </a:ln>
                        </pic:spPr>
                      </pic:pic>
                    </a:graphicData>
                  </a:graphic>
                </wp:inline>
              </w:drawing>
            </w:r>
          </w:p>
        </w:tc>
        <w:tc>
          <w:tcPr>
            <w:tcW w:w="2500" w:type="pct"/>
            <w:shd w:val="clear" w:color="auto" w:fill="auto"/>
          </w:tcPr>
          <w:p w14:paraId="59931F99" w14:textId="77777777" w:rsidR="0003438B" w:rsidRPr="005550A0" w:rsidRDefault="0003438B" w:rsidP="00C426E9">
            <w:pPr>
              <w:pStyle w:val="TableBody"/>
            </w:pPr>
            <w:r w:rsidRPr="00841B00">
              <w:rPr>
                <w:noProof/>
              </w:rPr>
              <w:drawing>
                <wp:inline distT="0" distB="0" distL="0" distR="0" wp14:anchorId="13D3F0A2" wp14:editId="620190AD">
                  <wp:extent cx="2988000" cy="2867567"/>
                  <wp:effectExtent l="0" t="0" r="0" b="0"/>
                  <wp:docPr id="36" name="Picture 36"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contains two charts. The left chart shows the average management capability of Australian manufacturing firms compared to manufacturing firms among Australia’s global peers. It shows Australia lags behind global peers in management capability. The right chart shows the share of divergence between manufacturing total factor productivity in each country and the United States which can be explained by management. It shows that around half of this divergence in Australia can be explained by management, relatively high among Australia’s global peers."/>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988000" cy="2867567"/>
                          </a:xfrm>
                          <a:prstGeom prst="rect">
                            <a:avLst/>
                          </a:prstGeom>
                          <a:noFill/>
                          <a:ln>
                            <a:noFill/>
                          </a:ln>
                        </pic:spPr>
                      </pic:pic>
                    </a:graphicData>
                  </a:graphic>
                </wp:inline>
              </w:drawing>
            </w:r>
          </w:p>
        </w:tc>
      </w:tr>
    </w:tbl>
    <w:p w14:paraId="5DE9766B" w14:textId="3A9310C0" w:rsidR="0003438B" w:rsidRPr="006F42AA" w:rsidRDefault="0003438B" w:rsidP="0003438B">
      <w:pPr>
        <w:pStyle w:val="Note"/>
        <w:keepLines/>
        <w:rPr>
          <w:spacing w:val="-2"/>
        </w:rPr>
      </w:pPr>
      <w:r w:rsidRPr="006F42AA">
        <w:rPr>
          <w:b/>
          <w:bCs/>
          <w:spacing w:val="-2"/>
        </w:rPr>
        <w:t>a.</w:t>
      </w:r>
      <w:r w:rsidRPr="006F42AA">
        <w:rPr>
          <w:spacing w:val="-2"/>
        </w:rPr>
        <w:t xml:space="preserve"> Relates only to manufacturing. The right</w:t>
      </w:r>
      <w:r w:rsidRPr="006F42AA">
        <w:rPr>
          <w:spacing w:val="-2"/>
        </w:rPr>
        <w:noBreakHyphen/>
        <w:t>hand side chart explains the extent to which the management capabilities of businesses explain the divergence between manufacturing multi</w:t>
      </w:r>
      <w:r w:rsidR="000565F7" w:rsidRPr="006F42AA">
        <w:rPr>
          <w:spacing w:val="-2"/>
        </w:rPr>
        <w:noBreakHyphen/>
      </w:r>
      <w:r w:rsidRPr="006F42AA">
        <w:rPr>
          <w:spacing w:val="-2"/>
        </w:rPr>
        <w:t>factor productivity in each country and the United States.</w:t>
      </w:r>
    </w:p>
    <w:p w14:paraId="6070C235" w14:textId="131C40C3" w:rsidR="0003438B" w:rsidRDefault="0003438B" w:rsidP="0003438B">
      <w:pPr>
        <w:pStyle w:val="Source"/>
      </w:pPr>
      <w:r w:rsidRPr="00696447">
        <w:t xml:space="preserve">Source: </w:t>
      </w:r>
      <w:r w:rsidRPr="31384605">
        <w:rPr>
          <w:rFonts w:cs="Arial"/>
        </w:rPr>
        <w:t xml:space="preserve">Bloom, </w:t>
      </w:r>
      <w:proofErr w:type="spellStart"/>
      <w:r w:rsidRPr="31384605">
        <w:rPr>
          <w:rFonts w:cs="Arial"/>
        </w:rPr>
        <w:t>Sadun</w:t>
      </w:r>
      <w:proofErr w:type="spellEnd"/>
      <w:r w:rsidRPr="31384605">
        <w:rPr>
          <w:rFonts w:cs="Arial"/>
        </w:rPr>
        <w:t xml:space="preserve"> and Van Reenen</w:t>
      </w:r>
      <w:r>
        <w:t xml:space="preserve"> </w:t>
      </w:r>
      <w:r w:rsidRPr="00416EF0">
        <w:rPr>
          <w:rFonts w:ascii="Arial" w:hAnsi="Arial" w:cs="Arial"/>
        </w:rPr>
        <w:t>(2017)</w:t>
      </w:r>
      <w:r w:rsidRPr="00696447">
        <w:t>.</w:t>
      </w:r>
    </w:p>
    <w:p w14:paraId="60D75533" w14:textId="43643802" w:rsidR="0003438B" w:rsidRDefault="0003438B" w:rsidP="0003438B">
      <w:pPr>
        <w:pStyle w:val="BodyText"/>
      </w:pPr>
      <w:r>
        <w:t xml:space="preserve">The widening gap between the global frontier and Australian firms does not appear to have occurred between laggards and leaders </w:t>
      </w:r>
      <w:r w:rsidRPr="004546B4">
        <w:t>within</w:t>
      </w:r>
      <w:r>
        <w:t xml:space="preserve"> Australia. The dispersion in labour productivity levels across firms has </w:t>
      </w:r>
      <w:r w:rsidRPr="004546B4">
        <w:rPr>
          <w:i/>
          <w:iCs/>
        </w:rPr>
        <w:t>fallen</w:t>
      </w:r>
      <w:r>
        <w:t xml:space="preserve">, especially for wholesale trade, retail trade and construction </w:t>
      </w:r>
      <w:r w:rsidRPr="00073DCF">
        <w:rPr>
          <w:rFonts w:ascii="Arial" w:hAnsi="Arial" w:cs="Arial"/>
          <w:szCs w:val="24"/>
        </w:rPr>
        <w:t>(Campbell et al. 2019)</w:t>
      </w:r>
      <w:r>
        <w:t>. Most of this reduction reflects catch</w:t>
      </w:r>
      <w:r w:rsidR="000565F7">
        <w:noBreakHyphen/>
      </w:r>
      <w:r>
        <w:t xml:space="preserve">up by the </w:t>
      </w:r>
      <w:r w:rsidRPr="0014115E">
        <w:t xml:space="preserve">bottom 25 per cent of performers, implying improved diffusion within Australia and higher labour productivity growth than would have occurred had the gap not closed. </w:t>
      </w:r>
      <w:r w:rsidRPr="00ED4D89">
        <w:t>However, these results apply for the period from 2001</w:t>
      </w:r>
      <w:r w:rsidRPr="00ED4D89">
        <w:noBreakHyphen/>
        <w:t>02 to 2013</w:t>
      </w:r>
      <w:r w:rsidRPr="00ED4D89">
        <w:noBreakHyphen/>
        <w:t>14 and may not have persisted.</w:t>
      </w:r>
      <w:r w:rsidRPr="0014115E">
        <w:t xml:space="preserve"> In any case, the ratio of the labour productivity gap of firms at the 75</w:t>
      </w:r>
      <w:r w:rsidRPr="0014115E">
        <w:rPr>
          <w:vertAlign w:val="superscript"/>
        </w:rPr>
        <w:t>th</w:t>
      </w:r>
      <w:r w:rsidRPr="0014115E">
        <w:t xml:space="preserve"> percentile and 25</w:t>
      </w:r>
      <w:r w:rsidRPr="0014115E">
        <w:rPr>
          <w:vertAlign w:val="superscript"/>
        </w:rPr>
        <w:t>th</w:t>
      </w:r>
      <w:r w:rsidRPr="0014115E">
        <w:t> percentile is still wide.</w:t>
      </w:r>
    </w:p>
    <w:p w14:paraId="3FEC7F96" w14:textId="43490879" w:rsidR="0003438B" w:rsidRDefault="0003438B" w:rsidP="0003438B">
      <w:pPr>
        <w:pStyle w:val="BodyText"/>
      </w:pPr>
      <w:r>
        <w:t xml:space="preserve">Business exits and entries are a potentially important dimension of business dynamism. New entrants increase competitive pressures on incumbent firms, increasing their incentive to improve and reduce costs through innovation </w:t>
      </w:r>
      <w:r w:rsidRPr="00883628">
        <w:rPr>
          <w:rFonts w:cs="Arial"/>
          <w:szCs w:val="24"/>
        </w:rPr>
        <w:t>(Aghion et al. 2005)</w:t>
      </w:r>
      <w:r>
        <w:t xml:space="preserve">. New entrants also purchase a disproportionate share of old physical capital, providing an opportunity for incumbents to sell existing capital and adopt new innovations </w:t>
      </w:r>
      <w:r w:rsidRPr="0018139E">
        <w:rPr>
          <w:rFonts w:cs="Arial"/>
          <w:szCs w:val="24"/>
        </w:rPr>
        <w:t xml:space="preserve">(Ma, </w:t>
      </w:r>
      <w:proofErr w:type="spellStart"/>
      <w:r w:rsidRPr="0018139E">
        <w:rPr>
          <w:rFonts w:cs="Arial"/>
          <w:szCs w:val="24"/>
        </w:rPr>
        <w:t>Murfin</w:t>
      </w:r>
      <w:proofErr w:type="spellEnd"/>
      <w:r w:rsidRPr="0018139E">
        <w:rPr>
          <w:rFonts w:cs="Arial"/>
          <w:szCs w:val="24"/>
        </w:rPr>
        <w:t xml:space="preserve"> and Pratt 2021)</w:t>
      </w:r>
      <w:r>
        <w:t>.</w:t>
      </w:r>
      <w:r w:rsidRPr="004329DC">
        <w:t xml:space="preserve"> </w:t>
      </w:r>
      <w:r>
        <w:t>New and younger firms also tend to be innovative and more likely to adopt new technologies, with start</w:t>
      </w:r>
      <w:r>
        <w:noBreakHyphen/>
        <w:t>ups and entrepreneurs often bringing existing ideas to new places or industries. Recent empirical work also suggests that younger firms catch</w:t>
      </w:r>
      <w:r>
        <w:noBreakHyphen/>
        <w:t>up to the productivity frontier</w:t>
      </w:r>
      <w:r w:rsidDel="005671EF">
        <w:t xml:space="preserve"> </w:t>
      </w:r>
      <w:r>
        <w:t xml:space="preserve">more quickly than mature firms </w:t>
      </w:r>
      <w:r w:rsidRPr="00840429">
        <w:rPr>
          <w:rFonts w:cs="Arial"/>
          <w:szCs w:val="24"/>
        </w:rPr>
        <w:t>(</w:t>
      </w:r>
      <w:proofErr w:type="spellStart"/>
      <w:r w:rsidRPr="00840429">
        <w:rPr>
          <w:rFonts w:cs="Arial"/>
          <w:szCs w:val="24"/>
        </w:rPr>
        <w:t>Berlingieri</w:t>
      </w:r>
      <w:proofErr w:type="spellEnd"/>
      <w:r w:rsidRPr="00840429">
        <w:rPr>
          <w:rFonts w:cs="Arial"/>
          <w:szCs w:val="24"/>
        </w:rPr>
        <w:t xml:space="preserve"> et al. 2020)</w:t>
      </w:r>
      <w:r>
        <w:t>. However, not all new entrants thrive — many exit soon afterwards due to poor profitability and productivity.</w:t>
      </w:r>
    </w:p>
    <w:p w14:paraId="6EE77335" w14:textId="77777777" w:rsidR="0003438B" w:rsidRDefault="0003438B" w:rsidP="0003438B">
      <w:pPr>
        <w:pStyle w:val="BodyText"/>
      </w:pPr>
      <w:r>
        <w:t>There is some evidence of a weak downward trend in entry rates for employing businesses, but the rates are volatile (figure 1.9). While probably much less important for business dynamism, entry rates for non</w:t>
      </w:r>
      <w:r>
        <w:noBreakHyphen/>
        <w:t xml:space="preserve">employing businesses have </w:t>
      </w:r>
      <w:r w:rsidRPr="00B37D34">
        <w:rPr>
          <w:i/>
          <w:iCs/>
        </w:rPr>
        <w:t>risen</w:t>
      </w:r>
      <w:r>
        <w:t xml:space="preserve"> significantly from 2012</w:t>
      </w:r>
      <w:r>
        <w:noBreakHyphen/>
        <w:t>13. (The data for 2020</w:t>
      </w:r>
      <w:r>
        <w:noBreakHyphen/>
        <w:t>21 are non</w:t>
      </w:r>
      <w:r>
        <w:noBreakHyphen/>
        <w:t>representative, reflecting the impact of COVID</w:t>
      </w:r>
      <w:r>
        <w:noBreakHyphen/>
        <w:t>19.)</w:t>
      </w:r>
    </w:p>
    <w:p w14:paraId="403BB0AA" w14:textId="16EDAC06" w:rsidR="0003438B" w:rsidRPr="00146382" w:rsidRDefault="0003438B" w:rsidP="0003438B">
      <w:pPr>
        <w:pStyle w:val="FigureTableHeading"/>
      </w:pPr>
      <w:r>
        <w:lastRenderedPageBreak/>
        <w:t>Figure 1.9 – Rates of business exits and entries showed generally declining rates prior to the COVID</w:t>
      </w:r>
      <w:r w:rsidR="000565F7">
        <w:noBreakHyphen/>
      </w:r>
      <w:r>
        <w:t xml:space="preserve">19 </w:t>
      </w:r>
      <w:proofErr w:type="spellStart"/>
      <w:r>
        <w:t>pandemic</w:t>
      </w:r>
      <w:r w:rsidRPr="00066CF5">
        <w:rPr>
          <w:vertAlign w:val="superscript"/>
        </w:rPr>
        <w:t>a</w:t>
      </w:r>
      <w:proofErr w:type="spellEnd"/>
    </w:p>
    <w:p w14:paraId="4CF53FB3" w14:textId="77777777" w:rsidR="0003438B" w:rsidRDefault="0003438B" w:rsidP="0003438B">
      <w:pPr>
        <w:pStyle w:val="FigureTableSubheading"/>
        <w:keepLines/>
      </w:pPr>
      <w:r>
        <w:t>2005</w:t>
      </w:r>
      <w:r>
        <w:noBreakHyphen/>
        <w:t>06 to 2021</w:t>
      </w:r>
      <w:r>
        <w:noBreakHyphen/>
        <w:t>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3438B" w:rsidRPr="005550A0" w14:paraId="2B61CB1F" w14:textId="77777777" w:rsidTr="00C426E9">
        <w:trPr>
          <w:tblHeader/>
        </w:trPr>
        <w:tc>
          <w:tcPr>
            <w:tcW w:w="2500" w:type="pct"/>
            <w:shd w:val="clear" w:color="auto" w:fill="auto"/>
          </w:tcPr>
          <w:p w14:paraId="77999CFA" w14:textId="33D332B5" w:rsidR="0003438B" w:rsidRPr="005550A0" w:rsidRDefault="007F6C65" w:rsidP="00C426E9">
            <w:pPr>
              <w:pStyle w:val="TableBody"/>
            </w:pPr>
            <w:r>
              <w:t>Non-employing business</w:t>
            </w:r>
            <w:r w:rsidR="00612BFB" w:rsidRPr="00612BFB">
              <w:rPr>
                <w:noProof/>
              </w:rPr>
              <w:drawing>
                <wp:inline distT="0" distB="0" distL="0" distR="0" wp14:anchorId="27A28D53" wp14:editId="1B2864A7">
                  <wp:extent cx="3004185" cy="2874010"/>
                  <wp:effectExtent l="0" t="0" r="0" b="0"/>
                  <wp:docPr id="142" name="Picture 142"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004185" cy="2874010"/>
                          </a:xfrm>
                          <a:prstGeom prst="rect">
                            <a:avLst/>
                          </a:prstGeom>
                          <a:noFill/>
                          <a:ln>
                            <a:noFill/>
                          </a:ln>
                        </pic:spPr>
                      </pic:pic>
                    </a:graphicData>
                  </a:graphic>
                </wp:inline>
              </w:drawing>
            </w:r>
          </w:p>
        </w:tc>
        <w:tc>
          <w:tcPr>
            <w:tcW w:w="2500" w:type="pct"/>
            <w:shd w:val="clear" w:color="auto" w:fill="auto"/>
          </w:tcPr>
          <w:p w14:paraId="5B2812B0" w14:textId="16DDE2DF" w:rsidR="0003438B" w:rsidRPr="005550A0" w:rsidRDefault="007F6C65" w:rsidP="00C426E9">
            <w:pPr>
              <w:pStyle w:val="TableBody"/>
            </w:pPr>
            <w:r>
              <w:t>Employing businesses</w:t>
            </w:r>
            <w:r w:rsidR="009A09D7" w:rsidRPr="009A09D7">
              <w:rPr>
                <w:noProof/>
              </w:rPr>
              <w:drawing>
                <wp:inline distT="0" distB="0" distL="0" distR="0" wp14:anchorId="2E03E547" wp14:editId="06C480CF">
                  <wp:extent cx="3004185" cy="2874010"/>
                  <wp:effectExtent l="0" t="0" r="0" b="0"/>
                  <wp:docPr id="141" name="Picture 141"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is figure contains two charts, showing the rate of business entries and exits over time from 2005-06 to 2021-22. The left chart shows the rates for non-employing businesses, while the right chart shows rates for employing businesses. The charts show generally declining rates prior to the Covid-19 pandemic, where government stimulus measures have caused uncharacteristic results. "/>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004185" cy="2874010"/>
                          </a:xfrm>
                          <a:prstGeom prst="rect">
                            <a:avLst/>
                          </a:prstGeom>
                          <a:noFill/>
                          <a:ln>
                            <a:noFill/>
                          </a:ln>
                        </pic:spPr>
                      </pic:pic>
                    </a:graphicData>
                  </a:graphic>
                </wp:inline>
              </w:drawing>
            </w:r>
          </w:p>
        </w:tc>
      </w:tr>
    </w:tbl>
    <w:p w14:paraId="61BA2E4A" w14:textId="1E364A5A" w:rsidR="0003438B" w:rsidRDefault="0003438B" w:rsidP="0003438B">
      <w:pPr>
        <w:pStyle w:val="Note"/>
      </w:pPr>
      <w:r w:rsidRPr="00180E66">
        <w:rPr>
          <w:b/>
          <w:bCs/>
        </w:rPr>
        <w:t>a.</w:t>
      </w:r>
      <w:r>
        <w:t xml:space="preserve"> Based on measures of exit and entries over the ABS’s estimates of the counts of Australian businesses. There are minor discrepancies of numbers between successive statistical reports. The effects of the pandemic and various government policy measures to stimulate the economy explain the uncharacteristic results for 2020</w:t>
      </w:r>
      <w:r>
        <w:noBreakHyphen/>
        <w:t>21 and 2021</w:t>
      </w:r>
      <w:r w:rsidR="000565F7">
        <w:noBreakHyphen/>
      </w:r>
      <w:r>
        <w:t>22.</w:t>
      </w:r>
    </w:p>
    <w:p w14:paraId="3E8EB868" w14:textId="03EF48D1" w:rsidR="0003438B" w:rsidRDefault="0003438B" w:rsidP="0003438B">
      <w:pPr>
        <w:pStyle w:val="Source"/>
      </w:pPr>
      <w:r w:rsidRPr="00696447">
        <w:t xml:space="preserve">Source: </w:t>
      </w:r>
      <w:r>
        <w:t>ABS (</w:t>
      </w:r>
      <w:r w:rsidRPr="00423BA2">
        <w:rPr>
          <w:i/>
          <w:iCs/>
        </w:rPr>
        <w:t xml:space="preserve">Counts of Australian </w:t>
      </w:r>
      <w:r w:rsidR="00F52F04" w:rsidRPr="00423BA2">
        <w:rPr>
          <w:i/>
          <w:iCs/>
        </w:rPr>
        <w:t>Businesses</w:t>
      </w:r>
      <w:r w:rsidRPr="00423BA2">
        <w:rPr>
          <w:i/>
          <w:iCs/>
        </w:rPr>
        <w:t>, including Entries and Exits</w:t>
      </w:r>
      <w:r>
        <w:rPr>
          <w:i/>
        </w:rPr>
        <w:t xml:space="preserve">, </w:t>
      </w:r>
      <w:r w:rsidR="001B71D7" w:rsidRPr="001B71D7">
        <w:rPr>
          <w:i/>
          <w:iCs/>
        </w:rPr>
        <w:t>various years</w:t>
      </w:r>
      <w:r>
        <w:t>, Cat. no. 8165.0</w:t>
      </w:r>
      <w:r w:rsidR="00F52F04">
        <w:t>)</w:t>
      </w:r>
      <w:r>
        <w:t>.</w:t>
      </w:r>
    </w:p>
    <w:p w14:paraId="04453A5D" w14:textId="7EAC18B4" w:rsidR="0003438B" w:rsidRDefault="0003438B" w:rsidP="0003438B">
      <w:pPr>
        <w:pStyle w:val="BodyText"/>
      </w:pPr>
      <w:r>
        <w:t>Firm exit rates in Australia have been trending down for employing businesses (and been largely static for non</w:t>
      </w:r>
      <w:r>
        <w:noBreakHyphen/>
        <w:t>employing businesses over the past five years). The downward trend partly reflects significant reductions in business</w:t>
      </w:r>
      <w:r>
        <w:noBreakHyphen/>
        <w:t>related bankruptcies and personal insolvencies (box 1.2), though the share of total business exits accounted for by such business failures is small. In any case, the changes in bankruptcy and insolvency laws in recent years have been to improve the efficient re</w:t>
      </w:r>
      <w:r>
        <w:noBreakHyphen/>
        <w:t>allocation of resources to avoid ‘fire sales’ and to enable fundamentally sound businesses to be restructured.</w:t>
      </w:r>
    </w:p>
    <w:p w14:paraId="6EDCA752" w14:textId="1E0C4F33" w:rsidR="0003438B" w:rsidRDefault="0003438B" w:rsidP="0003438B">
      <w:pPr>
        <w:pStyle w:val="BodyText"/>
      </w:pPr>
      <w:r>
        <w:t>Of the remaining exits, many will not entail failure as businesses can cease due to retirement of the owner, re</w:t>
      </w:r>
      <w:r>
        <w:noBreakHyphen/>
        <w:t xml:space="preserve">structuring or the sale of a profitable business. Nevertheless, many other exits reflect poor productivity and profitability arising from unanticipated demand and supply shocks or management deficiencies. </w:t>
      </w:r>
      <w:r w:rsidRPr="00B52EDB">
        <w:t>One survey of CEOs who had experienced a business failure found about one quarter attributed it to lack of leadership, 14 per cent to a poor understanding of finance and about 10 per cent to poor governance structures (Australian Centre for Business Growth 2018).</w:t>
      </w:r>
    </w:p>
    <w:p w14:paraId="220BF512" w14:textId="77777777" w:rsidR="0003438B" w:rsidRDefault="0003438B" w:rsidP="0003438B">
      <w:pPr>
        <w:pStyle w:val="BodyText"/>
      </w:pPr>
      <w:r>
        <w:t>Declining rates of exits will be problematic to the degree that low productivity businesses survive, slowing the diffusion of best practice and using resources best allocated to more efficient businesses. While exits can be adverse for business owners and employees, they also build up entrepreneurial experience and encourage the acquisition of new skills.</w:t>
      </w:r>
    </w:p>
    <w:tbl>
      <w:tblPr>
        <w:tblStyle w:val="Boxtable"/>
        <w:tblW w:w="5000" w:type="pct"/>
        <w:tblLook w:val="04A0" w:firstRow="1" w:lastRow="0" w:firstColumn="1" w:lastColumn="0" w:noHBand="0" w:noVBand="1"/>
      </w:tblPr>
      <w:tblGrid>
        <w:gridCol w:w="9638"/>
      </w:tblGrid>
      <w:tr w:rsidR="0003438B" w14:paraId="12DFD832" w14:textId="77777777" w:rsidTr="00C426E9">
        <w:trPr>
          <w:trHeight w:val="523"/>
          <w:tblHeader/>
        </w:trPr>
        <w:tc>
          <w:tcPr>
            <w:tcW w:w="9638" w:type="dxa"/>
            <w:tcMar>
              <w:top w:w="170" w:type="dxa"/>
              <w:left w:w="170" w:type="dxa"/>
              <w:bottom w:w="113" w:type="dxa"/>
              <w:right w:w="170" w:type="dxa"/>
            </w:tcMar>
            <w:hideMark/>
          </w:tcPr>
          <w:p w14:paraId="3FC565D1" w14:textId="77777777" w:rsidR="0003438B" w:rsidRDefault="0003438B" w:rsidP="00C426E9">
            <w:pPr>
              <w:pStyle w:val="BoxHeading1"/>
            </w:pPr>
            <w:r>
              <w:lastRenderedPageBreak/>
              <w:t>Box 1.2 – The role of bankruptcies and insolvencies in firm exit</w:t>
            </w:r>
          </w:p>
        </w:tc>
      </w:tr>
      <w:tr w:rsidR="0003438B" w14:paraId="63B3DA80" w14:textId="77777777" w:rsidTr="00546D06">
        <w:trPr>
          <w:trHeight w:val="10646"/>
        </w:trPr>
        <w:tc>
          <w:tcPr>
            <w:tcW w:w="9581" w:type="dxa"/>
            <w:tcMar>
              <w:top w:w="28" w:type="dxa"/>
              <w:left w:w="170" w:type="dxa"/>
              <w:bottom w:w="170" w:type="dxa"/>
              <w:right w:w="170" w:type="dxa"/>
            </w:tcMar>
            <w:hideMark/>
          </w:tcPr>
          <w:p w14:paraId="3075C4C4" w14:textId="00DD5324" w:rsidR="0003438B" w:rsidRDefault="0003438B" w:rsidP="00C426E9">
            <w:pPr>
              <w:pStyle w:val="Box"/>
            </w:pPr>
            <w:r>
              <w:t>In 2018</w:t>
            </w:r>
            <w:r>
              <w:noBreakHyphen/>
              <w:t xml:space="preserve">19, prior to the onset of the pandemic, bankruptcies and insolvencies were already at their lowest level since the late 1990s </w:t>
            </w:r>
            <w:r w:rsidRPr="009C2D5E">
              <w:rPr>
                <w:rFonts w:cs="Arial"/>
                <w:szCs w:val="24"/>
              </w:rPr>
              <w:t>(RBA 2020, p. 33)</w:t>
            </w:r>
            <w:r>
              <w:t>. By 2021</w:t>
            </w:r>
            <w:r>
              <w:noBreakHyphen/>
              <w:t>22, business bankruptcies and corporate insolvencies were less than half their 2018</w:t>
            </w:r>
            <w:r>
              <w:noBreakHyphen/>
              <w:t>19 levels (figure</w:t>
            </w:r>
            <w:r w:rsidR="00CB0311">
              <w:t xml:space="preserve"> below</w:t>
            </w:r>
            <w:r>
              <w:t>).</w:t>
            </w:r>
          </w:p>
          <w:p w14:paraId="310A5B6F" w14:textId="2B9E5532" w:rsidR="0003438B" w:rsidRDefault="0003438B" w:rsidP="00C426E9">
            <w:pPr>
              <w:pStyle w:val="Box"/>
            </w:pPr>
            <w:r>
              <w:t>Several changes to Australia’s insolvency and bankruptcy laws in recent years will have contributed to the decline in business exits and will do so in future years. In particular, reforms to Australia’s corporate insolvency laws in September 2017 gave companies more breathing space to undertake a formal restructure rather than become insolvent (reforms introduced a safe harbour for company directors from personal liability for insolvent trading, and a stay on enforcement of ipso facto clauses).</w:t>
            </w:r>
          </w:p>
          <w:p w14:paraId="75628F0E" w14:textId="7437393A" w:rsidR="0003438B" w:rsidRDefault="0003438B" w:rsidP="00C426E9">
            <w:pPr>
              <w:pStyle w:val="Box"/>
            </w:pPr>
            <w:r>
              <w:t>Though its effects will not yet be obvious in the failure data, the introduction in January 2021 of a new formal debt restructuring process for small businesses is aimed at reducing exits of small businesses, while a simplified liquidation pathway is aimed at speeding up liquidation (and the subsequent reallocation of resources) for those businesses that do fail. The patterns in the last few years will also reflect the influence of pandemic business support programs such as JobKeeper and industry</w:t>
            </w:r>
            <w:r>
              <w:noBreakHyphen/>
              <w:t>specific supports, such as the COVID</w:t>
            </w:r>
            <w:r>
              <w:noBreakHyphen/>
              <w:t>19 Consumer Travel Support Program. Temporary changes were also introduced to insolvency arrangements during the COVID</w:t>
            </w:r>
            <w:r>
              <w:noBreakHyphen/>
              <w:t>19 pandemic as part of the package of business support measures, which reduced business failures below counterfactual levels.</w:t>
            </w:r>
          </w:p>
          <w:p w14:paraId="61171534" w14:textId="3C18C680" w:rsidR="0003438B" w:rsidRPr="00146382" w:rsidRDefault="0003438B" w:rsidP="00C426E9">
            <w:pPr>
              <w:pStyle w:val="FigureTableHeading"/>
              <w:spacing w:before="120"/>
            </w:pPr>
            <w:r>
              <w:t>Business</w:t>
            </w:r>
            <w:r>
              <w:noBreakHyphen/>
              <w:t>related bankruptcies and corporate insolvencies declined between 2007</w:t>
            </w:r>
            <w:r>
              <w:noBreakHyphen/>
              <w:t>08 and 2021</w:t>
            </w:r>
            <w:r>
              <w:noBreakHyphen/>
              <w:t>22</w:t>
            </w:r>
            <w:r w:rsidRPr="00066CF5">
              <w:rPr>
                <w:vertAlign w:val="superscript"/>
              </w:rPr>
              <w:t>a</w:t>
            </w:r>
          </w:p>
          <w:p w14:paraId="4D955550" w14:textId="5F231C59" w:rsidR="0003438B" w:rsidRDefault="0005226B" w:rsidP="00C426E9">
            <w:pPr>
              <w:pStyle w:val="Note"/>
              <w:jc w:val="both"/>
              <w:rPr>
                <w:b/>
                <w:bCs/>
              </w:rPr>
            </w:pPr>
            <w:r w:rsidRPr="0005226B">
              <w:rPr>
                <w:b/>
                <w:bCs/>
                <w:noProof/>
              </w:rPr>
              <w:drawing>
                <wp:inline distT="0" distB="0" distL="0" distR="0" wp14:anchorId="652776FC" wp14:editId="733E4413">
                  <wp:extent cx="5940000" cy="2959595"/>
                  <wp:effectExtent l="0" t="0" r="0" b="0"/>
                  <wp:docPr id="107" name="Picture 107" descr="This figure shows the quarterly number of business-related bankruptcies and corporate insolvencies in Australia over time between 2007-08 and 2021-22. It shows that rates of business-related bankruptcies and corporate insolvencies have decline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is figure shows the quarterly number of business-related bankruptcies and corporate insolvencies in Australia over time between 2007-08 and 2021-22. It shows that rates of business-related bankruptcies and corporate insolvencies have declined over time. "/>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l="2950"/>
                          <a:stretch/>
                        </pic:blipFill>
                        <pic:spPr bwMode="auto">
                          <a:xfrm>
                            <a:off x="0" y="0"/>
                            <a:ext cx="5940000" cy="2959595"/>
                          </a:xfrm>
                          <a:prstGeom prst="rect">
                            <a:avLst/>
                          </a:prstGeom>
                          <a:noFill/>
                          <a:ln>
                            <a:noFill/>
                          </a:ln>
                          <a:extLst>
                            <a:ext uri="{53640926-AAD7-44D8-BBD7-CCE9431645EC}">
                              <a14:shadowObscured xmlns:a14="http://schemas.microsoft.com/office/drawing/2010/main"/>
                            </a:ext>
                          </a:extLst>
                        </pic:spPr>
                      </pic:pic>
                    </a:graphicData>
                  </a:graphic>
                </wp:inline>
              </w:drawing>
            </w:r>
          </w:p>
          <w:p w14:paraId="74F6CDB4" w14:textId="64944324" w:rsidR="0003438B" w:rsidRDefault="0003438B" w:rsidP="00C426E9">
            <w:pPr>
              <w:pStyle w:val="Note"/>
            </w:pPr>
            <w:r w:rsidRPr="00180E66">
              <w:rPr>
                <w:b/>
                <w:bCs/>
              </w:rPr>
              <w:t>a.</w:t>
            </w:r>
            <w:r>
              <w:t xml:space="preserve"> The total is the sum of </w:t>
            </w:r>
            <w:r w:rsidR="00F52F04">
              <w:t>b</w:t>
            </w:r>
            <w:r>
              <w:t>usiness bankruptcies and corporate insolvencies. Non</w:t>
            </w:r>
            <w:r>
              <w:noBreakHyphen/>
              <w:t>business bankruptcies are excluded. The estimate of bankruptcies for 2021</w:t>
            </w:r>
            <w:r>
              <w:noBreakHyphen/>
              <w:t>22 includes an estimate for the last quarter of the year.</w:t>
            </w:r>
          </w:p>
          <w:p w14:paraId="3B3E64F5" w14:textId="6FF68D94" w:rsidR="0003438B" w:rsidRDefault="0003438B" w:rsidP="00C426E9">
            <w:pPr>
              <w:pStyle w:val="Note"/>
            </w:pPr>
            <w:r>
              <w:t xml:space="preserve">Source: AFSA </w:t>
            </w:r>
            <w:r w:rsidRPr="008B2802">
              <w:rPr>
                <w:rFonts w:ascii="Arial" w:hAnsi="Arial" w:cs="Arial"/>
              </w:rPr>
              <w:t>(2022)</w:t>
            </w:r>
            <w:r>
              <w:t xml:space="preserve"> and ASIC </w:t>
            </w:r>
            <w:r w:rsidRPr="006F3D13">
              <w:rPr>
                <w:rFonts w:ascii="Arial" w:hAnsi="Arial" w:cs="Arial"/>
              </w:rPr>
              <w:t>(2022)</w:t>
            </w:r>
            <w:r>
              <w:t>.</w:t>
            </w:r>
          </w:p>
        </w:tc>
      </w:tr>
      <w:tr w:rsidR="0003438B" w14:paraId="71399D8E" w14:textId="77777777" w:rsidTr="00C426E9">
        <w:trPr>
          <w:trHeight w:val="231"/>
          <w:hidden/>
        </w:trPr>
        <w:tc>
          <w:tcPr>
            <w:tcW w:w="9638" w:type="dxa"/>
            <w:shd w:val="clear" w:color="auto" w:fill="auto"/>
            <w:tcMar>
              <w:top w:w="0" w:type="dxa"/>
              <w:left w:w="170" w:type="dxa"/>
              <w:bottom w:w="0" w:type="dxa"/>
              <w:right w:w="170" w:type="dxa"/>
            </w:tcMar>
          </w:tcPr>
          <w:p w14:paraId="05D255FE" w14:textId="6E4DD296" w:rsidR="0003438B" w:rsidRPr="00465191" w:rsidRDefault="0003438B" w:rsidP="00C426E9">
            <w:pPr>
              <w:pStyle w:val="BodyText"/>
              <w:spacing w:before="0" w:after="0" w:line="80" w:lineRule="atLeast"/>
              <w:rPr>
                <w:smallCaps/>
                <w:vanish/>
              </w:rPr>
            </w:pPr>
          </w:p>
        </w:tc>
      </w:tr>
    </w:tbl>
    <w:p w14:paraId="4A5E37D6" w14:textId="7037E3E1" w:rsidR="0003438B" w:rsidRPr="006F42AA" w:rsidRDefault="0003438B" w:rsidP="00FD5DEF">
      <w:pPr>
        <w:pStyle w:val="BodyText"/>
        <w:pageBreakBefore/>
        <w:rPr>
          <w:spacing w:val="-4"/>
        </w:rPr>
      </w:pPr>
      <w:r w:rsidRPr="006F42AA">
        <w:rPr>
          <w:spacing w:val="-4"/>
        </w:rPr>
        <w:lastRenderedPageBreak/>
        <w:t xml:space="preserve">The overall picture is that a smaller share of businesses exit than 15 years ago, particularly for employing businesses, which is where most activity in the economy is concentrated. Why that is the case and whether it really interferes with the ‘diffusion machine’ is not clear. Some evidence suggests that the number of businesses at the edge of financial viability (‘zombie’ businesses) has </w:t>
      </w:r>
      <w:r w:rsidRPr="006F42AA">
        <w:rPr>
          <w:i/>
          <w:iCs/>
          <w:spacing w:val="-4"/>
        </w:rPr>
        <w:t>not</w:t>
      </w:r>
      <w:r w:rsidRPr="006F42AA">
        <w:rPr>
          <w:spacing w:val="-4"/>
        </w:rPr>
        <w:t xml:space="preserve"> risen as a share of all businesses since 2007, and that these businesses have had limited adverse effects on aggregate firm performance </w:t>
      </w:r>
      <w:r w:rsidRPr="006F42AA">
        <w:rPr>
          <w:rFonts w:cs="Arial"/>
          <w:spacing w:val="-4"/>
          <w:szCs w:val="24"/>
        </w:rPr>
        <w:t>(Bowman 2022)</w:t>
      </w:r>
      <w:r w:rsidRPr="006F42AA">
        <w:rPr>
          <w:spacing w:val="-4"/>
        </w:rPr>
        <w:t>.</w:t>
      </w:r>
    </w:p>
    <w:p w14:paraId="1B90F246" w14:textId="77777777" w:rsidR="0003438B" w:rsidRDefault="0003438B" w:rsidP="0003438B">
      <w:pPr>
        <w:pStyle w:val="BodyText"/>
      </w:pPr>
      <w:r>
        <w:t>While diffusion is partly driven by the dynamics of markets — competition, death, survival and growth — it is also a product of investments in the resources that shift businesses’ productive capabilities — ‘knowledge</w:t>
      </w:r>
      <w:r>
        <w:noBreakHyphen/>
        <w:t>based’ capital or capital with ‘</w:t>
      </w:r>
      <w:proofErr w:type="gramStart"/>
      <w:r>
        <w:t>brains’</w:t>
      </w:r>
      <w:proofErr w:type="gramEnd"/>
      <w:r>
        <w:t>. These investments include the acquisition of intangible capital in software, research and development, exploration, and artistic works, the skills of workers, and</w:t>
      </w:r>
      <w:r w:rsidRPr="00924D81">
        <w:t xml:space="preserve"> </w:t>
      </w:r>
      <w:r>
        <w:t>the knowledge embedded in machinery and equipment. While investments in the latter are often not seen as a part of knowledge</w:t>
      </w:r>
      <w:r>
        <w:noBreakHyphen/>
        <w:t xml:space="preserve">based capital, they facilitate learning through use and reverse engineering. (There are other forms of intangible capital, such as databases and managerial capabilities, but these are incompletely captured by official </w:t>
      </w:r>
      <w:r w:rsidRPr="00183435">
        <w:t>statistics.)</w:t>
      </w:r>
      <w:r w:rsidRPr="00183435">
        <w:rPr>
          <w:rStyle w:val="FootnoteReference"/>
        </w:rPr>
        <w:footnoteReference w:id="10"/>
      </w:r>
    </w:p>
    <w:p w14:paraId="22AB1FA1" w14:textId="4DE9CC27" w:rsidR="0003438B" w:rsidRDefault="0003438B" w:rsidP="0003438B">
      <w:pPr>
        <w:pStyle w:val="BodyText"/>
      </w:pPr>
      <w:r>
        <w:t>Putting aside investments in workers’ skills (which are not collected by the Australian Bureau of Statistics on the same basis as other knowledge</w:t>
      </w:r>
      <w:r>
        <w:noBreakHyphen/>
        <w:t>based investments), overall investments in capital with ‘brains’ has been falling in recent years, especially R&amp;D and machinery and equipment (figure 1.1</w:t>
      </w:r>
      <w:r w:rsidR="00F52F04">
        <w:t>0</w:t>
      </w:r>
      <w:r>
        <w:t xml:space="preserve">). In contrast, </w:t>
      </w:r>
      <w:r w:rsidR="000445C4">
        <w:t>investments in</w:t>
      </w:r>
      <w:r>
        <w:t xml:space="preserve"> the quality of labour — a summary measure of skill development and relevant to the creation and absorption of knowledge — has been rising consistently over the past 15 years (figure 1.1</w:t>
      </w:r>
      <w:r w:rsidR="00F52F04">
        <w:t>1</w:t>
      </w:r>
      <w:r>
        <w:t>).</w:t>
      </w:r>
    </w:p>
    <w:p w14:paraId="19E91FCF" w14:textId="01CE5918" w:rsidR="0003438B" w:rsidRDefault="009274D2" w:rsidP="0003438B">
      <w:pPr>
        <w:pStyle w:val="BodyText"/>
      </w:pPr>
      <w:r>
        <w:t>While such investments are a major conduit for diffusion of knowledge, so too is the degree to which workers move between firms, regardless of whether that is precipitated by a firm exit.</w:t>
      </w:r>
      <w:r w:rsidR="00B02BB9">
        <w:t xml:space="preserve"> </w:t>
      </w:r>
      <w:r w:rsidR="0003438B">
        <w:t>Workers acquire capabilities through formal learning and training, through job experience and with personal experiences. When they move between organisations, they carry those capabilities across. There are two gains for the recipient organisations. They acquire variety — people with new ideas compared with the incumbent workforce. They also benefit from matching efficiency. A worker who finds their current job does not fully use their skills searches for more compatible and often more highly paid jobs. If job mobility falls, especially for workers with less routine jobs, then this can disrupt this beneficial source of diffusion and innovation. The evidence suggests that job mobility has been falling in Australia.</w:t>
      </w:r>
      <w:r w:rsidR="0003438B" w:rsidRPr="000C2244">
        <w:rPr>
          <w:rStyle w:val="FootnoteReference"/>
        </w:rPr>
        <w:footnoteReference w:id="11"/>
      </w:r>
    </w:p>
    <w:p w14:paraId="0D89BEE9" w14:textId="11809A41" w:rsidR="0003438B" w:rsidRPr="00146382" w:rsidRDefault="0003438B" w:rsidP="0003438B">
      <w:pPr>
        <w:pStyle w:val="FigureTableHeading"/>
      </w:pPr>
      <w:r>
        <w:lastRenderedPageBreak/>
        <w:t>Figure 1.1</w:t>
      </w:r>
      <w:r w:rsidR="00F52F04">
        <w:t>0</w:t>
      </w:r>
      <w:r>
        <w:rPr>
          <w:noProof/>
        </w:rPr>
        <w:t xml:space="preserve"> </w:t>
      </w:r>
      <w:r>
        <w:t xml:space="preserve">– Capital with ‘brains’ has been </w:t>
      </w:r>
      <w:proofErr w:type="spellStart"/>
      <w:r>
        <w:t>falling</w:t>
      </w:r>
      <w:r w:rsidRPr="00066CF5">
        <w:rPr>
          <w:vertAlign w:val="superscript"/>
        </w:rPr>
        <w:t>a,b</w:t>
      </w:r>
      <w:proofErr w:type="spellEnd"/>
    </w:p>
    <w:p w14:paraId="786D9E59" w14:textId="77777777" w:rsidR="0003438B" w:rsidRDefault="0003438B" w:rsidP="0003438B">
      <w:pPr>
        <w:pStyle w:val="FigureTableSubheading"/>
        <w:keepLines/>
      </w:pPr>
      <w:r>
        <w:t>Capital spending as a share of gross domestic product 1959</w:t>
      </w:r>
      <w:r>
        <w:noBreakHyphen/>
        <w:t>60 to 2020</w:t>
      </w:r>
      <w:r>
        <w:noBreakHyphen/>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3438B" w:rsidRPr="005550A0" w14:paraId="14256877" w14:textId="77777777" w:rsidTr="00C426E9">
        <w:trPr>
          <w:tblHeader/>
        </w:trPr>
        <w:tc>
          <w:tcPr>
            <w:tcW w:w="2500" w:type="pct"/>
            <w:shd w:val="clear" w:color="auto" w:fill="auto"/>
          </w:tcPr>
          <w:p w14:paraId="2060B4E5" w14:textId="613CF061" w:rsidR="0003438B" w:rsidRPr="005550A0" w:rsidRDefault="00CA692E" w:rsidP="00C426E9">
            <w:pPr>
              <w:pStyle w:val="TableBody"/>
            </w:pPr>
            <w:r w:rsidRPr="00CA692E">
              <w:rPr>
                <w:noProof/>
              </w:rPr>
              <w:drawing>
                <wp:inline distT="0" distB="0" distL="0" distR="0" wp14:anchorId="1C67BCF6" wp14:editId="3CC396EC">
                  <wp:extent cx="3069590" cy="2808605"/>
                  <wp:effectExtent l="0" t="0" r="0" b="0"/>
                  <wp:docPr id="136" name="Picture 136"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069590" cy="2808605"/>
                          </a:xfrm>
                          <a:prstGeom prst="rect">
                            <a:avLst/>
                          </a:prstGeom>
                          <a:noFill/>
                          <a:ln>
                            <a:noFill/>
                          </a:ln>
                        </pic:spPr>
                      </pic:pic>
                    </a:graphicData>
                  </a:graphic>
                </wp:inline>
              </w:drawing>
            </w:r>
          </w:p>
        </w:tc>
        <w:tc>
          <w:tcPr>
            <w:tcW w:w="2500" w:type="pct"/>
            <w:shd w:val="clear" w:color="auto" w:fill="auto"/>
          </w:tcPr>
          <w:p w14:paraId="390872B5" w14:textId="7BDEE841" w:rsidR="0003438B" w:rsidRPr="005550A0" w:rsidRDefault="00CA692E" w:rsidP="00C426E9">
            <w:pPr>
              <w:pStyle w:val="TableBody"/>
            </w:pPr>
            <w:r w:rsidRPr="00CA692E">
              <w:rPr>
                <w:noProof/>
              </w:rPr>
              <w:drawing>
                <wp:inline distT="0" distB="0" distL="0" distR="0" wp14:anchorId="7D62A314" wp14:editId="64B1344C">
                  <wp:extent cx="3069590" cy="2808605"/>
                  <wp:effectExtent l="0" t="0" r="0" b="0"/>
                  <wp:docPr id="137" name="Picture 137"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069590" cy="2808605"/>
                          </a:xfrm>
                          <a:prstGeom prst="rect">
                            <a:avLst/>
                          </a:prstGeom>
                          <a:noFill/>
                          <a:ln>
                            <a:noFill/>
                          </a:ln>
                        </pic:spPr>
                      </pic:pic>
                    </a:graphicData>
                  </a:graphic>
                </wp:inline>
              </w:drawing>
            </w:r>
          </w:p>
        </w:tc>
      </w:tr>
      <w:tr w:rsidR="002961FE" w:rsidRPr="002961FE" w14:paraId="7D5F4AE5" w14:textId="77777777" w:rsidTr="00C426E9">
        <w:trPr>
          <w:tblHeader/>
        </w:trPr>
        <w:tc>
          <w:tcPr>
            <w:tcW w:w="2500" w:type="pct"/>
            <w:shd w:val="clear" w:color="auto" w:fill="auto"/>
          </w:tcPr>
          <w:p w14:paraId="7A25677B" w14:textId="7ED0B63B" w:rsidR="0003438B" w:rsidRPr="002961FE" w:rsidRDefault="002961FE" w:rsidP="00C426E9">
            <w:pPr>
              <w:pStyle w:val="TableBody"/>
              <w:rPr>
                <w:noProof/>
              </w:rPr>
            </w:pPr>
            <w:r w:rsidRPr="002961FE">
              <w:rPr>
                <w:noProof/>
              </w:rPr>
              <w:drawing>
                <wp:inline distT="0" distB="0" distL="0" distR="0" wp14:anchorId="2B8A6D5A" wp14:editId="547CB482">
                  <wp:extent cx="3004185" cy="2927985"/>
                  <wp:effectExtent l="0" t="0" r="0" b="0"/>
                  <wp:docPr id="135" name="Picture 135"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004185" cy="2927985"/>
                          </a:xfrm>
                          <a:prstGeom prst="rect">
                            <a:avLst/>
                          </a:prstGeom>
                          <a:noFill/>
                          <a:ln>
                            <a:noFill/>
                          </a:ln>
                        </pic:spPr>
                      </pic:pic>
                    </a:graphicData>
                  </a:graphic>
                </wp:inline>
              </w:drawing>
            </w:r>
          </w:p>
        </w:tc>
        <w:tc>
          <w:tcPr>
            <w:tcW w:w="2500" w:type="pct"/>
            <w:shd w:val="clear" w:color="auto" w:fill="auto"/>
          </w:tcPr>
          <w:p w14:paraId="07FFDA1D" w14:textId="328BA9B7" w:rsidR="0003438B" w:rsidRPr="002961FE" w:rsidRDefault="006B6F38" w:rsidP="00C426E9">
            <w:pPr>
              <w:pStyle w:val="TableBody"/>
              <w:rPr>
                <w:noProof/>
              </w:rPr>
            </w:pPr>
            <w:r w:rsidRPr="002961FE">
              <w:rPr>
                <w:noProof/>
              </w:rPr>
              <w:drawing>
                <wp:inline distT="0" distB="0" distL="0" distR="0" wp14:anchorId="0628458A" wp14:editId="56E9BF99">
                  <wp:extent cx="2993390" cy="2927985"/>
                  <wp:effectExtent l="0" t="0" r="0" b="0"/>
                  <wp:docPr id="134" name="Picture 134"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his figure contains four charts, showing capital expenditure as a share of gross domestic product over time between 1959-60 and 2020-21. The first chart shows total capital with ‘brains’, the second shows machinery and equipment, the third exploration and art, and the fourth software, R&amp;D, and weapons systems. The charts show expenditure on total capital with ‘brains’ has declined over time as a share of gross domestic product, with spending on machinery and equipment, exploration, and weapons systems declining while spending on art, R&amp;D, and software has increased."/>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993390" cy="2927985"/>
                          </a:xfrm>
                          <a:prstGeom prst="rect">
                            <a:avLst/>
                          </a:prstGeom>
                          <a:noFill/>
                          <a:ln>
                            <a:noFill/>
                          </a:ln>
                        </pic:spPr>
                      </pic:pic>
                    </a:graphicData>
                  </a:graphic>
                </wp:inline>
              </w:drawing>
            </w:r>
          </w:p>
        </w:tc>
      </w:tr>
    </w:tbl>
    <w:p w14:paraId="4BC93484" w14:textId="77777777" w:rsidR="0003438B" w:rsidRDefault="0003438B" w:rsidP="0003438B">
      <w:pPr>
        <w:pStyle w:val="Note"/>
        <w:keepLines/>
      </w:pPr>
      <w:r w:rsidRPr="00452050">
        <w:rPr>
          <w:b/>
        </w:rPr>
        <w:t>a</w:t>
      </w:r>
      <w:r w:rsidRPr="00180E66">
        <w:rPr>
          <w:b/>
          <w:bCs/>
        </w:rPr>
        <w:t>.</w:t>
      </w:r>
      <w:r>
        <w:t xml:space="preserve"> Knowledge</w:t>
      </w:r>
      <w:r>
        <w:noBreakHyphen/>
        <w:t>based capital spending is often defined as the sum of gross fixed capital spending on computer software, research and development, mineral and petroleum exploration, and artistic works. The individual shares of current price spending on these to current price gross domestic product is shown above. In addition, investment in machinery and equipment and weapons systems also embody knowledge. While this is partly an outcome of knowledge</w:t>
      </w:r>
      <w:r>
        <w:noBreakHyphen/>
        <w:t>based capital spending, much of these forms of capital are imported and provide an independent source of knowledge. Accordingly, the combination of all of these forms of capital are referred to as investment with ‘</w:t>
      </w:r>
      <w:proofErr w:type="gramStart"/>
      <w:r>
        <w:t>brains’</w:t>
      </w:r>
      <w:proofErr w:type="gramEnd"/>
      <w:r>
        <w:t>. Some important aspects of such capital are not included, such as investments in workers’ skills and organisational capabilities.</w:t>
      </w:r>
    </w:p>
    <w:p w14:paraId="00F09994" w14:textId="2235FCA0" w:rsidR="0003438B" w:rsidRDefault="0003438B" w:rsidP="0003438B">
      <w:pPr>
        <w:pStyle w:val="Source"/>
      </w:pPr>
      <w:r w:rsidRPr="00696447">
        <w:t xml:space="preserve">Source: </w:t>
      </w:r>
      <w:r>
        <w:t xml:space="preserve">ABS </w:t>
      </w:r>
      <w:r w:rsidR="00EC071A">
        <w:t>(</w:t>
      </w:r>
      <w:r w:rsidRPr="009C16BB">
        <w:rPr>
          <w:i/>
          <w:iCs/>
        </w:rPr>
        <w:t>Australian System of National Accounts, 2020</w:t>
      </w:r>
      <w:r w:rsidRPr="009C16BB">
        <w:rPr>
          <w:i/>
          <w:iCs/>
        </w:rPr>
        <w:noBreakHyphen/>
        <w:t>21</w:t>
      </w:r>
      <w:r>
        <w:t xml:space="preserve">, </w:t>
      </w:r>
      <w:r w:rsidR="00EC071A">
        <w:t>C</w:t>
      </w:r>
      <w:r>
        <w:t>at. no. 5204.0</w:t>
      </w:r>
      <w:r w:rsidR="00EC071A">
        <w:t>)</w:t>
      </w:r>
      <w:r w:rsidRPr="00696447">
        <w:t>.</w:t>
      </w:r>
    </w:p>
    <w:p w14:paraId="746A3198" w14:textId="1FD773BE" w:rsidR="0003438B" w:rsidRPr="00146382" w:rsidRDefault="0003438B" w:rsidP="0003438B">
      <w:pPr>
        <w:pStyle w:val="FigureTableHeading"/>
      </w:pPr>
      <w:r>
        <w:lastRenderedPageBreak/>
        <w:t>Figure 1.1</w:t>
      </w:r>
      <w:r w:rsidR="00F52F04">
        <w:t>1</w:t>
      </w:r>
      <w:r>
        <w:rPr>
          <w:noProof/>
        </w:rPr>
        <w:t xml:space="preserve"> </w:t>
      </w:r>
      <w:r>
        <w:t xml:space="preserve">– The latent capabilities of labour has been increasing slowly but </w:t>
      </w:r>
      <w:proofErr w:type="spellStart"/>
      <w:r>
        <w:t>steadily</w:t>
      </w:r>
      <w:r w:rsidRPr="00066CF5">
        <w:rPr>
          <w:vertAlign w:val="superscript"/>
        </w:rPr>
        <w:t>a</w:t>
      </w:r>
      <w:proofErr w:type="spellEnd"/>
    </w:p>
    <w:p w14:paraId="28FD8BFE" w14:textId="77777777" w:rsidR="0003438B" w:rsidRPr="00C15E78" w:rsidRDefault="0003438B" w:rsidP="0003438B">
      <w:pPr>
        <w:pStyle w:val="FigureTableSubheading"/>
        <w:keepLines/>
      </w:pPr>
      <w:r>
        <w:t>Annual changes in labour quality 1990</w:t>
      </w:r>
      <w:r>
        <w:noBreakHyphen/>
        <w:t>91 to 2020</w:t>
      </w:r>
      <w:r>
        <w:noBreakHyphen/>
        <w:t>21</w:t>
      </w:r>
    </w:p>
    <w:p w14:paraId="21F06392" w14:textId="77777777" w:rsidR="0003438B" w:rsidRDefault="0003438B" w:rsidP="0003438B">
      <w:pPr>
        <w:pStyle w:val="Note"/>
        <w:keepLines/>
        <w:rPr>
          <w:b/>
          <w:bCs/>
        </w:rPr>
      </w:pPr>
      <w:r w:rsidRPr="00AE2692">
        <w:rPr>
          <w:noProof/>
        </w:rPr>
        <w:drawing>
          <wp:inline distT="0" distB="0" distL="0" distR="0" wp14:anchorId="2004C306" wp14:editId="5341E909">
            <wp:extent cx="6120130" cy="2874645"/>
            <wp:effectExtent l="0" t="0" r="0" b="0"/>
            <wp:docPr id="46" name="Picture 46" descr="This figure shows the annual growth rate of labour quality in Australia from 1990-91 to 2020-21. It shows that in general, labour quality has been slowly but steadily increasing over tim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shows the annual growth rate of labour quality in Australia from 1990-91 to 2020-21. It shows that in general, labour quality has been slowly but steadily increasing over time in Australia."/>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120130" cy="2874645"/>
                    </a:xfrm>
                    <a:prstGeom prst="rect">
                      <a:avLst/>
                    </a:prstGeom>
                    <a:noFill/>
                    <a:ln>
                      <a:noFill/>
                    </a:ln>
                  </pic:spPr>
                </pic:pic>
              </a:graphicData>
            </a:graphic>
          </wp:inline>
        </w:drawing>
      </w:r>
    </w:p>
    <w:p w14:paraId="1E2898C8" w14:textId="77777777" w:rsidR="0003438B" w:rsidRDefault="0003438B" w:rsidP="0003438B">
      <w:pPr>
        <w:pStyle w:val="Note"/>
        <w:keepLines/>
      </w:pPr>
      <w:r w:rsidRPr="00180E66">
        <w:rPr>
          <w:b/>
          <w:bCs/>
        </w:rPr>
        <w:t>a.</w:t>
      </w:r>
      <w:r>
        <w:t xml:space="preserve"> The measure of labour quality is derived as the ratio of quality</w:t>
      </w:r>
      <w:r>
        <w:noBreakHyphen/>
        <w:t>adjusted labour inputs to hours worked.</w:t>
      </w:r>
    </w:p>
    <w:p w14:paraId="1679E1BD" w14:textId="3347BD95" w:rsidR="0003438B" w:rsidRDefault="0003438B" w:rsidP="0003438B">
      <w:pPr>
        <w:pStyle w:val="Source"/>
      </w:pPr>
      <w:r w:rsidRPr="00696447">
        <w:t xml:space="preserve">Source: </w:t>
      </w:r>
      <w:r>
        <w:t xml:space="preserve">ABS </w:t>
      </w:r>
      <w:r w:rsidR="00EC071A">
        <w:t>(</w:t>
      </w:r>
      <w:r w:rsidRPr="00EC071A">
        <w:rPr>
          <w:i/>
        </w:rPr>
        <w:t>Estimates of Industry Multifactor Productivity, Australia, 2020</w:t>
      </w:r>
      <w:r w:rsidRPr="00EC071A">
        <w:rPr>
          <w:i/>
        </w:rPr>
        <w:noBreakHyphen/>
        <w:t>21</w:t>
      </w:r>
      <w:r w:rsidRPr="004F0FDF">
        <w:t xml:space="preserve">, </w:t>
      </w:r>
      <w:r w:rsidR="00EC071A">
        <w:t>C</w:t>
      </w:r>
      <w:r>
        <w:t>at. no. </w:t>
      </w:r>
      <w:r w:rsidRPr="004F0FDF">
        <w:t>5260.0.55.002</w:t>
      </w:r>
      <w:r w:rsidR="00EC071A">
        <w:t>)</w:t>
      </w:r>
      <w:r>
        <w:t>.</w:t>
      </w:r>
    </w:p>
    <w:p w14:paraId="5CD5C229" w14:textId="016AC035" w:rsidR="0003438B" w:rsidRPr="00C4445E" w:rsidRDefault="0003438B" w:rsidP="0003438B">
      <w:pPr>
        <w:pStyle w:val="Heading2"/>
      </w:pPr>
      <w:bookmarkStart w:id="39" w:name="_Toc113969653"/>
      <w:r>
        <w:t>The policy levers for diffusion are different from those for novel innovation</w:t>
      </w:r>
      <w:bookmarkEnd w:id="39"/>
    </w:p>
    <w:p w14:paraId="0F868912" w14:textId="77777777" w:rsidR="0003438B" w:rsidRDefault="0003438B" w:rsidP="0003438B">
      <w:pPr>
        <w:pStyle w:val="Heading3"/>
      </w:pPr>
      <w:r>
        <w:t xml:space="preserve">Policies for business </w:t>
      </w:r>
    </w:p>
    <w:p w14:paraId="374539C7" w14:textId="24D663FF" w:rsidR="0003438B" w:rsidRDefault="0003438B" w:rsidP="0003438B">
      <w:pPr>
        <w:pStyle w:val="BodyText"/>
      </w:pPr>
      <w:r>
        <w:t>Governments typically stimulate novel innovation through business tax concessions, grants and procurement policies, and via funding of public sector research institutions and universities. These policies recognise that innovation at the frontier involves especially high</w:t>
      </w:r>
      <w:r>
        <w:noBreakHyphen/>
        <w:t>risk activities that often require scarce upfront capital, are penalised by the tax system and whose returns are diluted because other firms can adapt the ideas without paying for them.</w:t>
      </w:r>
    </w:p>
    <w:p w14:paraId="75C650A5" w14:textId="77777777" w:rsidR="0003438B" w:rsidRPr="006F42AA" w:rsidRDefault="0003438B" w:rsidP="0003438B">
      <w:pPr>
        <w:pStyle w:val="BodyText"/>
        <w:rPr>
          <w:spacing w:val="-4"/>
        </w:rPr>
      </w:pPr>
      <w:r w:rsidRPr="006F42AA">
        <w:rPr>
          <w:spacing w:val="-4"/>
        </w:rPr>
        <w:t>While policies that support novel innovation aid diffusion because the innovators can more readily absorb others’ ideas, in general, the policy approaches to diffusion and incremental new</w:t>
      </w:r>
      <w:r w:rsidRPr="006F42AA">
        <w:rPr>
          <w:spacing w:val="-4"/>
        </w:rPr>
        <w:noBreakHyphen/>
        <w:t>to</w:t>
      </w:r>
      <w:r w:rsidRPr="006F42AA">
        <w:rPr>
          <w:spacing w:val="-4"/>
        </w:rPr>
        <w:noBreakHyphen/>
        <w:t>the</w:t>
      </w:r>
      <w:r w:rsidRPr="006F42AA">
        <w:rPr>
          <w:spacing w:val="-4"/>
        </w:rPr>
        <w:noBreakHyphen/>
        <w:t>firm innovation are different. Many of these policies relate to the broader economic environment influencing firm behaviour and performance, which is a central concern of chapter 2 and of parallel work being undertaken in the Productivity Inquiry.</w:t>
      </w:r>
    </w:p>
    <w:p w14:paraId="5410C379" w14:textId="77777777" w:rsidR="0003438B" w:rsidRDefault="0003438B" w:rsidP="001A1DD7">
      <w:pPr>
        <w:pStyle w:val="ListBullet"/>
      </w:pPr>
      <w:r>
        <w:t>Regulations can stifle or encourage diffusion. For example, a benign regulatory environment for foreign investment not only increases access to financial capital but is a conduit for adoption of best practice from businesses that often operate globally.</w:t>
      </w:r>
    </w:p>
    <w:p w14:paraId="2227EAC6" w14:textId="4FC6E289" w:rsidR="0003438B" w:rsidRDefault="0003438B" w:rsidP="001A1DD7">
      <w:pPr>
        <w:pStyle w:val="ListBullet"/>
      </w:pPr>
      <w:r>
        <w:t>Skilled migration does not just bring people with valuable qualifications into Australia, but people with tacit knowledge acquired from working in overseas organisations with more varied management approaches, technologies, and cultures than those available domestically.</w:t>
      </w:r>
    </w:p>
    <w:p w14:paraId="70668465" w14:textId="1BED9323" w:rsidR="0003438B" w:rsidRDefault="0003438B" w:rsidP="001A1DD7">
      <w:pPr>
        <w:pStyle w:val="ListBullet"/>
      </w:pPr>
      <w:r>
        <w:t>The education system is almost all about diffusion — spreading contemporary knowledge among people and giving them the skills to learn new ones.</w:t>
      </w:r>
    </w:p>
    <w:p w14:paraId="27F2080F" w14:textId="72399E3A" w:rsidR="0003438B" w:rsidRDefault="0003438B" w:rsidP="0003438B">
      <w:pPr>
        <w:pStyle w:val="BodyText"/>
      </w:pPr>
      <w:r>
        <w:lastRenderedPageBreak/>
        <w:t>Governments may themselves play a role in business knowledge diffusion though extension programs, regtech, and the provision of data and information that supports good decision</w:t>
      </w:r>
      <w:r w:rsidR="000565F7">
        <w:noBreakHyphen/>
      </w:r>
      <w:r>
        <w:t>making by firms (chapter</w:t>
      </w:r>
      <w:r w:rsidR="000565F7">
        <w:t> </w:t>
      </w:r>
      <w:r>
        <w:t>2).</w:t>
      </w:r>
    </w:p>
    <w:p w14:paraId="0B2BFA8C" w14:textId="77777777" w:rsidR="0003438B" w:rsidRDefault="0003438B" w:rsidP="0003438B">
      <w:pPr>
        <w:pStyle w:val="Heading3"/>
      </w:pPr>
      <w:r>
        <w:t>Policies for non</w:t>
      </w:r>
      <w:r>
        <w:noBreakHyphen/>
        <w:t>market services</w:t>
      </w:r>
    </w:p>
    <w:p w14:paraId="31379132" w14:textId="02AF9ABE" w:rsidR="0003438B" w:rsidRDefault="0003438B" w:rsidP="0003438B">
      <w:pPr>
        <w:pStyle w:val="BodyText"/>
      </w:pPr>
      <w:r>
        <w:t>A large part of the economy and one central to many Australians’ wellbeing is not in the market sector, but funded, organised and often directly provided by governments. In that case, governments act as the equivalent of business managers and shareholders in private entities, with the same challenges of management quality, adoption and diffusion. Their management quality and capacity to innovate, adopt and diffuse best practice is as important as it is for business (chapter 3).</w:t>
      </w:r>
    </w:p>
    <w:p w14:paraId="3BC9F7D1" w14:textId="25D018BB" w:rsidR="0003438B" w:rsidRDefault="0003438B" w:rsidP="0003438B">
      <w:pPr>
        <w:pStyle w:val="BodyText"/>
      </w:pPr>
      <w:r>
        <w:t>In the case of the creation and diffusion of innovations for services provided or funded by government, different considerations come into play than for private organisations.</w:t>
      </w:r>
    </w:p>
    <w:p w14:paraId="4E34DFCC" w14:textId="77777777" w:rsidR="0003438B" w:rsidRDefault="0003438B" w:rsidP="001A1DD7">
      <w:pPr>
        <w:pStyle w:val="ListBullet"/>
      </w:pPr>
      <w:r>
        <w:t>The incentives are different — the model of vigorous competition between private business rivals that encourages adoption is hard to emulate for such services. Unlike most market activities, many government functions are delivered through monopolies. The productivity effects of insolvency and business exits on productivity are largely non</w:t>
      </w:r>
      <w:r>
        <w:noBreakHyphen/>
        <w:t>existent.</w:t>
      </w:r>
    </w:p>
    <w:p w14:paraId="5D7A6AE7" w14:textId="77777777" w:rsidR="0003438B" w:rsidRDefault="0003438B" w:rsidP="001A1DD7">
      <w:pPr>
        <w:pStyle w:val="ListBullet"/>
      </w:pPr>
      <w:r>
        <w:t>There are also significant ethical issues in scaling up innovations unless they have a strong evidential basis. For example, the universality of service provision means that adopting a new approach to teaching affects the whole student population (who, given the compulsory nature of schooling, have no capacity to opt out as customers do for most private sector innovation). The social license to innovate is different in the public sector.</w:t>
      </w:r>
    </w:p>
    <w:p w14:paraId="3C63F8EF" w14:textId="77777777" w:rsidR="0003438B" w:rsidRDefault="0003438B" w:rsidP="001A1DD7">
      <w:pPr>
        <w:pStyle w:val="ListBullet"/>
      </w:pPr>
      <w:r>
        <w:t>Government agencies are more likely to have cultures antithetical to risk taking and innovation. In part, risk</w:t>
      </w:r>
      <w:r>
        <w:noBreakHyphen/>
        <w:t>aversion may be justified when considering the potential human and taxpayer costs of errors. Nonetheless, the degree to which public service provision is overly conservative is something governments can change through new governance and recruitment arrangements.</w:t>
      </w:r>
    </w:p>
    <w:p w14:paraId="6251BA92" w14:textId="77777777" w:rsidR="0003438B" w:rsidRDefault="0003438B" w:rsidP="001A1DD7">
      <w:pPr>
        <w:pStyle w:val="ListBullet"/>
      </w:pPr>
      <w:r>
        <w:t>Scaling up of innovation also appears to be more challenging in the public sector than in the private sector because the specialised resources to replicate successful innovation are scarce, and as there are few people devoted to the task of explicit diffusion.</w:t>
      </w:r>
    </w:p>
    <w:p w14:paraId="746F5365" w14:textId="3B519022" w:rsidR="0003438B" w:rsidRDefault="0003438B" w:rsidP="001A1DD7">
      <w:pPr>
        <w:pStyle w:val="ListBullet"/>
      </w:pPr>
      <w:r>
        <w:t>Complex funding arrangements and split responsibilities between levels of government increase the transaction costs of diffusion, which have few parallels in business where joint ventures and collaboration are typically managed through robust contractual arrangements that maximise value for the parties. And while the multiple states and territories that make up Australia’s federation can be a source of innovation, they can also make it costly to diffuse innovations (for example because of weak networking, incompatible computing systems and different bureaucratic processes).</w:t>
      </w:r>
    </w:p>
    <w:p w14:paraId="7DD98C39" w14:textId="77777777" w:rsidR="00E17586" w:rsidRDefault="0003438B" w:rsidP="0003438B">
      <w:pPr>
        <w:pStyle w:val="BodyText"/>
        <w:sectPr w:rsidR="00E17586" w:rsidSect="00C74B46">
          <w:headerReference w:type="default" r:id="rId53"/>
          <w:type w:val="oddPage"/>
          <w:pgSz w:w="11906" w:h="16838" w:code="9"/>
          <w:pgMar w:top="1134" w:right="1134" w:bottom="1134" w:left="1134" w:header="794" w:footer="510" w:gutter="0"/>
          <w:pgNumType w:start="1"/>
          <w:cols w:space="708"/>
          <w:docGrid w:linePitch="360"/>
        </w:sectPr>
      </w:pPr>
      <w:r>
        <w:t>Given these unique aspects, the policy antidotes for limited diffusion (chapter 3) share only some commonalities with those that apply to private businesses (chapter 2). (Not</w:t>
      </w:r>
      <w:r>
        <w:noBreakHyphen/>
        <w:t>for</w:t>
      </w:r>
      <w:r>
        <w:noBreakHyphen/>
        <w:t>profit organisations straddle both groups, so that the lessons from chapters 2 and 3 will often be relevant.)</w:t>
      </w:r>
    </w:p>
    <w:p w14:paraId="4D31EFB7" w14:textId="77777777" w:rsidR="00557DD7" w:rsidRDefault="00557DD7" w:rsidP="00557DD7">
      <w:pPr>
        <w:pStyle w:val="Heading1"/>
      </w:pPr>
      <w:bookmarkStart w:id="40" w:name="_Toc113969654"/>
      <w:r>
        <w:lastRenderedPageBreak/>
        <w:t>Enabling innovation diffusion in Australia</w:t>
      </w:r>
      <w:bookmarkEnd w:id="40"/>
    </w:p>
    <w:tbl>
      <w:tblPr>
        <w:tblStyle w:val="Texttable-Paleblue"/>
        <w:tblW w:w="5000" w:type="pct"/>
        <w:tblLook w:val="04A0" w:firstRow="1" w:lastRow="0" w:firstColumn="1" w:lastColumn="0" w:noHBand="0" w:noVBand="1"/>
      </w:tblPr>
      <w:tblGrid>
        <w:gridCol w:w="577"/>
        <w:gridCol w:w="9061"/>
      </w:tblGrid>
      <w:tr w:rsidR="00557DD7" w:rsidRPr="002F759A" w14:paraId="3EEE4324" w14:textId="77777777" w:rsidTr="00C426E9">
        <w:tc>
          <w:tcPr>
            <w:tcW w:w="9638" w:type="dxa"/>
            <w:gridSpan w:val="2"/>
            <w:tcMar>
              <w:left w:w="170" w:type="dxa"/>
            </w:tcMar>
          </w:tcPr>
          <w:p w14:paraId="0FC6210A" w14:textId="77777777" w:rsidR="00557DD7" w:rsidRPr="002F759A" w:rsidRDefault="00557DD7" w:rsidP="00C426E9">
            <w:pPr>
              <w:pStyle w:val="Keypoints-heading"/>
            </w:pPr>
            <w:r w:rsidRPr="002F759A">
              <w:t>Key points</w:t>
            </w:r>
          </w:p>
        </w:tc>
      </w:tr>
      <w:tr w:rsidR="00557DD7" w14:paraId="63359FA6" w14:textId="77777777" w:rsidTr="00C426E9">
        <w:tc>
          <w:tcPr>
            <w:tcW w:w="577" w:type="dxa"/>
            <w:tcMar>
              <w:top w:w="0" w:type="dxa"/>
              <w:bottom w:w="0" w:type="dxa"/>
              <w:right w:w="113" w:type="dxa"/>
            </w:tcMar>
          </w:tcPr>
          <w:p w14:paraId="559292FE" w14:textId="77777777" w:rsidR="00557DD7" w:rsidRDefault="00557DD7" w:rsidP="00C426E9">
            <w:pPr>
              <w:pStyle w:val="KeyPointsicon"/>
            </w:pPr>
            <w:r w:rsidRPr="00A51374">
              <w:rPr>
                <w:noProof/>
              </w:rPr>
              <w:drawing>
                <wp:inline distT="0" distB="0" distL="0" distR="0" wp14:anchorId="5565E5B8" wp14:editId="412AA553">
                  <wp:extent cx="180000" cy="18000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1E0F15" w14:textId="3DF0B4A4" w:rsidR="00557DD7" w:rsidRDefault="00557DD7" w:rsidP="00C426E9">
            <w:pPr>
              <w:pStyle w:val="KeyPoints-Bold"/>
            </w:pPr>
            <w:r w:rsidRPr="00764020">
              <w:t xml:space="preserve">Policies to promote diffusion of established technologies and practices </w:t>
            </w:r>
            <w:r w:rsidRPr="00BE69E7">
              <w:t xml:space="preserve">across firms and industries </w:t>
            </w:r>
            <w:r>
              <w:t>are</w:t>
            </w:r>
            <w:r w:rsidRPr="00BE69E7">
              <w:t xml:space="preserve"> </w:t>
            </w:r>
            <w:r w:rsidRPr="00764020">
              <w:t xml:space="preserve">more </w:t>
            </w:r>
            <w:r w:rsidRPr="00BE69E7">
              <w:t>generic</w:t>
            </w:r>
            <w:r w:rsidRPr="00764020">
              <w:t xml:space="preserve"> than those that target ‘new</w:t>
            </w:r>
            <w:r w:rsidR="007F5D5D">
              <w:noBreakHyphen/>
            </w:r>
            <w:r w:rsidRPr="00764020">
              <w:t>to</w:t>
            </w:r>
            <w:r w:rsidR="007F5D5D">
              <w:noBreakHyphen/>
            </w:r>
            <w:r w:rsidRPr="00764020">
              <w:t>the</w:t>
            </w:r>
            <w:r w:rsidR="007F5D5D">
              <w:noBreakHyphen/>
            </w:r>
            <w:r w:rsidRPr="00764020">
              <w:t>world’ innovation</w:t>
            </w:r>
            <w:r w:rsidRPr="00BE69E7">
              <w:t>.</w:t>
            </w:r>
          </w:p>
        </w:tc>
      </w:tr>
      <w:tr w:rsidR="00557DD7" w14:paraId="21DBF5FF" w14:textId="77777777" w:rsidTr="00C426E9">
        <w:tc>
          <w:tcPr>
            <w:tcW w:w="577" w:type="dxa"/>
            <w:tcMar>
              <w:top w:w="0" w:type="dxa"/>
              <w:bottom w:w="0" w:type="dxa"/>
              <w:right w:w="113" w:type="dxa"/>
            </w:tcMar>
          </w:tcPr>
          <w:p w14:paraId="1B3A896F" w14:textId="77777777" w:rsidR="00557DD7" w:rsidRPr="00A51374" w:rsidRDefault="00557DD7" w:rsidP="00C426E9">
            <w:pPr>
              <w:pStyle w:val="KeyPointsicon"/>
            </w:pPr>
            <w:r w:rsidRPr="00F31E73">
              <w:rPr>
                <w:noProof/>
              </w:rPr>
              <w:drawing>
                <wp:inline distT="0" distB="0" distL="0" distR="0" wp14:anchorId="1C15470F" wp14:editId="7753BF1F">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B730E8" w14:textId="07AFFA03" w:rsidR="00557DD7" w:rsidRPr="00610627" w:rsidRDefault="00557DD7" w:rsidP="00C426E9">
            <w:pPr>
              <w:pStyle w:val="KeyPoints-Bold"/>
            </w:pPr>
            <w:r>
              <w:t xml:space="preserve">Commercial and market settings provide incentives for firms to seek out and adopt innovations, and profit from doing so. But regulation and policy can either facilitate or unduly hinder the process. </w:t>
            </w:r>
          </w:p>
        </w:tc>
      </w:tr>
      <w:tr w:rsidR="00557DD7" w14:paraId="33BB6A31" w14:textId="77777777" w:rsidTr="00C426E9">
        <w:tc>
          <w:tcPr>
            <w:tcW w:w="577" w:type="dxa"/>
            <w:tcMar>
              <w:top w:w="0" w:type="dxa"/>
              <w:bottom w:w="0" w:type="dxa"/>
              <w:right w:w="113" w:type="dxa"/>
            </w:tcMar>
          </w:tcPr>
          <w:p w14:paraId="0E78F694" w14:textId="77777777" w:rsidR="00557DD7" w:rsidRPr="00A51374" w:rsidRDefault="00557DD7" w:rsidP="00C426E9">
            <w:pPr>
              <w:pStyle w:val="KeyPointsicon"/>
            </w:pPr>
            <w:r w:rsidRPr="00F31E73">
              <w:rPr>
                <w:noProof/>
              </w:rPr>
              <w:drawing>
                <wp:inline distT="0" distB="0" distL="0" distR="0" wp14:anchorId="62D7FCB3" wp14:editId="1306435C">
                  <wp:extent cx="180000" cy="18000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98556B" w14:textId="3FA8A146" w:rsidR="00557DD7" w:rsidRDefault="00557DD7" w:rsidP="00C426E9">
            <w:pPr>
              <w:pStyle w:val="KeyPoints-Bold"/>
            </w:pPr>
            <w:r w:rsidRPr="00847CB6">
              <w:t>Adoption of innovations developed overseas is critical to Australia</w:t>
            </w:r>
            <w:r w:rsidR="000565F7">
              <w:t>’</w:t>
            </w:r>
            <w:r w:rsidRPr="00847CB6">
              <w:t>s productivity. Linkages with overseas firm</w:t>
            </w:r>
            <w:r>
              <w:t>s</w:t>
            </w:r>
            <w:r w:rsidRPr="00847CB6">
              <w:t xml:space="preserve"> via trade and </w:t>
            </w:r>
            <w:r>
              <w:t>foreign investment</w:t>
            </w:r>
            <w:r w:rsidRPr="00847CB6">
              <w:t xml:space="preserve"> are </w:t>
            </w:r>
            <w:r>
              <w:t>critical</w:t>
            </w:r>
            <w:r w:rsidRPr="00847CB6">
              <w:t xml:space="preserve"> channels for diffusing</w:t>
            </w:r>
            <w:r w:rsidRPr="00E66F3D">
              <w:t xml:space="preserve"> technologies and innovative practices to Australian firms.</w:t>
            </w:r>
          </w:p>
          <w:p w14:paraId="5C11D8EA" w14:textId="77777777" w:rsidR="00557DD7" w:rsidRPr="006D4CE7" w:rsidRDefault="00557DD7" w:rsidP="006D4CE7">
            <w:pPr>
              <w:pStyle w:val="KeyPoints-Bullet"/>
            </w:pPr>
            <w:r w:rsidRPr="006D4CE7">
              <w:t>Ensuring FDI screening and approval processes and costs are commensurate with national security risks is important to maintain this channel for diffusion.</w:t>
            </w:r>
          </w:p>
        </w:tc>
      </w:tr>
      <w:tr w:rsidR="00557DD7" w14:paraId="5E173078" w14:textId="77777777" w:rsidTr="00C426E9">
        <w:tc>
          <w:tcPr>
            <w:tcW w:w="577" w:type="dxa"/>
            <w:tcMar>
              <w:top w:w="0" w:type="dxa"/>
              <w:bottom w:w="0" w:type="dxa"/>
              <w:right w:w="113" w:type="dxa"/>
            </w:tcMar>
          </w:tcPr>
          <w:p w14:paraId="37E5A3D5" w14:textId="77777777" w:rsidR="00557DD7" w:rsidRPr="00A51374" w:rsidRDefault="00557DD7" w:rsidP="00C426E9">
            <w:pPr>
              <w:pStyle w:val="KeyPointsicon"/>
            </w:pPr>
            <w:r w:rsidRPr="00F31E73">
              <w:rPr>
                <w:noProof/>
              </w:rPr>
              <w:drawing>
                <wp:inline distT="0" distB="0" distL="0" distR="0" wp14:anchorId="7252DC36" wp14:editId="6FD701DE">
                  <wp:extent cx="180000" cy="180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CAE789" w14:textId="1A02DA74" w:rsidR="00557DD7" w:rsidRDefault="00557DD7" w:rsidP="00C426E9">
            <w:pPr>
              <w:pStyle w:val="KeyPoints-Bold"/>
            </w:pPr>
            <w:r w:rsidRPr="006211DE">
              <w:t xml:space="preserve">A firm’s workforce — its managers and employees — </w:t>
            </w:r>
            <w:r>
              <w:t>determine</w:t>
            </w:r>
            <w:r w:rsidRPr="006211DE">
              <w:t xml:space="preserve"> its </w:t>
            </w:r>
            <w:r>
              <w:t>abilities</w:t>
            </w:r>
            <w:r w:rsidRPr="006211DE">
              <w:t xml:space="preserve"> </w:t>
            </w:r>
            <w:r>
              <w:t>to</w:t>
            </w:r>
            <w:r w:rsidRPr="006211DE">
              <w:t xml:space="preserve"> </w:t>
            </w:r>
            <w:r>
              <w:t xml:space="preserve">identify, evaluate and absorb external information and </w:t>
            </w:r>
            <w:r w:rsidRPr="006211DE">
              <w:t>make the broader organisational changes needed to benefit from transformative technologies such as digital</w:t>
            </w:r>
            <w:r w:rsidR="00236F01">
              <w:t xml:space="preserve"> technologies</w:t>
            </w:r>
            <w:r w:rsidRPr="006211DE">
              <w:t>.</w:t>
            </w:r>
          </w:p>
          <w:p w14:paraId="262165B6" w14:textId="4B460ACB" w:rsidR="00557DD7" w:rsidRPr="006D4CE7" w:rsidRDefault="00557DD7" w:rsidP="006D4CE7">
            <w:pPr>
              <w:pStyle w:val="KeyPoints-Bullet"/>
            </w:pPr>
            <w:r w:rsidRPr="006D4CE7">
              <w:t xml:space="preserve">Skilled migrants can have </w:t>
            </w:r>
            <w:r w:rsidR="001223EE" w:rsidRPr="006D4CE7">
              <w:t xml:space="preserve">knowledge of frontier technologies and practices, and they have </w:t>
            </w:r>
            <w:r w:rsidRPr="006D4CE7">
              <w:t xml:space="preserve">skills that are lacking in Australia, thanks to their experiences with </w:t>
            </w:r>
            <w:r w:rsidR="001223EE" w:rsidRPr="006D4CE7">
              <w:t>firms</w:t>
            </w:r>
            <w:r w:rsidRPr="006D4CE7">
              <w:t xml:space="preserve"> overseas. Facilitating skilled migration can remove barriers to the diffusion of </w:t>
            </w:r>
            <w:r w:rsidR="001223EE" w:rsidRPr="006D4CE7">
              <w:t>knowledge and</w:t>
            </w:r>
            <w:r w:rsidRPr="006D4CE7">
              <w:t xml:space="preserve"> skills.</w:t>
            </w:r>
          </w:p>
          <w:p w14:paraId="6A47C32B" w14:textId="77777777" w:rsidR="00557DD7" w:rsidRPr="00610627" w:rsidRDefault="00557DD7" w:rsidP="006D4CE7">
            <w:pPr>
              <w:pStyle w:val="KeyPoints-Bullet"/>
            </w:pPr>
            <w:r w:rsidRPr="006D4CE7">
              <w:t>Government support for building workforce skills could strengthen innovation diffusion if focused on transferable skills that augment the absorptive capacity of firms, such as digital and management skills.</w:t>
            </w:r>
          </w:p>
        </w:tc>
      </w:tr>
      <w:tr w:rsidR="00557DD7" w14:paraId="31523D0A" w14:textId="77777777" w:rsidTr="00C426E9">
        <w:tc>
          <w:tcPr>
            <w:tcW w:w="577" w:type="dxa"/>
            <w:tcMar>
              <w:top w:w="0" w:type="dxa"/>
              <w:bottom w:w="0" w:type="dxa"/>
              <w:right w:w="113" w:type="dxa"/>
            </w:tcMar>
          </w:tcPr>
          <w:p w14:paraId="3AAB625B" w14:textId="77777777" w:rsidR="00557DD7" w:rsidRPr="00A51374" w:rsidRDefault="00557DD7" w:rsidP="00C426E9">
            <w:pPr>
              <w:pStyle w:val="KeyPointsicon"/>
            </w:pPr>
            <w:r w:rsidRPr="00F31E73">
              <w:rPr>
                <w:noProof/>
              </w:rPr>
              <w:drawing>
                <wp:inline distT="0" distB="0" distL="0" distR="0" wp14:anchorId="266FA466" wp14:editId="2402B58C">
                  <wp:extent cx="180000" cy="180000"/>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E91313" w14:textId="77777777" w:rsidR="00557DD7" w:rsidRDefault="00557DD7" w:rsidP="00C426E9">
            <w:pPr>
              <w:pStyle w:val="KeyPoints-Bold"/>
            </w:pPr>
            <w:r>
              <w:t>Innovation d</w:t>
            </w:r>
            <w:r w:rsidRPr="00B21AB6">
              <w:t xml:space="preserve">iffusion </w:t>
            </w:r>
            <w:r>
              <w:t>depends on information</w:t>
            </w:r>
            <w:r w:rsidRPr="00B21AB6">
              <w:t>. While industry organisations and business networks</w:t>
            </w:r>
            <w:r>
              <w:t xml:space="preserve"> facilitate information flows and </w:t>
            </w:r>
            <w:proofErr w:type="spellStart"/>
            <w:r>
              <w:t>spillovers</w:t>
            </w:r>
            <w:proofErr w:type="spellEnd"/>
            <w:r w:rsidRPr="00B21AB6">
              <w:t>, businesses may benefit from more ta</w:t>
            </w:r>
            <w:r>
              <w:t>ilored</w:t>
            </w:r>
            <w:r w:rsidRPr="00B21AB6">
              <w:t xml:space="preserve"> </w:t>
            </w:r>
            <w:r>
              <w:t>information to help identify the need and opportunities for innovation</w:t>
            </w:r>
            <w:r w:rsidRPr="00B21AB6">
              <w:t>.</w:t>
            </w:r>
          </w:p>
          <w:p w14:paraId="178DADD3" w14:textId="7A8362F6" w:rsidR="00557DD7" w:rsidRPr="006D4CE7" w:rsidRDefault="00557DD7" w:rsidP="006D4CE7">
            <w:pPr>
              <w:pStyle w:val="KeyPoints-Bullet"/>
              <w:spacing w:after="120"/>
            </w:pPr>
            <w:r w:rsidRPr="006D4CE7">
              <w:t>There is an opportunity to explore how to make better use of existing public data, and the expertise of industry associations and advisors, to provide benchmarking services to businesses.</w:t>
            </w:r>
          </w:p>
        </w:tc>
      </w:tr>
    </w:tbl>
    <w:p w14:paraId="2AEBBBB5" w14:textId="411F786C" w:rsidR="00557DD7" w:rsidRDefault="00557DD7" w:rsidP="00557DD7">
      <w:pPr>
        <w:pStyle w:val="BodyText"/>
      </w:pPr>
      <w:r>
        <w:t>T</w:t>
      </w:r>
      <w:r w:rsidRPr="004F0BF7">
        <w:t>he vast majority of firms in Australia achieve productivity growth by adopting established, even dated, technologies and practices</w:t>
      </w:r>
      <w:r>
        <w:t xml:space="preserve">. This fact highlights the importance of a policy environment that fosters </w:t>
      </w:r>
      <w:r w:rsidRPr="001F671A">
        <w:rPr>
          <w:i/>
          <w:iCs/>
        </w:rPr>
        <w:t>diffusion</w:t>
      </w:r>
      <w:r>
        <w:t>, as well as novel innovation (</w:t>
      </w:r>
      <w:r w:rsidRPr="00E801B0">
        <w:t>chapter</w:t>
      </w:r>
      <w:r w:rsidR="000565F7">
        <w:t> </w:t>
      </w:r>
      <w:r w:rsidRPr="00E801B0">
        <w:t>1</w:t>
      </w:r>
      <w:r>
        <w:t xml:space="preserve"> of this report).</w:t>
      </w:r>
    </w:p>
    <w:p w14:paraId="308CDCE8" w14:textId="541E07CA" w:rsidR="00557DD7" w:rsidRPr="00A36622" w:rsidRDefault="00557DD7" w:rsidP="00557DD7">
      <w:pPr>
        <w:pStyle w:val="BodyText"/>
      </w:pPr>
      <w:r w:rsidRPr="00A36622">
        <w:t>There is widespread recognition that novel innovation may</w:t>
      </w:r>
      <w:r>
        <w:t xml:space="preserve"> </w:t>
      </w:r>
      <w:r w:rsidRPr="00A36622">
        <w:t xml:space="preserve">be undersupplied because </w:t>
      </w:r>
      <w:r>
        <w:t>innovative firms only obtain some of the returns from their innovations,</w:t>
      </w:r>
      <w:r w:rsidRPr="00A36622">
        <w:t xml:space="preserve"> and </w:t>
      </w:r>
      <w:r>
        <w:t xml:space="preserve">due to </w:t>
      </w:r>
      <w:r w:rsidRPr="00A36622">
        <w:t xml:space="preserve">the asymmetric treatment of risky investments </w:t>
      </w:r>
      <w:r w:rsidRPr="00A36622">
        <w:lastRenderedPageBreak/>
        <w:t>by the tax system</w:t>
      </w:r>
      <w:r w:rsidR="00F52F04">
        <w:t xml:space="preserve"> </w:t>
      </w:r>
      <w:r w:rsidR="00F52F04" w:rsidRPr="00936D73">
        <w:rPr>
          <w:rFonts w:ascii="Arial" w:hAnsi="Arial" w:cs="Arial"/>
          <w:szCs w:val="24"/>
        </w:rPr>
        <w:t>(OECD 2015a; PC 2007)</w:t>
      </w:r>
      <w:r w:rsidR="00F52F04">
        <w:rPr>
          <w:rFonts w:ascii="Arial" w:hAnsi="Arial" w:cs="Arial"/>
          <w:szCs w:val="24"/>
        </w:rPr>
        <w:t>.</w:t>
      </w:r>
      <w:r w:rsidRPr="00092A24">
        <w:rPr>
          <w:rStyle w:val="FootnoteReference"/>
        </w:rPr>
        <w:footnoteReference w:id="12"/>
      </w:r>
      <w:r w:rsidRPr="00A36622">
        <w:t xml:space="preserve"> To some degree</w:t>
      </w:r>
      <w:r w:rsidR="00B657D6">
        <w:t>,</w:t>
      </w:r>
      <w:r w:rsidRPr="00A36622">
        <w:t xml:space="preserve"> the policies that encourage novel innovation are also diffusion policies</w:t>
      </w:r>
      <w:r>
        <w:t>,</w:t>
      </w:r>
      <w:r w:rsidRPr="00A36622">
        <w:t xml:space="preserve"> because the </w:t>
      </w:r>
      <w:proofErr w:type="spellStart"/>
      <w:r w:rsidRPr="00A36622">
        <w:t>spillovers</w:t>
      </w:r>
      <w:proofErr w:type="spellEnd"/>
      <w:r w:rsidRPr="00A36622">
        <w:t xml:space="preserve"> they encourage take the form of adopting </w:t>
      </w:r>
      <w:r>
        <w:t xml:space="preserve">or adapting </w:t>
      </w:r>
      <w:r w:rsidRPr="00A36622">
        <w:t>an innovation. Moreover, a business</w:t>
      </w:r>
      <w:r>
        <w:t>’</w:t>
      </w:r>
      <w:r w:rsidRPr="00A36622">
        <w:t xml:space="preserve"> capacity to absorb others</w:t>
      </w:r>
      <w:r>
        <w:t>’</w:t>
      </w:r>
      <w:r w:rsidRPr="00A36622">
        <w:t xml:space="preserve"> frontier innovations (another form of diffusion) depends on the business</w:t>
      </w:r>
      <w:r>
        <w:t>’</w:t>
      </w:r>
      <w:r w:rsidRPr="00A36622">
        <w:t xml:space="preserve"> own innovative capabilities.</w:t>
      </w:r>
    </w:p>
    <w:p w14:paraId="27037511" w14:textId="6ADA60B1" w:rsidR="00557DD7" w:rsidRDefault="00557DD7" w:rsidP="00557DD7">
      <w:pPr>
        <w:pStyle w:val="BodyText"/>
      </w:pPr>
      <w:r w:rsidRPr="00A36622">
        <w:t xml:space="preserve">However, the </w:t>
      </w:r>
      <w:r>
        <w:t>obstacles to the diffusion of already known innovations and the policy levers to address these obstacles generally take a different form to those widely used to stimulate frontier research. In particular, the policies</w:t>
      </w:r>
      <w:r w:rsidRPr="00B04078">
        <w:t xml:space="preserve"> </w:t>
      </w:r>
      <w:r>
        <w:t>that</w:t>
      </w:r>
      <w:r w:rsidRPr="00B04078">
        <w:t xml:space="preserve"> promote diffusion of established technologies and practices in an economy </w:t>
      </w:r>
      <w:r>
        <w:t xml:space="preserve">tend to </w:t>
      </w:r>
      <w:r w:rsidRPr="00B04078">
        <w:t xml:space="preserve">be </w:t>
      </w:r>
      <w:proofErr w:type="gramStart"/>
      <w:r w:rsidRPr="00B04078">
        <w:t xml:space="preserve">more </w:t>
      </w:r>
      <w:r>
        <w:t>general and broad</w:t>
      </w:r>
      <w:proofErr w:type="gramEnd"/>
      <w:r w:rsidR="00D92353">
        <w:noBreakHyphen/>
      </w:r>
      <w:r>
        <w:t>based</w:t>
      </w:r>
      <w:r w:rsidRPr="00B04078">
        <w:t xml:space="preserve"> than those that target new</w:t>
      </w:r>
      <w:r>
        <w:noBreakHyphen/>
      </w:r>
      <w:r w:rsidRPr="00B04078">
        <w:t>to</w:t>
      </w:r>
      <w:r>
        <w:noBreakHyphen/>
      </w:r>
      <w:r w:rsidRPr="00B04078">
        <w:t>the</w:t>
      </w:r>
      <w:r>
        <w:noBreakHyphen/>
      </w:r>
      <w:r w:rsidRPr="00B04078">
        <w:t>world innovation</w:t>
      </w:r>
      <w:r>
        <w:t xml:space="preserve">. They aim to </w:t>
      </w:r>
      <w:r w:rsidRPr="00B04078">
        <w:t>affect all firms in all industries</w:t>
      </w:r>
      <w:r>
        <w:t>, not just those investing in creating and commercialising new</w:t>
      </w:r>
      <w:r>
        <w:noBreakHyphen/>
        <w:t>to</w:t>
      </w:r>
      <w:r>
        <w:noBreakHyphen/>
        <w:t>the</w:t>
      </w:r>
      <w:r>
        <w:noBreakHyphen/>
        <w:t>world innovations.</w:t>
      </w:r>
    </w:p>
    <w:p w14:paraId="4AAEDD46" w14:textId="77777777" w:rsidR="00557DD7" w:rsidRDefault="00557DD7" w:rsidP="00557DD7">
      <w:pPr>
        <w:pStyle w:val="BodyText"/>
      </w:pPr>
      <w:r>
        <w:t>These policies include:</w:t>
      </w:r>
    </w:p>
    <w:p w14:paraId="316BA6F0" w14:textId="77777777" w:rsidR="00557DD7" w:rsidRDefault="00557DD7" w:rsidP="001A1DD7">
      <w:pPr>
        <w:pStyle w:val="ListBullet"/>
      </w:pPr>
      <w:r>
        <w:t>broad conditions that maximise the incentive for firms to experiment and adopt innovations</w:t>
      </w:r>
    </w:p>
    <w:p w14:paraId="09F01D3B" w14:textId="77777777" w:rsidR="00557DD7" w:rsidRDefault="00557DD7" w:rsidP="001A1DD7">
      <w:pPr>
        <w:pStyle w:val="ListBullet"/>
      </w:pPr>
      <w:r>
        <w:t>facilitating the transfer of knowledge, skills and technologies from overseas</w:t>
      </w:r>
    </w:p>
    <w:p w14:paraId="5B9E2451" w14:textId="77777777" w:rsidR="00557DD7" w:rsidRDefault="00557DD7" w:rsidP="001A1DD7">
      <w:pPr>
        <w:pStyle w:val="ListBullet"/>
      </w:pPr>
      <w:r>
        <w:t>building critical skills for firm</w:t>
      </w:r>
      <w:r>
        <w:noBreakHyphen/>
        <w:t>level innovation — management capabilities in particular — and</w:t>
      </w:r>
    </w:p>
    <w:p w14:paraId="5CE426FE" w14:textId="7AEC9A17" w:rsidR="00557DD7" w:rsidRDefault="00557DD7" w:rsidP="001A1DD7">
      <w:pPr>
        <w:pStyle w:val="ListBullet"/>
      </w:pPr>
      <w:r>
        <w:t>enabling the flows of information that support good decision</w:t>
      </w:r>
      <w:r w:rsidR="000565F7">
        <w:noBreakHyphen/>
      </w:r>
      <w:r>
        <w:t>making.</w:t>
      </w:r>
    </w:p>
    <w:p w14:paraId="37B8C9DF" w14:textId="77777777" w:rsidR="00557DD7" w:rsidRDefault="00557DD7" w:rsidP="00557DD7">
      <w:pPr>
        <w:pStyle w:val="Heading2"/>
      </w:pPr>
      <w:bookmarkStart w:id="41" w:name="_Toc113969655"/>
      <w:r>
        <w:t>An enabling environment for diffusion of new knowledge and technologies</w:t>
      </w:r>
      <w:bookmarkEnd w:id="41"/>
    </w:p>
    <w:p w14:paraId="4725438F" w14:textId="77777777" w:rsidR="00557DD7" w:rsidRDefault="00557DD7" w:rsidP="00557DD7">
      <w:pPr>
        <w:pStyle w:val="Heading3"/>
      </w:pPr>
      <w:r>
        <w:t>Framework conditions</w:t>
      </w:r>
    </w:p>
    <w:p w14:paraId="7B9D8CBA" w14:textId="77777777" w:rsidR="00557DD7" w:rsidRDefault="00557DD7" w:rsidP="00557DD7">
      <w:pPr>
        <w:pStyle w:val="BodyText"/>
      </w:pPr>
      <w:r w:rsidRPr="00E82676">
        <w:t xml:space="preserve">The broad regulatory and financial environment in which businesses operate is important for diffusion. It shapes the incentives, resources and capabilities of firms to </w:t>
      </w:r>
      <w:r w:rsidRPr="00E82676">
        <w:rPr>
          <w:i/>
          <w:iCs/>
        </w:rPr>
        <w:t>adopt</w:t>
      </w:r>
      <w:r w:rsidRPr="00E82676">
        <w:t xml:space="preserve"> established innovations and </w:t>
      </w:r>
      <w:r w:rsidRPr="00E82676">
        <w:rPr>
          <w:i/>
          <w:iCs/>
        </w:rPr>
        <w:t>adapt</w:t>
      </w:r>
      <w:r w:rsidRPr="00E82676">
        <w:t xml:space="preserve"> them to their specific circumstances.</w:t>
      </w:r>
    </w:p>
    <w:p w14:paraId="662CBC38" w14:textId="77777777" w:rsidR="00557DD7" w:rsidRDefault="00557DD7" w:rsidP="00557DD7">
      <w:pPr>
        <w:pStyle w:val="BodyText"/>
      </w:pPr>
      <w:r w:rsidRPr="00272B0E">
        <w:t xml:space="preserve">While decisions to adopt and adapt innovative product lines and processes </w:t>
      </w:r>
      <w:r>
        <w:t>predominantly</w:t>
      </w:r>
      <w:r w:rsidRPr="00272B0E">
        <w:t xml:space="preserve"> rest with firms, governments can influence aspects of the environments in which these decisions take place, altering firm incentives and barriers to adoption</w:t>
      </w:r>
      <w:r>
        <w:t>.</w:t>
      </w:r>
    </w:p>
    <w:p w14:paraId="5D3DABE6" w14:textId="77777777" w:rsidR="00557DD7" w:rsidRDefault="00557DD7" w:rsidP="00557DD7">
      <w:pPr>
        <w:pStyle w:val="Heading4"/>
      </w:pPr>
      <w:r>
        <w:t>Business and regulatory environment for innovation and its diffusion</w:t>
      </w:r>
    </w:p>
    <w:p w14:paraId="21F8848D" w14:textId="77777777" w:rsidR="00557DD7" w:rsidRPr="0094534A" w:rsidRDefault="00557DD7" w:rsidP="00557DD7">
      <w:pPr>
        <w:pStyle w:val="Heading5"/>
      </w:pPr>
      <w:r w:rsidRPr="0094534A">
        <w:t>Market conditions</w:t>
      </w:r>
      <w:r>
        <w:t xml:space="preserve"> and exposure to competition</w:t>
      </w:r>
    </w:p>
    <w:p w14:paraId="6E459C1D" w14:textId="6C388D8C" w:rsidR="00557DD7" w:rsidRPr="00BA169C" w:rsidRDefault="00860ACA" w:rsidP="00BA169C">
      <w:pPr>
        <w:pStyle w:val="BodyText"/>
      </w:pPr>
      <w:r w:rsidRPr="00860ACA">
        <w:t xml:space="preserve">The relationship between competition and adoption of innovation works in several ways. </w:t>
      </w:r>
      <w:r w:rsidR="00557DD7" w:rsidRPr="00D72EA5">
        <w:t>Where businesses operate in a competitive environment, they face pressures to upgrade their product lines and processes (</w:t>
      </w:r>
      <w:r w:rsidR="00557DD7">
        <w:t>by reducing</w:t>
      </w:r>
      <w:r w:rsidR="00557DD7" w:rsidRPr="00D72EA5">
        <w:t xml:space="preserve"> </w:t>
      </w:r>
      <w:proofErr w:type="gramStart"/>
      <w:r w:rsidR="00557DD7" w:rsidRPr="00D72EA5">
        <w:t>costs, or</w:t>
      </w:r>
      <w:proofErr w:type="gramEnd"/>
      <w:r w:rsidR="00557DD7" w:rsidRPr="00D72EA5">
        <w:t xml:space="preserve"> </w:t>
      </w:r>
      <w:r w:rsidR="00557DD7">
        <w:t>increasing</w:t>
      </w:r>
      <w:r w:rsidR="00557DD7" w:rsidRPr="00D72EA5">
        <w:t xml:space="preserve"> variety or quality for consumers) or risk loss of market share to competitors that do so. </w:t>
      </w:r>
      <w:r>
        <w:t>Conversely, i</w:t>
      </w:r>
      <w:r w:rsidR="00557DD7" w:rsidRPr="00D72EA5">
        <w:t>n the absence of competition, there may be less market pressure for businesses to innovate, but greater rewards for those who do.</w:t>
      </w:r>
      <w:r w:rsidR="00557DD7">
        <w:rPr>
          <w:rStyle w:val="FootnoteReference"/>
        </w:rPr>
        <w:footnoteReference w:id="13"/>
      </w:r>
    </w:p>
    <w:p w14:paraId="7F830269" w14:textId="0AEC984D" w:rsidR="00557DD7" w:rsidRDefault="00557DD7" w:rsidP="00557DD7">
      <w:pPr>
        <w:rPr>
          <w:rFonts w:ascii="Arial" w:eastAsia="Arial" w:hAnsi="Arial" w:cs="Times New Roman"/>
        </w:rPr>
      </w:pPr>
      <w:r>
        <w:rPr>
          <w:rFonts w:ascii="Arial" w:eastAsia="Arial" w:hAnsi="Arial" w:cs="Times New Roman"/>
        </w:rPr>
        <w:lastRenderedPageBreak/>
        <w:t>For</w:t>
      </w:r>
      <w:r w:rsidRPr="0094534A">
        <w:rPr>
          <w:rFonts w:ascii="Arial" w:eastAsia="Arial" w:hAnsi="Arial" w:cs="Times New Roman"/>
        </w:rPr>
        <w:t xml:space="preserve"> small economies such as Australia, exposure to </w:t>
      </w:r>
      <w:r>
        <w:rPr>
          <w:rFonts w:ascii="Arial" w:eastAsia="Arial" w:hAnsi="Arial" w:cs="Times New Roman"/>
        </w:rPr>
        <w:t xml:space="preserve">international </w:t>
      </w:r>
      <w:r w:rsidRPr="0094534A">
        <w:rPr>
          <w:rFonts w:ascii="Arial" w:eastAsia="Arial" w:hAnsi="Arial" w:cs="Times New Roman"/>
        </w:rPr>
        <w:t xml:space="preserve">competition via trade </w:t>
      </w:r>
      <w:r>
        <w:rPr>
          <w:rFonts w:ascii="Arial" w:eastAsia="Arial" w:hAnsi="Arial" w:cs="Times New Roman"/>
        </w:rPr>
        <w:t>is critical for diffusion of innovation</w:t>
      </w:r>
      <w:r w:rsidRPr="0094534A">
        <w:rPr>
          <w:rFonts w:ascii="Arial" w:eastAsia="Arial" w:hAnsi="Arial" w:cs="Times New Roman"/>
        </w:rPr>
        <w:t xml:space="preserve">. </w:t>
      </w:r>
      <w:r>
        <w:rPr>
          <w:rFonts w:ascii="Arial" w:eastAsia="Arial" w:hAnsi="Arial" w:cs="Times New Roman"/>
        </w:rPr>
        <w:t>I</w:t>
      </w:r>
      <w:r w:rsidRPr="0094534A">
        <w:rPr>
          <w:rFonts w:ascii="Arial" w:eastAsia="Arial" w:hAnsi="Arial" w:cs="Times New Roman"/>
        </w:rPr>
        <w:t xml:space="preserve">mport competition </w:t>
      </w:r>
      <w:r>
        <w:rPr>
          <w:rFonts w:ascii="Arial" w:eastAsia="Arial" w:hAnsi="Arial" w:cs="Times New Roman"/>
        </w:rPr>
        <w:t>can provide</w:t>
      </w:r>
      <w:r w:rsidRPr="0094534A">
        <w:rPr>
          <w:rFonts w:ascii="Arial" w:eastAsia="Arial" w:hAnsi="Arial" w:cs="Times New Roman"/>
        </w:rPr>
        <w:t xml:space="preserve"> </w:t>
      </w:r>
      <w:r>
        <w:rPr>
          <w:rFonts w:ascii="Arial" w:eastAsia="Arial" w:hAnsi="Arial" w:cs="Times New Roman"/>
        </w:rPr>
        <w:t>local</w:t>
      </w:r>
      <w:r w:rsidRPr="0094534A">
        <w:rPr>
          <w:rFonts w:ascii="Arial" w:eastAsia="Arial" w:hAnsi="Arial" w:cs="Times New Roman"/>
        </w:rPr>
        <w:t xml:space="preserve"> firms with an incentive to </w:t>
      </w:r>
      <w:r>
        <w:rPr>
          <w:rFonts w:ascii="Arial" w:eastAsia="Arial" w:hAnsi="Arial" w:cs="Times New Roman"/>
        </w:rPr>
        <w:t xml:space="preserve">adopt </w:t>
      </w:r>
      <w:r w:rsidRPr="0094534A">
        <w:rPr>
          <w:rFonts w:ascii="Arial" w:eastAsia="Arial" w:hAnsi="Arial" w:cs="Times New Roman"/>
        </w:rPr>
        <w:t>innovat</w:t>
      </w:r>
      <w:r>
        <w:rPr>
          <w:rFonts w:ascii="Arial" w:eastAsia="Arial" w:hAnsi="Arial" w:cs="Times New Roman"/>
        </w:rPr>
        <w:t>ions</w:t>
      </w:r>
      <w:r w:rsidRPr="0094534A">
        <w:rPr>
          <w:rFonts w:ascii="Arial" w:eastAsia="Arial" w:hAnsi="Arial" w:cs="Times New Roman"/>
        </w:rPr>
        <w:t xml:space="preserve"> as a way to </w:t>
      </w:r>
      <w:r>
        <w:rPr>
          <w:rFonts w:ascii="Arial" w:eastAsia="Arial" w:hAnsi="Arial" w:cs="Times New Roman"/>
        </w:rPr>
        <w:t>remain competitive,</w:t>
      </w:r>
      <w:r w:rsidRPr="0094534A">
        <w:rPr>
          <w:rFonts w:ascii="Arial" w:eastAsia="Arial" w:hAnsi="Arial" w:cs="Times New Roman"/>
        </w:rPr>
        <w:t xml:space="preserve"> reduce costs and improve product</w:t>
      </w:r>
      <w:r>
        <w:rPr>
          <w:rFonts w:ascii="Arial" w:eastAsia="Arial" w:hAnsi="Arial" w:cs="Times New Roman"/>
        </w:rPr>
        <w:t xml:space="preserve"> line</w:t>
      </w:r>
      <w:r w:rsidRPr="0094534A">
        <w:rPr>
          <w:rFonts w:ascii="Arial" w:eastAsia="Arial" w:hAnsi="Arial" w:cs="Times New Roman"/>
        </w:rPr>
        <w:t>s and processes</w:t>
      </w:r>
      <w:r>
        <w:rPr>
          <w:rFonts w:ascii="Arial" w:eastAsia="Arial" w:hAnsi="Arial" w:cs="Times New Roman"/>
        </w:rPr>
        <w:t xml:space="preserve"> to maintain market share</w:t>
      </w:r>
      <w:r w:rsidRPr="0094534A">
        <w:rPr>
          <w:rFonts w:ascii="Arial" w:eastAsia="Arial" w:hAnsi="Arial" w:cs="Times New Roman"/>
        </w:rPr>
        <w:t>.</w:t>
      </w:r>
    </w:p>
    <w:p w14:paraId="60007C57" w14:textId="6FE63F14" w:rsidR="00557DD7" w:rsidRPr="0094534A" w:rsidRDefault="00557DD7" w:rsidP="00557DD7">
      <w:pPr>
        <w:rPr>
          <w:rFonts w:ascii="Arial" w:eastAsia="Arial" w:hAnsi="Arial" w:cs="Times New Roman"/>
        </w:rPr>
      </w:pPr>
      <w:r>
        <w:rPr>
          <w:rFonts w:ascii="Arial" w:eastAsia="Arial" w:hAnsi="Arial" w:cs="Times New Roman"/>
        </w:rPr>
        <w:t xml:space="preserve">Exports also play a role. </w:t>
      </w:r>
      <w:r w:rsidRPr="0094534A">
        <w:rPr>
          <w:rFonts w:ascii="Arial" w:eastAsia="Arial" w:hAnsi="Arial" w:cs="Times New Roman"/>
        </w:rPr>
        <w:t xml:space="preserve">For exporting firms, access to overseas markets can expose them to more intense competition, while increasing the potential returns to innovation </w:t>
      </w:r>
      <w:r>
        <w:rPr>
          <w:rFonts w:ascii="Arial" w:eastAsia="Arial" w:hAnsi="Arial" w:cs="Times New Roman"/>
        </w:rPr>
        <w:t xml:space="preserve">adoption </w:t>
      </w:r>
      <w:r w:rsidRPr="0094534A">
        <w:rPr>
          <w:rFonts w:ascii="Arial" w:eastAsia="Arial" w:hAnsi="Arial" w:cs="Times New Roman"/>
        </w:rPr>
        <w:t xml:space="preserve">due to a larger market </w:t>
      </w:r>
      <w:r w:rsidRPr="002D138D">
        <w:rPr>
          <w:rFonts w:ascii="Arial" w:eastAsia="Arial" w:hAnsi="Arial" w:cs="Times New Roman"/>
        </w:rPr>
        <w:t xml:space="preserve">size and allowing firms to spread the cost of innovation over a larger market </w:t>
      </w:r>
      <w:r w:rsidRPr="002D138D">
        <w:rPr>
          <w:rFonts w:ascii="Arial" w:hAnsi="Arial" w:cs="Arial"/>
          <w:szCs w:val="24"/>
        </w:rPr>
        <w:t>(Bloom, Van Reenen and Williams 2019, p. 177)</w:t>
      </w:r>
      <w:r w:rsidRPr="002D138D">
        <w:rPr>
          <w:rFonts w:ascii="Arial" w:eastAsia="Arial" w:hAnsi="Arial" w:cs="Times New Roman"/>
        </w:rPr>
        <w:t>. Innovation</w:t>
      </w:r>
      <w:r w:rsidRPr="0094534A">
        <w:rPr>
          <w:rFonts w:ascii="Arial" w:eastAsia="Arial" w:hAnsi="Arial" w:cs="Times New Roman"/>
        </w:rPr>
        <w:t xml:space="preserve"> </w:t>
      </w:r>
      <w:r>
        <w:rPr>
          <w:rFonts w:ascii="Arial" w:eastAsia="Arial" w:hAnsi="Arial" w:cs="Times New Roman"/>
        </w:rPr>
        <w:t>uptake is</w:t>
      </w:r>
      <w:r w:rsidRPr="0094534A">
        <w:rPr>
          <w:rFonts w:ascii="Arial" w:eastAsia="Arial" w:hAnsi="Arial" w:cs="Times New Roman"/>
        </w:rPr>
        <w:t xml:space="preserve"> strongly correlated with exporting, with exporters 7–10 per cent more likely to introduce new or significantly improved products or processes than non</w:t>
      </w:r>
      <w:r>
        <w:rPr>
          <w:rFonts w:ascii="Arial" w:eastAsia="Arial" w:hAnsi="Arial" w:cs="Times New Roman"/>
        </w:rPr>
        <w:noBreakHyphen/>
      </w:r>
      <w:r w:rsidRPr="0094534A">
        <w:rPr>
          <w:rFonts w:ascii="Arial" w:eastAsia="Arial" w:hAnsi="Arial" w:cs="Times New Roman"/>
        </w:rPr>
        <w:t xml:space="preserve">exporting firms </w:t>
      </w:r>
      <w:r w:rsidRPr="006D7AF7">
        <w:rPr>
          <w:rFonts w:ascii="Arial" w:hAnsi="Arial" w:cs="Arial"/>
          <w:szCs w:val="24"/>
        </w:rPr>
        <w:t>(</w:t>
      </w:r>
      <w:proofErr w:type="spellStart"/>
      <w:r w:rsidRPr="006D7AF7">
        <w:rPr>
          <w:rFonts w:ascii="Arial" w:hAnsi="Arial" w:cs="Arial"/>
          <w:szCs w:val="24"/>
        </w:rPr>
        <w:t>Tuhin</w:t>
      </w:r>
      <w:proofErr w:type="spellEnd"/>
      <w:r w:rsidRPr="006D7AF7">
        <w:rPr>
          <w:rFonts w:ascii="Arial" w:hAnsi="Arial" w:cs="Arial"/>
          <w:szCs w:val="24"/>
        </w:rPr>
        <w:t> 2016, p. 2)</w:t>
      </w:r>
      <w:r>
        <w:rPr>
          <w:rFonts w:ascii="Arial" w:eastAsia="Arial" w:hAnsi="Arial" w:cs="Times New Roman"/>
        </w:rPr>
        <w:t>. E</w:t>
      </w:r>
      <w:r w:rsidRPr="0094534A">
        <w:rPr>
          <w:rFonts w:ascii="Arial" w:eastAsia="Arial" w:hAnsi="Arial" w:cs="Times New Roman"/>
        </w:rPr>
        <w:t>xporting by SMEs in the manufacturing</w:t>
      </w:r>
      <w:r>
        <w:rPr>
          <w:rFonts w:ascii="Arial" w:eastAsia="Arial" w:hAnsi="Arial" w:cs="Times New Roman"/>
        </w:rPr>
        <w:t xml:space="preserve"> and</w:t>
      </w:r>
      <w:r w:rsidRPr="0094534A">
        <w:rPr>
          <w:rFonts w:ascii="Arial" w:eastAsia="Arial" w:hAnsi="Arial" w:cs="Times New Roman"/>
        </w:rPr>
        <w:t xml:space="preserve"> professional, scientific and technical services </w:t>
      </w:r>
      <w:r w:rsidR="005D5BC8">
        <w:rPr>
          <w:rFonts w:ascii="Arial" w:eastAsia="Arial" w:hAnsi="Arial" w:cs="Times New Roman"/>
        </w:rPr>
        <w:t xml:space="preserve">industries </w:t>
      </w:r>
      <w:r w:rsidRPr="0094534A">
        <w:rPr>
          <w:rFonts w:ascii="Arial" w:eastAsia="Arial" w:hAnsi="Arial" w:cs="Times New Roman"/>
        </w:rPr>
        <w:t>is associated with an increased probability of introducing</w:t>
      </w:r>
      <w:r>
        <w:rPr>
          <w:rFonts w:ascii="Arial" w:eastAsia="Arial" w:hAnsi="Arial" w:cs="Times New Roman"/>
        </w:rPr>
        <w:t xml:space="preserve"> new</w:t>
      </w:r>
      <w:r>
        <w:rPr>
          <w:rFonts w:ascii="Arial" w:eastAsia="Arial" w:hAnsi="Arial" w:cs="Times New Roman"/>
        </w:rPr>
        <w:noBreakHyphen/>
        <w:t>to</w:t>
      </w:r>
      <w:r>
        <w:rPr>
          <w:rFonts w:ascii="Arial" w:eastAsia="Arial" w:hAnsi="Arial" w:cs="Times New Roman"/>
        </w:rPr>
        <w:noBreakHyphen/>
        <w:t>market</w:t>
      </w:r>
      <w:r w:rsidRPr="0094534A">
        <w:rPr>
          <w:rFonts w:ascii="Arial" w:eastAsia="Arial" w:hAnsi="Arial" w:cs="Times New Roman"/>
        </w:rPr>
        <w:t xml:space="preserve"> innovation</w:t>
      </w:r>
      <w:r>
        <w:rPr>
          <w:rFonts w:ascii="Arial" w:eastAsia="Arial" w:hAnsi="Arial" w:cs="Times New Roman"/>
        </w:rPr>
        <w:t xml:space="preserve">s </w:t>
      </w:r>
      <w:r w:rsidRPr="0094534A">
        <w:rPr>
          <w:rFonts w:ascii="Arial" w:eastAsia="Arial" w:hAnsi="Arial" w:cs="Times New Roman"/>
        </w:rPr>
        <w:t xml:space="preserve">compared </w:t>
      </w:r>
      <w:r w:rsidR="00037118">
        <w:rPr>
          <w:rFonts w:ascii="Arial" w:eastAsia="Arial" w:hAnsi="Arial" w:cs="Times New Roman"/>
        </w:rPr>
        <w:t>with</w:t>
      </w:r>
      <w:r w:rsidRPr="0094534A">
        <w:rPr>
          <w:rFonts w:ascii="Arial" w:eastAsia="Arial" w:hAnsi="Arial" w:cs="Times New Roman"/>
        </w:rPr>
        <w:t xml:space="preserve"> non</w:t>
      </w:r>
      <w:r>
        <w:rPr>
          <w:rFonts w:ascii="Arial" w:eastAsia="Arial" w:hAnsi="Arial" w:cs="Times New Roman"/>
        </w:rPr>
        <w:noBreakHyphen/>
      </w:r>
      <w:r w:rsidRPr="0094534A">
        <w:rPr>
          <w:rFonts w:ascii="Arial" w:eastAsia="Arial" w:hAnsi="Arial" w:cs="Times New Roman"/>
        </w:rPr>
        <w:t xml:space="preserve">exporting SMEs </w:t>
      </w:r>
      <w:r w:rsidRPr="0094534A">
        <w:rPr>
          <w:rFonts w:ascii="Arial" w:eastAsia="Arial" w:hAnsi="Arial" w:cs="Arial"/>
          <w:szCs w:val="24"/>
        </w:rPr>
        <w:t xml:space="preserve">(Majeed and </w:t>
      </w:r>
      <w:proofErr w:type="spellStart"/>
      <w:r w:rsidRPr="0094534A">
        <w:rPr>
          <w:rFonts w:ascii="Arial" w:eastAsia="Arial" w:hAnsi="Arial" w:cs="Arial"/>
          <w:szCs w:val="24"/>
        </w:rPr>
        <w:t>Breunig</w:t>
      </w:r>
      <w:proofErr w:type="spellEnd"/>
      <w:r w:rsidRPr="0094534A">
        <w:rPr>
          <w:rFonts w:ascii="Arial" w:eastAsia="Arial" w:hAnsi="Arial" w:cs="Arial"/>
          <w:szCs w:val="24"/>
        </w:rPr>
        <w:t> 2021, p. 15)</w:t>
      </w:r>
      <w:r w:rsidRPr="0094534A">
        <w:rPr>
          <w:rFonts w:ascii="Arial" w:eastAsia="Arial" w:hAnsi="Arial" w:cs="Times New Roman"/>
        </w:rPr>
        <w:t>.</w:t>
      </w:r>
    </w:p>
    <w:p w14:paraId="6E822BB9" w14:textId="6287DFD7" w:rsidR="00D80ADF" w:rsidRPr="00B162C6" w:rsidRDefault="00B66F1C" w:rsidP="00D80ADF">
      <w:pPr>
        <w:rPr>
          <w:rFonts w:ascii="Arial" w:eastAsia="Arial" w:hAnsi="Arial" w:cs="Times New Roman"/>
        </w:rPr>
      </w:pPr>
      <w:r>
        <w:rPr>
          <w:rFonts w:ascii="Arial" w:eastAsia="Arial" w:hAnsi="Arial" w:cs="Times New Roman"/>
        </w:rPr>
        <w:t>Domestically, c</w:t>
      </w:r>
      <w:r w:rsidR="00D80ADF" w:rsidRPr="00B162C6">
        <w:rPr>
          <w:rFonts w:ascii="Arial" w:eastAsia="Arial" w:hAnsi="Arial" w:cs="Times New Roman"/>
        </w:rPr>
        <w:t xml:space="preserve">ompetition is not uniformly strong across product markets within the Australian economy. </w:t>
      </w:r>
      <w:r w:rsidR="00D80ADF">
        <w:rPr>
          <w:rFonts w:ascii="Arial" w:eastAsia="Arial" w:hAnsi="Arial" w:cs="Times New Roman"/>
        </w:rPr>
        <w:t>S</w:t>
      </w:r>
      <w:r w:rsidR="00D80ADF" w:rsidRPr="00B162C6">
        <w:rPr>
          <w:rFonts w:ascii="Arial" w:eastAsia="Arial" w:hAnsi="Arial" w:cs="Times New Roman"/>
        </w:rPr>
        <w:t xml:space="preserve">maller economies tend to have more markets with few firms. But large firms are not unusually dominant in Australia </w:t>
      </w:r>
      <w:r w:rsidR="00D80ADF" w:rsidRPr="006D7AF7">
        <w:rPr>
          <w:rFonts w:ascii="Arial" w:hAnsi="Arial" w:cs="Arial"/>
          <w:szCs w:val="24"/>
        </w:rPr>
        <w:t>(</w:t>
      </w:r>
      <w:proofErr w:type="spellStart"/>
      <w:r w:rsidR="00D80ADF" w:rsidRPr="006D7AF7">
        <w:rPr>
          <w:rFonts w:ascii="Arial" w:hAnsi="Arial" w:cs="Arial"/>
          <w:szCs w:val="24"/>
        </w:rPr>
        <w:t>Minifie</w:t>
      </w:r>
      <w:proofErr w:type="spellEnd"/>
      <w:r w:rsidR="00D80ADF" w:rsidRPr="006D7AF7">
        <w:rPr>
          <w:rFonts w:ascii="Arial" w:hAnsi="Arial" w:cs="Arial"/>
          <w:szCs w:val="24"/>
        </w:rPr>
        <w:t>, Chisholm and Percival 2017, p. 3)</w:t>
      </w:r>
      <w:r w:rsidR="00D80ADF" w:rsidRPr="00B162C6">
        <w:rPr>
          <w:rFonts w:ascii="Arial" w:eastAsia="Arial" w:hAnsi="Arial" w:cs="Times New Roman"/>
        </w:rPr>
        <w:t>. Some Australian markets are highly concentrated</w:t>
      </w:r>
      <w:r w:rsidR="00D80ADF">
        <w:rPr>
          <w:rFonts w:ascii="Arial" w:eastAsia="Arial" w:hAnsi="Arial" w:cs="Times New Roman"/>
        </w:rPr>
        <w:t>,</w:t>
      </w:r>
      <w:r w:rsidR="00D80ADF" w:rsidRPr="00B162C6">
        <w:rPr>
          <w:rFonts w:ascii="Arial" w:eastAsia="Arial" w:hAnsi="Arial" w:cs="Times New Roman"/>
        </w:rPr>
        <w:t xml:space="preserve"> with firms earning relatively high profits where scale economies are strong (such as supermarkets), firm entry is highly regulated (such as in banking), or competition is inherently weak due to natural monopoly characteristics (such as in electricity distribution and transmission).</w:t>
      </w:r>
    </w:p>
    <w:p w14:paraId="0DAEFBBC" w14:textId="1070D271" w:rsidR="00557DD7" w:rsidRPr="00385C6B" w:rsidRDefault="00D80ADF" w:rsidP="00557DD7">
      <w:pPr>
        <w:rPr>
          <w:rFonts w:ascii="Arial" w:eastAsia="Arial" w:hAnsi="Arial" w:cs="Times New Roman"/>
        </w:rPr>
      </w:pPr>
      <w:r>
        <w:rPr>
          <w:rFonts w:ascii="Arial" w:eastAsia="Arial" w:hAnsi="Arial" w:cs="Times New Roman"/>
        </w:rPr>
        <w:t>But t</w:t>
      </w:r>
      <w:r w:rsidRPr="00F70962">
        <w:rPr>
          <w:rFonts w:ascii="Arial" w:eastAsia="Arial" w:hAnsi="Arial" w:cs="Times New Roman"/>
        </w:rPr>
        <w:t xml:space="preserve">his does not, and need not, imply an absence of innovation. </w:t>
      </w:r>
      <w:r w:rsidR="00C03A33" w:rsidRPr="00C03A33">
        <w:rPr>
          <w:rFonts w:ascii="Arial" w:eastAsia="Arial" w:hAnsi="Arial" w:cs="Times New Roman"/>
        </w:rPr>
        <w:t xml:space="preserve">Increased market concentration at the aggregate level does not appear to result in lower firm entry — which would reduce sources of innovation uptake </w:t>
      </w:r>
      <w:r w:rsidRPr="00ED1DD7">
        <w:rPr>
          <w:rFonts w:ascii="Arial" w:hAnsi="Arial" w:cs="Arial"/>
          <w:szCs w:val="24"/>
        </w:rPr>
        <w:t>(Bakhtiari 2020, p. 23)</w:t>
      </w:r>
      <w:r w:rsidR="00EA65A9">
        <w:rPr>
          <w:rFonts w:ascii="Arial" w:eastAsia="Arial" w:hAnsi="Arial" w:cs="Times New Roman"/>
        </w:rPr>
        <w:t>.</w:t>
      </w:r>
      <w:r w:rsidRPr="00ED1DD7">
        <w:rPr>
          <w:rFonts w:ascii="Arial" w:eastAsia="Arial" w:hAnsi="Arial" w:cs="Times New Roman"/>
        </w:rPr>
        <w:t xml:space="preserve"> (</w:t>
      </w:r>
      <w:r w:rsidR="00EA65A9">
        <w:rPr>
          <w:rFonts w:ascii="Arial" w:eastAsia="Arial" w:hAnsi="Arial" w:cs="Times New Roman"/>
        </w:rPr>
        <w:t>S</w:t>
      </w:r>
      <w:r w:rsidRPr="00ED1DD7">
        <w:rPr>
          <w:rFonts w:ascii="Arial" w:eastAsia="Arial" w:hAnsi="Arial" w:cs="Times New Roman"/>
        </w:rPr>
        <w:t>ee the Commission’s companion report</w:t>
      </w:r>
      <w:r w:rsidR="00CC5469">
        <w:rPr>
          <w:rFonts w:ascii="Arial" w:eastAsia="Arial" w:hAnsi="Arial" w:cs="Times New Roman"/>
        </w:rPr>
        <w:t>s</w:t>
      </w:r>
      <w:r w:rsidRPr="00ED1DD7">
        <w:rPr>
          <w:rFonts w:ascii="Arial" w:eastAsia="Arial" w:hAnsi="Arial" w:cs="Times New Roman"/>
        </w:rPr>
        <w:t xml:space="preserve"> on the business environment for the Productivity Inquiry</w:t>
      </w:r>
      <w:r w:rsidR="00EA65A9">
        <w:rPr>
          <w:rFonts w:ascii="Arial" w:eastAsia="Arial" w:hAnsi="Arial" w:cs="Times New Roman"/>
        </w:rPr>
        <w:t>.</w:t>
      </w:r>
      <w:r w:rsidRPr="00ED1DD7">
        <w:rPr>
          <w:rFonts w:ascii="Arial" w:eastAsia="Arial" w:hAnsi="Arial" w:cs="Times New Roman"/>
        </w:rPr>
        <w:t>)</w:t>
      </w:r>
    </w:p>
    <w:p w14:paraId="0CFC24E1" w14:textId="77777777" w:rsidR="00557DD7" w:rsidRPr="00C174D9" w:rsidRDefault="00557DD7" w:rsidP="00557DD7">
      <w:pPr>
        <w:pStyle w:val="Heading5"/>
      </w:pPr>
      <w:r>
        <w:t>Regulatory and administrative procedures</w:t>
      </w:r>
    </w:p>
    <w:p w14:paraId="401F8D73" w14:textId="447519DB" w:rsidR="00557DD7" w:rsidRPr="006D48E7" w:rsidRDefault="00557DD7" w:rsidP="00557DD7">
      <w:pPr>
        <w:pStyle w:val="BodyText"/>
      </w:pPr>
      <w:r w:rsidRPr="006D48E7">
        <w:t>When done well, regulation can protect against harms without unduly affecting the incentive to innovate</w:t>
      </w:r>
      <w:r>
        <w:t>.</w:t>
      </w:r>
      <w:r w:rsidRPr="006D48E7">
        <w:t xml:space="preserve"> </w:t>
      </w:r>
      <w:r>
        <w:t xml:space="preserve">Indeed, </w:t>
      </w:r>
      <w:r w:rsidRPr="00FF3DF3">
        <w:t xml:space="preserve">while often not intended, regulation can </w:t>
      </w:r>
      <w:r>
        <w:t>even</w:t>
      </w:r>
      <w:r w:rsidRPr="00FF3DF3">
        <w:t xml:space="preserve"> encourage diffusion due to its </w:t>
      </w:r>
      <w:r w:rsidR="006813C0">
        <w:t>effect</w:t>
      </w:r>
      <w:r w:rsidRPr="00FF3DF3">
        <w:t xml:space="preserve"> on the capabilities of businesses. Single touch payroll, My Health Record, and the growing importance of ‘regtech’ </w:t>
      </w:r>
      <w:r w:rsidR="00091E93" w:rsidRPr="00091E93">
        <w:rPr>
          <w:rFonts w:ascii="Arial" w:hAnsi="Arial" w:cs="Arial"/>
          <w:szCs w:val="24"/>
        </w:rPr>
        <w:t>(PC 2020h)</w:t>
      </w:r>
      <w:r>
        <w:t xml:space="preserve"> </w:t>
      </w:r>
      <w:r w:rsidRPr="00FF3DF3">
        <w:t>have required many businesses to go digital, or have lowered the costs of compliance, reducing business</w:t>
      </w:r>
      <w:r w:rsidR="00836642">
        <w:t>es</w:t>
      </w:r>
      <w:r w:rsidRPr="00FF3DF3">
        <w:t>’ administrative inefficiencies.</w:t>
      </w:r>
      <w:r w:rsidRPr="006D48E7">
        <w:t xml:space="preserve"> </w:t>
      </w:r>
      <w:r w:rsidRPr="004F73E0">
        <w:t>Competition policy limits the market power of large dominant incumbents, facilitating entry and discouraging complacency.</w:t>
      </w:r>
    </w:p>
    <w:p w14:paraId="15825A15" w14:textId="119E68CB" w:rsidR="00557DD7" w:rsidRDefault="00557DD7" w:rsidP="00557DD7">
      <w:pPr>
        <w:pStyle w:val="BodyText"/>
      </w:pPr>
      <w:r w:rsidRPr="006D48E7">
        <w:t xml:space="preserve">Nevertheless, poorly designed regulation can reduce incentives for </w:t>
      </w:r>
      <w:r>
        <w:t>existing firms</w:t>
      </w:r>
      <w:r w:rsidRPr="006D48E7">
        <w:t xml:space="preserve"> to </w:t>
      </w:r>
      <w:r>
        <w:t>adopt productivity</w:t>
      </w:r>
      <w:r>
        <w:noBreakHyphen/>
        <w:t xml:space="preserve">enhancing technologies and </w:t>
      </w:r>
      <w:proofErr w:type="gramStart"/>
      <w:r>
        <w:t>practices</w:t>
      </w:r>
      <w:r w:rsidRPr="006D48E7">
        <w:t>, and</w:t>
      </w:r>
      <w:proofErr w:type="gramEnd"/>
      <w:r w:rsidRPr="006D48E7">
        <w:t xml:space="preserve"> prevent new entrants from bringing innovative ways of doing things into an industry or country </w:t>
      </w:r>
      <w:r w:rsidR="00936D73" w:rsidRPr="00936D73">
        <w:rPr>
          <w:rFonts w:ascii="Arial" w:hAnsi="Arial" w:cs="Arial"/>
          <w:szCs w:val="24"/>
        </w:rPr>
        <w:t>(OECD 2015a, p. 79)</w:t>
      </w:r>
      <w:r w:rsidRPr="006D48E7">
        <w:t>. This is likely to be particularly limiting for labour</w:t>
      </w:r>
      <w:r>
        <w:noBreakHyphen/>
      </w:r>
      <w:r w:rsidRPr="006D48E7">
        <w:t xml:space="preserve">intensive service industries where innovation diffusion relies more on adoption of new business models and processes as a vehicle for experimentation (rather than large capital investment or traditional R&amp;D) </w:t>
      </w:r>
      <w:r w:rsidR="00936D73" w:rsidRPr="00936D73">
        <w:rPr>
          <w:rFonts w:ascii="Arial" w:hAnsi="Arial" w:cs="Arial"/>
          <w:szCs w:val="24"/>
        </w:rPr>
        <w:t>(PC 2020f, p. 37)</w:t>
      </w:r>
      <w:r w:rsidRPr="006D48E7">
        <w:t>. For example, adoption of new approaches could be hampered by regulations that</w:t>
      </w:r>
      <w:r>
        <w:t>:</w:t>
      </w:r>
    </w:p>
    <w:p w14:paraId="44C6A149" w14:textId="3FCD6436" w:rsidR="00557DD7" w:rsidRPr="0014704E" w:rsidRDefault="00FC2875" w:rsidP="001A1DD7">
      <w:pPr>
        <w:pStyle w:val="ListBullet"/>
      </w:pPr>
      <w:r>
        <w:t>c</w:t>
      </w:r>
      <w:r w:rsidR="00557DD7" w:rsidRPr="0014704E">
        <w:t xml:space="preserve">reate barriers to entry, for example, barriers to entry in retail pharmacy. On the one hand, pharmacy regulations eliminate competition from other potential providers, stifling technology, while conversely, the potential role of pharmacists </w:t>
      </w:r>
      <w:r w:rsidR="00045688">
        <w:t>to take on some clinical roles</w:t>
      </w:r>
      <w:r w:rsidR="00557DD7" w:rsidRPr="0014704E">
        <w:t xml:space="preserve"> is limited by scope of practice restrictions</w:t>
      </w:r>
    </w:p>
    <w:p w14:paraId="13263634" w14:textId="77777777" w:rsidR="00557DD7" w:rsidRPr="0014704E" w:rsidRDefault="00557DD7" w:rsidP="001A1DD7">
      <w:pPr>
        <w:pStyle w:val="ListBullet"/>
      </w:pPr>
      <w:r w:rsidRPr="0014704E">
        <w:t>reduce the scope to use technology as a replacement or complement to labour input, for example, because of workplace agreements</w:t>
      </w:r>
    </w:p>
    <w:p w14:paraId="3BFA23B6" w14:textId="07E1B299" w:rsidR="00557DD7" w:rsidRDefault="00557DD7" w:rsidP="001A1DD7">
      <w:pPr>
        <w:pStyle w:val="ListBullet"/>
      </w:pPr>
      <w:r>
        <w:t xml:space="preserve">curb incentives of business managers and directors to take risks with innovative new approaches, for example, because of personal or professional liability concerns, including in contracts with governments </w:t>
      </w:r>
      <w:r w:rsidRPr="003B5181">
        <w:rPr>
          <w:rFonts w:ascii="Arial" w:hAnsi="Arial" w:cs="Arial"/>
          <w:szCs w:val="24"/>
        </w:rPr>
        <w:t>(</w:t>
      </w:r>
      <w:r>
        <w:rPr>
          <w:rFonts w:ascii="Arial" w:hAnsi="Arial" w:cs="Arial"/>
          <w:szCs w:val="24"/>
        </w:rPr>
        <w:t xml:space="preserve">AICD, sub. 44, p. 3; </w:t>
      </w:r>
      <w:r w:rsidRPr="003B5181">
        <w:rPr>
          <w:rFonts w:ascii="Arial" w:hAnsi="Arial" w:cs="Arial"/>
          <w:szCs w:val="24"/>
        </w:rPr>
        <w:t>Consult Australia 2018, p. 8)</w:t>
      </w:r>
    </w:p>
    <w:p w14:paraId="0638C726" w14:textId="0FE3BB4B" w:rsidR="00557DD7" w:rsidRDefault="00557DD7" w:rsidP="001A1DD7">
      <w:pPr>
        <w:pStyle w:val="ListBullet"/>
      </w:pPr>
      <w:r>
        <w:t>limit scope to employ staff skilled in new technologies or processes because their qualifications or skills are not recognised in the relevant jurisdiction</w:t>
      </w:r>
    </w:p>
    <w:p w14:paraId="4B3CC1F7" w14:textId="08398A67" w:rsidR="00557DD7" w:rsidRDefault="00557DD7" w:rsidP="001A1DD7">
      <w:pPr>
        <w:pStyle w:val="ListBullet"/>
      </w:pPr>
      <w:r>
        <w:lastRenderedPageBreak/>
        <w:t xml:space="preserve">presume the use of a particular technology to enable compliance, or specify </w:t>
      </w:r>
      <w:r w:rsidRPr="00745A06">
        <w:t xml:space="preserve">the means by which </w:t>
      </w:r>
      <w:r>
        <w:t>compliance</w:t>
      </w:r>
      <w:r w:rsidRPr="00745A06">
        <w:t xml:space="preserve"> must be achieved</w:t>
      </w:r>
      <w:r>
        <w:t xml:space="preserve"> (compared with performance</w:t>
      </w:r>
      <w:r>
        <w:noBreakHyphen/>
        <w:t xml:space="preserve">based regulation, </w:t>
      </w:r>
      <w:r w:rsidRPr="00745A06">
        <w:t>which specifies required outcomes or objectives</w:t>
      </w:r>
      <w:r>
        <w:t xml:space="preserve">) </w:t>
      </w:r>
      <w:r w:rsidRPr="00295065">
        <w:rPr>
          <w:rFonts w:ascii="Arial" w:hAnsi="Arial" w:cs="Arial"/>
          <w:szCs w:val="24"/>
        </w:rPr>
        <w:t>(</w:t>
      </w:r>
      <w:proofErr w:type="spellStart"/>
      <w:r w:rsidRPr="00295065">
        <w:rPr>
          <w:rFonts w:ascii="Arial" w:hAnsi="Arial" w:cs="Arial"/>
          <w:szCs w:val="24"/>
        </w:rPr>
        <w:t>Attrey</w:t>
      </w:r>
      <w:proofErr w:type="spellEnd"/>
      <w:r w:rsidRPr="00295065">
        <w:rPr>
          <w:rFonts w:ascii="Arial" w:hAnsi="Arial" w:cs="Arial"/>
          <w:szCs w:val="24"/>
        </w:rPr>
        <w:t xml:space="preserve">, </w:t>
      </w:r>
      <w:proofErr w:type="spellStart"/>
      <w:r w:rsidRPr="00295065">
        <w:rPr>
          <w:rFonts w:ascii="Arial" w:hAnsi="Arial" w:cs="Arial"/>
          <w:szCs w:val="24"/>
        </w:rPr>
        <w:t>Lesher</w:t>
      </w:r>
      <w:proofErr w:type="spellEnd"/>
      <w:r w:rsidRPr="00295065">
        <w:rPr>
          <w:rFonts w:ascii="Arial" w:hAnsi="Arial" w:cs="Arial"/>
          <w:szCs w:val="24"/>
        </w:rPr>
        <w:t xml:space="preserve"> and Lomax 2020, p. 6)</w:t>
      </w:r>
    </w:p>
    <w:p w14:paraId="74E9ED4E" w14:textId="77777777" w:rsidR="00557DD7" w:rsidRDefault="00557DD7" w:rsidP="001A1DD7">
      <w:pPr>
        <w:pStyle w:val="ListBullet"/>
      </w:pPr>
      <w:r>
        <w:t>favour, through industry or product standards, incumbents using existing technology or processes</w:t>
      </w:r>
    </w:p>
    <w:p w14:paraId="4D41BB9A" w14:textId="77777777" w:rsidR="00557DD7" w:rsidRDefault="00557DD7" w:rsidP="001A1DD7">
      <w:pPr>
        <w:pStyle w:val="ListBullet"/>
      </w:pPr>
      <w:r>
        <w:t>limit capacity to use an existing building or site in an innovative manner, for example, because of the way the site is zoned or the need to undergo a lengthy redevelopment approval process.</w:t>
      </w:r>
    </w:p>
    <w:p w14:paraId="6DC6DCEF" w14:textId="77777777" w:rsidR="00557DD7" w:rsidRPr="00C9070B" w:rsidRDefault="00557DD7" w:rsidP="00557DD7">
      <w:pPr>
        <w:pStyle w:val="BodyText"/>
      </w:pPr>
      <w:r w:rsidRPr="00C9070B">
        <w:t>As this list indicates, there is no single regulatory policy lever that drives innovation and diffusion. Rather, it is the ‘hard grind’ of regulatory design and implementation on multiple fronts that makes a difference, supported by strong frameworks like transparent regulatory impact analysis.</w:t>
      </w:r>
    </w:p>
    <w:p w14:paraId="01169C70" w14:textId="40136D16" w:rsidR="00557DD7" w:rsidRPr="00C9070B" w:rsidRDefault="00557DD7" w:rsidP="00557DD7">
      <w:pPr>
        <w:pStyle w:val="BodyText"/>
      </w:pPr>
      <w:r w:rsidRPr="00C9070B">
        <w:t>In many cases, progress is being made, such as Automatic Mutual Recognition of occupational licenses, reforms to bankruptcy and insolvency arrangements over the past 5 years (box</w:t>
      </w:r>
      <w:r w:rsidR="000565F7">
        <w:t> </w:t>
      </w:r>
      <w:r w:rsidRPr="00C9070B">
        <w:t>1.2 in chapter</w:t>
      </w:r>
      <w:r w:rsidR="000565F7">
        <w:t> </w:t>
      </w:r>
      <w:r w:rsidRPr="00C9070B">
        <w:t>1) and the increasing awareness of the need for technology</w:t>
      </w:r>
      <w:r>
        <w:noBreakHyphen/>
      </w:r>
      <w:r w:rsidRPr="00C9070B">
        <w:t>neutral regulation. Overall, regulatory barriers to firm entry and expansion are generally lower in Australia than in most OECD countries (figure</w:t>
      </w:r>
      <w:r>
        <w:t> 2.1</w:t>
      </w:r>
      <w:r w:rsidRPr="00C9070B">
        <w:t>).</w:t>
      </w:r>
    </w:p>
    <w:p w14:paraId="5B7C1F78" w14:textId="77777777" w:rsidR="00557DD7" w:rsidRDefault="00557DD7" w:rsidP="00557DD7">
      <w:pPr>
        <w:pStyle w:val="BodyText"/>
      </w:pPr>
      <w:r w:rsidRPr="00CB5BC7">
        <w:t>But the regulatory thickets caused by the accumulation (and combination) of past rules still limit the pathways for firm</w:t>
      </w:r>
      <w:r>
        <w:noBreakHyphen/>
      </w:r>
      <w:r w:rsidRPr="00CB5BC7">
        <w:t>based innovation. The unglamourous task of achieving greater regulatory neutrality in specific areas is arguably more important to the economy’s innovative capability than many of the policies aimed at high</w:t>
      </w:r>
      <w:r>
        <w:noBreakHyphen/>
      </w:r>
      <w:r w:rsidRPr="00CB5BC7">
        <w:t>end new discoveries.</w:t>
      </w:r>
      <w:r>
        <w:t xml:space="preserve"> </w:t>
      </w:r>
    </w:p>
    <w:p w14:paraId="43D033EF" w14:textId="795856F2" w:rsidR="00557DD7" w:rsidRPr="00146382" w:rsidRDefault="00557DD7" w:rsidP="00557DD7">
      <w:pPr>
        <w:pStyle w:val="FigureTableHeading"/>
      </w:pPr>
      <w:r>
        <w:t xml:space="preserve">Figure </w:t>
      </w:r>
      <w:r>
        <w:rPr>
          <w:noProof/>
        </w:rPr>
        <w:t>2</w:t>
      </w:r>
      <w:r>
        <w:t>.</w:t>
      </w:r>
      <w:r>
        <w:rPr>
          <w:noProof/>
        </w:rPr>
        <w:t xml:space="preserve">1 </w:t>
      </w:r>
      <w:r>
        <w:t xml:space="preserve">– </w:t>
      </w:r>
      <w:r w:rsidRPr="00F41A8C">
        <w:t xml:space="preserve">Australia </w:t>
      </w:r>
      <w:r>
        <w:t xml:space="preserve">has relatively light administrative requirements to set up businesses but burdensome licensing and permit </w:t>
      </w:r>
      <w:proofErr w:type="spellStart"/>
      <w:r>
        <w:t>requirements</w:t>
      </w:r>
      <w:r w:rsidRPr="00066CF5">
        <w:rPr>
          <w:vertAlign w:val="superscript"/>
        </w:rPr>
        <w:t>a</w:t>
      </w:r>
      <w:r>
        <w:rPr>
          <w:vertAlign w:val="superscript"/>
        </w:rPr>
        <w:t>,b</w:t>
      </w:r>
      <w:proofErr w:type="spellEnd"/>
    </w:p>
    <w:p w14:paraId="25652800" w14:textId="77C69BF8" w:rsidR="00557DD7" w:rsidRDefault="00557DD7" w:rsidP="00557DD7">
      <w:pPr>
        <w:pStyle w:val="FigureTableSubheading"/>
        <w:keepLines/>
      </w:pPr>
      <w:r w:rsidRPr="00F41A8C">
        <w:t>OECD Product Market Regulation Indicators, sub</w:t>
      </w:r>
      <w:r w:rsidR="000565F7">
        <w:noBreakHyphen/>
      </w:r>
      <w:r w:rsidRPr="00F41A8C">
        <w:t>categories 2018</w:t>
      </w:r>
    </w:p>
    <w:p w14:paraId="364DB175" w14:textId="3FFB1C28" w:rsidR="00557DD7" w:rsidRDefault="008A440B" w:rsidP="0035738B">
      <w:pPr>
        <w:pStyle w:val="BodyText"/>
      </w:pPr>
      <w:r w:rsidRPr="008A440B">
        <w:rPr>
          <w:noProof/>
        </w:rPr>
        <w:drawing>
          <wp:inline distT="0" distB="0" distL="0" distR="0" wp14:anchorId="55F4A8AE" wp14:editId="7618497A">
            <wp:extent cx="6120130" cy="2978785"/>
            <wp:effectExtent l="0" t="0" r="0" b="0"/>
            <wp:docPr id="108" name="Picture 108" descr="This figure shows three of the OECD’s product market Regulation Indicators ---  (1) the Overall product market regulation indicator; (2) the administrative requirements for limited liability companies and personally owned enterprises; and (3) the licenses and permits --- for Australia, the OECD Average and the Average of the OECD Top 5. Australia has relatively low administrative requirements to set up businesses, but the burden from licensing and permit requirements is higher than the OECD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his figure shows three of the OECD’s product market Regulation Indicators ---  (1) the Overall product market regulation indicator; (2) the administrative requirements for limited liability companies and personally owned enterprises; and (3) the licenses and permits --- for Australia, the OECD Average and the Average of the OECD Top 5. Australia has relatively low administrative requirements to set up businesses, but the burden from licensing and permit requirements is higher than the OECD average. "/>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120130" cy="2978785"/>
                    </a:xfrm>
                    <a:prstGeom prst="rect">
                      <a:avLst/>
                    </a:prstGeom>
                    <a:noFill/>
                    <a:ln>
                      <a:noFill/>
                    </a:ln>
                  </pic:spPr>
                </pic:pic>
              </a:graphicData>
            </a:graphic>
          </wp:inline>
        </w:drawing>
      </w:r>
      <w:r w:rsidR="00557DD7" w:rsidRPr="00180E66">
        <w:rPr>
          <w:b/>
          <w:bCs/>
        </w:rPr>
        <w:t>a.</w:t>
      </w:r>
      <w:r w:rsidR="00557DD7">
        <w:t xml:space="preserve"> Index scale from most to least competition friendly (0 to 6). 0 represents international best practice. Admin. requirements measures the costs of complying with requirements to set up new businesses; licences and permits measures the existence of measures to simplify licensing procedures. </w:t>
      </w:r>
      <w:r w:rsidR="00557DD7">
        <w:rPr>
          <w:b/>
          <w:bCs/>
        </w:rPr>
        <w:t>b</w:t>
      </w:r>
      <w:r w:rsidR="00557DD7" w:rsidRPr="00180E66">
        <w:rPr>
          <w:b/>
          <w:bCs/>
        </w:rPr>
        <w:t>.</w:t>
      </w:r>
      <w:r w:rsidR="00557DD7">
        <w:t xml:space="preserve"> NSW data has been used by the OECD as representative for Australia. </w:t>
      </w:r>
    </w:p>
    <w:p w14:paraId="5D9D99C3" w14:textId="4DCDC0ED" w:rsidR="00557DD7" w:rsidRDefault="00557DD7" w:rsidP="00557DD7">
      <w:pPr>
        <w:pStyle w:val="Source"/>
      </w:pPr>
      <w:r w:rsidRPr="00696447">
        <w:t xml:space="preserve">Source: </w:t>
      </w:r>
      <w:r>
        <w:t xml:space="preserve">OECD </w:t>
      </w:r>
      <w:r w:rsidRPr="005C5E06">
        <w:rPr>
          <w:rFonts w:ascii="Arial" w:hAnsi="Arial" w:cs="Arial"/>
          <w:szCs w:val="24"/>
        </w:rPr>
        <w:t>(2018)</w:t>
      </w:r>
      <w:r>
        <w:t xml:space="preserve"> </w:t>
      </w:r>
      <w:r w:rsidRPr="00F41A8C">
        <w:rPr>
          <w:i/>
          <w:iCs/>
        </w:rPr>
        <w:t>Product Market Regulation Database</w:t>
      </w:r>
      <w:r w:rsidRPr="00696447">
        <w:t>.</w:t>
      </w:r>
    </w:p>
    <w:p w14:paraId="0220B9E4" w14:textId="77777777" w:rsidR="00557DD7" w:rsidRDefault="00557DD7" w:rsidP="00557DD7">
      <w:pPr>
        <w:pStyle w:val="Heading5"/>
      </w:pPr>
      <w:r>
        <w:lastRenderedPageBreak/>
        <w:t>Access to finance</w:t>
      </w:r>
    </w:p>
    <w:p w14:paraId="3C881075" w14:textId="3D890E2D" w:rsidR="00557DD7" w:rsidRDefault="00557DD7" w:rsidP="00557DD7">
      <w:pPr>
        <w:pStyle w:val="BodyText"/>
      </w:pPr>
      <w:r w:rsidRPr="00712D14">
        <w:t>Uptake of innovative new product lines and processes</w:t>
      </w:r>
      <w:r w:rsidRPr="00712D14" w:rsidDel="004A1D94">
        <w:t xml:space="preserve"> </w:t>
      </w:r>
      <w:r w:rsidRPr="00712D14">
        <w:t>can be costly to finance. For firms with relatively low access to internal resources, including many small businesses and start</w:t>
      </w:r>
      <w:r>
        <w:noBreakHyphen/>
      </w:r>
      <w:r w:rsidRPr="00712D14">
        <w:t>ups, access to external finance could be crucial to adopting new approaches. Well</w:t>
      </w:r>
      <w:r>
        <w:noBreakHyphen/>
      </w:r>
      <w:r w:rsidRPr="00712D14">
        <w:t>functioning financial markets can therefore play an important role in supporting business innovation uptake</w:t>
      </w:r>
      <w:r>
        <w:t xml:space="preserve"> </w:t>
      </w:r>
      <w:r w:rsidRPr="00280ACC">
        <w:rPr>
          <w:rFonts w:ascii="Arial" w:hAnsi="Arial" w:cs="Arial"/>
          <w:szCs w:val="24"/>
        </w:rPr>
        <w:t>(Levine 2005, p. 871)</w:t>
      </w:r>
      <w:r>
        <w:t>.</w:t>
      </w:r>
    </w:p>
    <w:p w14:paraId="4AEC2DED" w14:textId="348C71F9" w:rsidR="00557DD7" w:rsidRDefault="00557DD7" w:rsidP="00557DD7">
      <w:pPr>
        <w:pStyle w:val="BodyText"/>
      </w:pPr>
      <w:r>
        <w:t>Australian businesses frequently report access to external financing as a barrier to innovation</w:t>
      </w:r>
      <w:r w:rsidR="00CC5469">
        <w:t xml:space="preserve"> (figure </w:t>
      </w:r>
      <w:bookmarkStart w:id="42" w:name="_1723983127"/>
      <w:bookmarkStart w:id="43" w:name="_1724049627"/>
      <w:bookmarkEnd w:id="42"/>
      <w:bookmarkEnd w:id="43"/>
      <w:r w:rsidR="00CC5469">
        <w:t>2.2)</w:t>
      </w:r>
      <w:r>
        <w:t xml:space="preserve">. </w:t>
      </w:r>
      <w:bookmarkStart w:id="44" w:name="_1723278595"/>
      <w:bookmarkStart w:id="45" w:name="_1723278743"/>
      <w:bookmarkEnd w:id="44"/>
      <w:bookmarkEnd w:id="45"/>
      <w:r>
        <w:t>One in five businesses (19.7 per cent) reported such problems in 2019</w:t>
      </w:r>
      <w:r w:rsidR="000565F7">
        <w:t>–</w:t>
      </w:r>
      <w:r>
        <w:t>21 and this increases to almost 30 per cent when considering only firms engaged in innovation</w:t>
      </w:r>
      <w:r w:rsidR="00CC5469">
        <w:t xml:space="preserve"> (ABS 2022a)</w:t>
      </w:r>
      <w:r>
        <w:t>.</w:t>
      </w:r>
      <w:r w:rsidRPr="00EB6119">
        <w:rPr>
          <w:rStyle w:val="FootnoteReference"/>
        </w:rPr>
        <w:footnoteReference w:id="14"/>
      </w:r>
    </w:p>
    <w:p w14:paraId="61AAAA46" w14:textId="2AD8A958" w:rsidR="00557DD7" w:rsidRDefault="00557DD7" w:rsidP="00557DD7">
      <w:pPr>
        <w:pStyle w:val="BodyText"/>
      </w:pPr>
      <w:r>
        <w:t xml:space="preserve">These difficulties are more acute for firms that are small and/or young </w:t>
      </w:r>
      <w:r w:rsidRPr="006D7AF7">
        <w:rPr>
          <w:rFonts w:ascii="Arial" w:hAnsi="Arial" w:cs="Arial"/>
          <w:szCs w:val="24"/>
        </w:rPr>
        <w:t>(Kido et al. 2020, p. 7)</w:t>
      </w:r>
      <w:r>
        <w:t xml:space="preserve">. Small businesses, in particular, typically do not have assets to use as collateral for debt finance, and unsecured finance typically attracts a higher interest cost, reflecting the increased risk for the lender </w:t>
      </w:r>
      <w:r w:rsidRPr="0020695F">
        <w:rPr>
          <w:rFonts w:ascii="Arial" w:hAnsi="Arial" w:cs="Arial"/>
          <w:szCs w:val="24"/>
        </w:rPr>
        <w:t>(Connolly and Bank 2018)</w:t>
      </w:r>
      <w:r>
        <w:t xml:space="preserve">. Small firms can also be more exposed to volatility than larger firms, which can further raise the risk premium included in their cost of finance </w:t>
      </w:r>
      <w:r w:rsidR="00936D73" w:rsidRPr="00936D73">
        <w:rPr>
          <w:rFonts w:ascii="Arial" w:hAnsi="Arial" w:cs="Arial"/>
          <w:szCs w:val="24"/>
        </w:rPr>
        <w:t>(PC 2021d, p. 9)</w:t>
      </w:r>
      <w:r>
        <w:t>. In Australia, the differential in the cost of finance (</w:t>
      </w:r>
      <w:r w:rsidR="000C7CD5">
        <w:t xml:space="preserve">that is, the </w:t>
      </w:r>
      <w:r>
        <w:t>difference between interest rates charged</w:t>
      </w:r>
      <w:r w:rsidR="00A542E2">
        <w:t xml:space="preserve"> on borrowed funds</w:t>
      </w:r>
      <w:r>
        <w:t xml:space="preserve">) for small and large firms is larger than the OECD average </w:t>
      </w:r>
      <w:r w:rsidRPr="00760C45">
        <w:rPr>
          <w:rFonts w:ascii="Arial" w:hAnsi="Arial" w:cs="Arial"/>
          <w:szCs w:val="24"/>
        </w:rPr>
        <w:t>(OECD 2021, p. 95)</w:t>
      </w:r>
      <w:r>
        <w:t>.</w:t>
      </w:r>
    </w:p>
    <w:p w14:paraId="6B531CB7" w14:textId="0D0A1634" w:rsidR="00557DD7" w:rsidRPr="00146382" w:rsidRDefault="00557DD7" w:rsidP="00557DD7">
      <w:pPr>
        <w:pStyle w:val="FigureTableHeading"/>
      </w:pPr>
      <w:r>
        <w:t xml:space="preserve">Figure </w:t>
      </w:r>
      <w:bookmarkStart w:id="46" w:name="OLE_LINK16"/>
      <w:bookmarkStart w:id="47" w:name="OLE_LINK9"/>
      <w:r>
        <w:t>2.</w:t>
      </w:r>
      <w:r>
        <w:rPr>
          <w:noProof/>
        </w:rPr>
        <w:t>2</w:t>
      </w:r>
      <w:bookmarkEnd w:id="46"/>
      <w:r>
        <w:rPr>
          <w:noProof/>
        </w:rPr>
        <w:t xml:space="preserve"> </w:t>
      </w:r>
      <w:bookmarkEnd w:id="47"/>
      <w:r>
        <w:t>– Businesses frequently report access to additional funds as a barrier to innovation</w:t>
      </w:r>
    </w:p>
    <w:p w14:paraId="6E8177C9" w14:textId="29737849" w:rsidR="00557DD7" w:rsidRDefault="00557DD7" w:rsidP="00557DD7">
      <w:pPr>
        <w:pStyle w:val="FigureTableSubheading"/>
        <w:keepLines/>
      </w:pPr>
      <w:r>
        <w:t>Lack of additional funds as a barrier to innovation, 2019</w:t>
      </w:r>
      <w:r w:rsidR="000565F7">
        <w:t>–</w:t>
      </w:r>
      <w:r>
        <w:t>21</w:t>
      </w:r>
      <w:r>
        <w:rPr>
          <w:vertAlign w:val="superscript"/>
        </w:rPr>
        <w:t>a</w:t>
      </w:r>
    </w:p>
    <w:p w14:paraId="77DD5C04" w14:textId="77777777" w:rsidR="00557DD7" w:rsidRDefault="00557DD7" w:rsidP="00557DD7">
      <w:pPr>
        <w:pStyle w:val="Note"/>
        <w:keepLines/>
      </w:pPr>
      <w:r w:rsidRPr="0027274A">
        <w:rPr>
          <w:noProof/>
        </w:rPr>
        <w:drawing>
          <wp:inline distT="0" distB="0" distL="0" distR="0" wp14:anchorId="687F126C" wp14:editId="635BE76B">
            <wp:extent cx="6120130" cy="2873375"/>
            <wp:effectExtent l="0" t="0" r="0" b="0"/>
            <wp:docPr id="19" name="Picture 19" descr="This figure shows the proportions of innovation-active and non-innovation active businesses reporting a lack of access to additional funds as a barrier to innovation, broken down by firm size. Lack of access to additional funds is frequently reported as a barrier to innovation, particular for smaller businesses and innovation-active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shows the proportions of innovation-active and non-innovation active businesses reporting a lack of access to additional funds as a barrier to innovation, broken down by firm size. Lack of access to additional funds is frequently reported as a barrier to innovation, particular for smaller businesses and innovation-active businesses. "/>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120130" cy="2873375"/>
                    </a:xfrm>
                    <a:prstGeom prst="rect">
                      <a:avLst/>
                    </a:prstGeom>
                    <a:noFill/>
                    <a:ln>
                      <a:noFill/>
                    </a:ln>
                  </pic:spPr>
                </pic:pic>
              </a:graphicData>
            </a:graphic>
          </wp:inline>
        </w:drawing>
      </w:r>
    </w:p>
    <w:p w14:paraId="02200B5B" w14:textId="28776794" w:rsidR="00557DD7" w:rsidRDefault="00557DD7" w:rsidP="00557DD7">
      <w:pPr>
        <w:pStyle w:val="Note"/>
      </w:pPr>
      <w:r w:rsidRPr="00452050">
        <w:rPr>
          <w:b/>
        </w:rPr>
        <w:t>a.</w:t>
      </w:r>
      <w:r>
        <w:rPr>
          <w:b/>
          <w:bCs/>
        </w:rPr>
        <w:t xml:space="preserve"> </w:t>
      </w:r>
      <w:r>
        <w:t>Innovation</w:t>
      </w:r>
      <w:r w:rsidR="000565F7">
        <w:noBreakHyphen/>
      </w:r>
      <w:r>
        <w:t xml:space="preserve">active firms are </w:t>
      </w:r>
      <w:r w:rsidRPr="00BA0AA9">
        <w:t xml:space="preserve">firms </w:t>
      </w:r>
      <w:r>
        <w:t xml:space="preserve">that </w:t>
      </w:r>
      <w:r w:rsidRPr="003846C0">
        <w:t>reported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w:t>
      </w:r>
    </w:p>
    <w:p w14:paraId="226045F4" w14:textId="5A54EF84" w:rsidR="00557DD7" w:rsidRDefault="00557DD7" w:rsidP="00557DD7">
      <w:pPr>
        <w:pStyle w:val="Note"/>
        <w:keepLines/>
      </w:pPr>
      <w:r w:rsidRPr="00696447">
        <w:t xml:space="preserve">Source: </w:t>
      </w:r>
      <w:r>
        <w:t>ABS (</w:t>
      </w:r>
      <w:r>
        <w:rPr>
          <w:i/>
          <w:iCs/>
        </w:rPr>
        <w:t>Characteristics of Australian Business</w:t>
      </w:r>
      <w:r>
        <w:t xml:space="preserve">, </w:t>
      </w:r>
      <w:r w:rsidRPr="007508DF">
        <w:rPr>
          <w:i/>
          <w:iCs/>
        </w:rPr>
        <w:t>2020</w:t>
      </w:r>
      <w:r w:rsidR="000565F7">
        <w:rPr>
          <w:i/>
          <w:iCs/>
        </w:rPr>
        <w:noBreakHyphen/>
      </w:r>
      <w:r w:rsidRPr="007508DF">
        <w:rPr>
          <w:i/>
          <w:iCs/>
        </w:rPr>
        <w:t>21 financial year</w:t>
      </w:r>
      <w:r>
        <w:t>, Cat. no. 8158.0).</w:t>
      </w:r>
    </w:p>
    <w:p w14:paraId="62685557" w14:textId="2129C3D9" w:rsidR="00557DD7" w:rsidRPr="000F2677" w:rsidRDefault="00557DD7" w:rsidP="00557DD7">
      <w:pPr>
        <w:pStyle w:val="BodyText"/>
        <w:rPr>
          <w:spacing w:val="-4"/>
        </w:rPr>
      </w:pPr>
      <w:r w:rsidRPr="000F2677">
        <w:rPr>
          <w:spacing w:val="-4"/>
        </w:rPr>
        <w:t>Australia’s prudential rules for lending to SMEs are more stringent than international standards, which partly explains the relatively lower availability of capital for SMEs — particularly for loans not secured by property (PC 2018, p. 35). Indeed, the Commission previ</w:t>
      </w:r>
      <w:r w:rsidR="00BE4540" w:rsidRPr="000F2677">
        <w:rPr>
          <w:spacing w:val="-4"/>
        </w:rPr>
        <w:t>o</w:t>
      </w:r>
      <w:r w:rsidRPr="000F2677">
        <w:rPr>
          <w:spacing w:val="-4"/>
        </w:rPr>
        <w:t>usly noted that changing the underlying prudential requirements for SME business lending would most significantly improve SME access to finance (PC 2018, p. 32).</w:t>
      </w:r>
    </w:p>
    <w:p w14:paraId="579EE82F" w14:textId="1000245C" w:rsidR="00557DD7" w:rsidRPr="00E464A5" w:rsidRDefault="00557DD7" w:rsidP="00557DD7">
      <w:pPr>
        <w:pStyle w:val="BodyText"/>
      </w:pPr>
      <w:r w:rsidRPr="00E464A5">
        <w:lastRenderedPageBreak/>
        <w:t xml:space="preserve">The Commission’s 2021 </w:t>
      </w:r>
      <w:r w:rsidRPr="00E464A5">
        <w:rPr>
          <w:i/>
          <w:iCs/>
        </w:rPr>
        <w:t xml:space="preserve">Small business access to finance: The evolving lending market </w:t>
      </w:r>
      <w:r w:rsidRPr="00E464A5">
        <w:t>research report found that prior changes to prudential rules, which had previously made lending to SMEs less attractive for the major banks, and relatively light</w:t>
      </w:r>
      <w:r w:rsidR="000565F7">
        <w:noBreakHyphen/>
      </w:r>
      <w:r w:rsidRPr="00E464A5">
        <w:t>handed regulation of business</w:t>
      </w:r>
      <w:r>
        <w:noBreakHyphen/>
      </w:r>
      <w:r w:rsidRPr="00E464A5">
        <w:t>to</w:t>
      </w:r>
      <w:r>
        <w:noBreakHyphen/>
      </w:r>
      <w:r w:rsidRPr="00E464A5">
        <w:t>business lending created opportunities for new and established non</w:t>
      </w:r>
      <w:r>
        <w:noBreakHyphen/>
      </w:r>
      <w:r w:rsidRPr="00E464A5">
        <w:t xml:space="preserve">bank institutions to lend to SMEs </w:t>
      </w:r>
      <w:r w:rsidR="00936D73" w:rsidRPr="00936D73">
        <w:rPr>
          <w:rFonts w:ascii="Arial" w:hAnsi="Arial" w:cs="Arial"/>
          <w:szCs w:val="24"/>
        </w:rPr>
        <w:t>(PC 2021d, p. 2)</w:t>
      </w:r>
      <w:r w:rsidRPr="00E464A5">
        <w:t xml:space="preserve">. For example, new financial service providers are using data and AI to improve the accuracy of lending decisions, which could open up new </w:t>
      </w:r>
      <w:r w:rsidR="00DA24FF">
        <w:t>ways</w:t>
      </w:r>
      <w:r w:rsidRPr="00E464A5">
        <w:t xml:space="preserve"> for many SMEs</w:t>
      </w:r>
      <w:r w:rsidR="00DA24FF">
        <w:t xml:space="preserve"> to </w:t>
      </w:r>
      <w:r w:rsidR="00DA24FF" w:rsidRPr="00E464A5">
        <w:t>access finance</w:t>
      </w:r>
      <w:r w:rsidRPr="00E464A5">
        <w:t>.</w:t>
      </w:r>
    </w:p>
    <w:p w14:paraId="063E3D67" w14:textId="66BD2FD6" w:rsidR="00557DD7" w:rsidRDefault="00557DD7" w:rsidP="00557DD7">
      <w:pPr>
        <w:pStyle w:val="BodyText"/>
      </w:pPr>
      <w:r w:rsidRPr="00E464A5">
        <w:t>Such changes have also led to a broader range of lending options beyond traditional property</w:t>
      </w:r>
      <w:r>
        <w:noBreakHyphen/>
      </w:r>
      <w:r w:rsidRPr="00E464A5">
        <w:t>secured loans for SMEs, including borrowing against intangible assets, improving SME</w:t>
      </w:r>
      <w:r>
        <w:t>’</w:t>
      </w:r>
      <w:r w:rsidRPr="00E464A5">
        <w:t>s access to external finance. Moreover, changes to capital adequacy requirements for authorised deposit</w:t>
      </w:r>
      <w:r>
        <w:noBreakHyphen/>
      </w:r>
      <w:r w:rsidRPr="00E464A5">
        <w:t>taking institutions to be implemented in 2023 could further support banks’ SME lending going forward (APRA 2022), and more readily enable business uptake of innovation.</w:t>
      </w:r>
    </w:p>
    <w:p w14:paraId="1CC6423B" w14:textId="77777777" w:rsidR="00557DD7" w:rsidRDefault="00557DD7" w:rsidP="00557DD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76D4E10D" w14:textId="77777777" w:rsidTr="00C426E9">
        <w:trPr>
          <w:trHeight w:val="765"/>
          <w:tblHeader/>
        </w:trPr>
        <w:tc>
          <w:tcPr>
            <w:tcW w:w="366" w:type="pct"/>
            <w:tcBorders>
              <w:bottom w:val="nil"/>
            </w:tcBorders>
            <w:tcMar>
              <w:bottom w:w="0" w:type="dxa"/>
            </w:tcMar>
            <w:vAlign w:val="center"/>
          </w:tcPr>
          <w:p w14:paraId="7CE7928B" w14:textId="77777777" w:rsidR="00557DD7" w:rsidRDefault="00557DD7" w:rsidP="00C426E9">
            <w:pPr>
              <w:pStyle w:val="NoSpacing"/>
              <w:keepLines/>
              <w:jc w:val="right"/>
            </w:pPr>
            <w:r w:rsidRPr="00A51374">
              <w:rPr>
                <w:noProof/>
              </w:rPr>
              <w:drawing>
                <wp:inline distT="0" distB="0" distL="0" distR="0" wp14:anchorId="0FA4BEB2" wp14:editId="3E3471D4">
                  <wp:extent cx="288000" cy="288000"/>
                  <wp:effectExtent l="0" t="0" r="0" b="0"/>
                  <wp:docPr id="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AEDD8C7" w14:textId="0E0DFEBB" w:rsidR="00557DD7" w:rsidRPr="00A4395A" w:rsidRDefault="00557DD7" w:rsidP="00C426E9">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1</w:t>
            </w:r>
          </w:p>
          <w:p w14:paraId="71A234EA" w14:textId="77777777" w:rsidR="00557DD7" w:rsidRDefault="00557DD7" w:rsidP="00C426E9">
            <w:pPr>
              <w:pStyle w:val="TableHeading"/>
              <w:keepLines/>
              <w:spacing w:before="60" w:after="120"/>
              <w:contextualSpacing/>
            </w:pPr>
            <w:r>
              <w:rPr>
                <w:sz w:val="20"/>
              </w:rPr>
              <w:t xml:space="preserve">A business environment conducive to diffusion </w:t>
            </w:r>
          </w:p>
        </w:tc>
      </w:tr>
      <w:tr w:rsidR="00557DD7" w14:paraId="7D646D7F" w14:textId="77777777" w:rsidTr="00C426E9">
        <w:tc>
          <w:tcPr>
            <w:tcW w:w="5000" w:type="pct"/>
            <w:gridSpan w:val="2"/>
            <w:tcBorders>
              <w:top w:val="nil"/>
              <w:bottom w:val="single" w:sz="4" w:space="0" w:color="66BCDB" w:themeColor="text2"/>
            </w:tcBorders>
          </w:tcPr>
          <w:p w14:paraId="5FCAAD3A" w14:textId="6CC85413" w:rsidR="00557DD7" w:rsidRDefault="00557DD7" w:rsidP="00C426E9">
            <w:pPr>
              <w:pStyle w:val="BodyText"/>
              <w:keepLines/>
            </w:pPr>
            <w:r w:rsidRPr="00AD5B18">
              <w:t xml:space="preserve">The business environment provides the incentives, resources and capabilities of firms to invest in and adopt established innovations, and their capacity to profit from doing so. The policies that shape the business environment to promote diffusion of established technologies and practices tend to be </w:t>
            </w:r>
            <w:proofErr w:type="gramStart"/>
            <w:r w:rsidRPr="00AD5B18">
              <w:t>more general and broad</w:t>
            </w:r>
            <w:proofErr w:type="gramEnd"/>
            <w:r w:rsidR="006C6296">
              <w:noBreakHyphen/>
            </w:r>
            <w:r w:rsidRPr="00AD5B18">
              <w:t>based than those that target new</w:t>
            </w:r>
            <w:r>
              <w:noBreakHyphen/>
            </w:r>
            <w:r w:rsidRPr="00AD5B18">
              <w:t>to</w:t>
            </w:r>
            <w:r>
              <w:noBreakHyphen/>
            </w:r>
            <w:r w:rsidRPr="00AD5B18">
              <w:t>the</w:t>
            </w:r>
            <w:r>
              <w:noBreakHyphen/>
            </w:r>
            <w:r w:rsidRPr="00AD5B18">
              <w:t xml:space="preserve">world innovation. They aim to affect all firms in all industries, not just those investing in creating and commercialising </w:t>
            </w:r>
            <w:r>
              <w:t>highly novel</w:t>
            </w:r>
            <w:r w:rsidRPr="00AD5B18">
              <w:t xml:space="preserve"> innovations.</w:t>
            </w:r>
          </w:p>
        </w:tc>
      </w:tr>
      <w:tr w:rsidR="00557DD7" w14:paraId="2275F5F9" w14:textId="77777777" w:rsidTr="00C426E9">
        <w:tc>
          <w:tcPr>
            <w:tcW w:w="5000" w:type="pct"/>
            <w:gridSpan w:val="2"/>
            <w:tcBorders>
              <w:top w:val="single" w:sz="4" w:space="0" w:color="66BCDB" w:themeColor="text2"/>
              <w:left w:val="nil"/>
              <w:bottom w:val="nil"/>
              <w:right w:val="nil"/>
            </w:tcBorders>
            <w:tcMar>
              <w:bottom w:w="0" w:type="dxa"/>
            </w:tcMar>
          </w:tcPr>
          <w:p w14:paraId="10C9A2C4" w14:textId="77777777" w:rsidR="00557DD7" w:rsidRDefault="00557DD7" w:rsidP="00C426E9">
            <w:pPr>
              <w:pStyle w:val="NoSpacing"/>
              <w:spacing w:line="200" w:lineRule="atLeast"/>
            </w:pPr>
          </w:p>
        </w:tc>
      </w:tr>
    </w:tbl>
    <w:p w14:paraId="226A10D9" w14:textId="5C4E3E15" w:rsidR="00557DD7" w:rsidRDefault="00557DD7" w:rsidP="00557DD7">
      <w:pPr>
        <w:pStyle w:val="Heading2"/>
      </w:pPr>
      <w:bookmarkStart w:id="48" w:name="_Toc113969656"/>
      <w:r>
        <w:t>Facilitating the diffusion of innovations developed overseas</w:t>
      </w:r>
      <w:bookmarkEnd w:id="48"/>
    </w:p>
    <w:p w14:paraId="5A1521EF" w14:textId="5530C21D" w:rsidR="00557DD7" w:rsidRPr="006D4CE7" w:rsidRDefault="00557DD7" w:rsidP="00557DD7">
      <w:pPr>
        <w:pStyle w:val="BodyText"/>
        <w:rPr>
          <w:spacing w:val="-4"/>
        </w:rPr>
      </w:pPr>
      <w:r w:rsidRPr="006D4CE7">
        <w:rPr>
          <w:spacing w:val="-4"/>
        </w:rPr>
        <w:t xml:space="preserve">As a small open economy, Australia has a comparative advantage as an importer and adapter of advanced technologies and other productivity enhancing innovations </w:t>
      </w:r>
      <w:r w:rsidRPr="006D4CE7">
        <w:rPr>
          <w:rFonts w:cs="Arial"/>
          <w:spacing w:val="-4"/>
          <w:szCs w:val="24"/>
        </w:rPr>
        <w:t>(Ferris, Finkel and Fraser 2016, p. 13; Hemmings and Park 2017, p. 10)</w:t>
      </w:r>
      <w:r w:rsidRPr="006D4CE7">
        <w:rPr>
          <w:spacing w:val="-4"/>
        </w:rPr>
        <w:t>. The diffusion of innovation from overseas is facilitated by trade and investment between Australian and foreign firms — particularly those firms that are at the global frontier for a given good or service.</w:t>
      </w:r>
    </w:p>
    <w:p w14:paraId="77C3A423" w14:textId="3E85C2F1" w:rsidR="00557DD7" w:rsidRPr="006D4CE7" w:rsidRDefault="00557DD7" w:rsidP="00557DD7">
      <w:pPr>
        <w:pStyle w:val="BodyText"/>
        <w:rPr>
          <w:spacing w:val="-4"/>
        </w:rPr>
      </w:pPr>
      <w:r w:rsidRPr="006D4CE7">
        <w:rPr>
          <w:spacing w:val="-4"/>
        </w:rPr>
        <w:t xml:space="preserve">Evidence from Andrews et al. </w:t>
      </w:r>
      <w:r w:rsidRPr="006D4CE7">
        <w:rPr>
          <w:rFonts w:cs="Arial"/>
          <w:spacing w:val="-4"/>
          <w:szCs w:val="24"/>
        </w:rPr>
        <w:t>(2022)</w:t>
      </w:r>
      <w:r w:rsidRPr="006D4CE7">
        <w:rPr>
          <w:spacing w:val="-4"/>
        </w:rPr>
        <w:t xml:space="preserve"> shows that the productivity gap between the global frontier firms and Australian firms is growing over time. The implication is that the gains from diffusion of technology from overseas are getting </w:t>
      </w:r>
      <w:r w:rsidRPr="006D4CE7">
        <w:rPr>
          <w:i/>
          <w:iCs/>
          <w:spacing w:val="-4"/>
        </w:rPr>
        <w:t>larger</w:t>
      </w:r>
      <w:r w:rsidRPr="006D4CE7">
        <w:rPr>
          <w:spacing w:val="-4"/>
        </w:rPr>
        <w:t xml:space="preserve"> and more valuable over time. An Australian firm can make huge gains simply by adopting processes and technologies from global frontier </w:t>
      </w:r>
      <w:proofErr w:type="gramStart"/>
      <w:r w:rsidRPr="006D4CE7">
        <w:rPr>
          <w:spacing w:val="-4"/>
        </w:rPr>
        <w:t>firms, or</w:t>
      </w:r>
      <w:proofErr w:type="gramEnd"/>
      <w:r w:rsidRPr="006D4CE7">
        <w:rPr>
          <w:spacing w:val="-4"/>
        </w:rPr>
        <w:t xml:space="preserve"> patterning its products and services on theirs. Nevertheless, only </w:t>
      </w:r>
      <w:r w:rsidR="00CB5A0C" w:rsidRPr="006D4CE7">
        <w:rPr>
          <w:spacing w:val="-4"/>
        </w:rPr>
        <w:t>about</w:t>
      </w:r>
      <w:r w:rsidRPr="006D4CE7">
        <w:rPr>
          <w:spacing w:val="-4"/>
        </w:rPr>
        <w:t xml:space="preserve"> 3.3 per cent of innovating firms in Australia introduce processes that are new to Australia (but not the world), and only 7.4 per cent of firms introduce products that are new to Australia (figure 1.2). Most innovating firms use products and processes that are new to their firm only, implying that there may be potential for facilitating increased diffusion of innovation to Australia from foreign sources.</w:t>
      </w:r>
    </w:p>
    <w:p w14:paraId="277CDC83" w14:textId="27F30A47" w:rsidR="00557DD7" w:rsidRDefault="00557DD7" w:rsidP="00A56CF8">
      <w:pPr>
        <w:pStyle w:val="Heading3"/>
        <w:pageBreakBefore/>
      </w:pPr>
      <w:r>
        <w:lastRenderedPageBreak/>
        <w:t>Trade connects Australian businesses to the global frontier</w:t>
      </w:r>
    </w:p>
    <w:p w14:paraId="7C244290" w14:textId="12FAF274" w:rsidR="00557DD7" w:rsidRDefault="00557DD7" w:rsidP="00557DD7">
      <w:pPr>
        <w:pStyle w:val="BodyText"/>
      </w:pPr>
      <w:r>
        <w:t>Importing and exporting goods and services are major channels through which trade can facilitate innovation diffusion to Australian firms.</w:t>
      </w:r>
    </w:p>
    <w:p w14:paraId="161A7844" w14:textId="4F501920" w:rsidR="00557DD7" w:rsidRDefault="00557DD7" w:rsidP="00557DD7">
      <w:pPr>
        <w:pStyle w:val="BodyText"/>
      </w:pPr>
      <w:r>
        <w:t xml:space="preserve">Information and ideas about innovation </w:t>
      </w:r>
      <w:r w:rsidR="00CC5469">
        <w:t>often</w:t>
      </w:r>
      <w:r>
        <w:t xml:space="preserve"> come from one’s supply chain, that is, from suppliers or from customer firms (figure 2.9). Given that most innovation comes from overseas, it is particularly valuable for Australian firms to be importing from (or exporting to) firms overseas.</w:t>
      </w:r>
    </w:p>
    <w:p w14:paraId="10847630" w14:textId="213AB57C" w:rsidR="00557DD7" w:rsidRDefault="00557DD7" w:rsidP="00557DD7">
      <w:pPr>
        <w:pStyle w:val="BodyText"/>
      </w:pPr>
      <w:r>
        <w:t xml:space="preserve">As importers, Australian firms can access frontier innovation via imports of capital goods and intermediate inputs that embody new technologies. Using imported goods can give firms new ideas for product lines and processes </w:t>
      </w:r>
      <w:r w:rsidRPr="001D63A8">
        <w:rPr>
          <w:rFonts w:ascii="Arial" w:hAnsi="Arial" w:cs="Arial"/>
          <w:szCs w:val="24"/>
        </w:rPr>
        <w:t>(</w:t>
      </w:r>
      <w:proofErr w:type="spellStart"/>
      <w:r w:rsidRPr="001D63A8">
        <w:rPr>
          <w:rFonts w:ascii="Arial" w:hAnsi="Arial" w:cs="Arial"/>
          <w:szCs w:val="24"/>
        </w:rPr>
        <w:t>Kiriyama</w:t>
      </w:r>
      <w:proofErr w:type="spellEnd"/>
      <w:r w:rsidRPr="001D63A8">
        <w:rPr>
          <w:rFonts w:ascii="Arial" w:hAnsi="Arial" w:cs="Arial"/>
          <w:szCs w:val="24"/>
        </w:rPr>
        <w:t> 2012, pp. 9–10)</w:t>
      </w:r>
      <w:r>
        <w:t>,</w:t>
      </w:r>
      <w:r w:rsidRPr="00257827">
        <w:t xml:space="preserve"> </w:t>
      </w:r>
      <w:r>
        <w:t xml:space="preserve">and facilitate innovation through imitation, </w:t>
      </w:r>
      <w:r w:rsidR="000565F7">
        <w:t>‘</w:t>
      </w:r>
      <w:r>
        <w:t>leading to product cycle, in which products are first invented in some parts of the world, and then imitated in others</w:t>
      </w:r>
      <w:r w:rsidR="000565F7">
        <w:t>’</w:t>
      </w:r>
      <w:r>
        <w:t xml:space="preserve"> </w:t>
      </w:r>
      <w:r w:rsidRPr="00BB62CA">
        <w:rPr>
          <w:rFonts w:ascii="Arial" w:hAnsi="Arial" w:cs="Arial"/>
          <w:szCs w:val="24"/>
        </w:rPr>
        <w:t>(Melitz and Redding 2021, p. 3)</w:t>
      </w:r>
      <w:r>
        <w:t>.</w:t>
      </w:r>
    </w:p>
    <w:p w14:paraId="44B6CCBB" w14:textId="78A48923" w:rsidR="00557DD7" w:rsidRDefault="00557DD7" w:rsidP="00557DD7">
      <w:pPr>
        <w:pStyle w:val="BodyText"/>
      </w:pPr>
      <w:r>
        <w:t xml:space="preserve">Complex capital goods, like semiconductors, require advanced knowledge and some vendors are willing to transfer this knowledge so that importers can effectively use these goods </w:t>
      </w:r>
      <w:r w:rsidRPr="00042EFD">
        <w:rPr>
          <w:rFonts w:ascii="Arial" w:hAnsi="Arial" w:cs="Arial"/>
          <w:szCs w:val="24"/>
        </w:rPr>
        <w:t>(</w:t>
      </w:r>
      <w:proofErr w:type="spellStart"/>
      <w:r w:rsidRPr="00042EFD">
        <w:rPr>
          <w:rFonts w:ascii="Arial" w:hAnsi="Arial" w:cs="Arial"/>
          <w:szCs w:val="24"/>
        </w:rPr>
        <w:t>Kiriyama</w:t>
      </w:r>
      <w:proofErr w:type="spellEnd"/>
      <w:r w:rsidRPr="00042EFD">
        <w:rPr>
          <w:rFonts w:ascii="Arial" w:hAnsi="Arial" w:cs="Arial"/>
          <w:szCs w:val="24"/>
        </w:rPr>
        <w:t> 2012, p. 10)</w:t>
      </w:r>
      <w:r>
        <w:t xml:space="preserve">. </w:t>
      </w:r>
      <w:r w:rsidR="00FF0BC9">
        <w:t>S</w:t>
      </w:r>
      <w:r>
        <w:t>upply chains are also a major source of innovation diffusion</w:t>
      </w:r>
      <w:r w:rsidR="003D1FCE">
        <w:t xml:space="preserve"> in the service sector</w:t>
      </w:r>
      <w:r>
        <w:t xml:space="preserve">. Supply chain management systems, like </w:t>
      </w:r>
      <w:r w:rsidRPr="00542C38">
        <w:t xml:space="preserve">Systems Applications and Products </w:t>
      </w:r>
      <w:r>
        <w:t>(SAP) software create the potential for greater diffusion of innovation by facilitating information flows across businesses.</w:t>
      </w:r>
    </w:p>
    <w:p w14:paraId="33D8EBBD" w14:textId="44D2E466" w:rsidR="00557DD7" w:rsidRDefault="00557DD7" w:rsidP="00557DD7">
      <w:pPr>
        <w:pStyle w:val="BodyText"/>
      </w:pPr>
      <w:r>
        <w:t xml:space="preserve">Firms can also import intangible technology in the form of intellectual property licences, </w:t>
      </w:r>
      <w:r w:rsidR="000565F7">
        <w:t>‘</w:t>
      </w:r>
      <w:r>
        <w:t>increasing the pool of ideas</w:t>
      </w:r>
      <w:r w:rsidR="000565F7">
        <w:t>’</w:t>
      </w:r>
      <w:r>
        <w:t xml:space="preserve"> for innovation </w:t>
      </w:r>
      <w:r w:rsidRPr="00663868">
        <w:rPr>
          <w:rFonts w:ascii="Arial" w:hAnsi="Arial" w:cs="Arial"/>
          <w:szCs w:val="24"/>
        </w:rPr>
        <w:t>(</w:t>
      </w:r>
      <w:proofErr w:type="spellStart"/>
      <w:r w:rsidRPr="00663868">
        <w:rPr>
          <w:rFonts w:ascii="Arial" w:hAnsi="Arial" w:cs="Arial"/>
          <w:szCs w:val="24"/>
        </w:rPr>
        <w:t>Kiriyama</w:t>
      </w:r>
      <w:proofErr w:type="spellEnd"/>
      <w:r w:rsidRPr="00663868">
        <w:rPr>
          <w:rFonts w:ascii="Arial" w:hAnsi="Arial" w:cs="Arial"/>
          <w:szCs w:val="24"/>
        </w:rPr>
        <w:t> 2012, p. 14)</w:t>
      </w:r>
      <w:r>
        <w:t xml:space="preserve">. Australia is a net importer of innovation, with payments for foreign intellectual property far exceeding the receipts of Australian intellectual property sales </w:t>
      </w:r>
      <w:r w:rsidRPr="007A77A3">
        <w:t>(</w:t>
      </w:r>
      <w:r>
        <w:t>figure </w:t>
      </w:r>
      <w:bookmarkStart w:id="49" w:name="_1723987450"/>
      <w:bookmarkStart w:id="50" w:name="_1723642508"/>
      <w:bookmarkStart w:id="51" w:name="_1723636279"/>
      <w:bookmarkStart w:id="52" w:name="_1723875701"/>
      <w:bookmarkStart w:id="53" w:name="_1723876798"/>
      <w:bookmarkStart w:id="54" w:name="_1724049639"/>
      <w:bookmarkEnd w:id="49"/>
      <w:bookmarkEnd w:id="50"/>
      <w:bookmarkEnd w:id="51"/>
      <w:bookmarkEnd w:id="52"/>
      <w:bookmarkEnd w:id="53"/>
      <w:bookmarkEnd w:id="54"/>
      <w:r>
        <w:t>2.3)</w:t>
      </w:r>
      <w:r w:rsidRPr="007A77A3">
        <w:t>.</w:t>
      </w:r>
    </w:p>
    <w:p w14:paraId="23D88848" w14:textId="2E0B057D" w:rsidR="00557DD7" w:rsidRPr="00146382" w:rsidRDefault="00557DD7" w:rsidP="00557DD7">
      <w:pPr>
        <w:pStyle w:val="FigureTableHeading"/>
      </w:pPr>
      <w:r>
        <w:t xml:space="preserve">Figure </w:t>
      </w:r>
      <w:r>
        <w:rPr>
          <w:noProof/>
        </w:rPr>
        <w:t>2</w:t>
      </w:r>
      <w:r>
        <w:t>.</w:t>
      </w:r>
      <w:r>
        <w:rPr>
          <w:noProof/>
        </w:rPr>
        <w:t xml:space="preserve">3 </w:t>
      </w:r>
      <w:r>
        <w:t xml:space="preserve">– Australia imports significantly more intellectual property than it </w:t>
      </w:r>
      <w:proofErr w:type="spellStart"/>
      <w:r>
        <w:t>exports</w:t>
      </w:r>
      <w:r w:rsidRPr="00066CF5">
        <w:rPr>
          <w:vertAlign w:val="superscript"/>
        </w:rPr>
        <w:t>a</w:t>
      </w:r>
      <w:proofErr w:type="spellEnd"/>
    </w:p>
    <w:p w14:paraId="44F0E4BC" w14:textId="1D197E5D" w:rsidR="00557DD7" w:rsidRDefault="00557DD7" w:rsidP="00557DD7">
      <w:pPr>
        <w:pStyle w:val="FigureTableSubheading"/>
      </w:pPr>
      <w:r w:rsidRPr="00C91E9A">
        <w:t xml:space="preserve">Intellectual property payments </w:t>
      </w:r>
      <w:r>
        <w:t>and</w:t>
      </w:r>
      <w:r w:rsidRPr="00C91E9A">
        <w:t xml:space="preserve"> receipts</w:t>
      </w:r>
    </w:p>
    <w:p w14:paraId="23127C62" w14:textId="7BE974BA" w:rsidR="00557DD7" w:rsidRDefault="00557DD7" w:rsidP="008C291D">
      <w:pPr>
        <w:pStyle w:val="Note"/>
      </w:pPr>
      <w:r w:rsidRPr="00DD5809">
        <w:rPr>
          <w:noProof/>
        </w:rPr>
        <w:drawing>
          <wp:inline distT="0" distB="0" distL="0" distR="0" wp14:anchorId="7CFFB092" wp14:editId="5AFD8FFE">
            <wp:extent cx="6120130" cy="2873375"/>
            <wp:effectExtent l="0" t="0" r="0" b="0"/>
            <wp:docPr id="26" name="Picture 26" descr="This figure shows Australia’s intellectual property payments and receipts from 1989 to 2021. Payments are significantly greater than receipts, diverging after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figure shows Australia’s intellectual property payments and receipts from 1989 to 2021. Payments are significantly greater than receipts, diverging after 2001."/>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120130" cy="2873375"/>
                    </a:xfrm>
                    <a:prstGeom prst="rect">
                      <a:avLst/>
                    </a:prstGeom>
                    <a:noFill/>
                    <a:ln>
                      <a:noFill/>
                    </a:ln>
                  </pic:spPr>
                </pic:pic>
              </a:graphicData>
            </a:graphic>
          </wp:inline>
        </w:drawing>
      </w:r>
      <w:r w:rsidRPr="00A32B85">
        <w:rPr>
          <w:b/>
          <w:bCs/>
        </w:rPr>
        <w:t>a.</w:t>
      </w:r>
      <w:r>
        <w:t xml:space="preserve"> </w:t>
      </w:r>
      <w:r w:rsidRPr="00370E38">
        <w:t xml:space="preserve">Charges for the use of intellectual </w:t>
      </w:r>
      <w:r w:rsidRPr="0072010D">
        <w:t>property (</w:t>
      </w:r>
      <w:proofErr w:type="spellStart"/>
      <w:r w:rsidRPr="0072010D">
        <w:t>BoP</w:t>
      </w:r>
      <w:proofErr w:type="spellEnd"/>
      <w:r w:rsidRPr="0072010D">
        <w:t>, current US</w:t>
      </w:r>
      <w:r>
        <w:t>D</w:t>
      </w:r>
      <w:r w:rsidRPr="0072010D">
        <w:t>)</w:t>
      </w:r>
      <w:r>
        <w:t>.</w:t>
      </w:r>
    </w:p>
    <w:p w14:paraId="173A8555" w14:textId="2C2AE008" w:rsidR="00557DD7" w:rsidRDefault="00557DD7" w:rsidP="00557DD7">
      <w:pPr>
        <w:pStyle w:val="Source"/>
      </w:pPr>
      <w:r w:rsidRPr="00696447">
        <w:t>Source:</w:t>
      </w:r>
      <w:r>
        <w:t xml:space="preserve"> World Bank</w:t>
      </w:r>
      <w:r w:rsidRPr="00696447">
        <w:t xml:space="preserve"> </w:t>
      </w:r>
      <w:r w:rsidRPr="005C5E06">
        <w:rPr>
          <w:rFonts w:ascii="Arial" w:hAnsi="Arial" w:cs="Arial"/>
          <w:szCs w:val="24"/>
        </w:rPr>
        <w:t>(2021a, 2021b)</w:t>
      </w:r>
      <w:r>
        <w:t>.</w:t>
      </w:r>
    </w:p>
    <w:p w14:paraId="3B19DD87" w14:textId="23314AA1" w:rsidR="00557DD7" w:rsidRPr="000F2677" w:rsidRDefault="00557DD7" w:rsidP="00557DD7">
      <w:pPr>
        <w:pStyle w:val="BodyText"/>
        <w:rPr>
          <w:spacing w:val="-4"/>
        </w:rPr>
      </w:pPr>
      <w:r w:rsidRPr="000F2677">
        <w:rPr>
          <w:spacing w:val="-4"/>
        </w:rPr>
        <w:t xml:space="preserve">By weakening competition and by lowering product variety, barriers to trade take the pressure off domestic incumbents to adopt global best practice. The Indian motor vehicle industry provides a vivid international example. Until the 1980s, the lack of import competition and diffusion meant that most Indian car manufacturers used 1950s </w:t>
      </w:r>
      <w:r w:rsidRPr="000F2677">
        <w:rPr>
          <w:spacing w:val="-4"/>
        </w:rPr>
        <w:lastRenderedPageBreak/>
        <w:t xml:space="preserve">vintage technology </w:t>
      </w:r>
      <w:r w:rsidRPr="000F2677">
        <w:rPr>
          <w:rFonts w:cs="Arial"/>
          <w:spacing w:val="-4"/>
          <w:szCs w:val="24"/>
        </w:rPr>
        <w:t>(Sagar and Chandra 2004, p. 2)</w:t>
      </w:r>
      <w:r w:rsidRPr="000F2677">
        <w:rPr>
          <w:spacing w:val="-4"/>
        </w:rPr>
        <w:t xml:space="preserve">. Australia was never so bad, but there is good evidence that trade liberalisation promoted productivity in domestic firms </w:t>
      </w:r>
      <w:r w:rsidRPr="000F2677">
        <w:rPr>
          <w:rFonts w:cs="Arial"/>
          <w:spacing w:val="-4"/>
          <w:szCs w:val="24"/>
        </w:rPr>
        <w:t>(Bloch and McDonald 2001)</w:t>
      </w:r>
      <w:r w:rsidRPr="000F2677">
        <w:rPr>
          <w:spacing w:val="-4"/>
        </w:rPr>
        <w:t>.</w:t>
      </w:r>
    </w:p>
    <w:p w14:paraId="6A54611A" w14:textId="004E3BEE" w:rsidR="00557DD7" w:rsidRPr="00144144" w:rsidRDefault="00557DD7" w:rsidP="00557DD7">
      <w:pPr>
        <w:pStyle w:val="BodyText"/>
      </w:pPr>
      <w:r>
        <w:t>Indeed,</w:t>
      </w:r>
      <w:r w:rsidRPr="00F74484" w:rsidDel="00B01D18">
        <w:t xml:space="preserve"> </w:t>
      </w:r>
      <w:r w:rsidRPr="00F74484">
        <w:t>Australia has successfully implemented reforms removing many of the traditional barriers to international trade in goods, such as import tariffs and quotas.</w:t>
      </w:r>
      <w:r>
        <w:t xml:space="preserve"> But trade barriers can come in other forms. A</w:t>
      </w:r>
      <w:r w:rsidRPr="006830EB">
        <w:t>nti</w:t>
      </w:r>
      <w:r w:rsidR="000565F7">
        <w:noBreakHyphen/>
      </w:r>
      <w:r w:rsidRPr="006830EB">
        <w:t>dumping regulations still provide significant protection for some narrow product classes.</w:t>
      </w:r>
      <w:r>
        <w:t xml:space="preserve"> Many barriers to trade in services</w:t>
      </w:r>
      <w:r w:rsidRPr="006F7C26">
        <w:t xml:space="preserve"> </w:t>
      </w:r>
      <w:r>
        <w:t>remain in place, particularly so</w:t>
      </w:r>
      <w:r>
        <w:noBreakHyphen/>
        <w:t xml:space="preserve">called ‘behind the border’ barriers, such as foreign </w:t>
      </w:r>
      <w:r w:rsidRPr="00144144">
        <w:t>licensing restrictions (</w:t>
      </w:r>
      <w:r w:rsidRPr="00144144">
        <w:rPr>
          <w:rFonts w:ascii="Arial" w:eastAsia="Arial" w:hAnsi="Arial" w:cs="Times New Roman"/>
        </w:rPr>
        <w:t>see the Commission’s companion report</w:t>
      </w:r>
      <w:r w:rsidR="00CC5469">
        <w:rPr>
          <w:rFonts w:ascii="Arial" w:eastAsia="Arial" w:hAnsi="Arial" w:cs="Times New Roman"/>
        </w:rPr>
        <w:t>s</w:t>
      </w:r>
      <w:r w:rsidRPr="00144144">
        <w:rPr>
          <w:rFonts w:ascii="Arial" w:eastAsia="Arial" w:hAnsi="Arial" w:cs="Times New Roman"/>
        </w:rPr>
        <w:t xml:space="preserve"> on the business environment for the Productivity Inquiry</w:t>
      </w:r>
      <w:r w:rsidRPr="00144144">
        <w:t>). The key question is whether these and other trade barriers (for example, quarantine provisions) have any material impacts.</w:t>
      </w:r>
    </w:p>
    <w:p w14:paraId="421E1336" w14:textId="338B7039" w:rsidR="00557DD7" w:rsidRDefault="00557DD7" w:rsidP="00557DD7">
      <w:pPr>
        <w:pStyle w:val="BodyText"/>
      </w:pPr>
      <w:r w:rsidRPr="00144144">
        <w:t xml:space="preserve">Regulatory restrictions on particular types of technologies can also impede innovation diffusion from overseas — for example, outdated vehicle design rules that preclude a freight business from importing a vehicle that is more productive than currently permitted vehicles (Terrill, </w:t>
      </w:r>
      <w:proofErr w:type="spellStart"/>
      <w:r w:rsidRPr="00144144">
        <w:t>Burfurd</w:t>
      </w:r>
      <w:proofErr w:type="spellEnd"/>
      <w:r w:rsidRPr="00144144">
        <w:t xml:space="preserve"> and Fox 2022, p. 29). Slow approval processes for pharmaceuticals and other medical technologies can reduce the diffusion of interventions that are more effective than existing ones, reducing the effectiveness (‘productivity’) of health care. Issues of regulatory barriers can be addressed by more responsively and quickly updating compliance requirements for industry or, in some cases, could be solved by more widely aligning with or accepting international standards that apply to goods, wherever practicable (</w:t>
      </w:r>
      <w:r w:rsidRPr="00144144">
        <w:rPr>
          <w:rFonts w:ascii="Arial" w:eastAsia="Arial" w:hAnsi="Arial" w:cs="Times New Roman"/>
        </w:rPr>
        <w:t>see the Commission’s companion report</w:t>
      </w:r>
      <w:r w:rsidR="00CC5469">
        <w:rPr>
          <w:rFonts w:ascii="Arial" w:eastAsia="Arial" w:hAnsi="Arial" w:cs="Times New Roman"/>
        </w:rPr>
        <w:t>s</w:t>
      </w:r>
      <w:r w:rsidRPr="00144144">
        <w:rPr>
          <w:rFonts w:ascii="Arial" w:eastAsia="Arial" w:hAnsi="Arial" w:cs="Times New Roman"/>
        </w:rPr>
        <w:t xml:space="preserve"> on the business environment for the Productivity Inquiry</w:t>
      </w:r>
      <w:r w:rsidRPr="00144144">
        <w:t>).</w:t>
      </w:r>
    </w:p>
    <w:p w14:paraId="16D3E69F" w14:textId="3E8E8D1B" w:rsidR="00557DD7" w:rsidRDefault="00557DD7" w:rsidP="00557DD7">
      <w:pPr>
        <w:pStyle w:val="BodyText"/>
      </w:pPr>
      <w:r w:rsidRPr="0075569B">
        <w:t>Some on</w:t>
      </w:r>
      <w:r w:rsidR="000565F7">
        <w:noBreakHyphen/>
      </w:r>
      <w:r w:rsidRPr="0075569B">
        <w:t xml:space="preserve">shoring of production may also occur from government programs designed to ensure supply chain resilience and sovereign capability — such as the now discontinued Defence Industrial Capability Plan </w:t>
      </w:r>
      <w:r w:rsidRPr="0075569B">
        <w:rPr>
          <w:rFonts w:ascii="Arial" w:hAnsi="Arial" w:cs="Arial"/>
          <w:szCs w:val="24"/>
        </w:rPr>
        <w:t>(Defence 2021)</w:t>
      </w:r>
      <w:r w:rsidRPr="0075569B">
        <w:t xml:space="preserve">. Though this will be inefficient for resource allocation </w:t>
      </w:r>
      <w:r w:rsidR="00936D73" w:rsidRPr="00936D73">
        <w:rPr>
          <w:rFonts w:ascii="Arial" w:hAnsi="Arial" w:cs="Arial"/>
          <w:szCs w:val="24"/>
        </w:rPr>
        <w:t>(PC 2021e, pp. 141–142)</w:t>
      </w:r>
      <w:r w:rsidRPr="0075569B">
        <w:t>, the effects of on</w:t>
      </w:r>
      <w:r>
        <w:noBreakHyphen/>
      </w:r>
      <w:r w:rsidRPr="0075569B">
        <w:t xml:space="preserve">shoring may be more benign for innovation diffusion if more frontier </w:t>
      </w:r>
      <w:r>
        <w:t>multinational corporations</w:t>
      </w:r>
      <w:r w:rsidRPr="0075569B">
        <w:t xml:space="preserve"> own the Australian based operators</w:t>
      </w:r>
      <w:r>
        <w:t>.</w:t>
      </w:r>
      <w:r w:rsidRPr="0075569B">
        <w:t xml:space="preserve"> </w:t>
      </w:r>
      <w:r>
        <w:t>H</w:t>
      </w:r>
      <w:r w:rsidRPr="0075569B">
        <w:t>owever</w:t>
      </w:r>
      <w:r>
        <w:t>,</w:t>
      </w:r>
      <w:r w:rsidRPr="0075569B">
        <w:t xml:space="preserve"> subsidies to domestic producers without international connections are likely to inhibit the channels for diffusion</w:t>
      </w:r>
      <w:r>
        <w:t>.</w:t>
      </w:r>
    </w:p>
    <w:p w14:paraId="5A4319BB" w14:textId="516CDFF6" w:rsidR="00557DD7" w:rsidRPr="000F2677" w:rsidRDefault="00557DD7" w:rsidP="00557DD7">
      <w:pPr>
        <w:pStyle w:val="BodyText"/>
        <w:rPr>
          <w:spacing w:val="-4"/>
        </w:rPr>
      </w:pPr>
      <w:r w:rsidRPr="000F2677">
        <w:rPr>
          <w:rFonts w:ascii="Arial" w:eastAsia="Arial" w:hAnsi="Arial" w:cs="Times New Roman"/>
          <w:spacing w:val="-4"/>
        </w:rPr>
        <w:t xml:space="preserve">For exporters, competition with sophisticated goods and services from overseas provides exposure to new ideas and creates incentives to adopt those ideas. And access to larger markets can make some technology adoption more feasible, if the technology requires a larger scale to be viable </w:t>
      </w:r>
      <w:r w:rsidRPr="000F2677">
        <w:rPr>
          <w:rFonts w:ascii="Arial" w:hAnsi="Arial" w:cs="Arial"/>
          <w:spacing w:val="-4"/>
          <w:szCs w:val="24"/>
        </w:rPr>
        <w:t>(Bloom, Van Reenen and Williams 2019, p. 177)</w:t>
      </w:r>
      <w:r w:rsidRPr="000F2677">
        <w:rPr>
          <w:rFonts w:ascii="Arial" w:eastAsia="Arial" w:hAnsi="Arial" w:cs="Times New Roman"/>
          <w:spacing w:val="-4"/>
        </w:rPr>
        <w:t>. For firms in the business</w:t>
      </w:r>
      <w:r w:rsidRPr="000F2677">
        <w:rPr>
          <w:rFonts w:ascii="Arial" w:eastAsia="Arial" w:hAnsi="Arial" w:cs="Times New Roman"/>
          <w:spacing w:val="-4"/>
        </w:rPr>
        <w:noBreakHyphen/>
        <w:t>to</w:t>
      </w:r>
      <w:r w:rsidRPr="000F2677">
        <w:rPr>
          <w:rFonts w:ascii="Arial" w:eastAsia="Arial" w:hAnsi="Arial" w:cs="Times New Roman"/>
          <w:spacing w:val="-4"/>
        </w:rPr>
        <w:noBreakHyphen/>
        <w:t xml:space="preserve">business segment, they may be selling to overseas firms who introduce them to more advanced systems and expectations. There is strong evidence that as firms become exporters, their productivity increases significantly, in part due to the diffusion of innovation </w:t>
      </w:r>
      <w:r w:rsidRPr="000F2677">
        <w:rPr>
          <w:rFonts w:ascii="Arial" w:hAnsi="Arial" w:cs="Arial"/>
          <w:spacing w:val="-4"/>
          <w:szCs w:val="24"/>
        </w:rPr>
        <w:t>(Melitz and Redding 2021, p. 26)</w:t>
      </w:r>
      <w:r w:rsidRPr="000F2677">
        <w:rPr>
          <w:rFonts w:ascii="Arial" w:eastAsia="Arial" w:hAnsi="Arial" w:cs="Times New Roman"/>
          <w:spacing w:val="-4"/>
        </w:rPr>
        <w:t>.</w:t>
      </w:r>
    </w:p>
    <w:p w14:paraId="5B3F0F12" w14:textId="224AAAF6" w:rsidR="00557DD7" w:rsidRDefault="00557DD7" w:rsidP="00557DD7">
      <w:pPr>
        <w:pStyle w:val="BodyText"/>
      </w:pPr>
      <w:r>
        <w:t>Finally, importers and exporters may learn about new, overseas innovations through more informal channels; participating in trade conferences, business networks, and so on (discussed in section</w:t>
      </w:r>
      <w:r w:rsidR="000565F7">
        <w:t> </w:t>
      </w:r>
      <w:r>
        <w:t>2.4). Other Australian firms may also</w:t>
      </w:r>
      <w:r w:rsidRPr="00D1220D">
        <w:t xml:space="preserve"> </w:t>
      </w:r>
      <w:r>
        <w:t>learn</w:t>
      </w:r>
      <w:r w:rsidRPr="00D1220D">
        <w:t xml:space="preserve"> about </w:t>
      </w:r>
      <w:r>
        <w:t>productivity</w:t>
      </w:r>
      <w:r>
        <w:noBreakHyphen/>
        <w:t>enhancing</w:t>
      </w:r>
      <w:r w:rsidRPr="00D1220D">
        <w:t xml:space="preserve"> technologies or superior organi</w:t>
      </w:r>
      <w:r>
        <w:t>s</w:t>
      </w:r>
      <w:r w:rsidRPr="00D1220D">
        <w:t>ational and managerial practices</w:t>
      </w:r>
      <w:r>
        <w:t xml:space="preserve"> via knowledge </w:t>
      </w:r>
      <w:proofErr w:type="spellStart"/>
      <w:r>
        <w:t>spillovers</w:t>
      </w:r>
      <w:proofErr w:type="spellEnd"/>
      <w:r>
        <w:t xml:space="preserve"> from other trade</w:t>
      </w:r>
      <w:r>
        <w:noBreakHyphen/>
        <w:t>exposed Australian firms</w:t>
      </w:r>
      <w:r w:rsidRPr="00D1220D">
        <w:t xml:space="preserve"> </w:t>
      </w:r>
      <w:r w:rsidRPr="00BB13C0">
        <w:rPr>
          <w:rFonts w:ascii="Arial" w:hAnsi="Arial" w:cs="Arial"/>
          <w:szCs w:val="24"/>
        </w:rPr>
        <w:t>(</w:t>
      </w:r>
      <w:proofErr w:type="spellStart"/>
      <w:r w:rsidRPr="00BB13C0">
        <w:rPr>
          <w:rFonts w:ascii="Arial" w:hAnsi="Arial" w:cs="Arial"/>
          <w:szCs w:val="24"/>
        </w:rPr>
        <w:t>Ciuriak</w:t>
      </w:r>
      <w:proofErr w:type="spellEnd"/>
      <w:r w:rsidRPr="00BB13C0">
        <w:rPr>
          <w:rFonts w:ascii="Arial" w:hAnsi="Arial" w:cs="Arial"/>
          <w:szCs w:val="24"/>
        </w:rPr>
        <w:t xml:space="preserve"> 2013, p. 36; Saia, Andrews and </w:t>
      </w:r>
      <w:proofErr w:type="spellStart"/>
      <w:r w:rsidRPr="00BB13C0">
        <w:rPr>
          <w:rFonts w:ascii="Arial" w:hAnsi="Arial" w:cs="Arial"/>
          <w:szCs w:val="24"/>
        </w:rPr>
        <w:t>Albrizio</w:t>
      </w:r>
      <w:proofErr w:type="spellEnd"/>
      <w:r w:rsidRPr="00BB13C0">
        <w:rPr>
          <w:rFonts w:ascii="Arial" w:hAnsi="Arial" w:cs="Arial"/>
          <w:szCs w:val="24"/>
        </w:rPr>
        <w:t> 2015, p. 9)</w:t>
      </w:r>
      <w:r>
        <w:t xml:space="preserve"> and simply inspecting new goods can generate ideas </w:t>
      </w:r>
      <w:r w:rsidRPr="001D63A8">
        <w:rPr>
          <w:rFonts w:ascii="Arial" w:hAnsi="Arial" w:cs="Arial"/>
          <w:szCs w:val="24"/>
        </w:rPr>
        <w:t>(</w:t>
      </w:r>
      <w:proofErr w:type="spellStart"/>
      <w:r w:rsidRPr="001D63A8">
        <w:rPr>
          <w:rFonts w:ascii="Arial" w:hAnsi="Arial" w:cs="Arial"/>
          <w:szCs w:val="24"/>
        </w:rPr>
        <w:t>Kiriyama</w:t>
      </w:r>
      <w:proofErr w:type="spellEnd"/>
      <w:r w:rsidRPr="001D63A8">
        <w:rPr>
          <w:rFonts w:ascii="Arial" w:hAnsi="Arial" w:cs="Arial"/>
          <w:szCs w:val="24"/>
        </w:rPr>
        <w:t> 2012, pp. 9–10)</w:t>
      </w:r>
      <w:r>
        <w:t>. However, firms need to have sufficient ‘absorptive capacity’ to identify and incorporate these ideas and practices into their operations (</w:t>
      </w:r>
      <w:r w:rsidRPr="008474CE">
        <w:t>section 2.3</w:t>
      </w:r>
      <w:r>
        <w:t xml:space="preserve"> and box </w:t>
      </w:r>
      <w:bookmarkStart w:id="55" w:name="_1723983754"/>
      <w:bookmarkStart w:id="56" w:name="_1723989458"/>
      <w:bookmarkStart w:id="57" w:name="_1724049645"/>
      <w:bookmarkEnd w:id="55"/>
      <w:bookmarkEnd w:id="56"/>
      <w:bookmarkEnd w:id="57"/>
      <w:r>
        <w:t>2.</w:t>
      </w:r>
      <w:r w:rsidR="00CC5469">
        <w:t>2</w:t>
      </w:r>
      <w:r>
        <w:t>).</w:t>
      </w:r>
    </w:p>
    <w:p w14:paraId="1D321436" w14:textId="77777777" w:rsidR="00557DD7" w:rsidRDefault="00557DD7" w:rsidP="00557DD7">
      <w:pPr>
        <w:pStyle w:val="Heading3"/>
      </w:pPr>
      <w:r>
        <w:lastRenderedPageBreak/>
        <w:t>Foreign direct investment is an important source of knowledge and expertise for Australian firms</w:t>
      </w:r>
    </w:p>
    <w:p w14:paraId="253E19F6" w14:textId="3A26B93F" w:rsidR="00557DD7" w:rsidRDefault="00557DD7" w:rsidP="00557DD7">
      <w:pPr>
        <w:pStyle w:val="BodyText"/>
      </w:pPr>
      <w:r>
        <w:t>F</w:t>
      </w:r>
      <w:r w:rsidRPr="00462BCF">
        <w:t xml:space="preserve">oreign direct investment (FDI) to Australia is </w:t>
      </w:r>
      <w:r>
        <w:t xml:space="preserve">an </w:t>
      </w:r>
      <w:r w:rsidRPr="00462BCF">
        <w:t xml:space="preserve">important </w:t>
      </w:r>
      <w:r>
        <w:t xml:space="preserve">channel </w:t>
      </w:r>
      <w:r w:rsidRPr="00462BCF">
        <w:t xml:space="preserve">for diffusing technology and innovative practices to firms </w:t>
      </w:r>
      <w:r w:rsidR="00936D73" w:rsidRPr="00936D73">
        <w:rPr>
          <w:rFonts w:ascii="Arial" w:hAnsi="Arial" w:cs="Arial"/>
          <w:szCs w:val="24"/>
        </w:rPr>
        <w:t>(PC 2020c, p. 7)</w:t>
      </w:r>
      <w:r w:rsidRPr="00462BCF">
        <w:t xml:space="preserve">. </w:t>
      </w:r>
      <w:r>
        <w:t>This is because it involves a material level of control and influence</w:t>
      </w:r>
      <w:r w:rsidRPr="00EB6119">
        <w:rPr>
          <w:rStyle w:val="FootnoteReference"/>
        </w:rPr>
        <w:footnoteReference w:id="15"/>
      </w:r>
      <w:r>
        <w:t xml:space="preserve"> by the foreign investor, who provides much more than</w:t>
      </w:r>
      <w:r w:rsidRPr="00462BCF">
        <w:t xml:space="preserve"> </w:t>
      </w:r>
      <w:r>
        <w:t xml:space="preserve">a source of </w:t>
      </w:r>
      <w:r w:rsidRPr="00462BCF">
        <w:t>financial capital</w:t>
      </w:r>
      <w:r>
        <w:t xml:space="preserve"> to firms. FDI</w:t>
      </w:r>
      <w:r w:rsidRPr="00462BCF" w:rsidDel="001976B6">
        <w:t xml:space="preserve"> </w:t>
      </w:r>
      <w:r>
        <w:t>brings expertise, new business models, technologies and processes as well as global connections, which can spread knowledge and good management practices to</w:t>
      </w:r>
      <w:r w:rsidRPr="00462BCF">
        <w:t xml:space="preserve"> </w:t>
      </w:r>
      <w:r>
        <w:t>Australian</w:t>
      </w:r>
      <w:r w:rsidRPr="00462BCF">
        <w:t xml:space="preserve"> firms.</w:t>
      </w:r>
    </w:p>
    <w:p w14:paraId="5A76AAA3" w14:textId="51394047" w:rsidR="00557DD7" w:rsidRPr="00462BCF" w:rsidRDefault="00557DD7" w:rsidP="00557DD7">
      <w:pPr>
        <w:pStyle w:val="BodyText"/>
      </w:pPr>
      <w:r>
        <w:t xml:space="preserve">Majeed and </w:t>
      </w:r>
      <w:proofErr w:type="spellStart"/>
      <w:r>
        <w:t>Breunig</w:t>
      </w:r>
      <w:proofErr w:type="spellEnd"/>
      <w:r>
        <w:t xml:space="preserve"> </w:t>
      </w:r>
      <w:r w:rsidRPr="006D7AF7">
        <w:rPr>
          <w:rFonts w:ascii="Arial" w:hAnsi="Arial" w:cs="Arial"/>
          <w:szCs w:val="24"/>
        </w:rPr>
        <w:t>(2021, pp. 12–13)</w:t>
      </w:r>
      <w:r>
        <w:t xml:space="preserve"> </w:t>
      </w:r>
      <w:r w:rsidRPr="00462BCF">
        <w:t xml:space="preserve">found that for the average Australian firm, foreign ownership was </w:t>
      </w:r>
      <w:r>
        <w:t>nearly as likely to result in the firm</w:t>
      </w:r>
      <w:r w:rsidRPr="00462BCF">
        <w:t xml:space="preserve"> introducing new</w:t>
      </w:r>
      <w:r>
        <w:noBreakHyphen/>
      </w:r>
      <w:r w:rsidRPr="00462BCF">
        <w:t>to</w:t>
      </w:r>
      <w:r>
        <w:noBreakHyphen/>
      </w:r>
      <w:r w:rsidRPr="00462BCF">
        <w:t>Australia and new</w:t>
      </w:r>
      <w:r>
        <w:noBreakHyphen/>
      </w:r>
      <w:r w:rsidRPr="00462BCF">
        <w:t>to</w:t>
      </w:r>
      <w:r>
        <w:noBreakHyphen/>
      </w:r>
      <w:r w:rsidRPr="00462BCF">
        <w:t xml:space="preserve">world innovations </w:t>
      </w:r>
      <w:r>
        <w:t>as</w:t>
      </w:r>
      <w:r w:rsidRPr="00462BCF">
        <w:t xml:space="preserve"> firms conducting their own R&amp;D.</w:t>
      </w:r>
      <w:r>
        <w:t xml:space="preserve"> However, this effect is unlikely to be uniform across firms, with individual firms requiring sufficient absorptive capacity to assimilate and successfully utilise innovative ideas and practices. In this way, the general level of absorptive capacity of the economy will partially determine the attractiveness of Australia as a destination of FDI. There can also be differences in </w:t>
      </w:r>
      <w:proofErr w:type="spellStart"/>
      <w:r>
        <w:t>spillovers</w:t>
      </w:r>
      <w:proofErr w:type="spellEnd"/>
      <w:r>
        <w:t xml:space="preserve"> across industries. For example, </w:t>
      </w:r>
      <w:proofErr w:type="spellStart"/>
      <w:r>
        <w:t>Lesher</w:t>
      </w:r>
      <w:proofErr w:type="spellEnd"/>
      <w:r>
        <w:t xml:space="preserve"> and </w:t>
      </w:r>
      <w:proofErr w:type="spellStart"/>
      <w:r>
        <w:t>Miroudot</w:t>
      </w:r>
      <w:proofErr w:type="spellEnd"/>
      <w:r>
        <w:t xml:space="preserve"> </w:t>
      </w:r>
      <w:r w:rsidRPr="00B70A06">
        <w:rPr>
          <w:rFonts w:ascii="Arial" w:hAnsi="Arial" w:cs="Arial"/>
          <w:szCs w:val="24"/>
        </w:rPr>
        <w:t>(2008, p. 4)</w:t>
      </w:r>
      <w:r>
        <w:t xml:space="preserve"> found that across various sectors in the OECD:</w:t>
      </w:r>
    </w:p>
    <w:p w14:paraId="157D18DE" w14:textId="070434B3" w:rsidR="00557DD7" w:rsidRPr="00462BCF" w:rsidRDefault="00557DD7" w:rsidP="00557DD7">
      <w:pPr>
        <w:pStyle w:val="Quote"/>
      </w:pPr>
      <w:r>
        <w:t xml:space="preserve">computer and related activities, hotels and restaurants, construction, post and telecommunications and other business activities showed strong FDI </w:t>
      </w:r>
      <w:proofErr w:type="spellStart"/>
      <w:r>
        <w:t>spillovers</w:t>
      </w:r>
      <w:proofErr w:type="spellEnd"/>
      <w:r>
        <w:t xml:space="preserve"> via backward linkages (interactions with downstream customers). In addition, FDI</w:t>
      </w:r>
      <w:r w:rsidR="000565F7">
        <w:noBreakHyphen/>
      </w:r>
      <w:r>
        <w:t xml:space="preserve">related </w:t>
      </w:r>
      <w:proofErr w:type="spellStart"/>
      <w:r>
        <w:t>spillovers</w:t>
      </w:r>
      <w:proofErr w:type="spellEnd"/>
      <w:r>
        <w:t xml:space="preserve"> via forward linkages (interactions with upstream suppliers) are found in agriculture, land transport, mining, as well as services sectors such as wholesale and retail trade or other business activities.</w:t>
      </w:r>
    </w:p>
    <w:p w14:paraId="7B2FB477" w14:textId="3DFC2E50" w:rsidR="00557DD7" w:rsidRDefault="00557DD7" w:rsidP="00557DD7">
      <w:pPr>
        <w:pStyle w:val="BodyText"/>
      </w:pPr>
      <w:r w:rsidRPr="00462BCF">
        <w:t xml:space="preserve">FDI </w:t>
      </w:r>
      <w:r>
        <w:t>tends to have</w:t>
      </w:r>
      <w:r w:rsidRPr="00462BCF">
        <w:t xml:space="preserve"> a long</w:t>
      </w:r>
      <w:r>
        <w:noBreakHyphen/>
      </w:r>
      <w:r w:rsidRPr="00462BCF">
        <w:t>term focus and can be considered</w:t>
      </w:r>
      <w:r>
        <w:t xml:space="preserve"> one of</w:t>
      </w:r>
      <w:r w:rsidRPr="00462BCF">
        <w:t xml:space="preserve"> </w:t>
      </w:r>
      <w:r w:rsidR="000565F7">
        <w:t>‘</w:t>
      </w:r>
      <w:r w:rsidRPr="00462BCF">
        <w:t>the most stable forms of capital inflow because it generally involves a substantial commitment from the investor in acquiring business facilities and hiring staff, whereas debt finance and portfolio investment can be recalled relatively quickly</w:t>
      </w:r>
      <w:r w:rsidR="000565F7">
        <w:t>’</w:t>
      </w:r>
      <w:r w:rsidRPr="00462BCF">
        <w:t xml:space="preserve"> (Treasury 2019, p. 63). </w:t>
      </w:r>
      <w:r>
        <w:t>This long</w:t>
      </w:r>
      <w:r>
        <w:noBreakHyphen/>
        <w:t xml:space="preserve">term focus further increases the likelihood of innovation diffusion as it raises the incentive for investors to transfer knowledge and training to recipients. There can also complementarities between imports and FDI. Looking at trade between OECD countries, </w:t>
      </w:r>
      <w:proofErr w:type="spellStart"/>
      <w:r w:rsidRPr="00F45F4B">
        <w:rPr>
          <w:rFonts w:ascii="Arial" w:hAnsi="Arial" w:cs="Arial"/>
          <w:szCs w:val="24"/>
        </w:rPr>
        <w:t>Bournakis</w:t>
      </w:r>
      <w:proofErr w:type="spellEnd"/>
      <w:r w:rsidRPr="00F45F4B">
        <w:rPr>
          <w:rFonts w:ascii="Arial" w:hAnsi="Arial" w:cs="Arial"/>
          <w:szCs w:val="24"/>
        </w:rPr>
        <w:t xml:space="preserve">, </w:t>
      </w:r>
      <w:proofErr w:type="spellStart"/>
      <w:r w:rsidRPr="00F45F4B">
        <w:rPr>
          <w:rFonts w:ascii="Arial" w:hAnsi="Arial" w:cs="Arial"/>
          <w:szCs w:val="24"/>
        </w:rPr>
        <w:t>Christopoulos</w:t>
      </w:r>
      <w:proofErr w:type="spellEnd"/>
      <w:r w:rsidRPr="00F45F4B">
        <w:rPr>
          <w:rFonts w:ascii="Arial" w:hAnsi="Arial" w:cs="Arial"/>
          <w:szCs w:val="24"/>
        </w:rPr>
        <w:t xml:space="preserve"> and Mallick</w:t>
      </w:r>
      <w:r>
        <w:t xml:space="preserve"> </w:t>
      </w:r>
      <w:r w:rsidRPr="00012528">
        <w:rPr>
          <w:rFonts w:ascii="Arial" w:hAnsi="Arial" w:cs="Arial"/>
          <w:szCs w:val="24"/>
        </w:rPr>
        <w:t>(2018, p. 14)</w:t>
      </w:r>
      <w:r>
        <w:t xml:space="preserve"> found evidence for international </w:t>
      </w:r>
      <w:proofErr w:type="spellStart"/>
      <w:r>
        <w:t>spillovers</w:t>
      </w:r>
      <w:proofErr w:type="spellEnd"/>
      <w:r>
        <w:t xml:space="preserve">, concluding that </w:t>
      </w:r>
      <w:r w:rsidR="000565F7">
        <w:t>‘</w:t>
      </w:r>
      <w:r>
        <w:t>imports together with FDI are crucial vehicles for diffusion of foreign knowledge</w:t>
      </w:r>
      <w:r w:rsidR="000565F7">
        <w:t>’</w:t>
      </w:r>
      <w:r>
        <w:t>.</w:t>
      </w:r>
    </w:p>
    <w:p w14:paraId="702B45CB" w14:textId="04B48D17" w:rsidR="00557DD7" w:rsidRDefault="00557DD7" w:rsidP="00557DD7">
      <w:pPr>
        <w:pStyle w:val="BodyText"/>
      </w:pPr>
      <w:r w:rsidRPr="0096429B">
        <w:t xml:space="preserve">Just as international trade </w:t>
      </w:r>
      <w:r>
        <w:t>in capital goods</w:t>
      </w:r>
      <w:r w:rsidRPr="0096429B">
        <w:t xml:space="preserve"> facilitates diffusion from the global frontier via several interrelated channels, FDI can facilitate innovation diffusion to Australian firms via several </w:t>
      </w:r>
      <w:r>
        <w:t xml:space="preserve">interrelated </w:t>
      </w:r>
      <w:r w:rsidRPr="0096429B">
        <w:t>channels</w:t>
      </w:r>
      <w:r>
        <w:t xml:space="preserve">. These include </w:t>
      </w:r>
      <w:r w:rsidRPr="0096429B">
        <w:t>FDI that takes the form of investment in R&amp;D</w:t>
      </w:r>
      <w:r>
        <w:t xml:space="preserve">; </w:t>
      </w:r>
      <w:r w:rsidRPr="0096429B">
        <w:t xml:space="preserve">knowledge </w:t>
      </w:r>
      <w:proofErr w:type="spellStart"/>
      <w:r w:rsidRPr="0096429B">
        <w:t>spillovers</w:t>
      </w:r>
      <w:proofErr w:type="spellEnd"/>
      <w:r w:rsidRPr="0096429B">
        <w:t xml:space="preserve"> from </w:t>
      </w:r>
      <w:r>
        <w:t>multinational corporation</w:t>
      </w:r>
      <w:r w:rsidRPr="0096429B">
        <w:t>s to domestic firms</w:t>
      </w:r>
      <w:r>
        <w:t xml:space="preserve">; and </w:t>
      </w:r>
      <w:proofErr w:type="spellStart"/>
      <w:r>
        <w:t>spillovers</w:t>
      </w:r>
      <w:proofErr w:type="spellEnd"/>
      <w:r>
        <w:t xml:space="preserve"> </w:t>
      </w:r>
      <w:r w:rsidR="00065C66">
        <w:t xml:space="preserve">to </w:t>
      </w:r>
      <w:r w:rsidR="00951699">
        <w:t>competing</w:t>
      </w:r>
      <w:r>
        <w:t xml:space="preserve"> firms</w:t>
      </w:r>
      <w:r w:rsidRPr="0096429B">
        <w:t xml:space="preserve"> </w:t>
      </w:r>
      <w:r w:rsidR="00951699">
        <w:t>in the same industry as those receiving FDI</w:t>
      </w:r>
      <w:r w:rsidRPr="0096429B">
        <w:t xml:space="preserve"> </w:t>
      </w:r>
      <w:r w:rsidR="00936D73" w:rsidRPr="00936D73">
        <w:rPr>
          <w:rFonts w:ascii="Arial" w:hAnsi="Arial" w:cs="Arial"/>
          <w:szCs w:val="24"/>
        </w:rPr>
        <w:t>(</w:t>
      </w:r>
      <w:proofErr w:type="spellStart"/>
      <w:r w:rsidR="00936D73" w:rsidRPr="00936D73">
        <w:rPr>
          <w:rFonts w:ascii="Arial" w:hAnsi="Arial" w:cs="Arial"/>
          <w:szCs w:val="24"/>
        </w:rPr>
        <w:t>Kiriyama</w:t>
      </w:r>
      <w:proofErr w:type="spellEnd"/>
      <w:r w:rsidR="00936D73" w:rsidRPr="00936D73">
        <w:rPr>
          <w:rFonts w:ascii="Arial" w:hAnsi="Arial" w:cs="Arial"/>
          <w:szCs w:val="24"/>
        </w:rPr>
        <w:t> 2012, p. 12; PC 2020c, p. 58)</w:t>
      </w:r>
      <w:r w:rsidRPr="0096429B">
        <w:t>. Given that over 50</w:t>
      </w:r>
      <w:r>
        <w:t> per cent</w:t>
      </w:r>
      <w:r w:rsidRPr="0096429B">
        <w:t xml:space="preserve"> of Australia’s inward FDI comes from advanced economies — the United States, Japan, the Unite</w:t>
      </w:r>
      <w:r>
        <w:t>d</w:t>
      </w:r>
      <w:r w:rsidRPr="0096429B">
        <w:t xml:space="preserve"> Kingdom, the Netherlands and Canada (figure </w:t>
      </w:r>
      <w:bookmarkStart w:id="58" w:name="_1723632677"/>
      <w:bookmarkStart w:id="59" w:name="_1723987456"/>
      <w:bookmarkStart w:id="60" w:name="_1723642525"/>
      <w:bookmarkStart w:id="61" w:name="_1723635335"/>
      <w:bookmarkStart w:id="62" w:name="_1723875708"/>
      <w:bookmarkStart w:id="63" w:name="_1723876811"/>
      <w:bookmarkStart w:id="64" w:name="_1724049651"/>
      <w:bookmarkEnd w:id="58"/>
      <w:bookmarkEnd w:id="59"/>
      <w:bookmarkEnd w:id="60"/>
      <w:bookmarkEnd w:id="61"/>
      <w:bookmarkEnd w:id="62"/>
      <w:bookmarkEnd w:id="63"/>
      <w:bookmarkEnd w:id="64"/>
      <w:r>
        <w:t>2.4</w:t>
      </w:r>
      <w:r w:rsidRPr="0096429B">
        <w:t>) —</w:t>
      </w:r>
      <w:r>
        <w:t xml:space="preserve"> it is likely that</w:t>
      </w:r>
      <w:r w:rsidRPr="0096429B">
        <w:t xml:space="preserve"> </w:t>
      </w:r>
      <w:r>
        <w:t>FDI creates significant opportunities</w:t>
      </w:r>
      <w:r w:rsidRPr="0096429B">
        <w:t xml:space="preserve"> for technology </w:t>
      </w:r>
      <w:proofErr w:type="spellStart"/>
      <w:r w:rsidRPr="0096429B">
        <w:t>spillovers</w:t>
      </w:r>
      <w:proofErr w:type="spellEnd"/>
      <w:r w:rsidRPr="0096429B">
        <w:t>.</w:t>
      </w:r>
    </w:p>
    <w:p w14:paraId="472173A8" w14:textId="03B972AF" w:rsidR="00557DD7" w:rsidRPr="00146382" w:rsidRDefault="00557DD7" w:rsidP="0061514D">
      <w:pPr>
        <w:pStyle w:val="FigureTableHeading"/>
        <w:keepLines/>
      </w:pPr>
      <w:r>
        <w:lastRenderedPageBreak/>
        <w:t xml:space="preserve">Figure </w:t>
      </w:r>
      <w:bookmarkStart w:id="65" w:name="OLE_LINK10"/>
      <w:r>
        <w:rPr>
          <w:noProof/>
        </w:rPr>
        <w:t>2</w:t>
      </w:r>
      <w:r>
        <w:t>.</w:t>
      </w:r>
      <w:r>
        <w:rPr>
          <w:noProof/>
        </w:rPr>
        <w:t>4</w:t>
      </w:r>
      <w:bookmarkEnd w:id="65"/>
      <w:r>
        <w:rPr>
          <w:noProof/>
        </w:rPr>
        <w:t xml:space="preserve"> </w:t>
      </w:r>
      <w:r>
        <w:t>Over $450 billon of Australia’s inward FDI comes from the United States, Japan and the United Kingdom</w:t>
      </w:r>
    </w:p>
    <w:p w14:paraId="695ED80F" w14:textId="49A208E7" w:rsidR="00557DD7" w:rsidRDefault="00557DD7" w:rsidP="0061514D">
      <w:pPr>
        <w:pStyle w:val="Note"/>
        <w:keepNext/>
        <w:keepLines/>
        <w:rPr>
          <w:noProof/>
        </w:rPr>
      </w:pPr>
      <w:r w:rsidRPr="00EC74AE">
        <w:rPr>
          <w:rFonts w:asciiTheme="majorHAnsi" w:hAnsiTheme="majorHAnsi"/>
          <w:iCs/>
          <w:color w:val="58585B"/>
          <w:sz w:val="20"/>
          <w:szCs w:val="18"/>
        </w:rPr>
        <w:t>Australia</w:t>
      </w:r>
      <w:r w:rsidR="000565F7">
        <w:rPr>
          <w:rFonts w:asciiTheme="majorHAnsi" w:hAnsiTheme="majorHAnsi"/>
          <w:iCs/>
          <w:color w:val="58585B"/>
          <w:sz w:val="20"/>
          <w:szCs w:val="18"/>
        </w:rPr>
        <w:t>’</w:t>
      </w:r>
      <w:r w:rsidRPr="00EC74AE">
        <w:rPr>
          <w:rFonts w:asciiTheme="majorHAnsi" w:hAnsiTheme="majorHAnsi"/>
          <w:iCs/>
          <w:color w:val="58585B"/>
          <w:sz w:val="20"/>
          <w:szCs w:val="18"/>
        </w:rPr>
        <w:t>s main sources of foreign direct investment, 2020</w:t>
      </w:r>
    </w:p>
    <w:p w14:paraId="7693A418" w14:textId="77777777" w:rsidR="00557DD7" w:rsidRPr="005C6411" w:rsidRDefault="00557DD7" w:rsidP="0061514D">
      <w:pPr>
        <w:pStyle w:val="Note"/>
        <w:keepNext/>
        <w:keepLines/>
        <w:jc w:val="both"/>
        <w:rPr>
          <w:rStyle w:val="BodyTextChar"/>
        </w:rPr>
      </w:pPr>
      <w:r w:rsidRPr="001316EC">
        <w:rPr>
          <w:noProof/>
        </w:rPr>
        <w:drawing>
          <wp:inline distT="0" distB="0" distL="0" distR="0" wp14:anchorId="5F2C3A02" wp14:editId="59305522">
            <wp:extent cx="6120130" cy="2879725"/>
            <wp:effectExtent l="0" t="0" r="0" b="0"/>
            <wp:docPr id="85" name="Picture 85" descr="This figure shows the countries that are Australia's main sources of foreign direct investment stock in 2020. The US, Japan, and the UK are the three la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figure shows the countries that are Australia's main sources of foreign direct investment stock in 2020. The US, Japan, and the UK are the three largest."/>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120130" cy="2879725"/>
                    </a:xfrm>
                    <a:prstGeom prst="rect">
                      <a:avLst/>
                    </a:prstGeom>
                    <a:noFill/>
                    <a:ln>
                      <a:noFill/>
                    </a:ln>
                  </pic:spPr>
                </pic:pic>
              </a:graphicData>
            </a:graphic>
          </wp:inline>
        </w:drawing>
      </w:r>
    </w:p>
    <w:p w14:paraId="190B1519" w14:textId="0724AB37" w:rsidR="00557DD7" w:rsidRPr="00B363A5" w:rsidRDefault="00557DD7" w:rsidP="00557DD7">
      <w:pPr>
        <w:pStyle w:val="Source"/>
      </w:pPr>
      <w:r w:rsidRPr="00B363A5">
        <w:t>Source: Austrade</w:t>
      </w:r>
      <w:r>
        <w:t xml:space="preserve"> </w:t>
      </w:r>
      <w:r w:rsidRPr="005C5E06">
        <w:rPr>
          <w:rFonts w:ascii="Arial" w:hAnsi="Arial" w:cs="Arial"/>
          <w:szCs w:val="24"/>
        </w:rPr>
        <w:t>(2021d)</w:t>
      </w:r>
      <w:r>
        <w:t>.</w:t>
      </w:r>
    </w:p>
    <w:p w14:paraId="5935149B" w14:textId="77777777" w:rsidR="00557DD7" w:rsidRDefault="00557DD7" w:rsidP="00557DD7">
      <w:pPr>
        <w:pStyle w:val="Heading4"/>
      </w:pPr>
      <w:r>
        <w:t>Investment in R&amp;D</w:t>
      </w:r>
    </w:p>
    <w:p w14:paraId="646464CF" w14:textId="77777777" w:rsidR="00557DD7" w:rsidRDefault="00557DD7" w:rsidP="00557DD7">
      <w:pPr>
        <w:pStyle w:val="BodyText"/>
      </w:pPr>
      <w:r>
        <w:t>F</w:t>
      </w:r>
      <w:r w:rsidRPr="000845A8">
        <w:t xml:space="preserve">oreign investment in R&amp;D can be a channel for diffusing </w:t>
      </w:r>
      <w:r>
        <w:t>innovation</w:t>
      </w:r>
      <w:r w:rsidRPr="000845A8">
        <w:t xml:space="preserve"> from the global frontier </w:t>
      </w:r>
      <w:r>
        <w:t>as it provides a mechanism for innovations to be adapted to the Australian market, as well as transferring skills and knowledge to Australian firms.</w:t>
      </w:r>
    </w:p>
    <w:p w14:paraId="7A7C459E" w14:textId="6510BCD1" w:rsidR="00557DD7" w:rsidRDefault="00557DD7" w:rsidP="00557DD7">
      <w:pPr>
        <w:pStyle w:val="BodyText"/>
      </w:pPr>
      <w:r>
        <w:t xml:space="preserve">R&amp;D can facilitate diffusion of innovation by being a channel for multinational corporation investment to adapt innovations to the Australian market. For example, </w:t>
      </w:r>
      <w:proofErr w:type="spellStart"/>
      <w:r w:rsidRPr="00526CFB">
        <w:t>Neoen</w:t>
      </w:r>
      <w:proofErr w:type="spellEnd"/>
      <w:r>
        <w:t>, which has invested more than A$3 billion in Australian renewables since 2012,</w:t>
      </w:r>
      <w:r w:rsidRPr="00526CFB">
        <w:t xml:space="preserve"> </w:t>
      </w:r>
      <w:r w:rsidR="000565F7">
        <w:t>‘</w:t>
      </w:r>
      <w:r w:rsidRPr="00526CFB">
        <w:t>has also tested and deployed batteries at a large scale and with significant innovation. These projects were undertaken in collaboration with Tesla and network operators</w:t>
      </w:r>
      <w:r w:rsidR="000565F7">
        <w:t>’</w:t>
      </w:r>
      <w:r>
        <w:t xml:space="preserve"> </w:t>
      </w:r>
      <w:r w:rsidRPr="00334E8D">
        <w:rPr>
          <w:rFonts w:ascii="Arial" w:hAnsi="Arial" w:cs="Arial"/>
          <w:szCs w:val="24"/>
        </w:rPr>
        <w:t>(Austrade 2021c)</w:t>
      </w:r>
      <w:r>
        <w:t xml:space="preserve">. Similarly, Accenture has announced it will establish the ‘Accenture Adelaide Hub’, which </w:t>
      </w:r>
      <w:r w:rsidR="000565F7">
        <w:t>‘</w:t>
      </w:r>
      <w:r w:rsidRPr="005F57DE">
        <w:t>will include the development of National Security Operations and Cyber Defence capabilities, new Advanced Technology Centres of Excellence in areas such as Oracle, SAP, Splunk and Salesforce and Intelligent Operations capabilities to develop and deploy advanced analytics and artificial intelligence</w:t>
      </w:r>
      <w:r w:rsidR="000565F7">
        <w:t>’</w:t>
      </w:r>
      <w:r>
        <w:t xml:space="preserve"> </w:t>
      </w:r>
      <w:r w:rsidRPr="00491C9E">
        <w:rPr>
          <w:rFonts w:ascii="Arial" w:hAnsi="Arial" w:cs="Arial"/>
          <w:szCs w:val="24"/>
        </w:rPr>
        <w:t>(DTI 2020)</w:t>
      </w:r>
      <w:r>
        <w:t xml:space="preserve">. Chobani’s increased demand for Australian food inputs such as milk have led it to invest in food innovation programs in Victoria </w:t>
      </w:r>
      <w:r w:rsidRPr="00027B59">
        <w:rPr>
          <w:rFonts w:ascii="Arial" w:hAnsi="Arial" w:cs="Arial"/>
          <w:szCs w:val="24"/>
        </w:rPr>
        <w:t>(</w:t>
      </w:r>
      <w:proofErr w:type="spellStart"/>
      <w:r w:rsidRPr="00027B59">
        <w:rPr>
          <w:rFonts w:ascii="Arial" w:hAnsi="Arial" w:cs="Arial"/>
          <w:szCs w:val="24"/>
        </w:rPr>
        <w:t>Greenblat</w:t>
      </w:r>
      <w:proofErr w:type="spellEnd"/>
      <w:r w:rsidRPr="00027B59">
        <w:rPr>
          <w:rFonts w:ascii="Arial" w:hAnsi="Arial" w:cs="Arial"/>
          <w:szCs w:val="24"/>
        </w:rPr>
        <w:t> 2022)</w:t>
      </w:r>
      <w:r>
        <w:t>. As well as creating novel innovations, these initiatives can serve to diffuse ideas and expertise from abroad to the Australian market.</w:t>
      </w:r>
    </w:p>
    <w:p w14:paraId="0C87B83C" w14:textId="6F78022A" w:rsidR="00557DD7" w:rsidRDefault="00557DD7" w:rsidP="00557DD7">
      <w:pPr>
        <w:pStyle w:val="BodyText"/>
      </w:pPr>
      <w:r>
        <w:t>In 2019</w:t>
      </w:r>
      <w:r w:rsidR="000565F7">
        <w:noBreakHyphen/>
      </w:r>
      <w:r>
        <w:t xml:space="preserve">20 </w:t>
      </w:r>
      <w:r w:rsidR="00CB5A0C">
        <w:t>about</w:t>
      </w:r>
      <w:r>
        <w:t xml:space="preserve"> $351 million invested by businesses in Australian R&amp;D came from overseas, representing </w:t>
      </w:r>
      <w:r w:rsidR="00CB5A0C">
        <w:t>about</w:t>
      </w:r>
      <w:r>
        <w:t xml:space="preserve"> 1.93 per cent of the total spent by businesses on R&amp;D in Australia </w:t>
      </w:r>
      <w:r w:rsidR="00936D73" w:rsidRPr="00936D73">
        <w:rPr>
          <w:rFonts w:ascii="Arial" w:hAnsi="Arial" w:cs="Arial"/>
          <w:szCs w:val="24"/>
        </w:rPr>
        <w:t>(ABS 2021d)</w:t>
      </w:r>
      <w:r>
        <w:t xml:space="preserve">, which is quite low compared </w:t>
      </w:r>
      <w:r w:rsidR="00037118">
        <w:t>with</w:t>
      </w:r>
      <w:r>
        <w:t xml:space="preserve"> the rest of the OECD (figure </w:t>
      </w:r>
      <w:bookmarkStart w:id="66" w:name="_1723633490"/>
      <w:bookmarkStart w:id="67" w:name="_1723987120"/>
      <w:bookmarkStart w:id="68" w:name="_1723989464"/>
      <w:bookmarkStart w:id="69" w:name="_1723642532"/>
      <w:bookmarkStart w:id="70" w:name="_1723635341"/>
      <w:bookmarkStart w:id="71" w:name="_1723875712"/>
      <w:bookmarkStart w:id="72" w:name="_1723876818"/>
      <w:bookmarkStart w:id="73" w:name="_1724049657"/>
      <w:bookmarkEnd w:id="66"/>
      <w:bookmarkEnd w:id="67"/>
      <w:bookmarkEnd w:id="68"/>
      <w:bookmarkEnd w:id="69"/>
      <w:bookmarkEnd w:id="70"/>
      <w:bookmarkEnd w:id="71"/>
      <w:bookmarkEnd w:id="72"/>
      <w:bookmarkEnd w:id="73"/>
      <w:r>
        <w:t>2.5). This suggests that encouraging FDI may increase investment in R&amp;D from overseas sources that bring the potential for innovation diffusion.</w:t>
      </w:r>
    </w:p>
    <w:p w14:paraId="4DB396C2" w14:textId="065961FA" w:rsidR="00557DD7" w:rsidRPr="00146382" w:rsidRDefault="00557DD7" w:rsidP="0061514D">
      <w:pPr>
        <w:pStyle w:val="FigureTableHeading"/>
        <w:keepLines/>
      </w:pPr>
      <w:r>
        <w:lastRenderedPageBreak/>
        <w:t xml:space="preserve">Figure </w:t>
      </w:r>
      <w:bookmarkStart w:id="74" w:name="OLE_LINK12"/>
      <w:r>
        <w:rPr>
          <w:noProof/>
        </w:rPr>
        <w:t>2</w:t>
      </w:r>
      <w:r>
        <w:t>.</w:t>
      </w:r>
      <w:r>
        <w:rPr>
          <w:noProof/>
        </w:rPr>
        <w:t>5</w:t>
      </w:r>
      <w:bookmarkEnd w:id="74"/>
      <w:r>
        <w:rPr>
          <w:noProof/>
        </w:rPr>
        <w:t xml:space="preserve"> </w:t>
      </w:r>
      <w:r>
        <w:t xml:space="preserve">– Compared </w:t>
      </w:r>
      <w:r w:rsidR="00037118">
        <w:t>with</w:t>
      </w:r>
      <w:r>
        <w:t xml:space="preserve"> other OECD economies, relatively little Australian R&amp;D funding comes from </w:t>
      </w:r>
      <w:proofErr w:type="spellStart"/>
      <w:r>
        <w:t>overseas</w:t>
      </w:r>
      <w:r w:rsidRPr="00066CF5">
        <w:rPr>
          <w:vertAlign w:val="superscript"/>
        </w:rPr>
        <w:t>a</w:t>
      </w:r>
      <w:proofErr w:type="spellEnd"/>
    </w:p>
    <w:p w14:paraId="7DAB7CD2" w14:textId="77777777" w:rsidR="00557DD7" w:rsidRDefault="00557DD7" w:rsidP="0061514D">
      <w:pPr>
        <w:pStyle w:val="Note"/>
        <w:keepNext/>
        <w:keepLines/>
      </w:pPr>
      <w:r>
        <w:rPr>
          <w:rFonts w:asciiTheme="majorHAnsi" w:hAnsiTheme="majorHAnsi"/>
          <w:iCs/>
          <w:color w:val="58585B"/>
          <w:sz w:val="20"/>
          <w:szCs w:val="18"/>
        </w:rPr>
        <w:t>B</w:t>
      </w:r>
      <w:r w:rsidRPr="005E262D">
        <w:rPr>
          <w:rFonts w:asciiTheme="majorHAnsi" w:hAnsiTheme="majorHAnsi"/>
          <w:iCs/>
          <w:color w:val="58585B"/>
          <w:sz w:val="20"/>
          <w:szCs w:val="18"/>
        </w:rPr>
        <w:t xml:space="preserve">usiness expenditure on </w:t>
      </w:r>
      <w:r>
        <w:rPr>
          <w:rFonts w:asciiTheme="majorHAnsi" w:hAnsiTheme="majorHAnsi"/>
          <w:iCs/>
          <w:color w:val="58585B"/>
          <w:sz w:val="20"/>
          <w:szCs w:val="18"/>
        </w:rPr>
        <w:t>R&amp;D</w:t>
      </w:r>
      <w:r w:rsidRPr="005E262D">
        <w:rPr>
          <w:rFonts w:asciiTheme="majorHAnsi" w:hAnsiTheme="majorHAnsi"/>
          <w:iCs/>
          <w:color w:val="58585B"/>
          <w:sz w:val="20"/>
          <w:szCs w:val="18"/>
        </w:rPr>
        <w:t xml:space="preserve"> from overseas sources</w:t>
      </w:r>
      <w:r>
        <w:rPr>
          <w:rFonts w:asciiTheme="majorHAnsi" w:hAnsiTheme="majorHAnsi"/>
          <w:iCs/>
          <w:color w:val="58585B"/>
          <w:sz w:val="20"/>
          <w:szCs w:val="18"/>
        </w:rPr>
        <w:t>, OECD 2019</w:t>
      </w:r>
    </w:p>
    <w:p w14:paraId="36E07728" w14:textId="3100D798" w:rsidR="00557DD7" w:rsidRDefault="00E2489B" w:rsidP="0061514D">
      <w:pPr>
        <w:pStyle w:val="Note"/>
        <w:keepNext/>
        <w:keepLines/>
        <w:rPr>
          <w:b/>
          <w:bCs/>
        </w:rPr>
      </w:pPr>
      <w:r w:rsidRPr="00E2489B">
        <w:rPr>
          <w:noProof/>
        </w:rPr>
        <w:drawing>
          <wp:inline distT="0" distB="0" distL="0" distR="0" wp14:anchorId="43017BEE" wp14:editId="641F1EE9">
            <wp:extent cx="6120130" cy="2978785"/>
            <wp:effectExtent l="0" t="0" r="0" b="0"/>
            <wp:docPr id="140" name="Picture 140" descr="This figure shows OECD countries per cent of total business expenditure on research and development from overseas sources in 2019. Australia has the fourth smalles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is figure shows OECD countries per cent of total business expenditure on research and development from overseas sources in 2019. Australia has the fourth smallest share."/>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6120130" cy="2978785"/>
                    </a:xfrm>
                    <a:prstGeom prst="rect">
                      <a:avLst/>
                    </a:prstGeom>
                    <a:noFill/>
                    <a:ln>
                      <a:noFill/>
                    </a:ln>
                  </pic:spPr>
                </pic:pic>
              </a:graphicData>
            </a:graphic>
          </wp:inline>
        </w:drawing>
      </w:r>
    </w:p>
    <w:p w14:paraId="5C47FE8A" w14:textId="77777777" w:rsidR="00557DD7" w:rsidRDefault="00557DD7" w:rsidP="00557DD7">
      <w:pPr>
        <w:pStyle w:val="Note"/>
        <w:keepLines/>
      </w:pPr>
      <w:r w:rsidRPr="00A32B85">
        <w:rPr>
          <w:b/>
          <w:bCs/>
        </w:rPr>
        <w:t>a.</w:t>
      </w:r>
      <w:r>
        <w:t xml:space="preserve"> OECD data: </w:t>
      </w:r>
      <w:r w:rsidRPr="001E01BC">
        <w:t>This table presents research and development (R&amp;D) expenditure statistics performed in the business enterprise sector by industry according to the International Standard Industrial Classification (ISIC) revision 4 and by source of funds (business enterprise, government, other national funds, and funds from the rest of the world)</w:t>
      </w:r>
      <w:r>
        <w:t>.</w:t>
      </w:r>
    </w:p>
    <w:p w14:paraId="50FCD923" w14:textId="3ABEA2E7" w:rsidR="00557DD7" w:rsidRDefault="00557DD7" w:rsidP="00557DD7">
      <w:pPr>
        <w:pStyle w:val="Source"/>
      </w:pPr>
      <w:r w:rsidRPr="00696447">
        <w:t>Source:</w:t>
      </w:r>
      <w:r>
        <w:t xml:space="preserve"> OECD </w:t>
      </w:r>
      <w:r w:rsidRPr="00FE52DB">
        <w:rPr>
          <w:rFonts w:ascii="Arial" w:hAnsi="Arial" w:cs="Arial"/>
        </w:rPr>
        <w:t>(2022a)</w:t>
      </w:r>
      <w:r>
        <w:t>.</w:t>
      </w:r>
    </w:p>
    <w:p w14:paraId="0F22E7DD" w14:textId="77777777" w:rsidR="00557DD7" w:rsidRDefault="00557DD7" w:rsidP="00557DD7">
      <w:pPr>
        <w:pStyle w:val="Heading4"/>
      </w:pPr>
      <w:r>
        <w:t xml:space="preserve">Knowledge </w:t>
      </w:r>
      <w:proofErr w:type="spellStart"/>
      <w:r>
        <w:t>spillovers</w:t>
      </w:r>
      <w:proofErr w:type="spellEnd"/>
    </w:p>
    <w:p w14:paraId="4925BC16" w14:textId="52FD89D7" w:rsidR="00557DD7" w:rsidRDefault="00557DD7" w:rsidP="00557DD7">
      <w:pPr>
        <w:pStyle w:val="BodyText"/>
      </w:pPr>
      <w:r>
        <w:t>Inward FDI leads to interactions between multinational corporations and domestic firms that</w:t>
      </w:r>
      <w:r w:rsidRPr="00F118FD">
        <w:t xml:space="preserve"> </w:t>
      </w:r>
      <w:r>
        <w:t>can</w:t>
      </w:r>
      <w:r w:rsidRPr="00F118FD">
        <w:t xml:space="preserve"> </w:t>
      </w:r>
      <w:r>
        <w:t xml:space="preserve">generate </w:t>
      </w:r>
      <w:proofErr w:type="spellStart"/>
      <w:r w:rsidRPr="00F118FD">
        <w:t>spillovers</w:t>
      </w:r>
      <w:proofErr w:type="spellEnd"/>
      <w:r w:rsidRPr="00F118FD">
        <w:t xml:space="preserve"> </w:t>
      </w:r>
      <w:r>
        <w:t xml:space="preserve">in </w:t>
      </w:r>
      <w:r w:rsidRPr="00F118FD">
        <w:t>domestic supply chains</w:t>
      </w:r>
      <w:r>
        <w:t xml:space="preserve"> — sometimes referred to as </w:t>
      </w:r>
      <w:r w:rsidR="000565F7">
        <w:t>‘</w:t>
      </w:r>
      <w:r>
        <w:t xml:space="preserve">vertical </w:t>
      </w:r>
      <w:proofErr w:type="spellStart"/>
      <w:r>
        <w:t>spillovers</w:t>
      </w:r>
      <w:r w:rsidR="000565F7">
        <w:t>’</w:t>
      </w:r>
      <w:proofErr w:type="spellEnd"/>
      <w:r>
        <w:t xml:space="preserve"> </w:t>
      </w:r>
      <w:r w:rsidRPr="006D7AF7">
        <w:rPr>
          <w:rFonts w:ascii="Arial" w:hAnsi="Arial" w:cs="Arial"/>
          <w:szCs w:val="24"/>
        </w:rPr>
        <w:t>(</w:t>
      </w:r>
      <w:proofErr w:type="spellStart"/>
      <w:r w:rsidRPr="006D7AF7">
        <w:rPr>
          <w:rFonts w:ascii="Arial" w:hAnsi="Arial" w:cs="Arial"/>
          <w:szCs w:val="24"/>
        </w:rPr>
        <w:t>Criscuolo</w:t>
      </w:r>
      <w:proofErr w:type="spellEnd"/>
      <w:r w:rsidRPr="006D7AF7">
        <w:rPr>
          <w:rFonts w:ascii="Arial" w:hAnsi="Arial" w:cs="Arial"/>
          <w:szCs w:val="24"/>
        </w:rPr>
        <w:t xml:space="preserve"> and </w:t>
      </w:r>
      <w:proofErr w:type="spellStart"/>
      <w:r w:rsidRPr="006D7AF7">
        <w:rPr>
          <w:rFonts w:ascii="Arial" w:hAnsi="Arial" w:cs="Arial"/>
          <w:szCs w:val="24"/>
        </w:rPr>
        <w:t>Timmis</w:t>
      </w:r>
      <w:proofErr w:type="spellEnd"/>
      <w:r w:rsidRPr="006D7AF7">
        <w:rPr>
          <w:rFonts w:ascii="Arial" w:hAnsi="Arial" w:cs="Arial"/>
          <w:szCs w:val="24"/>
        </w:rPr>
        <w:t> 2017, pp. 71–72)</w:t>
      </w:r>
      <w:r>
        <w:t xml:space="preserve">. These can include </w:t>
      </w:r>
      <w:proofErr w:type="spellStart"/>
      <w:r>
        <w:t>spillovers</w:t>
      </w:r>
      <w:proofErr w:type="spellEnd"/>
      <w:r>
        <w:t xml:space="preserve"> of technology, innovation, technical know</w:t>
      </w:r>
      <w:r>
        <w:noBreakHyphen/>
        <w:t xml:space="preserve">how and management capability </w:t>
      </w:r>
      <w:r w:rsidR="00936D73" w:rsidRPr="00936D73">
        <w:rPr>
          <w:rFonts w:ascii="Arial" w:hAnsi="Arial" w:cs="Arial"/>
          <w:szCs w:val="24"/>
        </w:rPr>
        <w:t>(PC 2020c, p. 58)</w:t>
      </w:r>
      <w:r w:rsidDel="00997840">
        <w:t xml:space="preserve"> </w:t>
      </w:r>
      <w:r>
        <w:t xml:space="preserve">that lead to improved general productivity for local firms </w:t>
      </w:r>
      <w:r w:rsidRPr="00B8367E">
        <w:rPr>
          <w:rFonts w:ascii="Arial" w:hAnsi="Arial" w:cs="Arial"/>
          <w:szCs w:val="24"/>
        </w:rPr>
        <w:t>(BCA 2010; McKissack and Xu 2016, p. 11; Roy 2016, p. 152)</w:t>
      </w:r>
      <w:r>
        <w:t>. For example, multinational corporations</w:t>
      </w:r>
      <w:r w:rsidRPr="00D1220D">
        <w:t xml:space="preserve"> </w:t>
      </w:r>
      <w:r>
        <w:t>may</w:t>
      </w:r>
      <w:r w:rsidRPr="00D1220D">
        <w:t xml:space="preserve"> demand more or better</w:t>
      </w:r>
      <w:r w:rsidR="00AD28D1">
        <w:noBreakHyphen/>
      </w:r>
      <w:r w:rsidRPr="00D1220D">
        <w:t xml:space="preserve">quality inputs from </w:t>
      </w:r>
      <w:proofErr w:type="gramStart"/>
      <w:r w:rsidRPr="00D1220D">
        <w:t>suppliers</w:t>
      </w:r>
      <w:r>
        <w:t>,</w:t>
      </w:r>
      <w:r w:rsidRPr="00D1220D">
        <w:t xml:space="preserve"> and</w:t>
      </w:r>
      <w:proofErr w:type="gramEnd"/>
      <w:r w:rsidRPr="00D1220D">
        <w:t xml:space="preserve"> may directly share knowledge and technology and encourage the adoption of new practices to achieve this</w:t>
      </w:r>
      <w:r w:rsidR="00D155D4">
        <w:t xml:space="preserve"> (</w:t>
      </w:r>
      <w:r w:rsidR="007A2F0C">
        <w:t>b</w:t>
      </w:r>
      <w:r w:rsidR="00D155D4">
        <w:t>ox</w:t>
      </w:r>
      <w:r w:rsidR="007A2F0C">
        <w:t> 2.1)</w:t>
      </w:r>
      <w:r>
        <w:t>.</w:t>
      </w:r>
    </w:p>
    <w:p w14:paraId="47AD77AD" w14:textId="7BACD468" w:rsidR="00557DD7" w:rsidRDefault="00557DD7" w:rsidP="00557DD7">
      <w:pPr>
        <w:pStyle w:val="BodyText"/>
      </w:pPr>
      <w:r>
        <w:t>FDI can have a direct impact on Australian workers’ skills and knowledge as foreign</w:t>
      </w:r>
      <w:r>
        <w:noBreakHyphen/>
        <w:t xml:space="preserve">owned firms provide formal (such as </w:t>
      </w:r>
      <w:r w:rsidRPr="002A75AF">
        <w:t>seminars</w:t>
      </w:r>
      <w:r>
        <w:t xml:space="preserve"> or courses) and informal (such as on</w:t>
      </w:r>
      <w:r>
        <w:noBreakHyphen/>
        <w:t>the</w:t>
      </w:r>
      <w:r>
        <w:noBreakHyphen/>
        <w:t xml:space="preserve">job) training </w:t>
      </w:r>
      <w:r w:rsidR="00936D73" w:rsidRPr="00936D73">
        <w:rPr>
          <w:rFonts w:ascii="Arial" w:hAnsi="Arial" w:cs="Arial"/>
          <w:szCs w:val="24"/>
        </w:rPr>
        <w:t>(PC 2020c, p. 62)</w:t>
      </w:r>
      <w:r>
        <w:t xml:space="preserve">. In the services industry, </w:t>
      </w:r>
      <w:proofErr w:type="spellStart"/>
      <w:r>
        <w:t>spillovers</w:t>
      </w:r>
      <w:proofErr w:type="spellEnd"/>
      <w:r>
        <w:t xml:space="preserve"> can occur when multinational corporations partner with training providers to improve the training and skills of Australian workers. For example, Homage, a global health tech start</w:t>
      </w:r>
      <w:r>
        <w:noBreakHyphen/>
        <w:t xml:space="preserve">up, has based itself in Melbourne to </w:t>
      </w:r>
      <w:r w:rsidRPr="00781719">
        <w:t xml:space="preserve">explore ways </w:t>
      </w:r>
      <w:r>
        <w:t xml:space="preserve">to </w:t>
      </w:r>
      <w:r w:rsidR="000565F7">
        <w:t>‘</w:t>
      </w:r>
      <w:r w:rsidRPr="00781719">
        <w:t>expand and partner with the local pool of trained and qualified care providers to support our care recipients and operational needs</w:t>
      </w:r>
      <w:r w:rsidR="000565F7">
        <w:t>’</w:t>
      </w:r>
      <w:r>
        <w:t xml:space="preserve"> </w:t>
      </w:r>
      <w:r w:rsidRPr="00996FEE">
        <w:rPr>
          <w:rFonts w:ascii="Arial" w:hAnsi="Arial" w:cs="Arial"/>
          <w:szCs w:val="24"/>
        </w:rPr>
        <w:t>(Invest Victoria 2021)</w:t>
      </w:r>
      <w:r>
        <w:t xml:space="preserve">. </w:t>
      </w:r>
    </w:p>
    <w:p w14:paraId="64D4FFF6" w14:textId="3B80CECC" w:rsidR="00557DD7" w:rsidRDefault="00557DD7" w:rsidP="00557DD7">
      <w:pPr>
        <w:pStyle w:val="BodyText"/>
      </w:pPr>
      <w:bookmarkStart w:id="75" w:name="_Hlk113356477"/>
      <w:r>
        <w:t xml:space="preserve">Innovation diffusion can also occur through horizontal </w:t>
      </w:r>
      <w:proofErr w:type="spellStart"/>
      <w:r>
        <w:t>spillovers</w:t>
      </w:r>
      <w:proofErr w:type="spellEnd"/>
      <w:r>
        <w:t xml:space="preserve">. This is where innovation is transferred to competing firms in the same industry as those receiving FDI. This can occur from local firms </w:t>
      </w:r>
      <w:r w:rsidR="000565F7">
        <w:t>‘</w:t>
      </w:r>
      <w:r>
        <w:t xml:space="preserve">observing foreign firms, or diffusion might occur from </w:t>
      </w:r>
      <w:proofErr w:type="spellStart"/>
      <w:r>
        <w:t>labor</w:t>
      </w:r>
      <w:proofErr w:type="spellEnd"/>
      <w:r>
        <w:t xml:space="preserve"> turnover as domestic employees move from foreign to domestic firms</w:t>
      </w:r>
      <w:r w:rsidR="000565F7">
        <w:t>’</w:t>
      </w:r>
      <w:r>
        <w:t xml:space="preserve"> </w:t>
      </w:r>
      <w:r w:rsidRPr="003B6948">
        <w:rPr>
          <w:rFonts w:ascii="Arial" w:hAnsi="Arial" w:cs="Arial"/>
          <w:szCs w:val="24"/>
        </w:rPr>
        <w:t>(Keller 2021, p. 10)</w:t>
      </w:r>
      <w:r>
        <w:t xml:space="preserve">. A major potential channel for horizontal </w:t>
      </w:r>
      <w:proofErr w:type="spellStart"/>
      <w:r>
        <w:t>spillovers</w:t>
      </w:r>
      <w:proofErr w:type="spellEnd"/>
      <w:r>
        <w:t xml:space="preserve"> is the movement of workers between firms (section</w:t>
      </w:r>
      <w:r w:rsidR="000565F7">
        <w:t> </w:t>
      </w:r>
      <w:r>
        <w:t xml:space="preserve">2.4). </w:t>
      </w:r>
      <w:bookmarkEnd w:id="75"/>
      <w:r>
        <w:t xml:space="preserve">However, empirical evidence of these </w:t>
      </w:r>
      <w:proofErr w:type="spellStart"/>
      <w:r>
        <w:t>spillovers</w:t>
      </w:r>
      <w:proofErr w:type="spellEnd"/>
      <w:r>
        <w:t xml:space="preserve"> is harder to observe </w:t>
      </w:r>
      <w:r w:rsidRPr="0049736B">
        <w:rPr>
          <w:rFonts w:ascii="Arial" w:hAnsi="Arial" w:cs="Arial"/>
          <w:szCs w:val="24"/>
        </w:rPr>
        <w:t>(</w:t>
      </w:r>
      <w:proofErr w:type="spellStart"/>
      <w:r w:rsidRPr="0049736B">
        <w:rPr>
          <w:rFonts w:ascii="Arial" w:hAnsi="Arial" w:cs="Arial"/>
          <w:szCs w:val="24"/>
        </w:rPr>
        <w:t>Gorg</w:t>
      </w:r>
      <w:proofErr w:type="spellEnd"/>
      <w:r w:rsidRPr="0049736B">
        <w:rPr>
          <w:rFonts w:ascii="Arial" w:hAnsi="Arial" w:cs="Arial"/>
          <w:szCs w:val="24"/>
        </w:rPr>
        <w:t xml:space="preserve"> and Greenaway 2004, p. 1; Mistura and </w:t>
      </w:r>
      <w:proofErr w:type="spellStart"/>
      <w:r w:rsidRPr="0049736B">
        <w:rPr>
          <w:rFonts w:ascii="Arial" w:hAnsi="Arial" w:cs="Arial"/>
          <w:szCs w:val="24"/>
        </w:rPr>
        <w:t>Roulet</w:t>
      </w:r>
      <w:proofErr w:type="spellEnd"/>
      <w:r w:rsidRPr="0049736B">
        <w:rPr>
          <w:rFonts w:ascii="Arial" w:hAnsi="Arial" w:cs="Arial"/>
          <w:szCs w:val="24"/>
        </w:rPr>
        <w:t> 2019, pp. 13–14)</w:t>
      </w:r>
      <w:r>
        <w:t xml:space="preserve">, with some studies finding supporting </w:t>
      </w:r>
      <w:r>
        <w:lastRenderedPageBreak/>
        <w:t xml:space="preserve">evidence for horizontal </w:t>
      </w:r>
      <w:proofErr w:type="spellStart"/>
      <w:r>
        <w:t>spillovers</w:t>
      </w:r>
      <w:proofErr w:type="spellEnd"/>
      <w:r>
        <w:t xml:space="preserve"> </w:t>
      </w:r>
      <w:r w:rsidRPr="003538AA">
        <w:rPr>
          <w:rFonts w:ascii="Arial" w:hAnsi="Arial" w:cs="Arial"/>
          <w:szCs w:val="24"/>
        </w:rPr>
        <w:t>(</w:t>
      </w:r>
      <w:proofErr w:type="spellStart"/>
      <w:r w:rsidRPr="003538AA">
        <w:rPr>
          <w:rFonts w:ascii="Arial" w:hAnsi="Arial" w:cs="Arial"/>
          <w:szCs w:val="24"/>
        </w:rPr>
        <w:t>Javorcik</w:t>
      </w:r>
      <w:proofErr w:type="spellEnd"/>
      <w:r w:rsidRPr="003538AA">
        <w:rPr>
          <w:rFonts w:ascii="Arial" w:hAnsi="Arial" w:cs="Arial"/>
          <w:szCs w:val="24"/>
        </w:rPr>
        <w:t xml:space="preserve"> and </w:t>
      </w:r>
      <w:proofErr w:type="spellStart"/>
      <w:r w:rsidRPr="003538AA">
        <w:rPr>
          <w:rFonts w:ascii="Arial" w:hAnsi="Arial" w:cs="Arial"/>
          <w:szCs w:val="24"/>
        </w:rPr>
        <w:t>Spatareanu</w:t>
      </w:r>
      <w:proofErr w:type="spellEnd"/>
      <w:r w:rsidRPr="003538AA">
        <w:rPr>
          <w:rFonts w:ascii="Arial" w:hAnsi="Arial" w:cs="Arial"/>
          <w:szCs w:val="24"/>
        </w:rPr>
        <w:t> 2008, pp. 12–15)</w:t>
      </w:r>
      <w:r>
        <w:t xml:space="preserve"> and some finding no evidence </w:t>
      </w:r>
      <w:r w:rsidRPr="000B64CA">
        <w:rPr>
          <w:rFonts w:ascii="Arial" w:hAnsi="Arial" w:cs="Arial"/>
          <w:szCs w:val="24"/>
        </w:rPr>
        <w:t>(</w:t>
      </w:r>
      <w:proofErr w:type="spellStart"/>
      <w:r w:rsidRPr="000B64CA">
        <w:rPr>
          <w:rFonts w:ascii="Arial" w:hAnsi="Arial" w:cs="Arial"/>
          <w:szCs w:val="24"/>
        </w:rPr>
        <w:t>Javorcik</w:t>
      </w:r>
      <w:proofErr w:type="spellEnd"/>
      <w:r w:rsidRPr="000B64CA">
        <w:rPr>
          <w:rFonts w:ascii="Arial" w:hAnsi="Arial" w:cs="Arial"/>
          <w:szCs w:val="24"/>
        </w:rPr>
        <w:t> 2004, pp. 13–17; Newman et al. 2015, pp. 179–184)</w:t>
      </w:r>
      <w:r>
        <w:t>.</w:t>
      </w:r>
    </w:p>
    <w:p w14:paraId="578A2BB2" w14:textId="77777777" w:rsidR="00E2489B" w:rsidRPr="00F82BD9" w:rsidRDefault="00E2489B" w:rsidP="00E2489B">
      <w:pPr>
        <w:pStyle w:val="NoSpacing"/>
      </w:pPr>
    </w:p>
    <w:tbl>
      <w:tblPr>
        <w:tblStyle w:val="Boxtable"/>
        <w:tblW w:w="5000" w:type="pct"/>
        <w:tblLook w:val="04A0" w:firstRow="1" w:lastRow="0" w:firstColumn="1" w:lastColumn="0" w:noHBand="0" w:noVBand="1"/>
      </w:tblPr>
      <w:tblGrid>
        <w:gridCol w:w="9638"/>
      </w:tblGrid>
      <w:tr w:rsidR="00557DD7" w14:paraId="0D4E4C94" w14:textId="77777777" w:rsidTr="00C426E9">
        <w:trPr>
          <w:tblHeader/>
        </w:trPr>
        <w:tc>
          <w:tcPr>
            <w:tcW w:w="9638" w:type="dxa"/>
            <w:tcMar>
              <w:top w:w="170" w:type="dxa"/>
              <w:left w:w="170" w:type="dxa"/>
              <w:bottom w:w="113" w:type="dxa"/>
              <w:right w:w="170" w:type="dxa"/>
            </w:tcMar>
            <w:hideMark/>
          </w:tcPr>
          <w:p w14:paraId="5A6C7195" w14:textId="3178E69D" w:rsidR="00557DD7" w:rsidRDefault="00557DD7" w:rsidP="00C426E9">
            <w:pPr>
              <w:pStyle w:val="BoxHeading1"/>
            </w:pPr>
            <w:r>
              <w:t xml:space="preserve">Box </w:t>
            </w:r>
            <w:bookmarkStart w:id="76" w:name="OLE_LINK23"/>
            <w:r>
              <w:rPr>
                <w:noProof/>
              </w:rPr>
              <w:t>2</w:t>
            </w:r>
            <w:r>
              <w:t>.</w:t>
            </w:r>
            <w:r>
              <w:rPr>
                <w:noProof/>
              </w:rPr>
              <w:t>1</w:t>
            </w:r>
            <w:bookmarkEnd w:id="76"/>
            <w:r>
              <w:t xml:space="preserve"> – </w:t>
            </w:r>
            <w:r w:rsidRPr="003135C9">
              <w:t xml:space="preserve">Examples of FDI that potentially yielded broader </w:t>
            </w:r>
            <w:proofErr w:type="spellStart"/>
            <w:r w:rsidRPr="003135C9">
              <w:t>spillovers</w:t>
            </w:r>
            <w:proofErr w:type="spellEnd"/>
          </w:p>
        </w:tc>
      </w:tr>
      <w:tr w:rsidR="00557DD7" w14:paraId="6BE21CCF" w14:textId="77777777" w:rsidTr="00C426E9">
        <w:tc>
          <w:tcPr>
            <w:tcW w:w="9638" w:type="dxa"/>
            <w:tcMar>
              <w:top w:w="28" w:type="dxa"/>
              <w:left w:w="170" w:type="dxa"/>
              <w:bottom w:w="170" w:type="dxa"/>
              <w:right w:w="170" w:type="dxa"/>
            </w:tcMar>
            <w:hideMark/>
          </w:tcPr>
          <w:p w14:paraId="0FDC8F61" w14:textId="77777777" w:rsidR="00557DD7" w:rsidRDefault="00557DD7" w:rsidP="00C426E9">
            <w:pPr>
              <w:pStyle w:val="BodyText"/>
            </w:pPr>
            <w:r>
              <w:t xml:space="preserve">Foreign investment creates potential channels for knowledge </w:t>
            </w:r>
            <w:proofErr w:type="spellStart"/>
            <w:r>
              <w:t>spillovers</w:t>
            </w:r>
            <w:proofErr w:type="spellEnd"/>
            <w:r>
              <w:t>, such as:</w:t>
            </w:r>
          </w:p>
          <w:p w14:paraId="1B7525E7" w14:textId="77777777" w:rsidR="00557DD7" w:rsidRDefault="00557DD7" w:rsidP="001A1DD7">
            <w:pPr>
              <w:pStyle w:val="ListBullet"/>
            </w:pPr>
            <w:proofErr w:type="spellStart"/>
            <w:r>
              <w:t>Spillovers</w:t>
            </w:r>
            <w:proofErr w:type="spellEnd"/>
            <w:r>
              <w:t xml:space="preserve"> from multinational corporations’ FDI that creates hubs and networks for local firms</w:t>
            </w:r>
          </w:p>
          <w:p w14:paraId="783BC217" w14:textId="05D551FF" w:rsidR="00557DD7" w:rsidRPr="00F74C70" w:rsidRDefault="00557DD7" w:rsidP="00C426E9">
            <w:pPr>
              <w:pStyle w:val="ListBullet2"/>
            </w:pPr>
            <w:r>
              <w:t xml:space="preserve">In November 2021 Google announced the investment of A$1 billion over 5 years in the </w:t>
            </w:r>
            <w:r w:rsidRPr="00C86447">
              <w:t>Digital Future Initiative</w:t>
            </w:r>
            <w:r>
              <w:t xml:space="preserve"> that includes the establishing of a Sydney based research hub employing local researchers </w:t>
            </w:r>
            <w:r w:rsidRPr="00027669">
              <w:rPr>
                <w:rFonts w:cs="Arial"/>
                <w:szCs w:val="24"/>
              </w:rPr>
              <w:t>(Chung 2022)</w:t>
            </w:r>
          </w:p>
          <w:p w14:paraId="2791EEE2" w14:textId="4C66C7D8" w:rsidR="00557DD7" w:rsidRPr="00F74C70" w:rsidRDefault="00557DD7" w:rsidP="00C426E9">
            <w:pPr>
              <w:pStyle w:val="ListBullet2"/>
            </w:pPr>
            <w:r>
              <w:t xml:space="preserve">GE Additive, a subsidiary of GE, has partnered with the University of Sydney to </w:t>
            </w:r>
            <w:r w:rsidR="000565F7">
              <w:t>‘</w:t>
            </w:r>
            <w:r w:rsidRPr="004A384D">
              <w:t>establish</w:t>
            </w:r>
            <w:r>
              <w:t xml:space="preserve"> capabilities in </w:t>
            </w:r>
            <w:r w:rsidRPr="00AC3896">
              <w:t>metal additive manufacturing technology</w:t>
            </w:r>
            <w:r w:rsidRPr="004A384D">
              <w:t xml:space="preserve"> at the Sydney Manufacturing Hub, a space for training specialists and academics working in additive manufacturing, and the incubation of small to medium manufacturing enterprises</w:t>
            </w:r>
            <w:r w:rsidR="000565F7">
              <w:t>’</w:t>
            </w:r>
            <w:r>
              <w:t xml:space="preserve"> </w:t>
            </w:r>
            <w:r w:rsidRPr="0063354C">
              <w:rPr>
                <w:rFonts w:cs="Arial"/>
                <w:szCs w:val="24"/>
              </w:rPr>
              <w:t>(University of Sydney 2020)</w:t>
            </w:r>
            <w:r w:rsidR="00E559A1">
              <w:t>.</w:t>
            </w:r>
          </w:p>
          <w:p w14:paraId="248617C4" w14:textId="60527AC6" w:rsidR="00557DD7" w:rsidRDefault="00557DD7" w:rsidP="001A1DD7">
            <w:pPr>
              <w:pStyle w:val="ListBullet"/>
            </w:pPr>
            <w:proofErr w:type="spellStart"/>
            <w:r>
              <w:t>Spillovers</w:t>
            </w:r>
            <w:proofErr w:type="spellEnd"/>
            <w:r>
              <w:t xml:space="preserve"> from multinational corporations s</w:t>
            </w:r>
            <w:r w:rsidRPr="00F74C70">
              <w:t>haring capital goods, infrastructure and expertise</w:t>
            </w:r>
            <w:r w:rsidR="00E559A1">
              <w:t>:</w:t>
            </w:r>
          </w:p>
          <w:p w14:paraId="474A6E81" w14:textId="6F6414E7" w:rsidR="00557DD7" w:rsidRPr="00F74C70" w:rsidRDefault="00557DD7" w:rsidP="00C426E9">
            <w:pPr>
              <w:pStyle w:val="ListBullet2"/>
            </w:pPr>
            <w:r w:rsidRPr="00F74C70">
              <w:t>Mitsubishi Heavy Industries has invested in Australian Green Hydrogen and Green Ammonia projects</w:t>
            </w:r>
            <w:r>
              <w:t xml:space="preserve"> </w:t>
            </w:r>
            <w:r w:rsidRPr="006F5DD0">
              <w:rPr>
                <w:rFonts w:cs="Arial"/>
                <w:szCs w:val="24"/>
              </w:rPr>
              <w:t>(MHI 2020)</w:t>
            </w:r>
            <w:r w:rsidR="00E559A1">
              <w:t>.</w:t>
            </w:r>
          </w:p>
          <w:p w14:paraId="0D7E1C77" w14:textId="77777777" w:rsidR="00557DD7" w:rsidRDefault="00557DD7" w:rsidP="001A1DD7">
            <w:pPr>
              <w:pStyle w:val="ListBullet"/>
            </w:pPr>
            <w:proofErr w:type="spellStart"/>
            <w:r>
              <w:t>Spillovers</w:t>
            </w:r>
            <w:proofErr w:type="spellEnd"/>
            <w:r>
              <w:t xml:space="preserve"> from multinational corporation investment in R&amp;D</w:t>
            </w:r>
          </w:p>
          <w:p w14:paraId="3A16AD4A" w14:textId="4E73068A" w:rsidR="00557DD7" w:rsidRPr="00EC4A29" w:rsidRDefault="00557DD7" w:rsidP="00C426E9">
            <w:pPr>
              <w:pStyle w:val="ListBullet2"/>
              <w:rPr>
                <w:spacing w:val="-4"/>
              </w:rPr>
            </w:pPr>
            <w:r w:rsidRPr="00EC4A29">
              <w:rPr>
                <w:spacing w:val="-4"/>
              </w:rPr>
              <w:t xml:space="preserve">Boston Consulting Group’s 2021 list of top 50 most innovative corporations contained 48 businesses that operate in Australia </w:t>
            </w:r>
            <w:r w:rsidRPr="00EC4A29">
              <w:rPr>
                <w:rFonts w:cs="Arial"/>
                <w:spacing w:val="-4"/>
                <w:szCs w:val="24"/>
              </w:rPr>
              <w:t>(Austrade 2021a)</w:t>
            </w:r>
            <w:r w:rsidRPr="00EC4A29">
              <w:rPr>
                <w:spacing w:val="-4"/>
              </w:rPr>
              <w:t xml:space="preserve">. These partnerships are likely to generate innovation </w:t>
            </w:r>
            <w:proofErr w:type="spellStart"/>
            <w:r w:rsidRPr="00EC4A29">
              <w:rPr>
                <w:spacing w:val="-4"/>
              </w:rPr>
              <w:t>spillovers</w:t>
            </w:r>
            <w:proofErr w:type="spellEnd"/>
            <w:r w:rsidRPr="00EC4A29">
              <w:rPr>
                <w:spacing w:val="-4"/>
              </w:rPr>
              <w:t xml:space="preserve"> among Australian firms by combining the larger firm’s innovative capacity with these suppliers</w:t>
            </w:r>
          </w:p>
          <w:p w14:paraId="1302C23B" w14:textId="5B61A8BE" w:rsidR="00557DD7" w:rsidRDefault="00557DD7" w:rsidP="00C426E9">
            <w:pPr>
              <w:pStyle w:val="ListBullet2"/>
            </w:pPr>
            <w:r>
              <w:t>IP group (UK</w:t>
            </w:r>
            <w:r>
              <w:noBreakHyphen/>
              <w:t xml:space="preserve">based) and the </w:t>
            </w:r>
            <w:r w:rsidRPr="005E6C15">
              <w:t xml:space="preserve">Clean Energy Finance Corporation </w:t>
            </w:r>
            <w:r>
              <w:t xml:space="preserve">have </w:t>
            </w:r>
            <w:r w:rsidR="000565F7">
              <w:t>‘</w:t>
            </w:r>
            <w:r w:rsidRPr="005E6C15">
              <w:t xml:space="preserve">invested in </w:t>
            </w:r>
            <w:proofErr w:type="spellStart"/>
            <w:r w:rsidRPr="005E6C15">
              <w:t>Hysata</w:t>
            </w:r>
            <w:proofErr w:type="spellEnd"/>
            <w:r w:rsidR="000565F7">
              <w:t xml:space="preserve"> </w:t>
            </w:r>
            <w:r>
              <w:t>…</w:t>
            </w:r>
            <w:r w:rsidR="000565F7">
              <w:t xml:space="preserve"> </w:t>
            </w:r>
            <w:r>
              <w:t xml:space="preserve">[whose] </w:t>
            </w:r>
            <w:r w:rsidRPr="00F6143B">
              <w:t>advanced electrolyser technology has the potential to significantly improve the efficiency of hydrogen production</w:t>
            </w:r>
            <w:r w:rsidR="000565F7">
              <w:t>’</w:t>
            </w:r>
            <w:r>
              <w:t xml:space="preserve"> </w:t>
            </w:r>
            <w:r w:rsidRPr="00A15624">
              <w:rPr>
                <w:rFonts w:cs="Arial"/>
                <w:szCs w:val="24"/>
              </w:rPr>
              <w:t>(Austrade 2021b</w:t>
            </w:r>
            <w:r w:rsidRPr="00FD540F">
              <w:rPr>
                <w:rFonts w:cs="Arial"/>
                <w:szCs w:val="24"/>
              </w:rPr>
              <w:t>)</w:t>
            </w:r>
            <w:r>
              <w:t>.</w:t>
            </w:r>
          </w:p>
        </w:tc>
      </w:tr>
      <w:tr w:rsidR="00557DD7" w14:paraId="087F6004" w14:textId="77777777" w:rsidTr="00C426E9">
        <w:trPr>
          <w:hidden/>
        </w:trPr>
        <w:tc>
          <w:tcPr>
            <w:tcW w:w="9638" w:type="dxa"/>
            <w:shd w:val="clear" w:color="auto" w:fill="auto"/>
            <w:tcMar>
              <w:top w:w="0" w:type="dxa"/>
              <w:left w:w="170" w:type="dxa"/>
              <w:bottom w:w="0" w:type="dxa"/>
              <w:right w:w="170" w:type="dxa"/>
            </w:tcMar>
          </w:tcPr>
          <w:p w14:paraId="5C78270F" w14:textId="223E6EEA" w:rsidR="00557DD7" w:rsidRPr="00465191" w:rsidRDefault="00557DD7" w:rsidP="00C426E9">
            <w:pPr>
              <w:pStyle w:val="BodyText"/>
              <w:spacing w:before="0" w:after="0" w:line="80" w:lineRule="atLeast"/>
              <w:rPr>
                <w:smallCaps/>
                <w:vanish/>
              </w:rPr>
            </w:pPr>
          </w:p>
        </w:tc>
      </w:tr>
    </w:tbl>
    <w:p w14:paraId="19932CB5" w14:textId="77777777" w:rsidR="00557DD7" w:rsidRDefault="00557DD7" w:rsidP="00557DD7">
      <w:pPr>
        <w:pStyle w:val="Heading4"/>
      </w:pPr>
      <w:r>
        <w:t>Government has a role to play in FDI regulation</w:t>
      </w:r>
    </w:p>
    <w:p w14:paraId="3E26D885" w14:textId="12A6A06F" w:rsidR="00557DD7" w:rsidRDefault="00557DD7" w:rsidP="00557DD7">
      <w:pPr>
        <w:pStyle w:val="BodyText"/>
      </w:pPr>
      <w:r>
        <w:t>The Australian government has an important role to play in this area by keeping barriers to FDI low. In one sense, Australia has traditionally been very open to foreign investment, with relatively high FDI as a share of the economy. On the other hand, Australia’s foreign investment approvals process is seen to impose more significant screening processes than other OECD economies (figure </w:t>
      </w:r>
      <w:bookmarkStart w:id="77" w:name="_1723987463"/>
      <w:bookmarkStart w:id="78" w:name="_1723642540"/>
      <w:bookmarkStart w:id="79" w:name="_1723875715"/>
      <w:bookmarkStart w:id="80" w:name="_1723876826"/>
      <w:bookmarkStart w:id="81" w:name="_1724049663"/>
      <w:bookmarkEnd w:id="77"/>
      <w:bookmarkEnd w:id="78"/>
      <w:bookmarkEnd w:id="79"/>
      <w:bookmarkEnd w:id="80"/>
      <w:bookmarkEnd w:id="81"/>
      <w:r>
        <w:t xml:space="preserve">2.6) </w:t>
      </w:r>
      <w:r w:rsidRPr="00D277B5">
        <w:rPr>
          <w:rFonts w:ascii="Arial" w:hAnsi="Arial" w:cs="Arial"/>
          <w:szCs w:val="24"/>
        </w:rPr>
        <w:t>(IMF 2021, p. 22)</w:t>
      </w:r>
      <w:r>
        <w:t>. These screening processes have been tightened in recent years for a range of reasons, including during COVID</w:t>
      </w:r>
      <w:r w:rsidR="000565F7">
        <w:noBreakHyphen/>
      </w:r>
      <w:r>
        <w:t>19. These restrictions arguably create an additional burden — in time, compliance cost and uncertainty — to potentially desirable investments.</w:t>
      </w:r>
    </w:p>
    <w:p w14:paraId="734D4C11" w14:textId="44333BCF" w:rsidR="00557DD7" w:rsidRPr="00146382" w:rsidRDefault="00557DD7" w:rsidP="00557DD7">
      <w:pPr>
        <w:pStyle w:val="FigureTableHeading"/>
      </w:pPr>
      <w:r>
        <w:lastRenderedPageBreak/>
        <w:t xml:space="preserve">Figure </w:t>
      </w:r>
      <w:bookmarkStart w:id="82" w:name="OLE_LINK3"/>
      <w:r>
        <w:rPr>
          <w:noProof/>
        </w:rPr>
        <w:t>2</w:t>
      </w:r>
      <w:r>
        <w:t>.</w:t>
      </w:r>
      <w:r>
        <w:rPr>
          <w:noProof/>
        </w:rPr>
        <w:t>6</w:t>
      </w:r>
      <w:bookmarkEnd w:id="82"/>
      <w:r>
        <w:rPr>
          <w:noProof/>
        </w:rPr>
        <w:t xml:space="preserve"> </w:t>
      </w:r>
      <w:r>
        <w:t xml:space="preserve">– </w:t>
      </w:r>
      <w:r w:rsidRPr="00ED2DA6">
        <w:t xml:space="preserve">Australia’s FDI restrictions are mostly screening and </w:t>
      </w:r>
      <w:proofErr w:type="spellStart"/>
      <w:r w:rsidRPr="00ED2DA6">
        <w:t>approval</w:t>
      </w:r>
      <w:r w:rsidRPr="00066CF5">
        <w:rPr>
          <w:vertAlign w:val="superscript"/>
        </w:rPr>
        <w:t>a</w:t>
      </w:r>
      <w:proofErr w:type="spellEnd"/>
    </w:p>
    <w:p w14:paraId="776C1BA3" w14:textId="77777777" w:rsidR="00557DD7" w:rsidRDefault="00557DD7" w:rsidP="00557DD7">
      <w:pPr>
        <w:pStyle w:val="FigureTableSubheading"/>
        <w:keepLines/>
      </w:pPr>
      <w:r>
        <w:t>OECD FDI Regulatory Restrictiveness Index, 2020</w:t>
      </w:r>
    </w:p>
    <w:p w14:paraId="096D38F9" w14:textId="571C4650" w:rsidR="00557DD7" w:rsidRDefault="00870916" w:rsidP="00C00AE6">
      <w:pPr>
        <w:pStyle w:val="BodyText"/>
      </w:pPr>
      <w:r w:rsidRPr="00870916">
        <w:rPr>
          <w:noProof/>
        </w:rPr>
        <w:drawing>
          <wp:inline distT="0" distB="0" distL="0" distR="0" wp14:anchorId="2E49B2E4" wp14:editId="291C61FA">
            <wp:extent cx="6120130" cy="2978785"/>
            <wp:effectExtent l="0" t="0" r="0" b="0"/>
            <wp:docPr id="138" name="Picture 138" descr="This figure shows the OECD foreign direct investment Regulatory Restrictiveness Index in 2020, broken down by types of restrictions. Australia is the ninth most restrictive economy, with most of our restrictiveness coming from screening and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his figure shows the OECD foreign direct investment Regulatory Restrictiveness Index in 2020, broken down by types of restrictions. Australia is the ninth most restrictive economy, with most of our restrictiveness coming from screening and approval. ​"/>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6120130" cy="2978785"/>
                    </a:xfrm>
                    <a:prstGeom prst="rect">
                      <a:avLst/>
                    </a:prstGeom>
                    <a:noFill/>
                    <a:ln>
                      <a:noFill/>
                    </a:ln>
                  </pic:spPr>
                </pic:pic>
              </a:graphicData>
            </a:graphic>
          </wp:inline>
        </w:drawing>
      </w:r>
    </w:p>
    <w:p w14:paraId="3E2F6C91" w14:textId="77777777" w:rsidR="00557DD7" w:rsidRDefault="00557DD7" w:rsidP="00557DD7">
      <w:pPr>
        <w:pStyle w:val="Note"/>
        <w:keepLines/>
      </w:pPr>
      <w:r w:rsidRPr="00180E66">
        <w:rPr>
          <w:b/>
          <w:bCs/>
        </w:rPr>
        <w:t>a.</w:t>
      </w:r>
      <w:r>
        <w:t xml:space="preserve"> </w:t>
      </w:r>
      <w:r w:rsidRPr="007B69E4">
        <w:t>Scores range from 0 (open) to 1 (closed)</w:t>
      </w:r>
      <w:r w:rsidDel="00ED2DA6">
        <w:t>.</w:t>
      </w:r>
    </w:p>
    <w:p w14:paraId="3C64D4C9" w14:textId="43E8CC20" w:rsidR="00557DD7" w:rsidRDefault="00557DD7" w:rsidP="00557DD7">
      <w:pPr>
        <w:pStyle w:val="Source"/>
      </w:pPr>
      <w:r w:rsidRPr="00696447">
        <w:t>Source:</w:t>
      </w:r>
      <w:r>
        <w:t xml:space="preserve"> OECD </w:t>
      </w:r>
      <w:r w:rsidRPr="005C5E06">
        <w:rPr>
          <w:rFonts w:ascii="Arial" w:hAnsi="Arial" w:cs="Arial"/>
          <w:szCs w:val="24"/>
        </w:rPr>
        <w:t>(2022c)</w:t>
      </w:r>
      <w:r>
        <w:t>.</w:t>
      </w:r>
    </w:p>
    <w:p w14:paraId="03440242" w14:textId="77777777" w:rsidR="00557DD7" w:rsidRDefault="00557DD7" w:rsidP="00557DD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2FC14D2C" w14:textId="77777777" w:rsidTr="00C426E9">
        <w:trPr>
          <w:trHeight w:val="765"/>
          <w:tblHeader/>
        </w:trPr>
        <w:tc>
          <w:tcPr>
            <w:tcW w:w="366" w:type="pct"/>
            <w:tcBorders>
              <w:bottom w:val="nil"/>
            </w:tcBorders>
            <w:tcMar>
              <w:bottom w:w="0" w:type="dxa"/>
            </w:tcMar>
            <w:vAlign w:val="center"/>
          </w:tcPr>
          <w:p w14:paraId="63174C48" w14:textId="77777777" w:rsidR="00557DD7" w:rsidRDefault="00557DD7" w:rsidP="00C426E9">
            <w:pPr>
              <w:pStyle w:val="NoSpacing"/>
              <w:keepLines/>
              <w:jc w:val="right"/>
            </w:pPr>
            <w:r w:rsidRPr="00A51374">
              <w:rPr>
                <w:noProof/>
              </w:rPr>
              <w:drawing>
                <wp:inline distT="0" distB="0" distL="0" distR="0" wp14:anchorId="4A51317B" wp14:editId="27E405A4">
                  <wp:extent cx="288000" cy="288000"/>
                  <wp:effectExtent l="0" t="0" r="0" b="0"/>
                  <wp:docPr id="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D649BE" w14:textId="6BD23439" w:rsidR="00557DD7" w:rsidRPr="00A4395A" w:rsidRDefault="00557DD7" w:rsidP="00C426E9">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2</w:t>
            </w:r>
          </w:p>
          <w:p w14:paraId="2AD7B180" w14:textId="77777777" w:rsidR="00557DD7" w:rsidRDefault="00557DD7" w:rsidP="00C426E9">
            <w:pPr>
              <w:pStyle w:val="TableHeading"/>
              <w:keepLines/>
              <w:spacing w:before="60" w:after="120"/>
              <w:contextualSpacing/>
            </w:pPr>
            <w:r w:rsidRPr="00996EAE">
              <w:t>Trade and FDI as channels for diffusing knowledge and technologies</w:t>
            </w:r>
          </w:p>
        </w:tc>
      </w:tr>
      <w:tr w:rsidR="00557DD7" w14:paraId="7B8FB319" w14:textId="77777777" w:rsidTr="00C426E9">
        <w:tc>
          <w:tcPr>
            <w:tcW w:w="5000" w:type="pct"/>
            <w:gridSpan w:val="2"/>
            <w:tcBorders>
              <w:top w:val="nil"/>
              <w:bottom w:val="single" w:sz="4" w:space="0" w:color="66BCDB" w:themeColor="text2"/>
            </w:tcBorders>
          </w:tcPr>
          <w:p w14:paraId="25BA6A60" w14:textId="7263456A" w:rsidR="00557DD7" w:rsidRDefault="00557DD7" w:rsidP="00C426E9">
            <w:pPr>
              <w:pStyle w:val="BodyText"/>
              <w:keepLines/>
            </w:pPr>
            <w:r w:rsidRPr="007C34CB">
              <w:t xml:space="preserve">Trade and FDI are critical channels for diffusing knowledge and technologies developed overseas to Australian firms. </w:t>
            </w:r>
            <w:r>
              <w:t>While</w:t>
            </w:r>
            <w:r w:rsidRPr="007C34CB">
              <w:t xml:space="preserve"> Australia</w:t>
            </w:r>
            <w:r>
              <w:t xml:space="preserve"> is very open to foreign investment</w:t>
            </w:r>
            <w:r w:rsidR="00253720">
              <w:t>,</w:t>
            </w:r>
            <w:r>
              <w:t xml:space="preserve"> with relatively high FDI as a share of the economy, its</w:t>
            </w:r>
            <w:r w:rsidRPr="007C34CB">
              <w:t xml:space="preserve"> FDI screening and approval processes are </w:t>
            </w:r>
            <w:r>
              <w:t>viewed as</w:t>
            </w:r>
            <w:r w:rsidRPr="007C34CB">
              <w:t xml:space="preserve"> more restrictive than in other OECD countries</w:t>
            </w:r>
            <w:r>
              <w:t>. Ensuring FDI screening and approval processes and costs are commensurate with national security risks is important to maintain this channel for diffusion.</w:t>
            </w:r>
          </w:p>
        </w:tc>
      </w:tr>
      <w:tr w:rsidR="00557DD7" w14:paraId="12654895" w14:textId="77777777" w:rsidTr="00C426E9">
        <w:tc>
          <w:tcPr>
            <w:tcW w:w="5000" w:type="pct"/>
            <w:gridSpan w:val="2"/>
            <w:tcBorders>
              <w:top w:val="single" w:sz="4" w:space="0" w:color="66BCDB" w:themeColor="text2"/>
              <w:left w:val="nil"/>
              <w:bottom w:val="nil"/>
              <w:right w:val="nil"/>
            </w:tcBorders>
            <w:tcMar>
              <w:bottom w:w="0" w:type="dxa"/>
            </w:tcMar>
          </w:tcPr>
          <w:p w14:paraId="52D6B832" w14:textId="77777777" w:rsidR="00557DD7" w:rsidRDefault="00557DD7" w:rsidP="00C426E9">
            <w:pPr>
              <w:pStyle w:val="NoSpacing"/>
              <w:spacing w:line="200" w:lineRule="atLeast"/>
            </w:pPr>
          </w:p>
        </w:tc>
      </w:tr>
    </w:tbl>
    <w:p w14:paraId="529E3D9E" w14:textId="77777777" w:rsidR="00557DD7" w:rsidRDefault="00557DD7" w:rsidP="00557DD7">
      <w:pPr>
        <w:pStyle w:val="NoSpacing"/>
      </w:pPr>
    </w:p>
    <w:tbl>
      <w:tblPr>
        <w:tblStyle w:val="TextTable-Grey"/>
        <w:tblW w:w="5000" w:type="pct"/>
        <w:tblLook w:val="04A0" w:firstRow="1" w:lastRow="0" w:firstColumn="1" w:lastColumn="0" w:noHBand="0" w:noVBand="1"/>
      </w:tblPr>
      <w:tblGrid>
        <w:gridCol w:w="713"/>
        <w:gridCol w:w="8925"/>
      </w:tblGrid>
      <w:tr w:rsidR="00557DD7" w14:paraId="71F4D78B" w14:textId="77777777" w:rsidTr="00C426E9">
        <w:trPr>
          <w:tblHeader/>
        </w:trPr>
        <w:tc>
          <w:tcPr>
            <w:tcW w:w="713" w:type="dxa"/>
            <w:vAlign w:val="center"/>
          </w:tcPr>
          <w:p w14:paraId="1BAEA6CD" w14:textId="77777777" w:rsidR="00557DD7" w:rsidRDefault="00557DD7" w:rsidP="00C426E9">
            <w:pPr>
              <w:keepNext/>
              <w:keepLines/>
              <w:spacing w:after="0"/>
              <w:jc w:val="right"/>
            </w:pPr>
            <w:r w:rsidRPr="00A51374">
              <w:rPr>
                <w:noProof/>
              </w:rPr>
              <w:drawing>
                <wp:inline distT="0" distB="0" distL="0" distR="0" wp14:anchorId="71B922C4" wp14:editId="6677B043">
                  <wp:extent cx="288000" cy="28800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41B621" w14:textId="74C8F34A" w:rsidR="00557DD7" w:rsidRPr="000B0B71" w:rsidRDefault="00557DD7" w:rsidP="00C426E9">
            <w:pPr>
              <w:pStyle w:val="TableHeading"/>
              <w:keepNext/>
              <w:spacing w:before="180" w:after="120"/>
              <w:rPr>
                <w:sz w:val="20"/>
              </w:rPr>
            </w:pPr>
            <w:r w:rsidRPr="000B0B71">
              <w:rPr>
                <w:sz w:val="20"/>
              </w:rPr>
              <w:t xml:space="preserve">Information request </w:t>
            </w:r>
            <w:r>
              <w:rPr>
                <w:noProof/>
                <w:sz w:val="20"/>
              </w:rPr>
              <w:t>2</w:t>
            </w:r>
            <w:r w:rsidRPr="00DF7217">
              <w:rPr>
                <w:sz w:val="20"/>
              </w:rPr>
              <w:t>.</w:t>
            </w:r>
            <w:r>
              <w:rPr>
                <w:noProof/>
                <w:sz w:val="20"/>
              </w:rPr>
              <w:t>1</w:t>
            </w:r>
            <w:r>
              <w:rPr>
                <w:sz w:val="20"/>
              </w:rPr>
              <w:t xml:space="preserve"> – Foreign Direct Investment</w:t>
            </w:r>
          </w:p>
        </w:tc>
      </w:tr>
      <w:tr w:rsidR="00557DD7" w14:paraId="6BA8BB01" w14:textId="77777777" w:rsidTr="00C426E9">
        <w:tc>
          <w:tcPr>
            <w:tcW w:w="9638" w:type="dxa"/>
            <w:gridSpan w:val="2"/>
            <w:tcMar>
              <w:top w:w="0" w:type="dxa"/>
            </w:tcMar>
          </w:tcPr>
          <w:p w14:paraId="58FDDB3E" w14:textId="563AC567" w:rsidR="00557DD7" w:rsidRPr="000624DA" w:rsidRDefault="00557DD7" w:rsidP="00C426E9">
            <w:pPr>
              <w:pStyle w:val="BodyText"/>
            </w:pPr>
            <w:r w:rsidRPr="000624DA">
              <w:t>How have changes to Australia’s foreign investment screening and approval processes changed the nature or level of foreign investment directly related to innovation (investment in research; in developing and adapting technologies developed overseas for the Australian market; and in developing a skilled local workforce)?</w:t>
            </w:r>
          </w:p>
          <w:p w14:paraId="1DD0BB28" w14:textId="77777777" w:rsidR="00557DD7" w:rsidRPr="008529A2" w:rsidRDefault="00557DD7" w:rsidP="00C426E9">
            <w:pPr>
              <w:pStyle w:val="BodyText"/>
              <w:keepNext/>
              <w:keepLines/>
            </w:pPr>
            <w:r w:rsidRPr="000624DA">
              <w:t>What secondary benefits are observed to have flowed from FDI into Australia and how have these changed in recent years?</w:t>
            </w:r>
          </w:p>
        </w:tc>
      </w:tr>
      <w:tr w:rsidR="00557DD7" w14:paraId="0008F995" w14:textId="77777777" w:rsidTr="00C426E9">
        <w:tc>
          <w:tcPr>
            <w:tcW w:w="9638" w:type="dxa"/>
            <w:gridSpan w:val="2"/>
            <w:shd w:val="clear" w:color="auto" w:fill="auto"/>
            <w:tcMar>
              <w:top w:w="0" w:type="dxa"/>
              <w:bottom w:w="0" w:type="dxa"/>
            </w:tcMar>
          </w:tcPr>
          <w:p w14:paraId="431B0E86" w14:textId="77777777" w:rsidR="00557DD7" w:rsidRDefault="00557DD7" w:rsidP="00C426E9">
            <w:pPr>
              <w:pStyle w:val="NoSpacing"/>
              <w:spacing w:line="200" w:lineRule="exact"/>
            </w:pPr>
          </w:p>
        </w:tc>
      </w:tr>
    </w:tbl>
    <w:p w14:paraId="735B86DE" w14:textId="000E483C" w:rsidR="00557DD7" w:rsidRDefault="00557DD7" w:rsidP="00557DD7">
      <w:pPr>
        <w:pStyle w:val="Heading2"/>
      </w:pPr>
      <w:bookmarkStart w:id="83" w:name="_Toc113969657"/>
      <w:r>
        <w:lastRenderedPageBreak/>
        <w:t>Diffusion through human capital</w:t>
      </w:r>
      <w:bookmarkEnd w:id="83"/>
    </w:p>
    <w:p w14:paraId="1951E644" w14:textId="77777777" w:rsidR="00557DD7" w:rsidRPr="00B057D9" w:rsidRDefault="00557DD7" w:rsidP="00557DD7">
      <w:pPr>
        <w:pStyle w:val="Heading3"/>
      </w:pPr>
      <w:r>
        <w:t>Building Australia’s human capital can assist diffusion</w:t>
      </w:r>
    </w:p>
    <w:p w14:paraId="75FB8A4E" w14:textId="6CEEF640" w:rsidR="00557DD7" w:rsidRPr="00F82BD9" w:rsidRDefault="00557DD7" w:rsidP="00557DD7">
      <w:pPr>
        <w:pStyle w:val="BodyText"/>
      </w:pPr>
      <w:r>
        <w:t>The skills and knowledge embodied in the workforce — in economic terms, the stock of human capital — is fundamentally important for innovation adoption and productivity more broadly. Human capital embodies the technical and tacit knowledge of a firm’s workforce and management, which can be built through channels such as formal education and work experience, and through connections and interactions with other businesses, organisations and networks. It is a critical component of a firm’s ‘absorptive capacity’ (box </w:t>
      </w:r>
      <w:bookmarkStart w:id="84" w:name="_1723630495"/>
      <w:bookmarkEnd w:id="84"/>
      <w:r>
        <w:t xml:space="preserve">2.2) — that is, a firm’s </w:t>
      </w:r>
      <w:r w:rsidRPr="00300C95">
        <w:t xml:space="preserve">ability </w:t>
      </w:r>
      <w:r>
        <w:t xml:space="preserve">to learn from and capitalise on the innovation and research of others </w:t>
      </w:r>
      <w:r w:rsidRPr="0048518A">
        <w:rPr>
          <w:rFonts w:ascii="Arial" w:hAnsi="Arial" w:cs="Arial"/>
          <w:szCs w:val="24"/>
        </w:rPr>
        <w:t>(Cohen and Levinthal 1989, pp. 569–570)</w:t>
      </w:r>
      <w:r>
        <w:t>.</w:t>
      </w:r>
    </w:p>
    <w:p w14:paraId="4DF5B6BD" w14:textId="77777777" w:rsidR="00557DD7" w:rsidRPr="00F82BD9" w:rsidRDefault="00557DD7" w:rsidP="003A19B6">
      <w:pPr>
        <w:pStyle w:val="NoSpacing"/>
      </w:pPr>
    </w:p>
    <w:tbl>
      <w:tblPr>
        <w:tblStyle w:val="Boxtable"/>
        <w:tblW w:w="5000" w:type="pct"/>
        <w:tblLook w:val="04A0" w:firstRow="1" w:lastRow="0" w:firstColumn="1" w:lastColumn="0" w:noHBand="0" w:noVBand="1"/>
      </w:tblPr>
      <w:tblGrid>
        <w:gridCol w:w="9638"/>
      </w:tblGrid>
      <w:tr w:rsidR="00557DD7" w14:paraId="7F3147C9" w14:textId="77777777" w:rsidTr="00C426E9">
        <w:trPr>
          <w:tblHeader/>
        </w:trPr>
        <w:tc>
          <w:tcPr>
            <w:tcW w:w="9638" w:type="dxa"/>
            <w:tcMar>
              <w:top w:w="170" w:type="dxa"/>
              <w:left w:w="170" w:type="dxa"/>
              <w:bottom w:w="113" w:type="dxa"/>
              <w:right w:w="170" w:type="dxa"/>
            </w:tcMar>
            <w:hideMark/>
          </w:tcPr>
          <w:p w14:paraId="667059C8" w14:textId="511B6E39" w:rsidR="00557DD7" w:rsidRDefault="00557DD7" w:rsidP="00C426E9">
            <w:pPr>
              <w:pStyle w:val="BoxHeading1"/>
            </w:pPr>
            <w:r>
              <w:t xml:space="preserve">Box </w:t>
            </w:r>
            <w:bookmarkStart w:id="85" w:name="OLE_LINK11"/>
            <w:r>
              <w:rPr>
                <w:noProof/>
              </w:rPr>
              <w:t>2</w:t>
            </w:r>
            <w:r>
              <w:t>.</w:t>
            </w:r>
            <w:r w:rsidR="00C97C1D">
              <w:rPr>
                <w:noProof/>
              </w:rPr>
              <w:t>2</w:t>
            </w:r>
            <w:bookmarkEnd w:id="85"/>
            <w:r>
              <w:t xml:space="preserve"> – Human capital is the foundation of firms’ absorptive capacity</w:t>
            </w:r>
          </w:p>
        </w:tc>
      </w:tr>
      <w:tr w:rsidR="00557DD7" w14:paraId="5D773A3E" w14:textId="77777777" w:rsidTr="00C426E9">
        <w:tc>
          <w:tcPr>
            <w:tcW w:w="9638" w:type="dxa"/>
            <w:tcMar>
              <w:top w:w="28" w:type="dxa"/>
              <w:left w:w="170" w:type="dxa"/>
              <w:bottom w:w="170" w:type="dxa"/>
              <w:right w:w="170" w:type="dxa"/>
            </w:tcMar>
            <w:hideMark/>
          </w:tcPr>
          <w:p w14:paraId="209BED12" w14:textId="77777777" w:rsidR="00557DD7" w:rsidRDefault="00557DD7" w:rsidP="00C426E9">
            <w:pPr>
              <w:pStyle w:val="BodyText"/>
            </w:pPr>
            <w:r>
              <w:t>Human capital can improve a firm’s absorptive capacity in several ways.</w:t>
            </w:r>
          </w:p>
          <w:p w14:paraId="18E2998B" w14:textId="6A8895DE" w:rsidR="00557DD7" w:rsidRPr="00E31200" w:rsidRDefault="00557DD7" w:rsidP="00512C2F">
            <w:pPr>
              <w:pStyle w:val="ListBullet"/>
              <w:contextualSpacing w:val="0"/>
            </w:pPr>
            <w:r w:rsidRPr="00E31200">
              <w:rPr>
                <w:b/>
              </w:rPr>
              <w:t>Having an in</w:t>
            </w:r>
            <w:r w:rsidRPr="00E31200">
              <w:rPr>
                <w:b/>
              </w:rPr>
              <w:noBreakHyphen/>
              <w:t>house research capacity</w:t>
            </w:r>
            <w:r w:rsidRPr="00E31200">
              <w:t xml:space="preserve">. This can increase a firm’s ability to identify and recognise the value of new, external information; assimilate it; and apply it to their circumstances. For example, undertaking R&amp;D can facilitate innovation adoption to the extent that an existing research capacity lowers the cost of finding and learning about existing technologies </w:t>
            </w:r>
            <w:r w:rsidRPr="00E31200">
              <w:rPr>
                <w:rFonts w:cs="Arial"/>
              </w:rPr>
              <w:t>(Bloom, Van Reenen and Williams 2019; Cohen and Levinthal 1990, pp. 148–149)</w:t>
            </w:r>
            <w:r w:rsidRPr="00E31200">
              <w:t>. In a meta</w:t>
            </w:r>
            <w:r w:rsidRPr="00E31200">
              <w:noBreakHyphen/>
              <w:t xml:space="preserve">analysis of 241 studies on innovation, knowledge transfer and absorptive capacity, Zou, </w:t>
            </w:r>
            <w:proofErr w:type="spellStart"/>
            <w:r w:rsidRPr="00E31200">
              <w:t>Ertug</w:t>
            </w:r>
            <w:proofErr w:type="spellEnd"/>
            <w:r w:rsidRPr="00E31200">
              <w:t xml:space="preserve"> and George </w:t>
            </w:r>
            <w:r w:rsidRPr="00E31200">
              <w:rPr>
                <w:rFonts w:cs="Arial"/>
              </w:rPr>
              <w:t>(2018, pp. 97–98)</w:t>
            </w:r>
            <w:r w:rsidRPr="00E31200">
              <w:t xml:space="preserve"> confirmed statistically significant positive relationships between measures of absorptive capacity and innovation, as well as between absorptive capacity and the ability of a firm to recognise the value of, assimilate and apply external knowledge.</w:t>
            </w:r>
          </w:p>
          <w:p w14:paraId="522A5491" w14:textId="61E66006" w:rsidR="003632B7" w:rsidRDefault="00557DD7" w:rsidP="00512C2F">
            <w:pPr>
              <w:pStyle w:val="ListBullet"/>
              <w:contextualSpacing w:val="0"/>
            </w:pPr>
            <w:r w:rsidRPr="00E31200">
              <w:rPr>
                <w:b/>
              </w:rPr>
              <w:t>Having</w:t>
            </w:r>
            <w:r w:rsidRPr="00E31200">
              <w:rPr>
                <w:b/>
                <w:bCs/>
              </w:rPr>
              <w:t xml:space="preserve"> employees with</w:t>
            </w:r>
            <w:r w:rsidRPr="00E31200">
              <w:rPr>
                <w:b/>
              </w:rPr>
              <w:t xml:space="preserve"> </w:t>
            </w:r>
            <w:r w:rsidR="003632B7" w:rsidRPr="00E31200">
              <w:rPr>
                <w:b/>
              </w:rPr>
              <w:t>sufficient technical</w:t>
            </w:r>
            <w:r w:rsidRPr="00E31200">
              <w:rPr>
                <w:b/>
              </w:rPr>
              <w:t xml:space="preserve"> and </w:t>
            </w:r>
            <w:r w:rsidR="003632B7" w:rsidRPr="00E31200">
              <w:rPr>
                <w:b/>
              </w:rPr>
              <w:t xml:space="preserve">tacit </w:t>
            </w:r>
            <w:r w:rsidRPr="00E31200">
              <w:rPr>
                <w:b/>
              </w:rPr>
              <w:t>knowledge</w:t>
            </w:r>
            <w:r w:rsidRPr="00E31200">
              <w:t xml:space="preserve">. The skills and knowledge embodied in a firm’s workforce is also an important factor in how easily </w:t>
            </w:r>
            <w:r w:rsidR="00416671">
              <w:t>it</w:t>
            </w:r>
            <w:r w:rsidRPr="00E31200">
              <w:t xml:space="preserve"> can identify new and existing technologies, learn the principles of how they work and how to use and adapt them to the firm’s specific circumstances. While traditional innovation policy tends to focus on the stock of researchers capable of undertaking R&amp;D, the successful diffusion and productive use of new technologies also relies on the capabilities of the workforce more broadly </w:t>
            </w:r>
            <w:r w:rsidRPr="00E31200">
              <w:rPr>
                <w:rFonts w:cs="Arial"/>
              </w:rPr>
              <w:t>(</w:t>
            </w:r>
            <w:proofErr w:type="spellStart"/>
            <w:r w:rsidRPr="00E31200">
              <w:rPr>
                <w:rFonts w:cs="Arial"/>
              </w:rPr>
              <w:t>Criscuolo</w:t>
            </w:r>
            <w:proofErr w:type="spellEnd"/>
            <w:r w:rsidRPr="00E31200">
              <w:rPr>
                <w:rFonts w:cs="Arial"/>
              </w:rPr>
              <w:t xml:space="preserve"> et al. 2021, p. 11; Griffith, Redding and Van Reenen 2004, p. 890)</w:t>
            </w:r>
            <w:r w:rsidRPr="00E31200">
              <w:t xml:space="preserve">. </w:t>
            </w:r>
            <w:r w:rsidR="003A50B8" w:rsidRPr="003A50B8">
              <w:t>Technical and tacit knowledge allows</w:t>
            </w:r>
            <w:r w:rsidRPr="00E31200">
              <w:t xml:space="preserve"> workers</w:t>
            </w:r>
            <w:r w:rsidR="003A50B8" w:rsidRPr="003A50B8">
              <w:t xml:space="preserve"> to identify and learn about new technologies and practices, and to adapt them for the firm’s specific needs and market. While this can mean employing </w:t>
            </w:r>
            <w:r w:rsidRPr="00E31200">
              <w:t>researchers</w:t>
            </w:r>
            <w:r w:rsidR="003A50B8" w:rsidRPr="003A50B8">
              <w:t>, engineers and technicians, firms can also access needed skills and capabilities through collaborating with or contracting out their innovation needs to other businesses, research institutes and universities.</w:t>
            </w:r>
          </w:p>
          <w:p w14:paraId="48292058" w14:textId="75C18CA9" w:rsidR="00557DD7" w:rsidRPr="00E31200" w:rsidRDefault="003632B7" w:rsidP="00512C2F">
            <w:pPr>
              <w:pStyle w:val="ListBullet"/>
              <w:contextualSpacing w:val="0"/>
            </w:pPr>
            <w:r w:rsidRPr="0012662A">
              <w:rPr>
                <w:b/>
              </w:rPr>
              <w:t>Having employees with specific frontier knowledge</w:t>
            </w:r>
            <w:r w:rsidR="0012662A">
              <w:rPr>
                <w:bCs/>
              </w:rPr>
              <w:t>.</w:t>
            </w:r>
            <w:r w:rsidR="00557DD7" w:rsidRPr="00E31200">
              <w:t xml:space="preserve"> For example, a firm’s employees may know about existing technologies because of prior work experiences and connections with other businesses. In fact, businesses get most of their ideas </w:t>
            </w:r>
            <w:r w:rsidR="000616C2">
              <w:t>for</w:t>
            </w:r>
            <w:r w:rsidR="00557DD7" w:rsidRPr="00E31200">
              <w:t xml:space="preserve"> innovation from their own employees or from businesses owned by the same company </w:t>
            </w:r>
            <w:r w:rsidR="00557DD7" w:rsidRPr="00E31200">
              <w:rPr>
                <w:rFonts w:cs="Arial"/>
              </w:rPr>
              <w:t>(ABS 2022a)</w:t>
            </w:r>
            <w:r w:rsidR="00557DD7" w:rsidRPr="00E31200">
              <w:t>. This is most likely a result of workers moving from one firm to another and bringing the ideas and approaches of their previous firm to their new employer.</w:t>
            </w:r>
          </w:p>
          <w:p w14:paraId="35A7BE75" w14:textId="7B73611C" w:rsidR="00557DD7" w:rsidRPr="00E31200" w:rsidRDefault="00557DD7" w:rsidP="00512C2F">
            <w:pPr>
              <w:pStyle w:val="ListBullet"/>
              <w:contextualSpacing w:val="0"/>
            </w:pPr>
            <w:r w:rsidRPr="00E31200">
              <w:rPr>
                <w:b/>
                <w:bCs/>
              </w:rPr>
              <w:t>Having</w:t>
            </w:r>
            <w:r w:rsidRPr="00E31200">
              <w:rPr>
                <w:b/>
              </w:rPr>
              <w:t xml:space="preserve"> high</w:t>
            </w:r>
            <w:r w:rsidRPr="00E31200">
              <w:rPr>
                <w:b/>
              </w:rPr>
              <w:noBreakHyphen/>
              <w:t>quality managers</w:t>
            </w:r>
            <w:r w:rsidR="00381E11">
              <w:rPr>
                <w:b/>
              </w:rPr>
              <w:t xml:space="preserve"> and organisation</w:t>
            </w:r>
            <w:r w:rsidR="003632B7">
              <w:rPr>
                <w:b/>
              </w:rPr>
              <w:t>al capital</w:t>
            </w:r>
            <w:r w:rsidRPr="00E31200">
              <w:t>. A firm’s management is an important component of absorptive capacity. Firms may need to adapt and re</w:t>
            </w:r>
            <w:r w:rsidR="000565F7">
              <w:noBreakHyphen/>
            </w:r>
            <w:r w:rsidRPr="00E31200">
              <w:t xml:space="preserve">organise production processes and workflows to make the best use of newly adopted technologies. While this is particularly the case </w:t>
            </w:r>
            <w:r w:rsidRPr="00E31200">
              <w:lastRenderedPageBreak/>
              <w:t xml:space="preserve">with more complex technologies like IT and digital technologies </w:t>
            </w:r>
            <w:r w:rsidRPr="00E31200">
              <w:rPr>
                <w:rFonts w:cs="Arial"/>
              </w:rPr>
              <w:t xml:space="preserve">(Andrews, Nicoletti and von </w:t>
            </w:r>
            <w:proofErr w:type="spellStart"/>
            <w:r w:rsidRPr="00E31200">
              <w:rPr>
                <w:rFonts w:cs="Arial"/>
              </w:rPr>
              <w:t>Rueden</w:t>
            </w:r>
            <w:proofErr w:type="spellEnd"/>
            <w:r w:rsidRPr="00E31200">
              <w:rPr>
                <w:rFonts w:cs="Arial"/>
              </w:rPr>
              <w:t xml:space="preserve"> 2020, p. 10; Bloom, </w:t>
            </w:r>
            <w:proofErr w:type="spellStart"/>
            <w:r w:rsidRPr="00E31200">
              <w:rPr>
                <w:rFonts w:cs="Arial"/>
              </w:rPr>
              <w:t>Sadun</w:t>
            </w:r>
            <w:proofErr w:type="spellEnd"/>
            <w:r w:rsidRPr="00E31200">
              <w:rPr>
                <w:rFonts w:cs="Arial"/>
              </w:rPr>
              <w:t xml:space="preserve"> and Reenen 2012, pp. 196–197; Pellegrino and Zingales 2018, pp. 14–23)</w:t>
            </w:r>
            <w:r w:rsidRPr="00E31200">
              <w:t>, better management</w:t>
            </w:r>
            <w:r w:rsidR="0064287A">
              <w:t> </w:t>
            </w:r>
            <w:r w:rsidRPr="00E31200">
              <w:t>—</w:t>
            </w:r>
            <w:r w:rsidR="0064287A">
              <w:t> </w:t>
            </w:r>
            <w:r w:rsidRPr="00E31200">
              <w:t>acquired through training or bringing on people with the necessary management experience —</w:t>
            </w:r>
            <w:r w:rsidR="000565F7">
              <w:t xml:space="preserve"> </w:t>
            </w:r>
            <w:r w:rsidRPr="00E31200">
              <w:t xml:space="preserve">independently increases productivity. Better management also complements productivity gains realised from technology transfer, increasing the benefits from adopting technologies embodied in capital goods </w:t>
            </w:r>
            <w:r w:rsidRPr="00E31200">
              <w:rPr>
                <w:rFonts w:cs="Arial"/>
              </w:rPr>
              <w:t>(</w:t>
            </w:r>
            <w:proofErr w:type="spellStart"/>
            <w:r w:rsidRPr="00E31200">
              <w:rPr>
                <w:rFonts w:cs="Arial"/>
              </w:rPr>
              <w:t>Giorcelli</w:t>
            </w:r>
            <w:proofErr w:type="spellEnd"/>
            <w:r w:rsidRPr="00E31200">
              <w:rPr>
                <w:rFonts w:cs="Arial"/>
              </w:rPr>
              <w:t> 2019, pp. 139–140)</w:t>
            </w:r>
            <w:r w:rsidRPr="00E31200">
              <w:t xml:space="preserve">. </w:t>
            </w:r>
            <w:r w:rsidR="00A1053C" w:rsidRPr="00A1053C">
              <w:t>More generally, a more adaptable and creative workforce will be better able to adjust to new processes and products.</w:t>
            </w:r>
          </w:p>
          <w:p w14:paraId="3278C055" w14:textId="75EF8DDE" w:rsidR="00557DD7" w:rsidRDefault="00557DD7" w:rsidP="00512C2F">
            <w:pPr>
              <w:pStyle w:val="ListBullet"/>
            </w:pPr>
            <w:r w:rsidRPr="00E31200">
              <w:rPr>
                <w:b/>
              </w:rPr>
              <w:t>Having diversity in the managerial cohort</w:t>
            </w:r>
            <w:r w:rsidRPr="00E31200">
              <w:t>. Increasing the diversity of managers in firms can improve the variety of skills, perspectives</w:t>
            </w:r>
            <w:r w:rsidR="00423B40">
              <w:t>,</w:t>
            </w:r>
            <w:r w:rsidRPr="00E31200">
              <w:t xml:space="preserve"> tacit knowledge and innovative ideas within firms. Economic theory predicts that too little diversity may prevent complementarities arising between different skill sets, knowledge and practices </w:t>
            </w:r>
            <w:r w:rsidRPr="00E31200">
              <w:rPr>
                <w:rFonts w:cs="Arial"/>
              </w:rPr>
              <w:t>(</w:t>
            </w:r>
            <w:proofErr w:type="spellStart"/>
            <w:r w:rsidRPr="00E31200">
              <w:rPr>
                <w:rFonts w:cs="Arial"/>
              </w:rPr>
              <w:t>Alesina</w:t>
            </w:r>
            <w:proofErr w:type="spellEnd"/>
            <w:r w:rsidRPr="00E31200">
              <w:rPr>
                <w:rFonts w:cs="Arial"/>
              </w:rPr>
              <w:t xml:space="preserve">, </w:t>
            </w:r>
            <w:proofErr w:type="spellStart"/>
            <w:r w:rsidRPr="00E31200">
              <w:rPr>
                <w:rFonts w:cs="Arial"/>
              </w:rPr>
              <w:t>Harnoss</w:t>
            </w:r>
            <w:proofErr w:type="spellEnd"/>
            <w:r w:rsidRPr="00E31200">
              <w:rPr>
                <w:rFonts w:cs="Arial"/>
              </w:rPr>
              <w:t xml:space="preserve"> and Rapoport 2013, p. 2)</w:t>
            </w:r>
            <w:r w:rsidRPr="00E31200">
              <w:t xml:space="preserve">. Given the productivity premium associated with greater diversity amongst managers </w:t>
            </w:r>
            <w:r w:rsidRPr="00E31200">
              <w:rPr>
                <w:rFonts w:cs="Arial"/>
              </w:rPr>
              <w:t>(</w:t>
            </w:r>
            <w:proofErr w:type="spellStart"/>
            <w:r w:rsidRPr="00E31200">
              <w:rPr>
                <w:rFonts w:cs="Arial"/>
              </w:rPr>
              <w:t>Criscuolo</w:t>
            </w:r>
            <w:proofErr w:type="spellEnd"/>
            <w:r w:rsidRPr="00E31200">
              <w:rPr>
                <w:rFonts w:cs="Arial"/>
              </w:rPr>
              <w:t xml:space="preserve"> et al. 2021, pp. 32–39)</w:t>
            </w:r>
            <w:r w:rsidRPr="00E31200">
              <w:t xml:space="preserve">, programs aiming to build management capability should </w:t>
            </w:r>
            <w:r w:rsidR="00D42982">
              <w:t>take</w:t>
            </w:r>
            <w:r w:rsidRPr="00E31200">
              <w:t xml:space="preserve"> diversity</w:t>
            </w:r>
            <w:r w:rsidR="00D42982">
              <w:t xml:space="preserve"> into account</w:t>
            </w:r>
            <w:r w:rsidRPr="00E31200">
              <w:t>.</w:t>
            </w:r>
          </w:p>
        </w:tc>
      </w:tr>
      <w:tr w:rsidR="00557DD7" w14:paraId="6E504CE3" w14:textId="77777777" w:rsidTr="00C426E9">
        <w:trPr>
          <w:hidden/>
        </w:trPr>
        <w:tc>
          <w:tcPr>
            <w:tcW w:w="9638" w:type="dxa"/>
            <w:shd w:val="clear" w:color="auto" w:fill="auto"/>
            <w:tcMar>
              <w:top w:w="0" w:type="dxa"/>
              <w:left w:w="170" w:type="dxa"/>
              <w:bottom w:w="0" w:type="dxa"/>
              <w:right w:w="170" w:type="dxa"/>
            </w:tcMar>
          </w:tcPr>
          <w:p w14:paraId="420253A9" w14:textId="6B8AB2B0" w:rsidR="00557DD7" w:rsidRPr="00465191" w:rsidRDefault="00557DD7" w:rsidP="00C426E9">
            <w:pPr>
              <w:pStyle w:val="BodyText"/>
              <w:spacing w:before="0" w:after="0" w:line="80" w:lineRule="atLeast"/>
              <w:rPr>
                <w:smallCaps/>
                <w:vanish/>
              </w:rPr>
            </w:pPr>
          </w:p>
        </w:tc>
      </w:tr>
    </w:tbl>
    <w:p w14:paraId="19A2A025" w14:textId="45A3630A" w:rsidR="00557DD7" w:rsidRDefault="00557DD7" w:rsidP="00557DD7">
      <w:pPr>
        <w:pStyle w:val="BodyText"/>
      </w:pPr>
      <w:r>
        <w:t>The quality of a firm’s management is also a factor in how successfully new technologies are adopted and used by the firm. Managers have a disproportionate role in firm</w:t>
      </w:r>
      <w:r>
        <w:noBreakHyphen/>
        <w:t xml:space="preserve">level productivity to the extent that they are responsible for </w:t>
      </w:r>
      <w:r w:rsidR="000565F7">
        <w:t>‘</w:t>
      </w:r>
      <w:r>
        <w:t>deciding what to do</w:t>
      </w:r>
      <w:r w:rsidR="000565F7">
        <w:t>’</w:t>
      </w:r>
      <w:r>
        <w:t xml:space="preserve"> and </w:t>
      </w:r>
      <w:r w:rsidR="000565F7">
        <w:t>‘</w:t>
      </w:r>
      <w:r>
        <w:t>getting the organisation to do it</w:t>
      </w:r>
      <w:r w:rsidR="000565F7">
        <w:t>’</w:t>
      </w:r>
      <w:r>
        <w:t xml:space="preserve"> </w:t>
      </w:r>
      <w:r w:rsidR="00936D73" w:rsidRPr="00936D73">
        <w:rPr>
          <w:rFonts w:ascii="Arial" w:hAnsi="Arial" w:cs="Arial"/>
          <w:szCs w:val="24"/>
        </w:rPr>
        <w:t>(OECD 2019b, p. 8)</w:t>
      </w:r>
      <w:r>
        <w:t xml:space="preserve">, including decisions </w:t>
      </w:r>
      <w:r w:rsidR="00CB5A0C">
        <w:t>about</w:t>
      </w:r>
      <w:r>
        <w:t xml:space="preserve"> innovation.</w:t>
      </w:r>
    </w:p>
    <w:p w14:paraId="0EE672B4" w14:textId="67E72573" w:rsidR="00557DD7" w:rsidRDefault="00557DD7" w:rsidP="00557DD7">
      <w:pPr>
        <w:pStyle w:val="BodyText"/>
      </w:pPr>
      <w:r>
        <w:t>In Australia, innovation</w:t>
      </w:r>
      <w:r>
        <w:noBreakHyphen/>
        <w:t>active businesses report more frequently monitoring Key Performance Indicators (</w:t>
      </w:r>
      <w:r w:rsidRPr="004C10BD">
        <w:t>KPI</w:t>
      </w:r>
      <w:r>
        <w:t xml:space="preserve">s), offering performance bonus schemes and employing </w:t>
      </w:r>
      <w:r w:rsidRPr="00DF59D6">
        <w:t>Principal Managers under the age of 50</w:t>
      </w:r>
      <w:r w:rsidR="00E82AA3">
        <w:t> years</w:t>
      </w:r>
      <w:r>
        <w:t xml:space="preserve"> compared </w:t>
      </w:r>
      <w:r w:rsidR="00E82AA3">
        <w:t>with</w:t>
      </w:r>
      <w:r>
        <w:t xml:space="preserve"> non</w:t>
      </w:r>
      <w:r>
        <w:noBreakHyphen/>
        <w:t>innovation</w:t>
      </w:r>
      <w:r>
        <w:noBreakHyphen/>
        <w:t xml:space="preserve">active businesses </w:t>
      </w:r>
      <w:r w:rsidRPr="00A41B86">
        <w:rPr>
          <w:rFonts w:ascii="Arial" w:hAnsi="Arial" w:cs="Arial"/>
          <w:szCs w:val="24"/>
        </w:rPr>
        <w:t>(ABS 2017)</w:t>
      </w:r>
      <w:r>
        <w:t>. Moreover, better management practices increase the likelihood that firms will introduce new</w:t>
      </w:r>
      <w:r w:rsidR="000565F7">
        <w:noBreakHyphen/>
      </w:r>
      <w:r>
        <w:t>to</w:t>
      </w:r>
      <w:r w:rsidR="000565F7">
        <w:noBreakHyphen/>
      </w:r>
      <w:r>
        <w:t xml:space="preserve">market innovations </w:t>
      </w:r>
      <w:r w:rsidRPr="00675CCD">
        <w:rPr>
          <w:rFonts w:ascii="Arial" w:hAnsi="Arial" w:cs="Arial"/>
          <w:szCs w:val="24"/>
        </w:rPr>
        <w:t xml:space="preserve">(Majeed and </w:t>
      </w:r>
      <w:proofErr w:type="spellStart"/>
      <w:r w:rsidRPr="00675CCD">
        <w:rPr>
          <w:rFonts w:ascii="Arial" w:hAnsi="Arial" w:cs="Arial"/>
          <w:szCs w:val="24"/>
        </w:rPr>
        <w:t>Breunig</w:t>
      </w:r>
      <w:proofErr w:type="spellEnd"/>
      <w:r w:rsidRPr="00675CCD">
        <w:rPr>
          <w:rFonts w:ascii="Arial" w:hAnsi="Arial" w:cs="Arial"/>
          <w:szCs w:val="24"/>
        </w:rPr>
        <w:t> 2021, p. 12)</w:t>
      </w:r>
      <w:r>
        <w:t xml:space="preserve">, or innovate at all </w:t>
      </w:r>
      <w:r w:rsidRPr="00010B3E">
        <w:rPr>
          <w:rFonts w:ascii="Arial" w:hAnsi="Arial" w:cs="Arial"/>
          <w:szCs w:val="24"/>
        </w:rPr>
        <w:t>(Gahan et al. 2016, p. 60)</w:t>
      </w:r>
      <w:r>
        <w:t>.</w:t>
      </w:r>
    </w:p>
    <w:p w14:paraId="39CB0CE7" w14:textId="77777777" w:rsidR="00557DD7" w:rsidRDefault="00557DD7" w:rsidP="00557DD7">
      <w:pPr>
        <w:pStyle w:val="Heading4"/>
      </w:pPr>
      <w:r>
        <w:t>Lack of skills and management capabilities is a barrier to the diffusion of innovations</w:t>
      </w:r>
    </w:p>
    <w:p w14:paraId="3DBAC585" w14:textId="6F1EF0CC" w:rsidR="00557DD7" w:rsidRDefault="00557DD7" w:rsidP="00557DD7">
      <w:pPr>
        <w:pStyle w:val="BodyText"/>
      </w:pPr>
      <w:r>
        <w:t>A high proportion of Australian firms report a lack of skilled labour as a barrier to innovation (figure </w:t>
      </w:r>
      <w:bookmarkStart w:id="86" w:name="_1724049676"/>
      <w:bookmarkEnd w:id="86"/>
      <w:r>
        <w:t xml:space="preserve">2.7), both within their business and in the broader labour market. </w:t>
      </w:r>
      <w:r w:rsidR="00CB5A0C">
        <w:t>About</w:t>
      </w:r>
      <w:r>
        <w:t xml:space="preserve"> one third of innovation</w:t>
      </w:r>
      <w:r>
        <w:noBreakHyphen/>
        <w:t>active firms</w:t>
      </w:r>
      <w:r w:rsidRPr="00EB6119">
        <w:rPr>
          <w:rStyle w:val="FootnoteReference"/>
        </w:rPr>
        <w:footnoteReference w:id="16"/>
      </w:r>
      <w:r>
        <w:t xml:space="preserve"> report that a lack of skilled labour is a barrier, suggesting that a perceived skills deficit constrains the extent and/or types of innovation undertaken even by businesses that are already innovating.</w:t>
      </w:r>
    </w:p>
    <w:p w14:paraId="413863B8" w14:textId="77777777" w:rsidR="00557DD7" w:rsidRDefault="00557DD7" w:rsidP="00557DD7">
      <w:pPr>
        <w:pStyle w:val="BodyText"/>
      </w:pPr>
      <w:r>
        <w:t>Moreover, businesses that are not actively engaged in innovation are also constrained by a lack of skilled labour, suggesting that a lack of appropriately skilled workers may also deter businesses from innovating in the first place. Skilled labour gaps are felt more acutely as a barrier to innovation by SMEs than larger firms.</w:t>
      </w:r>
      <w:r w:rsidRPr="006A6D9A">
        <w:t xml:space="preserve"> </w:t>
      </w:r>
      <w:r>
        <w:t>As noted by the Australian Small Business and Family Enterprise Ombudsman (ASBFEO):</w:t>
      </w:r>
    </w:p>
    <w:p w14:paraId="2B5672F8" w14:textId="102F04A3" w:rsidR="00557DD7" w:rsidRDefault="00557DD7" w:rsidP="00557DD7">
      <w:pPr>
        <w:pStyle w:val="Quote"/>
      </w:pPr>
      <w:r>
        <w:t>It is difficult for small businesses to take up technology opportunities without adequately skilled staff. (ASBFEO, sub.</w:t>
      </w:r>
      <w:r w:rsidR="000565F7">
        <w:t> </w:t>
      </w:r>
      <w:r>
        <w:t>64, pp. 3</w:t>
      </w:r>
      <w:r w:rsidR="000565F7">
        <w:t>–</w:t>
      </w:r>
      <w:r>
        <w:t>4)</w:t>
      </w:r>
    </w:p>
    <w:p w14:paraId="2E8567DD" w14:textId="3DF66DFD" w:rsidR="00557DD7" w:rsidRPr="00146382" w:rsidRDefault="00557DD7" w:rsidP="004C7393">
      <w:pPr>
        <w:pStyle w:val="FigureTableHeading"/>
        <w:keepLines/>
      </w:pPr>
      <w:r>
        <w:lastRenderedPageBreak/>
        <w:t xml:space="preserve">Figure </w:t>
      </w:r>
      <w:bookmarkStart w:id="87" w:name="OLE_LINK5"/>
      <w:r>
        <w:t>2.</w:t>
      </w:r>
      <w:r>
        <w:rPr>
          <w:noProof/>
        </w:rPr>
        <w:t>7</w:t>
      </w:r>
      <w:bookmarkEnd w:id="87"/>
      <w:r>
        <w:rPr>
          <w:noProof/>
        </w:rPr>
        <w:t xml:space="preserve"> </w:t>
      </w:r>
      <w:r>
        <w:t xml:space="preserve">– Firms report a lack of skilled labour as a barrier to </w:t>
      </w:r>
      <w:proofErr w:type="spellStart"/>
      <w:r>
        <w:t>innovation</w:t>
      </w:r>
      <w:r w:rsidRPr="00DB67CC">
        <w:rPr>
          <w:vertAlign w:val="superscript"/>
        </w:rPr>
        <w:t>a</w:t>
      </w:r>
      <w:proofErr w:type="spellEnd"/>
    </w:p>
    <w:p w14:paraId="4EEE65F9" w14:textId="4A44BFE6" w:rsidR="00557DD7" w:rsidRDefault="00557DD7" w:rsidP="004C7393">
      <w:pPr>
        <w:pStyle w:val="Note"/>
        <w:keepNext/>
        <w:keepLines/>
        <w:rPr>
          <w:rFonts w:asciiTheme="majorHAnsi" w:hAnsiTheme="majorHAnsi"/>
          <w:color w:val="58585B"/>
          <w:sz w:val="20"/>
          <w:szCs w:val="18"/>
        </w:rPr>
      </w:pPr>
      <w:r w:rsidRPr="0027592F">
        <w:rPr>
          <w:rFonts w:asciiTheme="majorHAnsi" w:hAnsiTheme="majorHAnsi"/>
          <w:iCs/>
          <w:color w:val="58585B"/>
          <w:sz w:val="20"/>
          <w:szCs w:val="18"/>
        </w:rPr>
        <w:t>20</w:t>
      </w:r>
      <w:r>
        <w:rPr>
          <w:rFonts w:asciiTheme="majorHAnsi" w:hAnsiTheme="majorHAnsi"/>
          <w:iCs/>
          <w:color w:val="58585B"/>
          <w:sz w:val="20"/>
          <w:szCs w:val="18"/>
        </w:rPr>
        <w:t>19</w:t>
      </w:r>
      <w:r w:rsidR="000565F7">
        <w:rPr>
          <w:rFonts w:asciiTheme="majorHAnsi" w:hAnsiTheme="majorHAnsi"/>
          <w:iCs/>
          <w:color w:val="58585B"/>
          <w:sz w:val="20"/>
          <w:szCs w:val="18"/>
        </w:rPr>
        <w:t>–</w:t>
      </w:r>
      <w:r>
        <w:rPr>
          <w:rFonts w:asciiTheme="majorHAnsi" w:hAnsiTheme="majorHAnsi"/>
          <w:iCs/>
          <w:color w:val="58585B"/>
          <w:sz w:val="20"/>
          <w:szCs w:val="18"/>
        </w:rPr>
        <w:t>21</w:t>
      </w:r>
    </w:p>
    <w:p w14:paraId="2ACACF62" w14:textId="5D80DFF2" w:rsidR="00557DD7" w:rsidRDefault="005857B8" w:rsidP="004C7393">
      <w:pPr>
        <w:pStyle w:val="Note"/>
        <w:keepNext/>
        <w:keepLines/>
        <w:rPr>
          <w:noProof/>
        </w:rPr>
      </w:pPr>
      <w:r w:rsidRPr="005857B8">
        <w:rPr>
          <w:noProof/>
        </w:rPr>
        <w:drawing>
          <wp:inline distT="0" distB="0" distL="0" distR="0" wp14:anchorId="0FBE883D" wp14:editId="3585C777">
            <wp:extent cx="6117590" cy="2732405"/>
            <wp:effectExtent l="0" t="0" r="0" b="0"/>
            <wp:docPr id="111" name="Picture 111" descr="This figure shows the proportions of innovation-active and non-innovation active businesses reporting a lack of access to skills within the business, within the labour market, and in either location as a barrier to innovation. Lack of access to skilled labour is frequently reported as a barrier to innovation, particularly for innovation-active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his figure shows the proportions of innovation-active and non-innovation active businesses reporting a lack of access to skills within the business, within the labour market, and in either location as a barrier to innovation. Lack of access to skilled labour is frequently reported as a barrier to innovation, particularly for innovation-active businesses. "/>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6117590" cy="2732405"/>
                    </a:xfrm>
                    <a:prstGeom prst="rect">
                      <a:avLst/>
                    </a:prstGeom>
                    <a:noFill/>
                    <a:ln>
                      <a:noFill/>
                    </a:ln>
                  </pic:spPr>
                </pic:pic>
              </a:graphicData>
            </a:graphic>
          </wp:inline>
        </w:drawing>
      </w:r>
    </w:p>
    <w:p w14:paraId="4182B8D8" w14:textId="5E03FE15" w:rsidR="00557DD7" w:rsidRDefault="00557DD7" w:rsidP="00557DD7">
      <w:pPr>
        <w:pStyle w:val="Note"/>
      </w:pPr>
      <w:r>
        <w:rPr>
          <w:b/>
          <w:bCs/>
        </w:rPr>
        <w:t xml:space="preserve">a. </w:t>
      </w:r>
      <w:r>
        <w:t>Innovation</w:t>
      </w:r>
      <w:r w:rsidR="000565F7">
        <w:noBreakHyphen/>
      </w:r>
      <w:r>
        <w:t xml:space="preserve">active firms are </w:t>
      </w:r>
      <w:r w:rsidRPr="00BA0AA9">
        <w:t xml:space="preserve">firms </w:t>
      </w:r>
      <w:r>
        <w:t xml:space="preserve">that </w:t>
      </w:r>
      <w:r w:rsidRPr="003846C0">
        <w:t>reported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 xml:space="preserve">. </w:t>
      </w:r>
    </w:p>
    <w:p w14:paraId="4EFA12EE" w14:textId="281874BF" w:rsidR="00557DD7" w:rsidRDefault="00557DD7" w:rsidP="00557DD7">
      <w:pPr>
        <w:pStyle w:val="Source"/>
      </w:pPr>
      <w:r w:rsidRPr="00696447">
        <w:t>Source:</w:t>
      </w:r>
      <w:r>
        <w:t xml:space="preserve"> ABS (</w:t>
      </w:r>
      <w:r>
        <w:rPr>
          <w:i/>
          <w:iCs/>
        </w:rPr>
        <w:t>Characteristics of Australian Business</w:t>
      </w:r>
      <w:r>
        <w:t xml:space="preserve">, </w:t>
      </w:r>
      <w:r w:rsidRPr="007508DF">
        <w:rPr>
          <w:i/>
          <w:iCs/>
        </w:rPr>
        <w:t>2020</w:t>
      </w:r>
      <w:r w:rsidR="000565F7">
        <w:rPr>
          <w:i/>
          <w:iCs/>
        </w:rPr>
        <w:noBreakHyphen/>
      </w:r>
      <w:r w:rsidRPr="007508DF">
        <w:rPr>
          <w:i/>
          <w:iCs/>
        </w:rPr>
        <w:t>21 financial year</w:t>
      </w:r>
      <w:r>
        <w:t>, Cat. no. 8158.0).</w:t>
      </w:r>
    </w:p>
    <w:p w14:paraId="6AB513D8" w14:textId="57C25BCD" w:rsidR="00557DD7" w:rsidRDefault="00FF1FA3" w:rsidP="00557DD7">
      <w:pPr>
        <w:pStyle w:val="BodyText"/>
      </w:pPr>
      <w:r w:rsidRPr="00FF1FA3">
        <w:t xml:space="preserve">Another area of skill shortage, and one that may be less obvious to firms, is in management skills. </w:t>
      </w:r>
      <w:r w:rsidR="00557DD7">
        <w:t xml:space="preserve">As argued in </w:t>
      </w:r>
      <w:r w:rsidR="009428AA">
        <w:t>c</w:t>
      </w:r>
      <w:r w:rsidR="00557DD7">
        <w:t>hapter</w:t>
      </w:r>
      <w:r w:rsidR="000565F7">
        <w:t> </w:t>
      </w:r>
      <w:r w:rsidR="00557DD7">
        <w:t xml:space="preserve">1 of this report, and previously discussed by the Commission </w:t>
      </w:r>
      <w:r w:rsidR="00936D73" w:rsidRPr="00936D73">
        <w:rPr>
          <w:rFonts w:ascii="Arial" w:hAnsi="Arial" w:cs="Arial"/>
          <w:szCs w:val="24"/>
        </w:rPr>
        <w:t>(PC 2020g, pp. 20–22)</w:t>
      </w:r>
      <w:r w:rsidR="00557DD7">
        <w:t>, poor management capability may be holding back Australia’s productivity growth. Consultations undertaken for this Inquiry provided insights into some of the consequences for innovation of poor management capability.</w:t>
      </w:r>
    </w:p>
    <w:p w14:paraId="3FC72813" w14:textId="77B520B5" w:rsidR="00557DD7" w:rsidRDefault="00557DD7" w:rsidP="00557DD7">
      <w:pPr>
        <w:pStyle w:val="BodyText"/>
      </w:pPr>
      <w:r w:rsidRPr="00CC5DDB">
        <w:t>Managers may struggle to re</w:t>
      </w:r>
      <w:r w:rsidR="000565F7">
        <w:noBreakHyphen/>
      </w:r>
      <w:r w:rsidRPr="00CC5DDB">
        <w:t xml:space="preserve">organise their operations to make the most </w:t>
      </w:r>
      <w:r w:rsidRPr="007B244C">
        <w:rPr>
          <w:b/>
        </w:rPr>
        <w:t>effective use of adopted technologies</w:t>
      </w:r>
      <w:r w:rsidRPr="00CC5DDB">
        <w:t>. For example, the Australia Retailers Association</w:t>
      </w:r>
      <w:r>
        <w:t xml:space="preserve"> (ARA)</w:t>
      </w:r>
      <w:r w:rsidRPr="00CC5DDB">
        <w:t xml:space="preserve"> suggested that within their industry</w:t>
      </w:r>
      <w:r w:rsidR="000565F7">
        <w:t>:</w:t>
      </w:r>
    </w:p>
    <w:p w14:paraId="56593C3D" w14:textId="74C83E77" w:rsidR="00557DD7" w:rsidRDefault="00557DD7" w:rsidP="00557DD7">
      <w:pPr>
        <w:pStyle w:val="Quote"/>
      </w:pPr>
      <w:r w:rsidRPr="00CC5DDB">
        <w:t>the COVID</w:t>
      </w:r>
      <w:r w:rsidR="000565F7">
        <w:noBreakHyphen/>
      </w:r>
      <w:r w:rsidRPr="00CC5DDB">
        <w:t xml:space="preserve">19 pandemic, coupled with a </w:t>
      </w:r>
      <w:r w:rsidRPr="00EB553D">
        <w:t>huge appetite for digital transformation and use of digital technologies</w:t>
      </w:r>
      <w:r w:rsidRPr="00CC5DDB">
        <w:t xml:space="preserve">, drove an increased online presence among their members, followed by a </w:t>
      </w:r>
      <w:r>
        <w:t>“</w:t>
      </w:r>
      <w:r w:rsidRPr="00CC5DDB">
        <w:t>second wave</w:t>
      </w:r>
      <w:r>
        <w:t>”</w:t>
      </w:r>
      <w:r w:rsidRPr="00CC5DDB">
        <w:t xml:space="preserve"> of technology adoption to deal with problems arising from systems that were hastily put in place during the pandemic</w:t>
      </w:r>
      <w:r>
        <w:t>.</w:t>
      </w:r>
      <w:r w:rsidRPr="00CC5DDB">
        <w:t xml:space="preserve"> </w:t>
      </w:r>
      <w:r>
        <w:t>(pers. comm. 6</w:t>
      </w:r>
      <w:r w:rsidR="000565F7">
        <w:t> </w:t>
      </w:r>
      <w:r>
        <w:t>June 2022)</w:t>
      </w:r>
    </w:p>
    <w:p w14:paraId="3868DA1C" w14:textId="10F308D7" w:rsidR="00557DD7" w:rsidRPr="00CC5DDB" w:rsidRDefault="00557DD7" w:rsidP="00557DD7">
      <w:pPr>
        <w:pStyle w:val="BodyText"/>
      </w:pPr>
      <w:r>
        <w:t>A</w:t>
      </w:r>
      <w:r w:rsidRPr="00CC5DDB">
        <w:t xml:space="preserve"> recent survey of 1500 Australian SMEs</w:t>
      </w:r>
      <w:r>
        <w:t xml:space="preserve"> showed</w:t>
      </w:r>
      <w:r w:rsidRPr="00CC5DDB">
        <w:t xml:space="preserve"> 59 per cent of surveyed firms reporting that adopted digital solutions were hindering them in some way</w:t>
      </w:r>
      <w:r w:rsidR="00006AD8" w:rsidRPr="00006AD8">
        <w:t>, suggesting that the firm had not successfully integrated the innovation into its existing processes</w:t>
      </w:r>
      <w:r w:rsidRPr="00CC5DDB">
        <w:t xml:space="preserve">. Moreover, 42 per cent of surveyed businesses had given up on using some digital business solutions </w:t>
      </w:r>
      <w:r w:rsidR="00FC4D74" w:rsidRPr="00FC4D74">
        <w:rPr>
          <w:rFonts w:ascii="Arial" w:hAnsi="Arial" w:cs="Arial"/>
          <w:szCs w:val="24"/>
        </w:rPr>
        <w:t>(MYOB 2022)</w:t>
      </w:r>
      <w:r w:rsidRPr="00CC5DDB">
        <w:t>. This points to the risk that persistent gaps in management capability may lead some firms to ‘over adopt’, or fail to benefit from adopted technologies, potentially deterring future innovation.</w:t>
      </w:r>
    </w:p>
    <w:p w14:paraId="298437DE" w14:textId="531595D3" w:rsidR="00557DD7" w:rsidRPr="00512C2F" w:rsidRDefault="00557DD7" w:rsidP="00557DD7">
      <w:pPr>
        <w:pStyle w:val="BodyText"/>
        <w:rPr>
          <w:spacing w:val="-2"/>
        </w:rPr>
      </w:pPr>
      <w:r w:rsidRPr="00512C2F">
        <w:rPr>
          <w:spacing w:val="-2"/>
        </w:rPr>
        <w:t xml:space="preserve">Moreover, poor management capability may mean firms fail to fully </w:t>
      </w:r>
      <w:r w:rsidRPr="00512C2F">
        <w:rPr>
          <w:b/>
          <w:spacing w:val="-2"/>
        </w:rPr>
        <w:t>realise the benefits of their technology innovations</w:t>
      </w:r>
      <w:r w:rsidRPr="00512C2F">
        <w:rPr>
          <w:spacing w:val="-2"/>
        </w:rPr>
        <w:t>, even when the firm is at or near the global technology frontier. For example, the Interactive Games and Entertainment Association (IGEA), which represents the video games industry in Australia and New Zealand, suggested that while the industry was at the global frontier in terms of technical skills, some start</w:t>
      </w:r>
      <w:r w:rsidR="000565F7" w:rsidRPr="00512C2F">
        <w:rPr>
          <w:spacing w:val="-2"/>
        </w:rPr>
        <w:noBreakHyphen/>
      </w:r>
      <w:r w:rsidRPr="00512C2F">
        <w:rPr>
          <w:spacing w:val="-2"/>
        </w:rPr>
        <w:t>ups are held back by less management experience. According to IGEA, the ‘sector does not need help to get on top of the latest technology or techniques for making games</w:t>
      </w:r>
      <w:r w:rsidR="000565F7" w:rsidRPr="00512C2F">
        <w:rPr>
          <w:spacing w:val="-2"/>
        </w:rPr>
        <w:t xml:space="preserve"> </w:t>
      </w:r>
      <w:r w:rsidRPr="00512C2F">
        <w:rPr>
          <w:spacing w:val="-2"/>
        </w:rPr>
        <w:t>… it’s the boring things — management, business skills — that [their members] may not always prioritise as much’ (IGEA, pers. comm. 7</w:t>
      </w:r>
      <w:r w:rsidR="000565F7" w:rsidRPr="00512C2F">
        <w:rPr>
          <w:spacing w:val="-2"/>
        </w:rPr>
        <w:t> </w:t>
      </w:r>
      <w:r w:rsidRPr="00512C2F">
        <w:rPr>
          <w:spacing w:val="-2"/>
        </w:rPr>
        <w:t>June 2022).</w:t>
      </w:r>
    </w:p>
    <w:p w14:paraId="5060155E" w14:textId="2B151B6E" w:rsidR="00557DD7" w:rsidRDefault="00557DD7" w:rsidP="00557DD7">
      <w:pPr>
        <w:pStyle w:val="BodyText"/>
      </w:pPr>
      <w:r w:rsidRPr="00D00D31">
        <w:lastRenderedPageBreak/>
        <w:t xml:space="preserve">The Council of Small Business Organisations Australia (COSBOA) suggested that smaller firms do not have </w:t>
      </w:r>
      <w:r w:rsidRPr="00853331">
        <w:rPr>
          <w:b/>
        </w:rPr>
        <w:t>time to allocate to up</w:t>
      </w:r>
      <w:r w:rsidR="000565F7">
        <w:rPr>
          <w:b/>
        </w:rPr>
        <w:noBreakHyphen/>
      </w:r>
      <w:r w:rsidRPr="00853331">
        <w:rPr>
          <w:b/>
        </w:rPr>
        <w:t>skilling themselves as managers and owners</w:t>
      </w:r>
      <w:r w:rsidRPr="00D00D31">
        <w:t>, because they often prioritise training their staff first</w:t>
      </w:r>
      <w:r>
        <w:t xml:space="preserve"> </w:t>
      </w:r>
      <w:r w:rsidRPr="00B77217">
        <w:t>(</w:t>
      </w:r>
      <w:r>
        <w:t>COSBOA</w:t>
      </w:r>
      <w:r w:rsidRPr="00B77217">
        <w:t xml:space="preserve">, pers. comm. </w:t>
      </w:r>
      <w:r>
        <w:t>9</w:t>
      </w:r>
      <w:r w:rsidR="000565F7">
        <w:t> </w:t>
      </w:r>
      <w:r w:rsidRPr="00B77217">
        <w:t>June 2022)</w:t>
      </w:r>
      <w:r w:rsidRPr="00D00D31">
        <w:t>.</w:t>
      </w:r>
    </w:p>
    <w:p w14:paraId="11208933" w14:textId="77777777" w:rsidR="00557DD7" w:rsidRDefault="00557DD7" w:rsidP="00557DD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5B08F9DF" w14:textId="77777777" w:rsidTr="00C426E9">
        <w:trPr>
          <w:trHeight w:val="765"/>
          <w:tblHeader/>
        </w:trPr>
        <w:tc>
          <w:tcPr>
            <w:tcW w:w="366" w:type="pct"/>
            <w:tcBorders>
              <w:bottom w:val="nil"/>
            </w:tcBorders>
            <w:tcMar>
              <w:bottom w:w="0" w:type="dxa"/>
            </w:tcMar>
            <w:vAlign w:val="center"/>
          </w:tcPr>
          <w:p w14:paraId="283C1909" w14:textId="77777777" w:rsidR="00557DD7" w:rsidRDefault="00557DD7" w:rsidP="00C426E9">
            <w:pPr>
              <w:pStyle w:val="NoSpacing"/>
              <w:keepLines/>
              <w:jc w:val="right"/>
            </w:pPr>
            <w:r w:rsidRPr="00A51374">
              <w:rPr>
                <w:noProof/>
              </w:rPr>
              <w:drawing>
                <wp:inline distT="0" distB="0" distL="0" distR="0" wp14:anchorId="6BFD4BC8" wp14:editId="6F5131DD">
                  <wp:extent cx="288000" cy="288000"/>
                  <wp:effectExtent l="0" t="0" r="0" b="0"/>
                  <wp:docPr id="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49927E4" w14:textId="13D5EC4A" w:rsidR="00557DD7" w:rsidRPr="00A4395A" w:rsidRDefault="00557DD7" w:rsidP="00C426E9">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3</w:t>
            </w:r>
          </w:p>
          <w:p w14:paraId="229C2375" w14:textId="77777777" w:rsidR="00557DD7" w:rsidRDefault="00557DD7" w:rsidP="00C426E9">
            <w:pPr>
              <w:pStyle w:val="TableHeading"/>
              <w:keepLines/>
              <w:spacing w:before="60" w:after="120"/>
              <w:contextualSpacing/>
            </w:pPr>
            <w:r>
              <w:rPr>
                <w:sz w:val="20"/>
              </w:rPr>
              <w:t>M</w:t>
            </w:r>
            <w:r w:rsidRPr="00FD2EE4">
              <w:rPr>
                <w:sz w:val="20"/>
              </w:rPr>
              <w:t xml:space="preserve">anagement capability </w:t>
            </w:r>
            <w:r>
              <w:rPr>
                <w:sz w:val="20"/>
              </w:rPr>
              <w:t>for successful technology adoption</w:t>
            </w:r>
          </w:p>
        </w:tc>
      </w:tr>
      <w:tr w:rsidR="00557DD7" w14:paraId="3CD1B0E4" w14:textId="77777777" w:rsidTr="00C426E9">
        <w:tc>
          <w:tcPr>
            <w:tcW w:w="5000" w:type="pct"/>
            <w:gridSpan w:val="2"/>
            <w:tcBorders>
              <w:top w:val="nil"/>
              <w:bottom w:val="single" w:sz="4" w:space="0" w:color="66BCDB" w:themeColor="text2"/>
            </w:tcBorders>
          </w:tcPr>
          <w:p w14:paraId="0266CCF6" w14:textId="1FCE346E" w:rsidR="00557DD7" w:rsidRDefault="00557DD7" w:rsidP="00C426E9">
            <w:pPr>
              <w:pStyle w:val="BodyText"/>
              <w:keepLines/>
            </w:pPr>
            <w:r w:rsidRPr="00D66D01">
              <w:t>Poor management capability is holding back some businesses from making good adoption decisions and from getting the best outcome</w:t>
            </w:r>
            <w:r>
              <w:t>s</w:t>
            </w:r>
            <w:r w:rsidRPr="00D66D01">
              <w:t xml:space="preserve"> from their investments in developing and adopting new technologies. </w:t>
            </w:r>
            <w:r w:rsidRPr="00C57A8A">
              <w:t xml:space="preserve">Firms with stronger management are more likely to make good decisions </w:t>
            </w:r>
            <w:r w:rsidR="00CB5A0C">
              <w:t>about</w:t>
            </w:r>
            <w:r w:rsidRPr="00C57A8A">
              <w:t xml:space="preserve"> whether or not to adopt new technologies and practices, </w:t>
            </w:r>
            <w:r w:rsidR="009F3007">
              <w:t xml:space="preserve">and </w:t>
            </w:r>
            <w:r>
              <w:t xml:space="preserve">when and </w:t>
            </w:r>
            <w:r w:rsidRPr="00C57A8A">
              <w:t>how intensively to adopt them</w:t>
            </w:r>
            <w:r w:rsidR="00DB1ADA">
              <w:t>. Such</w:t>
            </w:r>
            <w:r w:rsidRPr="00C57A8A">
              <w:t xml:space="preserve"> </w:t>
            </w:r>
            <w:r w:rsidR="00DB1ADA">
              <w:t>firms are also more likely</w:t>
            </w:r>
            <w:r w:rsidRPr="00C57A8A">
              <w:t xml:space="preserve"> to be able to make the broader organisational changes that are needed to benefit from transformative technologies such as digital technologies. Despite a huge appetite for digital transformation in many industries, skills and management capability gaps (and a lack of tailored information) has seen some firms lose out from adopting new digital technologies, reducing their willingness to pursue future productivity</w:t>
            </w:r>
            <w:r>
              <w:noBreakHyphen/>
            </w:r>
            <w:r w:rsidRPr="00C57A8A">
              <w:t>enhancing innovation.</w:t>
            </w:r>
          </w:p>
        </w:tc>
      </w:tr>
      <w:tr w:rsidR="00557DD7" w14:paraId="53132791" w14:textId="77777777" w:rsidTr="00C426E9">
        <w:tc>
          <w:tcPr>
            <w:tcW w:w="5000" w:type="pct"/>
            <w:gridSpan w:val="2"/>
            <w:tcBorders>
              <w:top w:val="single" w:sz="4" w:space="0" w:color="66BCDB" w:themeColor="text2"/>
              <w:left w:val="nil"/>
              <w:bottom w:val="nil"/>
              <w:right w:val="nil"/>
            </w:tcBorders>
            <w:tcMar>
              <w:bottom w:w="0" w:type="dxa"/>
            </w:tcMar>
          </w:tcPr>
          <w:p w14:paraId="537BE529" w14:textId="77777777" w:rsidR="00557DD7" w:rsidRDefault="00557DD7" w:rsidP="00C426E9">
            <w:pPr>
              <w:pStyle w:val="NoSpacing"/>
              <w:spacing w:line="200" w:lineRule="atLeast"/>
            </w:pPr>
          </w:p>
        </w:tc>
      </w:tr>
    </w:tbl>
    <w:p w14:paraId="20E1BF11" w14:textId="77777777" w:rsidR="00557DD7" w:rsidRDefault="00557DD7" w:rsidP="00557DD7">
      <w:pPr>
        <w:pStyle w:val="Heading3"/>
      </w:pPr>
      <w:r>
        <w:t>Governments play an important role in building the human capital that enables diffusion of innovations</w:t>
      </w:r>
    </w:p>
    <w:p w14:paraId="0F6BBD67" w14:textId="1DFF0570" w:rsidR="00557DD7" w:rsidRDefault="00557DD7" w:rsidP="00557DD7">
      <w:pPr>
        <w:pStyle w:val="BodyText"/>
      </w:pPr>
      <w:r>
        <w:t>Governments play a pre</w:t>
      </w:r>
      <w:r>
        <w:noBreakHyphen/>
        <w:t xml:space="preserve">eminent role in developing the skills of Australians. Skills are a conduit for transferring new knowledge as well as </w:t>
      </w:r>
      <w:r w:rsidR="00666EF7">
        <w:t xml:space="preserve">information about </w:t>
      </w:r>
      <w:r w:rsidR="009940C2">
        <w:t xml:space="preserve">how to use </w:t>
      </w:r>
      <w:r>
        <w:t>novel innovation</w:t>
      </w:r>
      <w:r w:rsidR="00666EF7">
        <w:t>s</w:t>
      </w:r>
      <w:r>
        <w:t>. Governments’ role extends beyond funding and managing the education system (schools, vocational education and training (VET), and universities) to immigration policy (considered below).</w:t>
      </w:r>
    </w:p>
    <w:p w14:paraId="334DE42C" w14:textId="0CBECEDA" w:rsidR="00557DD7" w:rsidRDefault="00557DD7" w:rsidP="00557DD7">
      <w:pPr>
        <w:pStyle w:val="BodyText"/>
      </w:pPr>
      <w:r>
        <w:t xml:space="preserve">Nevertheless, the design and funding of the education system is pivotal to innovation and diffusion. Increasing the </w:t>
      </w:r>
      <w:r w:rsidRPr="001A3917">
        <w:t xml:space="preserve">attainment </w:t>
      </w:r>
      <w:r>
        <w:t xml:space="preserve">and quality of education, including early childhood education, schools, higher education and VET, increases workers’ capacity to identify and make productive use of new technologies and practices. A highly skilled workforce may also make Australia a relatively more attractive destination for foreign investment </w:t>
      </w:r>
      <w:r w:rsidR="00936D73" w:rsidRPr="00936D73">
        <w:rPr>
          <w:rFonts w:ascii="Arial" w:hAnsi="Arial" w:cs="Arial"/>
          <w:szCs w:val="24"/>
        </w:rPr>
        <w:t>(PC 2020c, p. 54)</w:t>
      </w:r>
      <w:r>
        <w:t>, and for investment in projects with high skills requirements. The Commission is undertaking a more detailed assessment in a companion report on skill formation as part of the Productivity Inquiry and also through a review of the National School Reform Agreement</w:t>
      </w:r>
      <w:r w:rsidR="00D42F97">
        <w:t xml:space="preserve"> (PC 2022d)</w:t>
      </w:r>
      <w:r>
        <w:t>.</w:t>
      </w:r>
    </w:p>
    <w:p w14:paraId="4E3737F6" w14:textId="1B3D777F" w:rsidR="00557DD7" w:rsidRPr="008C0D16" w:rsidRDefault="00557DD7" w:rsidP="00557DD7">
      <w:pPr>
        <w:pStyle w:val="Heading4"/>
      </w:pPr>
      <w:r>
        <w:t xml:space="preserve">Skilled </w:t>
      </w:r>
      <w:r w:rsidR="00995817">
        <w:t>m</w:t>
      </w:r>
      <w:r>
        <w:t>igration</w:t>
      </w:r>
    </w:p>
    <w:p w14:paraId="376AB940" w14:textId="2C56790B" w:rsidR="00557DD7" w:rsidRDefault="00557DD7" w:rsidP="00557DD7">
      <w:pPr>
        <w:pStyle w:val="BodyText"/>
      </w:pPr>
      <w:r w:rsidRPr="00520101">
        <w:t>Skilled migration</w:t>
      </w:r>
      <w:r>
        <w:t xml:space="preserve"> offers a near</w:t>
      </w:r>
      <w:r>
        <w:noBreakHyphen/>
        <w:t>term option for accessing</w:t>
      </w:r>
      <w:r w:rsidDel="008E59B1">
        <w:t xml:space="preserve"> </w:t>
      </w:r>
      <w:r>
        <w:t>skills and knowledge that are in short supply in the domestic labour market.</w:t>
      </w:r>
    </w:p>
    <w:p w14:paraId="1451A0C6" w14:textId="764E13B2" w:rsidR="00557DD7" w:rsidRDefault="00557DD7" w:rsidP="00557DD7">
      <w:pPr>
        <w:pStyle w:val="BodyText"/>
      </w:pPr>
      <w:bookmarkStart w:id="88" w:name="_Hlk113359570"/>
      <w:r>
        <w:t xml:space="preserve">Skilled migration plays two very important roles. First, skilled migration </w:t>
      </w:r>
      <w:r w:rsidDel="00021588">
        <w:t xml:space="preserve">is </w:t>
      </w:r>
      <w:r>
        <w:t xml:space="preserve">a direct channel for diffusion. Migration has the distinct advantage </w:t>
      </w:r>
      <w:r w:rsidR="00F45241">
        <w:t>of bringing</w:t>
      </w:r>
      <w:r>
        <w:t xml:space="preserve"> knowledge from businesses operating in different contexts to domestic firms, and thus a greater potential for diffusion of knowledge about frontier technologies and practices than arises from movements of workers between domestic businesses. Hiring a worker from a direct competitor in overseas markets, or a closely related industry, has the potential to bring immediate productivity benefits to an Australian firm.</w:t>
      </w:r>
    </w:p>
    <w:p w14:paraId="1A917B36" w14:textId="4B6CD044" w:rsidR="00557DD7" w:rsidRDefault="00557DD7" w:rsidP="00557DD7">
      <w:pPr>
        <w:pStyle w:val="BodyText"/>
      </w:pPr>
      <w:r>
        <w:t xml:space="preserve">Second, Australian firms benefit from migrants’ technical and managerial skills gained from working with more advanced technologies in overseas firms and markets, and their global connections </w:t>
      </w:r>
      <w:bookmarkEnd w:id="88"/>
      <w:r w:rsidR="00936D73" w:rsidRPr="00936D73">
        <w:rPr>
          <w:rFonts w:ascii="Arial" w:hAnsi="Arial" w:cs="Arial"/>
          <w:szCs w:val="24"/>
        </w:rPr>
        <w:t xml:space="preserve">(PC 2016c, </w:t>
      </w:r>
      <w:r w:rsidR="00936D73" w:rsidRPr="00936D73">
        <w:rPr>
          <w:rFonts w:ascii="Arial" w:hAnsi="Arial" w:cs="Arial"/>
          <w:szCs w:val="24"/>
        </w:rPr>
        <w:lastRenderedPageBreak/>
        <w:t>pp. 210–214)</w:t>
      </w:r>
      <w:r>
        <w:t>. Skilled migration can be an explicit part of technology adoption. As noted by the Business Council of Australia:</w:t>
      </w:r>
    </w:p>
    <w:p w14:paraId="5A3091B2" w14:textId="174E7981" w:rsidR="00557DD7" w:rsidRDefault="00557DD7" w:rsidP="00557DD7">
      <w:pPr>
        <w:pStyle w:val="Quote"/>
      </w:pPr>
      <w:r>
        <w:t>it will continue to be the case that much of the innovation occurs offshore, and the new skills supporting that innovation will first be developed offshore. (</w:t>
      </w:r>
      <w:r w:rsidRPr="008535CE">
        <w:t>BCA, sub.</w:t>
      </w:r>
      <w:r w:rsidR="000565F7">
        <w:t> </w:t>
      </w:r>
      <w:r w:rsidRPr="008535CE">
        <w:t>16, p.</w:t>
      </w:r>
      <w:r>
        <w:t xml:space="preserve"> </w:t>
      </w:r>
      <w:r w:rsidRPr="008535CE">
        <w:t>9</w:t>
      </w:r>
      <w:r>
        <w:t>)</w:t>
      </w:r>
    </w:p>
    <w:p w14:paraId="145233A8" w14:textId="3B0605C6" w:rsidR="00557DD7" w:rsidRDefault="00557DD7" w:rsidP="00557DD7">
      <w:pPr>
        <w:pStyle w:val="BodyText"/>
      </w:pPr>
      <w:r>
        <w:t xml:space="preserve">Analysis from New Zealand finds that the share of recent, </w:t>
      </w:r>
      <w:r w:rsidDel="000D7DB4">
        <w:t>high</w:t>
      </w:r>
      <w:r w:rsidR="000565F7">
        <w:noBreakHyphen/>
      </w:r>
      <w:r>
        <w:t xml:space="preserve">skilled migrants (or returnee New Zealanders) in a firm is significantly and positively associated with innovation. In particular, firms that employed returning New Zealanders were more likely to introduce innovations that were new to New Zealand </w:t>
      </w:r>
      <w:r w:rsidRPr="00143E60">
        <w:rPr>
          <w:rFonts w:ascii="Arial" w:hAnsi="Arial" w:cs="Arial"/>
          <w:szCs w:val="24"/>
        </w:rPr>
        <w:t>(McLeod, Fabling and Marr 2014, pp. 21–25)</w:t>
      </w:r>
      <w:r>
        <w:t xml:space="preserve">. The share of high skilled employment is also associated with firms introducing any innovation, albeit a weaker association than the share of recent high skilled migrants </w:t>
      </w:r>
      <w:r w:rsidRPr="00384439">
        <w:rPr>
          <w:rFonts w:ascii="Arial" w:hAnsi="Arial" w:cs="Arial"/>
          <w:szCs w:val="24"/>
        </w:rPr>
        <w:t>(McLeod, Fabling and Marr 2014, p. 21)</w:t>
      </w:r>
      <w:r>
        <w:t>.</w:t>
      </w:r>
    </w:p>
    <w:p w14:paraId="30946D47" w14:textId="77777777" w:rsidR="00557DD7" w:rsidRDefault="00557DD7" w:rsidP="004C7393">
      <w:pPr>
        <w:pStyle w:val="NoSpacing"/>
      </w:pPr>
    </w:p>
    <w:tbl>
      <w:tblPr>
        <w:tblStyle w:val="Texttable-Paleblue"/>
        <w:tblW w:w="5000" w:type="pct"/>
        <w:tblLook w:val="04A0" w:firstRow="1" w:lastRow="0" w:firstColumn="1" w:lastColumn="0" w:noHBand="0" w:noVBand="1"/>
      </w:tblPr>
      <w:tblGrid>
        <w:gridCol w:w="774"/>
        <w:gridCol w:w="8864"/>
      </w:tblGrid>
      <w:tr w:rsidR="00557DD7" w14:paraId="5EC2E551" w14:textId="77777777" w:rsidTr="00C426E9">
        <w:trPr>
          <w:tblHeader/>
        </w:trPr>
        <w:tc>
          <w:tcPr>
            <w:tcW w:w="706" w:type="dxa"/>
            <w:tcMar>
              <w:top w:w="0" w:type="dxa"/>
              <w:bottom w:w="0" w:type="dxa"/>
            </w:tcMar>
            <w:vAlign w:val="center"/>
          </w:tcPr>
          <w:p w14:paraId="49310DF1" w14:textId="77777777" w:rsidR="00557DD7" w:rsidRDefault="00557DD7" w:rsidP="00C426E9">
            <w:pPr>
              <w:keepLines/>
              <w:jc w:val="center"/>
            </w:pPr>
            <w:r w:rsidRPr="00A51374">
              <w:rPr>
                <w:noProof/>
              </w:rPr>
              <w:drawing>
                <wp:inline distT="0" distB="0" distL="0" distR="0" wp14:anchorId="18F2CF04" wp14:editId="35FC9D4D">
                  <wp:extent cx="288000" cy="288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082" w:type="dxa"/>
            <w:tcMar>
              <w:top w:w="0" w:type="dxa"/>
              <w:bottom w:w="0" w:type="dxa"/>
            </w:tcMar>
            <w:vAlign w:val="center"/>
          </w:tcPr>
          <w:p w14:paraId="79F0A586" w14:textId="6666A160" w:rsidR="00557DD7" w:rsidRPr="00715040" w:rsidRDefault="00557DD7" w:rsidP="00C426E9">
            <w:pPr>
              <w:pStyle w:val="TableHeading"/>
              <w:keepLines/>
              <w:spacing w:before="120" w:after="120"/>
              <w:contextualSpacing/>
              <w:rPr>
                <w:sz w:val="20"/>
              </w:rPr>
            </w:pPr>
            <w:r w:rsidRPr="00715040">
              <w:rPr>
                <w:sz w:val="20"/>
              </w:rPr>
              <w:t>Recommendation</w:t>
            </w:r>
            <w:r>
              <w:rPr>
                <w:sz w:val="20"/>
              </w:rPr>
              <w:t xml:space="preserve"> </w:t>
            </w:r>
            <w:r w:rsidR="00D42F97">
              <w:rPr>
                <w:sz w:val="20"/>
              </w:rPr>
              <w:t>d</w:t>
            </w:r>
            <w:r>
              <w:rPr>
                <w:sz w:val="20"/>
              </w:rPr>
              <w:t>irection</w:t>
            </w:r>
            <w:r w:rsidRPr="00715040">
              <w:rPr>
                <w:sz w:val="20"/>
              </w:rPr>
              <w:t xml:space="preserve"> </w:t>
            </w:r>
            <w:r>
              <w:rPr>
                <w:noProof/>
                <w:sz w:val="20"/>
              </w:rPr>
              <w:t>2</w:t>
            </w:r>
            <w:r w:rsidRPr="00715040">
              <w:rPr>
                <w:sz w:val="20"/>
              </w:rPr>
              <w:t>.</w:t>
            </w:r>
            <w:r>
              <w:rPr>
                <w:noProof/>
                <w:sz w:val="20"/>
              </w:rPr>
              <w:t>1</w:t>
            </w:r>
          </w:p>
          <w:p w14:paraId="200AF0C1" w14:textId="77777777" w:rsidR="00557DD7" w:rsidRPr="00715040" w:rsidRDefault="00557DD7" w:rsidP="00C426E9">
            <w:pPr>
              <w:pStyle w:val="TableHeading"/>
              <w:keepLines/>
              <w:spacing w:before="120" w:after="120"/>
              <w:contextualSpacing/>
              <w:rPr>
                <w:sz w:val="20"/>
              </w:rPr>
            </w:pPr>
            <w:r w:rsidRPr="001F736D">
              <w:rPr>
                <w:sz w:val="20"/>
              </w:rPr>
              <w:t>Skilled migration as a means to diffuse technologies and skill</w:t>
            </w:r>
            <w:r>
              <w:rPr>
                <w:sz w:val="20"/>
              </w:rPr>
              <w:t>s</w:t>
            </w:r>
          </w:p>
        </w:tc>
      </w:tr>
      <w:tr w:rsidR="00557DD7" w14:paraId="5078F9B9" w14:textId="77777777" w:rsidTr="00C426E9">
        <w:tc>
          <w:tcPr>
            <w:tcW w:w="8788" w:type="dxa"/>
            <w:gridSpan w:val="2"/>
            <w:tcMar>
              <w:top w:w="0" w:type="dxa"/>
            </w:tcMar>
          </w:tcPr>
          <w:p w14:paraId="75E44005" w14:textId="77777777" w:rsidR="00557DD7" w:rsidRPr="00767EAE" w:rsidRDefault="00557DD7" w:rsidP="00C426E9">
            <w:pPr>
              <w:pStyle w:val="BodyText"/>
              <w:keepLines/>
            </w:pPr>
            <w:r w:rsidRPr="00F87985">
              <w:t xml:space="preserve">Skilled migrants have skills that are lacking in Australia, thanks to their experiences with frontier technologies and practices developed overseas. Facilitating skilled migration will remove barriers to the diffusion of those technologies and skills. </w:t>
            </w:r>
            <w:r w:rsidRPr="00765D84">
              <w:t>An expanded and adapted employer</w:t>
            </w:r>
            <w:r>
              <w:noBreakHyphen/>
            </w:r>
            <w:r w:rsidRPr="00765D84">
              <w:t xml:space="preserve">nominated migration scheme would allow better matching of the skills and knowledge needed by employees and the unique capabilities </w:t>
            </w:r>
            <w:r w:rsidRPr="00F87985">
              <w:t>held by</w:t>
            </w:r>
            <w:r w:rsidRPr="00765D84">
              <w:t xml:space="preserve"> migrants.</w:t>
            </w:r>
          </w:p>
        </w:tc>
      </w:tr>
      <w:tr w:rsidR="00557DD7" w14:paraId="477C62DB" w14:textId="77777777" w:rsidTr="00C426E9">
        <w:tc>
          <w:tcPr>
            <w:tcW w:w="8788" w:type="dxa"/>
            <w:gridSpan w:val="2"/>
            <w:shd w:val="clear" w:color="auto" w:fill="auto"/>
            <w:tcMar>
              <w:top w:w="0" w:type="dxa"/>
              <w:bottom w:w="0" w:type="dxa"/>
            </w:tcMar>
          </w:tcPr>
          <w:p w14:paraId="4C111C6D" w14:textId="77777777" w:rsidR="00557DD7" w:rsidRPr="007E0EA8" w:rsidRDefault="00557DD7" w:rsidP="00C426E9">
            <w:pPr>
              <w:pStyle w:val="NoSpacing"/>
              <w:spacing w:line="200" w:lineRule="exact"/>
            </w:pPr>
          </w:p>
        </w:tc>
      </w:tr>
    </w:tbl>
    <w:p w14:paraId="09E93C8F" w14:textId="77777777" w:rsidR="00557DD7" w:rsidRPr="00B945DB" w:rsidRDefault="00557DD7" w:rsidP="00557DD7">
      <w:pPr>
        <w:pStyle w:val="Heading4"/>
      </w:pPr>
      <w:r>
        <w:t>Researchers in industry</w:t>
      </w:r>
    </w:p>
    <w:p w14:paraId="53C4FAFC" w14:textId="42A73175" w:rsidR="00557DD7" w:rsidRDefault="00557DD7" w:rsidP="00557DD7">
      <w:pPr>
        <w:pStyle w:val="BodyText"/>
      </w:pPr>
      <w:r>
        <w:t>For firms engaging in more technical or adaptive types of innovation, an in</w:t>
      </w:r>
      <w:r>
        <w:noBreakHyphen/>
        <w:t>house research capacity may be needed to better identify and evaluate new information and apply that information to their circumstances. For such firms, employing researchers may be</w:t>
      </w:r>
      <w:r w:rsidR="0006677A">
        <w:t xml:space="preserve"> a</w:t>
      </w:r>
      <w:r>
        <w:t xml:space="preserve"> particularly important component of their absorptive capacity.</w:t>
      </w:r>
      <w:r>
        <w:rPr>
          <w:rStyle w:val="FootnoteReference"/>
        </w:rPr>
        <w:footnoteReference w:id="17"/>
      </w:r>
      <w:r>
        <w:t xml:space="preserve"> Increasing the supply of industry</w:t>
      </w:r>
      <w:r>
        <w:noBreakHyphen/>
        <w:t>ready researchers may complement other government incentives for firms to undertake in</w:t>
      </w:r>
      <w:r>
        <w:noBreakHyphen/>
        <w:t>house R&amp;D activities via industry policies such as the Research and Development Tax Incentive (box 2.3).</w:t>
      </w:r>
    </w:p>
    <w:p w14:paraId="46DD88DD" w14:textId="34DD3503" w:rsidR="00557DD7" w:rsidRDefault="00557DD7" w:rsidP="00557DD7">
      <w:pPr>
        <w:pStyle w:val="BodyText"/>
      </w:pPr>
      <w:r>
        <w:t>There is substantial scope to increase the industry</w:t>
      </w:r>
      <w:r>
        <w:noBreakHyphen/>
        <w:t>readiness of researchers by ensuring that people with postgraduate qualifications are provided with pathways to engage with industry. Some industries already tend to have large numbers of post</w:t>
      </w:r>
      <w:r>
        <w:noBreakHyphen/>
        <w:t>graduate educated employees, particularly education, professional services, financial services and health care (figure </w:t>
      </w:r>
      <w:bookmarkStart w:id="89" w:name="_1724056589"/>
      <w:bookmarkEnd w:id="89"/>
      <w:r>
        <w:t xml:space="preserve">2.8). But linkages could be improved by creating more connections between students and industry when they are engaged in study. Data from the Department of Education, Skills and </w:t>
      </w:r>
      <w:r w:rsidRPr="00D5175B">
        <w:t>Employment indicate that less than 14</w:t>
      </w:r>
      <w:r>
        <w:t> </w:t>
      </w:r>
      <w:r w:rsidRPr="00D5175B">
        <w:t>per</w:t>
      </w:r>
      <w:r>
        <w:t> </w:t>
      </w:r>
      <w:r w:rsidRPr="00D5175B">
        <w:t>cent of higher</w:t>
      </w:r>
      <w:r>
        <w:noBreakHyphen/>
      </w:r>
      <w:r w:rsidRPr="00D5175B">
        <w:t>degree research students engage with end users in some way</w:t>
      </w:r>
      <w:r>
        <w:t xml:space="preserve"> </w:t>
      </w:r>
      <w:r w:rsidRPr="00FF57B2">
        <w:rPr>
          <w:rFonts w:ascii="Arial" w:hAnsi="Arial" w:cs="Arial"/>
          <w:szCs w:val="24"/>
        </w:rPr>
        <w:t>(DESE 2022a)</w:t>
      </w:r>
      <w:r>
        <w:t>. Although the number of university</w:t>
      </w:r>
      <w:r>
        <w:noBreakHyphen/>
        <w:t xml:space="preserve">industry research collaborations have been increasing </w:t>
      </w:r>
      <w:r w:rsidRPr="0007269E">
        <w:rPr>
          <w:rFonts w:ascii="Arial" w:hAnsi="Arial" w:cs="Arial"/>
          <w:szCs w:val="24"/>
        </w:rPr>
        <w:t>(ARC 2018)</w:t>
      </w:r>
      <w:r>
        <w:t>, there is still scope to create more linkages between early career researchers and industry.</w:t>
      </w:r>
    </w:p>
    <w:tbl>
      <w:tblPr>
        <w:tblStyle w:val="Boxtable"/>
        <w:tblW w:w="5000" w:type="pct"/>
        <w:tblLook w:val="04A0" w:firstRow="1" w:lastRow="0" w:firstColumn="1" w:lastColumn="0" w:noHBand="0" w:noVBand="1"/>
      </w:tblPr>
      <w:tblGrid>
        <w:gridCol w:w="9638"/>
      </w:tblGrid>
      <w:tr w:rsidR="00557DD7" w14:paraId="466B1CFB" w14:textId="77777777" w:rsidTr="004C7393">
        <w:trPr>
          <w:tblHeader/>
        </w:trPr>
        <w:tc>
          <w:tcPr>
            <w:tcW w:w="9638" w:type="dxa"/>
            <w:tcMar>
              <w:top w:w="170" w:type="dxa"/>
              <w:left w:w="170" w:type="dxa"/>
              <w:bottom w:w="113" w:type="dxa"/>
              <w:right w:w="170" w:type="dxa"/>
            </w:tcMar>
            <w:hideMark/>
          </w:tcPr>
          <w:p w14:paraId="0B79457A" w14:textId="5D194AE0" w:rsidR="00557DD7" w:rsidRPr="00450592" w:rsidRDefault="00557DD7" w:rsidP="004C7393">
            <w:pPr>
              <w:pStyle w:val="BoxHeading1"/>
            </w:pPr>
            <w:r>
              <w:lastRenderedPageBreak/>
              <w:t xml:space="preserve">Box </w:t>
            </w:r>
            <w:bookmarkStart w:id="90" w:name="OLE_LINK17"/>
            <w:r>
              <w:rPr>
                <w:noProof/>
              </w:rPr>
              <w:t>2</w:t>
            </w:r>
            <w:r>
              <w:t>.</w:t>
            </w:r>
            <w:r>
              <w:rPr>
                <w:noProof/>
              </w:rPr>
              <w:t>3</w:t>
            </w:r>
            <w:bookmarkEnd w:id="90"/>
            <w:r>
              <w:t xml:space="preserve"> – Absorptive capacity and the R&amp;D Tax Incentive</w:t>
            </w:r>
          </w:p>
        </w:tc>
      </w:tr>
      <w:tr w:rsidR="00557DD7" w14:paraId="10E51589" w14:textId="77777777" w:rsidTr="004C7393">
        <w:tc>
          <w:tcPr>
            <w:tcW w:w="9638" w:type="dxa"/>
            <w:tcMar>
              <w:top w:w="28" w:type="dxa"/>
              <w:left w:w="170" w:type="dxa"/>
              <w:bottom w:w="170" w:type="dxa"/>
              <w:right w:w="170" w:type="dxa"/>
            </w:tcMar>
            <w:hideMark/>
          </w:tcPr>
          <w:p w14:paraId="1643A3DA" w14:textId="07763BF4" w:rsidR="00557DD7" w:rsidRDefault="00557DD7" w:rsidP="00C426E9">
            <w:pPr>
              <w:pStyle w:val="BodyText"/>
            </w:pPr>
            <w:r>
              <w:t xml:space="preserve">While business investment is R&amp;D is widely recognised as a crucial input to technological innovation — particularly highly novel innovation </w:t>
            </w:r>
            <w:r w:rsidRPr="006C7261">
              <w:rPr>
                <w:rFonts w:ascii="Arial" w:hAnsi="Arial" w:cs="Arial"/>
                <w:szCs w:val="24"/>
              </w:rPr>
              <w:t xml:space="preserve">(Majeed and </w:t>
            </w:r>
            <w:proofErr w:type="spellStart"/>
            <w:r w:rsidRPr="006C7261">
              <w:rPr>
                <w:rFonts w:ascii="Arial" w:hAnsi="Arial" w:cs="Arial"/>
                <w:szCs w:val="24"/>
              </w:rPr>
              <w:t>Breunig</w:t>
            </w:r>
            <w:proofErr w:type="spellEnd"/>
            <w:r w:rsidRPr="006C7261">
              <w:rPr>
                <w:rFonts w:ascii="Arial" w:hAnsi="Arial" w:cs="Arial"/>
                <w:szCs w:val="24"/>
              </w:rPr>
              <w:t> 2021, p. 2)</w:t>
            </w:r>
            <w:r>
              <w:t xml:space="preserve"> — it also plays a role in innovation </w:t>
            </w:r>
            <w:r w:rsidRPr="00B435FA">
              <w:rPr>
                <w:i/>
              </w:rPr>
              <w:t>diffusion</w:t>
            </w:r>
            <w:r>
              <w:t xml:space="preserve"> through two channels. First, business R&amp;D may involve adapting existing innovations to fit a firm’s specific circumstances or market. Second, </w:t>
            </w:r>
            <w:r w:rsidRPr="00053746">
              <w:t>undertaking in</w:t>
            </w:r>
            <w:r>
              <w:noBreakHyphen/>
            </w:r>
            <w:r w:rsidRPr="00053746">
              <w:t>house R&amp;D may increase a firm’s ability</w:t>
            </w:r>
            <w:r>
              <w:t xml:space="preserve"> to identify and </w:t>
            </w:r>
            <w:r w:rsidRPr="00053746">
              <w:t xml:space="preserve">recognise the value of </w:t>
            </w:r>
            <w:r>
              <w:t>new</w:t>
            </w:r>
            <w:r w:rsidRPr="00053746">
              <w:t>, external</w:t>
            </w:r>
            <w:r>
              <w:t xml:space="preserve"> information</w:t>
            </w:r>
            <w:r w:rsidRPr="00053746">
              <w:t xml:space="preserve">, </w:t>
            </w:r>
            <w:r>
              <w:t>to</w:t>
            </w:r>
            <w:r w:rsidRPr="00053746">
              <w:t xml:space="preserve"> assimilate it, and </w:t>
            </w:r>
            <w:r>
              <w:t xml:space="preserve">to </w:t>
            </w:r>
            <w:r w:rsidRPr="00053746">
              <w:t>apply it in their operations. To the extent that this lowers the cost of learning about new technologies, R&amp;D can facilitate innovation adoption and catch</w:t>
            </w:r>
            <w:r>
              <w:noBreakHyphen/>
            </w:r>
            <w:r w:rsidRPr="00053746">
              <w:t>up to the national frontie</w:t>
            </w:r>
            <w:r>
              <w:t xml:space="preserve">r </w:t>
            </w:r>
            <w:r w:rsidRPr="00767735">
              <w:rPr>
                <w:rFonts w:ascii="Arial" w:hAnsi="Arial" w:cs="Arial"/>
                <w:szCs w:val="24"/>
              </w:rPr>
              <w:t>(Bloom, Van Reenen and Williams 2019; Cohen and Levinthal 1990, pp. 148–149)</w:t>
            </w:r>
            <w:r>
              <w:t>.</w:t>
            </w:r>
          </w:p>
          <w:p w14:paraId="3BF18D6E" w14:textId="20462ECE" w:rsidR="00557DD7" w:rsidRPr="000D44C7" w:rsidRDefault="00557DD7" w:rsidP="00C426E9">
            <w:pPr>
              <w:pStyle w:val="BodyText"/>
              <w:rPr>
                <w:spacing w:val="-4"/>
              </w:rPr>
            </w:pPr>
            <w:r w:rsidRPr="000D44C7">
              <w:rPr>
                <w:spacing w:val="-4"/>
              </w:rPr>
              <w:t xml:space="preserve">In Australia, the main policy lever for business R&amp;D — and for business investment in innovation more broadly — is provided through the Research &amp; Development Tax </w:t>
            </w:r>
            <w:proofErr w:type="spellStart"/>
            <w:r w:rsidRPr="000D44C7">
              <w:rPr>
                <w:spacing w:val="-4"/>
              </w:rPr>
              <w:t>Incentive</w:t>
            </w:r>
            <w:r w:rsidRPr="000D44C7">
              <w:rPr>
                <w:b/>
                <w:spacing w:val="-4"/>
                <w:vertAlign w:val="superscript"/>
              </w:rPr>
              <w:t>a</w:t>
            </w:r>
            <w:proofErr w:type="spellEnd"/>
            <w:r w:rsidRPr="000D44C7">
              <w:rPr>
                <w:spacing w:val="-4"/>
              </w:rPr>
              <w:t xml:space="preserve"> (R&amp;DTI), which aims to encourage businesses to undertake R&amp;D that may not be viable for an individual </w:t>
            </w:r>
            <w:proofErr w:type="gramStart"/>
            <w:r w:rsidRPr="000D44C7">
              <w:rPr>
                <w:spacing w:val="-4"/>
              </w:rPr>
              <w:t>business, but</w:t>
            </w:r>
            <w:proofErr w:type="gramEnd"/>
            <w:r w:rsidRPr="000D44C7">
              <w:rPr>
                <w:spacing w:val="-4"/>
              </w:rPr>
              <w:t xml:space="preserve"> may yield outcomes that have a wider benefit to Australian society </w:t>
            </w:r>
            <w:r w:rsidRPr="000D44C7">
              <w:rPr>
                <w:rFonts w:cs="Arial"/>
                <w:spacing w:val="-4"/>
                <w:szCs w:val="24"/>
              </w:rPr>
              <w:t>(PC 2017a, p. 23)</w:t>
            </w:r>
            <w:r w:rsidRPr="000D44C7">
              <w:rPr>
                <w:spacing w:val="-4"/>
              </w:rPr>
              <w:t>. The R&amp;DTI lowers the cost of undertaking R&amp;D and, through a refundable tax offset, alleviates liquidity constraints for cash</w:t>
            </w:r>
            <w:r w:rsidRPr="000D44C7">
              <w:rPr>
                <w:spacing w:val="-4"/>
              </w:rPr>
              <w:noBreakHyphen/>
              <w:t>constrained start</w:t>
            </w:r>
            <w:r w:rsidR="000565F7" w:rsidRPr="000D44C7">
              <w:rPr>
                <w:spacing w:val="-4"/>
              </w:rPr>
              <w:noBreakHyphen/>
            </w:r>
            <w:r w:rsidRPr="000D44C7">
              <w:rPr>
                <w:spacing w:val="-4"/>
              </w:rPr>
              <w:t>ups and SMEs. It also provides concessions to improve the asymmetric tax treatment of profits and losses and the bias this creates against risk taking in the economy, including R&amp;D (Business Tax Working Group 2011, p. 13).</w:t>
            </w:r>
          </w:p>
          <w:p w14:paraId="3CCB8762" w14:textId="0834FE1D" w:rsidR="00557DD7" w:rsidRDefault="00557DD7" w:rsidP="00C426E9">
            <w:pPr>
              <w:pStyle w:val="BodyText"/>
            </w:pPr>
            <w:r>
              <w:t xml:space="preserve">Previous reviews of the R&amp;DTI, and consultations undertaken for the Inquiry, have raised a number of concerns with the program, including limited additionality </w:t>
            </w:r>
            <w:r w:rsidRPr="002317E8">
              <w:rPr>
                <w:rFonts w:ascii="Arial" w:hAnsi="Arial" w:cs="Arial"/>
                <w:szCs w:val="24"/>
              </w:rPr>
              <w:t>(Ferris, Finkel and Fraser 2016, p. 14)</w:t>
            </w:r>
            <w:r>
              <w:t xml:space="preserve"> and the stifling effects of some aspects of the program’s administration, including uncertainty </w:t>
            </w:r>
            <w:r w:rsidR="00CB5A0C">
              <w:t>about</w:t>
            </w:r>
            <w:r>
              <w:t xml:space="preserve"> eligibility and the ex</w:t>
            </w:r>
            <w:r w:rsidR="000565F7">
              <w:noBreakHyphen/>
            </w:r>
            <w:r>
              <w:t xml:space="preserve">post compliance assessments that may require small firms to retrospectively pay back their offset </w:t>
            </w:r>
            <w:r w:rsidRPr="002E7E16">
              <w:rPr>
                <w:rFonts w:ascii="Arial" w:hAnsi="Arial" w:cs="Arial"/>
                <w:szCs w:val="24"/>
              </w:rPr>
              <w:t>(ASBFEO 2019, p. 5)</w:t>
            </w:r>
            <w:r>
              <w:t>.</w:t>
            </w:r>
          </w:p>
          <w:p w14:paraId="67158CF2" w14:textId="579591F7" w:rsidR="00557DD7" w:rsidRPr="00512C2F" w:rsidRDefault="00557DD7" w:rsidP="00C426E9">
            <w:pPr>
              <w:pStyle w:val="BodyText"/>
              <w:rPr>
                <w:spacing w:val="-2"/>
              </w:rPr>
            </w:pPr>
            <w:r w:rsidRPr="00512C2F">
              <w:rPr>
                <w:spacing w:val="-2"/>
              </w:rPr>
              <w:t xml:space="preserve">Given the importance of policy certainty and history of tinkering with the R&amp;DTI, additional changes beyond those previously recommended may be unwise. However, given the connection between researchers and absorptive capacity, one option worth considering concerns changes to eligibility criteria. Currently, the programme uses a broad concept of eligible expenditure, allowing almost any type of expense that is directly relevant to an eligible R&amp;D activity except interest payments and the purchase of capital assets </w:t>
            </w:r>
            <w:r w:rsidRPr="00512C2F">
              <w:rPr>
                <w:rFonts w:cs="Arial"/>
                <w:spacing w:val="-2"/>
                <w:szCs w:val="24"/>
              </w:rPr>
              <w:t>(Ferris, Finkel and Fraser 2016, p. 12)</w:t>
            </w:r>
            <w:r w:rsidRPr="00512C2F">
              <w:rPr>
                <w:spacing w:val="-2"/>
              </w:rPr>
              <w:t xml:space="preserve">. Focusing eligibility criteria on personnel costs could stimulate additional absorptive capacity by bringing additional researchers into firms. However, prior research suggests an increasing focus on personnel </w:t>
            </w:r>
            <w:r w:rsidR="004E1D9B" w:rsidRPr="00512C2F">
              <w:rPr>
                <w:spacing w:val="-2"/>
              </w:rPr>
              <w:t>with a limited supply of researchers</w:t>
            </w:r>
            <w:r w:rsidRPr="00512C2F">
              <w:rPr>
                <w:spacing w:val="-2"/>
              </w:rPr>
              <w:t xml:space="preserve"> may just lead to higher wages rather than additional R&amp;D activities, reducing the effectiveness of public support </w:t>
            </w:r>
            <w:r w:rsidRPr="00512C2F">
              <w:rPr>
                <w:rFonts w:cs="Arial"/>
                <w:spacing w:val="-2"/>
                <w:szCs w:val="24"/>
              </w:rPr>
              <w:t>(Ferris, Finkel and Fraser 2016, pp. 12–13)</w:t>
            </w:r>
            <w:r w:rsidRPr="00512C2F">
              <w:rPr>
                <w:spacing w:val="-2"/>
              </w:rPr>
              <w:t>.</w:t>
            </w:r>
            <w:r w:rsidR="008A2E15" w:rsidRPr="00512C2F">
              <w:rPr>
                <w:spacing w:val="-2"/>
              </w:rPr>
              <w:t xml:space="preserve"> Further work would be required to assess the elasticity of supply of researchers.</w:t>
            </w:r>
          </w:p>
          <w:p w14:paraId="162B2988" w14:textId="627F3B0E" w:rsidR="00557DD7" w:rsidRDefault="00557DD7" w:rsidP="004C7393">
            <w:pPr>
              <w:pStyle w:val="Note"/>
            </w:pPr>
            <w:r>
              <w:rPr>
                <w:b/>
                <w:bCs/>
              </w:rPr>
              <w:t>a</w:t>
            </w:r>
            <w:r w:rsidRPr="004D4490">
              <w:t>.</w:t>
            </w:r>
            <w:r>
              <w:rPr>
                <w:b/>
                <w:bCs/>
              </w:rPr>
              <w:t xml:space="preserve"> </w:t>
            </w:r>
            <w:r>
              <w:t>The R&amp;D Tax Incentive is</w:t>
            </w:r>
            <w:r w:rsidRPr="00AA63F1">
              <w:t xml:space="preserve"> jointly administered by the Australian Tax Office and </w:t>
            </w:r>
            <w:proofErr w:type="spellStart"/>
            <w:r w:rsidRPr="00AA63F1">
              <w:t>AusIndustry</w:t>
            </w:r>
            <w:proofErr w:type="spellEnd"/>
            <w:r w:rsidR="0064287A">
              <w:t>.</w:t>
            </w:r>
          </w:p>
        </w:tc>
      </w:tr>
      <w:tr w:rsidR="00557DD7" w14:paraId="73353AF9" w14:textId="77777777" w:rsidTr="004C7393">
        <w:trPr>
          <w:hidden/>
        </w:trPr>
        <w:tc>
          <w:tcPr>
            <w:tcW w:w="9638" w:type="dxa"/>
            <w:shd w:val="clear" w:color="auto" w:fill="auto"/>
            <w:tcMar>
              <w:top w:w="0" w:type="dxa"/>
              <w:left w:w="170" w:type="dxa"/>
              <w:bottom w:w="0" w:type="dxa"/>
              <w:right w:w="170" w:type="dxa"/>
            </w:tcMar>
          </w:tcPr>
          <w:p w14:paraId="3F77D50D" w14:textId="7E3356E2" w:rsidR="00557DD7" w:rsidRPr="00465191" w:rsidRDefault="00557DD7" w:rsidP="00C426E9">
            <w:pPr>
              <w:pStyle w:val="BodyText"/>
              <w:spacing w:before="0" w:after="0" w:line="80" w:lineRule="atLeast"/>
              <w:rPr>
                <w:smallCaps/>
                <w:vanish/>
              </w:rPr>
            </w:pPr>
          </w:p>
        </w:tc>
      </w:tr>
    </w:tbl>
    <w:p w14:paraId="5C2447D5" w14:textId="04B21217" w:rsidR="00557DD7" w:rsidRDefault="00557DD7" w:rsidP="00557DD7">
      <w:pPr>
        <w:pStyle w:val="FigureTableHeading"/>
      </w:pPr>
      <w:r>
        <w:lastRenderedPageBreak/>
        <w:t xml:space="preserve">Figure </w:t>
      </w:r>
      <w:bookmarkStart w:id="91" w:name="OLE_LINK8"/>
      <w:r>
        <w:rPr>
          <w:noProof/>
        </w:rPr>
        <w:t>2</w:t>
      </w:r>
      <w:r>
        <w:t>.</w:t>
      </w:r>
      <w:r>
        <w:rPr>
          <w:noProof/>
        </w:rPr>
        <w:t>8</w:t>
      </w:r>
      <w:bookmarkEnd w:id="91"/>
      <w:r>
        <w:rPr>
          <w:noProof/>
        </w:rPr>
        <w:t xml:space="preserve"> </w:t>
      </w:r>
      <w:r>
        <w:t>– Education, professional and financial services, and health care have large numbers of postgraduate trained workers</w:t>
      </w:r>
    </w:p>
    <w:p w14:paraId="76E4AD70" w14:textId="065149AE" w:rsidR="00557DD7" w:rsidRDefault="00557DD7" w:rsidP="00557DD7">
      <w:pPr>
        <w:pStyle w:val="FigureTableSubheading"/>
        <w:keepLines/>
      </w:pPr>
      <w:r>
        <w:t>People employed with postgraduate education relevant to the job, 2018</w:t>
      </w:r>
      <w:r w:rsidR="000565F7">
        <w:noBreakHyphen/>
      </w:r>
      <w:r>
        <w:t>19</w:t>
      </w:r>
    </w:p>
    <w:p w14:paraId="3DDE9394" w14:textId="77777777" w:rsidR="00557DD7" w:rsidRDefault="00557DD7" w:rsidP="00557DD7">
      <w:pPr>
        <w:pStyle w:val="Note"/>
        <w:keepLines/>
      </w:pPr>
      <w:r w:rsidRPr="00DB67CC">
        <w:rPr>
          <w:noProof/>
        </w:rPr>
        <w:drawing>
          <wp:inline distT="0" distB="0" distL="0" distR="0" wp14:anchorId="372B6C70" wp14:editId="2DBE5474">
            <wp:extent cx="6120130" cy="3595370"/>
            <wp:effectExtent l="0" t="0" r="0" b="5080"/>
            <wp:docPr id="92" name="Picture 92" descr="This figure shows the sources of ideas or information for innovation for Australian businesses that were innovation-active in 2019-2021. The largest source of information is from within own business or businesses owned by the sam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figure shows the sources of ideas or information for innovation for Australian businesses that were innovation-active in 2019-2021. The largest source of information is from within own business or businesses owned by the same company.​"/>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120130" cy="3595370"/>
                    </a:xfrm>
                    <a:prstGeom prst="rect">
                      <a:avLst/>
                    </a:prstGeom>
                    <a:noFill/>
                    <a:ln>
                      <a:noFill/>
                    </a:ln>
                  </pic:spPr>
                </pic:pic>
              </a:graphicData>
            </a:graphic>
          </wp:inline>
        </w:drawing>
      </w:r>
    </w:p>
    <w:p w14:paraId="1ED07234" w14:textId="53FA83C7" w:rsidR="00557DD7" w:rsidRDefault="00557DD7" w:rsidP="00557DD7">
      <w:pPr>
        <w:pStyle w:val="Source"/>
      </w:pPr>
      <w:r>
        <w:t>Source: ABS (</w:t>
      </w:r>
      <w:r>
        <w:rPr>
          <w:i/>
          <w:iCs/>
        </w:rPr>
        <w:t>Qualifications and work, 2018</w:t>
      </w:r>
      <w:r w:rsidR="000565F7">
        <w:rPr>
          <w:i/>
          <w:iCs/>
        </w:rPr>
        <w:noBreakHyphen/>
      </w:r>
      <w:r>
        <w:rPr>
          <w:i/>
          <w:iCs/>
        </w:rPr>
        <w:t xml:space="preserve">19 financial year, </w:t>
      </w:r>
      <w:r>
        <w:t>Cat. no. 4235.0).</w:t>
      </w:r>
    </w:p>
    <w:p w14:paraId="3DB9FBC6" w14:textId="4071682E" w:rsidR="00557DD7" w:rsidRDefault="00557DD7" w:rsidP="00557DD7">
      <w:pPr>
        <w:pStyle w:val="BodyText"/>
      </w:pPr>
      <w:r>
        <w:t>To increase the supply of researchers with industry</w:t>
      </w:r>
      <w:r>
        <w:noBreakHyphen/>
        <w:t xml:space="preserve">relevant research experience and increase knowledge commercialisation, the federal government committed $296 million for the National Industry PhD Program under its University Research Commercialisation Action Plan </w:t>
      </w:r>
      <w:r w:rsidRPr="00FF57B2">
        <w:rPr>
          <w:rFonts w:ascii="Arial" w:hAnsi="Arial" w:cs="Arial"/>
          <w:szCs w:val="24"/>
        </w:rPr>
        <w:t>(DESE 2022d, pp. 89–95)</w:t>
      </w:r>
      <w:r>
        <w:t xml:space="preserve">. The </w:t>
      </w:r>
      <w:r w:rsidR="00AC298F">
        <w:t>p</w:t>
      </w:r>
      <w:r>
        <w:t>rogram will support 1800 PhD candidates and 800 industry fellows to undertake industry</w:t>
      </w:r>
      <w:r>
        <w:noBreakHyphen/>
        <w:t>focused research projects over the next 10 years, with preference given to applications aligned with the National Manufacturing Priorities.</w:t>
      </w:r>
    </w:p>
    <w:p w14:paraId="52B8865C" w14:textId="10C9D367" w:rsidR="00557DD7" w:rsidRDefault="00557DD7" w:rsidP="00557DD7">
      <w:pPr>
        <w:pStyle w:val="BodyText"/>
      </w:pPr>
      <w:r>
        <w:t>However, increasing innovative outcomes and diffusion by better leveraging highly skilled researchers in industry likely requires more than supply</w:t>
      </w:r>
      <w:r w:rsidR="000565F7">
        <w:noBreakHyphen/>
      </w:r>
      <w:r>
        <w:t xml:space="preserve">side measures — business demand for and capacity to use researchers’ skills also matters. Moreover, the program may be of insufficient scale to make a significant difference to industry </w:t>
      </w:r>
      <w:r w:rsidRPr="00BA1EF6">
        <w:rPr>
          <w:rFonts w:ascii="Arial" w:hAnsi="Arial" w:cs="Arial"/>
          <w:szCs w:val="24"/>
        </w:rPr>
        <w:t>(Howard 2022; Innovative Research Universities 2021, pp. 7–8)</w:t>
      </w:r>
      <w:r>
        <w:t xml:space="preserve">. Finally, </w:t>
      </w:r>
      <w:r w:rsidR="00B74B7C">
        <w:t>preferencing applications aligned with</w:t>
      </w:r>
      <w:r>
        <w:t xml:space="preserve"> the National Manufacturing Priorities restricts the range of industries, disciplines and types of research activities and that may benefit from the program — services industries and social sciences researchers, for example, are less likely to participate in the program.</w:t>
      </w:r>
    </w:p>
    <w:tbl>
      <w:tblPr>
        <w:tblStyle w:val="TextTable-Grey"/>
        <w:tblW w:w="5000" w:type="pct"/>
        <w:tblLook w:val="04A0" w:firstRow="1" w:lastRow="0" w:firstColumn="1" w:lastColumn="0" w:noHBand="0" w:noVBand="1"/>
      </w:tblPr>
      <w:tblGrid>
        <w:gridCol w:w="713"/>
        <w:gridCol w:w="8925"/>
      </w:tblGrid>
      <w:tr w:rsidR="00557DD7" w14:paraId="1676CCCD" w14:textId="77777777" w:rsidTr="00C426E9">
        <w:trPr>
          <w:tblHeader/>
        </w:trPr>
        <w:tc>
          <w:tcPr>
            <w:tcW w:w="713" w:type="dxa"/>
            <w:vAlign w:val="center"/>
          </w:tcPr>
          <w:p w14:paraId="0C0759F5" w14:textId="77777777" w:rsidR="00557DD7" w:rsidRDefault="00557DD7" w:rsidP="00C426E9">
            <w:pPr>
              <w:keepNext/>
              <w:keepLines/>
              <w:spacing w:after="0"/>
              <w:jc w:val="right"/>
            </w:pPr>
            <w:r w:rsidRPr="00A51374">
              <w:rPr>
                <w:noProof/>
              </w:rPr>
              <w:lastRenderedPageBreak/>
              <w:drawing>
                <wp:inline distT="0" distB="0" distL="0" distR="0" wp14:anchorId="4E127ABC" wp14:editId="35FB4AA6">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112BA03" w14:textId="6A1AE614" w:rsidR="00557DD7" w:rsidRPr="000B0B71" w:rsidRDefault="00557DD7" w:rsidP="00C426E9">
            <w:pPr>
              <w:pStyle w:val="TableHeading"/>
              <w:keepNext/>
              <w:spacing w:before="180" w:after="120"/>
              <w:rPr>
                <w:sz w:val="20"/>
              </w:rPr>
            </w:pPr>
            <w:r w:rsidRPr="000B0B71">
              <w:rPr>
                <w:sz w:val="20"/>
              </w:rPr>
              <w:t xml:space="preserve">Information request </w:t>
            </w:r>
            <w:r>
              <w:rPr>
                <w:noProof/>
                <w:sz w:val="20"/>
              </w:rPr>
              <w:t>2</w:t>
            </w:r>
            <w:r w:rsidRPr="00DF7217">
              <w:rPr>
                <w:sz w:val="20"/>
              </w:rPr>
              <w:t>.</w:t>
            </w:r>
            <w:r>
              <w:rPr>
                <w:noProof/>
                <w:sz w:val="20"/>
              </w:rPr>
              <w:t>2</w:t>
            </w:r>
          </w:p>
        </w:tc>
      </w:tr>
      <w:tr w:rsidR="00557DD7" w14:paraId="2BC679DB" w14:textId="77777777" w:rsidTr="00C426E9">
        <w:tc>
          <w:tcPr>
            <w:tcW w:w="9638" w:type="dxa"/>
            <w:gridSpan w:val="2"/>
            <w:tcMar>
              <w:top w:w="0" w:type="dxa"/>
            </w:tcMar>
          </w:tcPr>
          <w:p w14:paraId="669B816D" w14:textId="4405407A" w:rsidR="00557DD7" w:rsidRDefault="00557DD7" w:rsidP="00C426E9">
            <w:pPr>
              <w:pStyle w:val="BodyText"/>
              <w:keepNext/>
              <w:keepLines/>
            </w:pPr>
            <w:r>
              <w:t>The recently announced National Industry PhD Program (part of the University Research Commercialisation Action Plan) aims to increase the supply of researchers with industry</w:t>
            </w:r>
            <w:r w:rsidR="000565F7">
              <w:noBreakHyphen/>
            </w:r>
            <w:r>
              <w:t>relevant research experience, with preference given to applications aligned with the National Manufacturing Priorities.</w:t>
            </w:r>
          </w:p>
          <w:p w14:paraId="76C13233" w14:textId="2B437275" w:rsidR="00557DD7" w:rsidRDefault="00557DD7" w:rsidP="00C426E9">
            <w:pPr>
              <w:pStyle w:val="BodyText"/>
              <w:keepNext/>
              <w:keepLines/>
            </w:pPr>
            <w:r>
              <w:t>Is a lack of industry</w:t>
            </w:r>
            <w:r w:rsidR="000565F7">
              <w:noBreakHyphen/>
            </w:r>
            <w:r>
              <w:t>relevant research experience in universities the most significant constraint to firms developing an in</w:t>
            </w:r>
            <w:r w:rsidR="000565F7">
              <w:noBreakHyphen/>
            </w:r>
            <w:r>
              <w:t>house research capacity? To what extent is firm capacity to make the best use of researchers’ skills a constraint?</w:t>
            </w:r>
          </w:p>
          <w:p w14:paraId="6CAFB52D" w14:textId="6FEA5C42" w:rsidR="00557DD7" w:rsidRPr="008529A2" w:rsidRDefault="00557DD7" w:rsidP="00C426E9">
            <w:pPr>
              <w:pStyle w:val="BodyText"/>
              <w:keepNext/>
              <w:keepLines/>
            </w:pPr>
            <w:r>
              <w:t xml:space="preserve">What kind </w:t>
            </w:r>
            <w:r w:rsidR="00BF387A">
              <w:t>of</w:t>
            </w:r>
            <w:r>
              <w:t xml:space="preserve"> arrangements would foster greater movement of researchers from the Social Science fields into Australian businesses? </w:t>
            </w:r>
          </w:p>
        </w:tc>
      </w:tr>
      <w:tr w:rsidR="00557DD7" w14:paraId="6F283BC2" w14:textId="77777777" w:rsidTr="00C426E9">
        <w:tc>
          <w:tcPr>
            <w:tcW w:w="9638" w:type="dxa"/>
            <w:gridSpan w:val="2"/>
            <w:shd w:val="clear" w:color="auto" w:fill="auto"/>
            <w:tcMar>
              <w:top w:w="0" w:type="dxa"/>
              <w:bottom w:w="0" w:type="dxa"/>
            </w:tcMar>
          </w:tcPr>
          <w:p w14:paraId="783D9FCC" w14:textId="77777777" w:rsidR="00557DD7" w:rsidRDefault="00557DD7" w:rsidP="00C426E9">
            <w:pPr>
              <w:pStyle w:val="NoSpacing"/>
              <w:spacing w:line="200" w:lineRule="exact"/>
            </w:pPr>
          </w:p>
        </w:tc>
      </w:tr>
    </w:tbl>
    <w:p w14:paraId="75897BFB" w14:textId="77777777" w:rsidR="00557DD7" w:rsidRDefault="00557DD7" w:rsidP="00557DD7">
      <w:pPr>
        <w:pStyle w:val="Heading4"/>
      </w:pPr>
      <w:r>
        <w:t>Improving the capabilities of the existing workforce</w:t>
      </w:r>
    </w:p>
    <w:p w14:paraId="36664BCA" w14:textId="7BB5B90B" w:rsidR="00557DD7" w:rsidRDefault="00557DD7" w:rsidP="00557DD7">
      <w:pPr>
        <w:pStyle w:val="BodyText"/>
      </w:pPr>
      <w:r>
        <w:t>There is a large market for on</w:t>
      </w:r>
      <w:r>
        <w:noBreakHyphen/>
        <w:t>the</w:t>
      </w:r>
      <w:r>
        <w:noBreakHyphen/>
        <w:t>job training in Australia, with 23 per cent of Australians aged 15–74 undertaking work</w:t>
      </w:r>
      <w:r w:rsidR="000565F7">
        <w:noBreakHyphen/>
      </w:r>
      <w:r>
        <w:t>related training</w:t>
      </w:r>
      <w:r w:rsidRPr="00711B90">
        <w:rPr>
          <w:rStyle w:val="FootnoteReference"/>
        </w:rPr>
        <w:footnoteReference w:id="18"/>
      </w:r>
      <w:r>
        <w:t xml:space="preserve"> in 2020</w:t>
      </w:r>
      <w:r>
        <w:noBreakHyphen/>
        <w:t xml:space="preserve">21 </w:t>
      </w:r>
      <w:r w:rsidR="00936D73" w:rsidRPr="00936D73">
        <w:rPr>
          <w:rFonts w:ascii="Arial" w:hAnsi="Arial" w:cs="Arial"/>
          <w:szCs w:val="24"/>
        </w:rPr>
        <w:t>(ABS 2022f)</w:t>
      </w:r>
      <w:r>
        <w:t>. Moreover, supply chain partners, consultants and industry associations offer training to build the capabilities of firms, and in some cases, allow firms to ‘outsource’ certain management skills (</w:t>
      </w:r>
      <w:r w:rsidRPr="00A219AE">
        <w:t>box</w:t>
      </w:r>
      <w:r>
        <w:t> 2.4</w:t>
      </w:r>
      <w:r w:rsidRPr="00A219AE">
        <w:t>).</w:t>
      </w:r>
    </w:p>
    <w:p w14:paraId="78688AE6" w14:textId="77777777" w:rsidR="000D44C7" w:rsidRDefault="000D44C7" w:rsidP="000D44C7">
      <w:pPr>
        <w:pStyle w:val="BodyText"/>
        <w:spacing w:before="100"/>
      </w:pPr>
      <w:r>
        <w:t xml:space="preserve">Various </w:t>
      </w:r>
      <w:r w:rsidRPr="00843444">
        <w:t xml:space="preserve">Australian and </w:t>
      </w:r>
      <w:r>
        <w:t>S</w:t>
      </w:r>
      <w:r w:rsidRPr="00843444">
        <w:t xml:space="preserve">tate and </w:t>
      </w:r>
      <w:r>
        <w:t>T</w:t>
      </w:r>
      <w:r w:rsidRPr="00843444">
        <w:t>erritory</w:t>
      </w:r>
      <w:r>
        <w:t xml:space="preserve"> g</w:t>
      </w:r>
      <w:r w:rsidRPr="00843444">
        <w:t>overnment</w:t>
      </w:r>
      <w:r>
        <w:t xml:space="preserve"> programs aim to build workforce skills. Most of these programs target particular segments of the workforce — such as training for mature or young workers — or provide services to help business owners and managers improve the overall performance of their business (box 2.5). Nevertheless, such programs may help to build firms’ innovation capabilities if they:</w:t>
      </w:r>
    </w:p>
    <w:p w14:paraId="5DA59E07" w14:textId="77777777" w:rsidR="000D44C7" w:rsidRPr="00CD51CF" w:rsidRDefault="000D44C7" w:rsidP="000D44C7">
      <w:pPr>
        <w:pStyle w:val="ListNumber"/>
        <w:rPr>
          <w:spacing w:val="-4"/>
        </w:rPr>
      </w:pPr>
      <w:r w:rsidRPr="00CD51CF">
        <w:rPr>
          <w:spacing w:val="-4"/>
        </w:rPr>
        <w:t>target skills needed by businesses to effectively adopt and integrate new technologies, such as digital skills,</w:t>
      </w:r>
    </w:p>
    <w:p w14:paraId="35AC51C7" w14:textId="77777777" w:rsidR="000D44C7" w:rsidRDefault="000D44C7" w:rsidP="000D44C7">
      <w:pPr>
        <w:pStyle w:val="ListNumber"/>
      </w:pPr>
      <w:r w:rsidRPr="00AD4C1A">
        <w:t xml:space="preserve">help improve management skills, </w:t>
      </w:r>
      <w:r>
        <w:t>or</w:t>
      </w:r>
    </w:p>
    <w:p w14:paraId="2ECA13F7" w14:textId="77777777" w:rsidR="000D44C7" w:rsidRDefault="000D44C7" w:rsidP="000D44C7">
      <w:pPr>
        <w:pStyle w:val="ListNumber"/>
      </w:pPr>
      <w:r>
        <w:t>help businesses to identify opportunities to innovate as a way to reduce costs and improve performance.</w:t>
      </w:r>
    </w:p>
    <w:p w14:paraId="196CA7F3" w14:textId="77777777" w:rsidR="000D44C7" w:rsidRDefault="000D44C7" w:rsidP="000D44C7">
      <w:pPr>
        <w:pStyle w:val="BodyText"/>
      </w:pPr>
      <w:r>
        <w:t>Some of these government programs directly target the skills and management capabilities needed for innovation</w:t>
      </w:r>
      <w:r w:rsidRPr="00A219AE">
        <w:t>.</w:t>
      </w:r>
      <w:r>
        <w:t xml:space="preserve"> Like most existing business innovation policies, these programs tend to target businesses engaging in highly novel, new</w:t>
      </w:r>
      <w:r>
        <w:noBreakHyphen/>
        <w:t>to</w:t>
      </w:r>
      <w:r>
        <w:noBreakHyphen/>
        <w:t xml:space="preserve">market innovation. Some offer support to connect businesses with research institutions and commercialise novel products and technologies. </w:t>
      </w:r>
      <w:r w:rsidRPr="00D32790">
        <w:t>As such, their impact on the broader process of diffusion is limited.</w:t>
      </w:r>
    </w:p>
    <w:p w14:paraId="7873D81C" w14:textId="77777777" w:rsidR="000D44C7" w:rsidRPr="00F82BD9" w:rsidRDefault="000D44C7" w:rsidP="000D44C7">
      <w:pPr>
        <w:pStyle w:val="BodyText"/>
      </w:pPr>
      <w:r>
        <w:t xml:space="preserve">Evaluations and feedback from Inquiry participants </w:t>
      </w:r>
      <w:r w:rsidRPr="00253379">
        <w:t>suggest that some of these programs</w:t>
      </w:r>
      <w:r>
        <w:t xml:space="preserve">, such as the Enterprise </w:t>
      </w:r>
      <w:r w:rsidRPr="00BA3BA0">
        <w:t>Connect</w:t>
      </w:r>
      <w:r>
        <w:t xml:space="preserve"> program</w:t>
      </w:r>
      <w:r w:rsidRPr="00BA3BA0">
        <w:t xml:space="preserve"> (2008</w:t>
      </w:r>
      <w:r>
        <w:t>–</w:t>
      </w:r>
      <w:r w:rsidRPr="00BA3BA0">
        <w:t>2014)</w:t>
      </w:r>
      <w:r w:rsidRPr="00253379">
        <w:t xml:space="preserve"> have had a positive effect on firm performance</w:t>
      </w:r>
      <w:r>
        <w:t xml:space="preserve"> </w:t>
      </w:r>
      <w:r w:rsidRPr="0078537F">
        <w:t>(Bruno 2020, pp. 12–16)</w:t>
      </w:r>
      <w:r>
        <w:t xml:space="preserve">. However, their wider impact is likely limited by a lack of program consistency over time. The relatively small number of businesses assisted (relative to the R&amp;D Tax Incentive, for example) </w:t>
      </w:r>
      <w:r w:rsidRPr="00521127">
        <w:rPr>
          <w:rFonts w:ascii="Arial" w:hAnsi="Arial" w:cs="Arial"/>
          <w:szCs w:val="24"/>
        </w:rPr>
        <w:t>(DIIS 2019b, p. 44)</w:t>
      </w:r>
      <w:r>
        <w:t xml:space="preserve"> and the focus on highly novel innovators may mean that skills imparted are not as relevant or easy to diffuse to other businesses</w:t>
      </w:r>
      <w:r w:rsidRPr="00253379">
        <w:t>.</w:t>
      </w:r>
    </w:p>
    <w:p w14:paraId="0D7644C0" w14:textId="50E2740C" w:rsidR="00557DD7" w:rsidRPr="00F82BD9" w:rsidRDefault="00557DD7" w:rsidP="00557DD7">
      <w:pPr>
        <w:pStyle w:val="NoSpacing"/>
      </w:pPr>
    </w:p>
    <w:tbl>
      <w:tblPr>
        <w:tblStyle w:val="Boxtable"/>
        <w:tblW w:w="5000" w:type="pct"/>
        <w:tblLook w:val="04A0" w:firstRow="1" w:lastRow="0" w:firstColumn="1" w:lastColumn="0" w:noHBand="0" w:noVBand="1"/>
      </w:tblPr>
      <w:tblGrid>
        <w:gridCol w:w="9638"/>
      </w:tblGrid>
      <w:tr w:rsidR="00557DD7" w14:paraId="3F56F9CD" w14:textId="77777777" w:rsidTr="00C426E9">
        <w:trPr>
          <w:tblHeader/>
        </w:trPr>
        <w:tc>
          <w:tcPr>
            <w:tcW w:w="9638" w:type="dxa"/>
            <w:tcMar>
              <w:top w:w="170" w:type="dxa"/>
              <w:left w:w="170" w:type="dxa"/>
              <w:bottom w:w="113" w:type="dxa"/>
              <w:right w:w="170" w:type="dxa"/>
            </w:tcMar>
            <w:hideMark/>
          </w:tcPr>
          <w:p w14:paraId="0D382E5A" w14:textId="2185403F" w:rsidR="00557DD7" w:rsidRDefault="00557DD7" w:rsidP="00C426E9">
            <w:pPr>
              <w:pStyle w:val="BoxHeading1"/>
            </w:pPr>
            <w:r>
              <w:lastRenderedPageBreak/>
              <w:t xml:space="preserve">Box </w:t>
            </w:r>
            <w:bookmarkStart w:id="92" w:name="OLE_LINK18"/>
            <w:r>
              <w:t>2.</w:t>
            </w:r>
            <w:r>
              <w:rPr>
                <w:noProof/>
              </w:rPr>
              <w:t>4</w:t>
            </w:r>
            <w:bookmarkEnd w:id="92"/>
            <w:r>
              <w:t xml:space="preserve"> – Businesses can seek private solutions in the market to build capabilities for innovation</w:t>
            </w:r>
          </w:p>
        </w:tc>
      </w:tr>
      <w:tr w:rsidR="00557DD7" w14:paraId="5E45D520" w14:textId="77777777" w:rsidTr="00C426E9">
        <w:tc>
          <w:tcPr>
            <w:tcW w:w="9638" w:type="dxa"/>
            <w:tcMar>
              <w:top w:w="28" w:type="dxa"/>
              <w:left w:w="170" w:type="dxa"/>
              <w:bottom w:w="170" w:type="dxa"/>
              <w:right w:w="170" w:type="dxa"/>
            </w:tcMar>
            <w:hideMark/>
          </w:tcPr>
          <w:p w14:paraId="06BA15C7" w14:textId="77777777" w:rsidR="00557DD7" w:rsidRDefault="00557DD7" w:rsidP="00C426E9">
            <w:pPr>
              <w:pStyle w:val="BodyText"/>
              <w:rPr>
                <w:szCs w:val="22"/>
              </w:rPr>
            </w:pPr>
            <w:r>
              <w:t xml:space="preserve">Lifting workforce capabilities does not always require government involvement. In fact, firms are able to access a range of private solutions to build the skills of their workforce and </w:t>
            </w:r>
            <w:proofErr w:type="gramStart"/>
            <w:r>
              <w:t>managers, or</w:t>
            </w:r>
            <w:proofErr w:type="gramEnd"/>
            <w:r>
              <w:t xml:space="preserve"> outsource tasks</w:t>
            </w:r>
            <w:r>
              <w:rPr>
                <w:szCs w:val="22"/>
              </w:rPr>
              <w:t xml:space="preserve"> requiring skills lacked by the firm.</w:t>
            </w:r>
          </w:p>
          <w:p w14:paraId="2BE220C7" w14:textId="09AABDD0" w:rsidR="00557DD7" w:rsidRDefault="00557DD7" w:rsidP="001A1DD7">
            <w:pPr>
              <w:pStyle w:val="ListBullet"/>
            </w:pPr>
            <w:r>
              <w:t xml:space="preserve">For larger firms in particular, </w:t>
            </w:r>
            <w:r w:rsidRPr="00762EE8">
              <w:rPr>
                <w:b/>
              </w:rPr>
              <w:t>consultants</w:t>
            </w:r>
            <w:r>
              <w:t xml:space="preserve"> provide an outsourcing opportunity, creating a quick and easy way to bring skills and knowledge into the firm.</w:t>
            </w:r>
            <w:r w:rsidR="00935B98">
              <w:t xml:space="preserve"> </w:t>
            </w:r>
            <w:r w:rsidR="00935B98" w:rsidRPr="00935B98">
              <w:t>And smaller firms often source outside expertise (in accounting, for example).</w:t>
            </w:r>
          </w:p>
          <w:p w14:paraId="1D102F96" w14:textId="270F643C" w:rsidR="00557DD7" w:rsidRDefault="00557DD7" w:rsidP="001A1DD7">
            <w:pPr>
              <w:pStyle w:val="ListBullet"/>
            </w:pPr>
            <w:r>
              <w:t xml:space="preserve">Local </w:t>
            </w:r>
            <w:r w:rsidRPr="00762EE8">
              <w:rPr>
                <w:b/>
              </w:rPr>
              <w:t>business networks</w:t>
            </w:r>
            <w:r>
              <w:t xml:space="preserve"> and </w:t>
            </w:r>
            <w:r w:rsidRPr="00762EE8">
              <w:rPr>
                <w:b/>
              </w:rPr>
              <w:t>industry associations</w:t>
            </w:r>
            <w:r>
              <w:t xml:space="preserve"> provide a range of services — for example, the provision of advice and some consulting services — that are more accessible than consultants to smaller, resource</w:t>
            </w:r>
            <w:r w:rsidR="000565F7">
              <w:noBreakHyphen/>
            </w:r>
            <w:r>
              <w:t>constrained firms.</w:t>
            </w:r>
          </w:p>
          <w:p w14:paraId="10FE574D" w14:textId="22FA1344" w:rsidR="00557DD7" w:rsidRDefault="00557DD7" w:rsidP="001A1DD7">
            <w:pPr>
              <w:pStyle w:val="ListBullet"/>
            </w:pPr>
            <w:r w:rsidRPr="007C5317">
              <w:t xml:space="preserve">Participating in </w:t>
            </w:r>
            <w:r w:rsidRPr="007C5317">
              <w:rPr>
                <w:b/>
              </w:rPr>
              <w:t>supply chains</w:t>
            </w:r>
            <w:r w:rsidRPr="007C5317">
              <w:t xml:space="preserve"> provides opportunities for up</w:t>
            </w:r>
            <w:r>
              <w:noBreakHyphen/>
            </w:r>
            <w:r w:rsidRPr="007C5317">
              <w:t>skilling through formal training and informal mechanisms, like incidental exposure to better management practices. For example, the Australian Digital</w:t>
            </w:r>
            <w:r w:rsidR="00DD0322">
              <w:t xml:space="preserve"> and</w:t>
            </w:r>
            <w:r w:rsidRPr="007C5317">
              <w:t xml:space="preserve"> Telecommunications Industry Association</w:t>
            </w:r>
            <w:r>
              <w:t xml:space="preserve"> (ADTIA)</w:t>
            </w:r>
            <w:r w:rsidRPr="007C5317">
              <w:rPr>
                <w:b/>
                <w:bCs/>
              </w:rPr>
              <w:t xml:space="preserve"> </w:t>
            </w:r>
            <w:r w:rsidRPr="007C5317">
              <w:t xml:space="preserve">told the Commission that </w:t>
            </w:r>
            <w:r>
              <w:t>the d</w:t>
            </w:r>
            <w:r w:rsidRPr="00F43DF2">
              <w:t xml:space="preserve">igital, </w:t>
            </w:r>
            <w:r>
              <w:t>s</w:t>
            </w:r>
            <w:r w:rsidRPr="00F43DF2">
              <w:t xml:space="preserve">mart products and </w:t>
            </w:r>
            <w:r>
              <w:t>s</w:t>
            </w:r>
            <w:r w:rsidRPr="00F43DF2">
              <w:t xml:space="preserve">ubscription TV </w:t>
            </w:r>
            <w:r>
              <w:t>and streaming sector requires</w:t>
            </w:r>
            <w:r w:rsidRPr="007C5317">
              <w:t xml:space="preserve"> </w:t>
            </w:r>
            <w:r>
              <w:t>additional training for local cablers through both enterprise internal training and the VET system, since customer expectations of cablers often exceed i</w:t>
            </w:r>
            <w:r w:rsidRPr="00363870">
              <w:t xml:space="preserve">nstallation practices to include information about the products </w:t>
            </w:r>
            <w:r>
              <w:t>themselves (ADTIA, pers. comm. 24</w:t>
            </w:r>
            <w:r w:rsidR="000565F7">
              <w:t> </w:t>
            </w:r>
            <w:r>
              <w:t>June 2022).</w:t>
            </w:r>
          </w:p>
          <w:p w14:paraId="0867D53B" w14:textId="7257B20E" w:rsidR="00557DD7" w:rsidRDefault="00557DD7" w:rsidP="00C426E9">
            <w:pPr>
              <w:pStyle w:val="BodyText"/>
            </w:pPr>
            <w:r>
              <w:t>Given the importance of lifting the capabilities of smaller, resource</w:t>
            </w:r>
            <w:r w:rsidR="00453B56">
              <w:t>-</w:t>
            </w:r>
            <w:r>
              <w:t>constrained firms, industry associations play a</w:t>
            </w:r>
            <w:r w:rsidR="00453B56">
              <w:t>n</w:t>
            </w:r>
            <w:r>
              <w:t xml:space="preserve"> important </w:t>
            </w:r>
            <w:r w:rsidR="00453B56">
              <w:t xml:space="preserve">capability-building </w:t>
            </w:r>
            <w:r>
              <w:t>role.</w:t>
            </w:r>
          </w:p>
          <w:p w14:paraId="126BEB03" w14:textId="77777777" w:rsidR="00557DD7" w:rsidRDefault="00557DD7" w:rsidP="001A1DD7">
            <w:pPr>
              <w:pStyle w:val="ListBullet"/>
            </w:pPr>
            <w:r>
              <w:t xml:space="preserve">The </w:t>
            </w:r>
            <w:r w:rsidRPr="007D3727">
              <w:t>Interactive Games &amp; Entertainment Association</w:t>
            </w:r>
            <w:r>
              <w:t xml:space="preserve"> (IGEA) offers </w:t>
            </w:r>
            <w:r w:rsidRPr="007D3727">
              <w:rPr>
                <w:b/>
              </w:rPr>
              <w:t>short courses</w:t>
            </w:r>
            <w:r>
              <w:t xml:space="preserve"> on how to run a studio, runs webinars on areas where support is needed (such as in applying for grants and project management skills), and ran an education summit to bring together educators to ensure consistency and that available offerings target the industry’s skill needs.</w:t>
            </w:r>
          </w:p>
          <w:p w14:paraId="51239CDE" w14:textId="77777777" w:rsidR="00557DD7" w:rsidRDefault="00557DD7" w:rsidP="001A1DD7">
            <w:pPr>
              <w:pStyle w:val="ListBullet"/>
            </w:pPr>
            <w:r>
              <w:t xml:space="preserve">Some industry associations, such as the </w:t>
            </w:r>
            <w:r w:rsidRPr="007D3727">
              <w:t>Restaurant and Catering Association</w:t>
            </w:r>
            <w:r>
              <w:t xml:space="preserve"> and the </w:t>
            </w:r>
            <w:r w:rsidRPr="007D3727">
              <w:t>Australian Retailers Association,</w:t>
            </w:r>
            <w:r>
              <w:t xml:space="preserve"> deliver nationally recognised training in the VET sector </w:t>
            </w:r>
            <w:r w:rsidRPr="004564DC">
              <w:rPr>
                <w:b/>
              </w:rPr>
              <w:t>as registered training organisations</w:t>
            </w:r>
            <w:r>
              <w:t xml:space="preserve"> (RTOs). The </w:t>
            </w:r>
            <w:r w:rsidRPr="007D3727">
              <w:t>Council of Small Business Organisations Australia</w:t>
            </w:r>
            <w:r>
              <w:t xml:space="preserve"> (COSBOA) suggested that running </w:t>
            </w:r>
            <w:proofErr w:type="gramStart"/>
            <w:r>
              <w:t>a</w:t>
            </w:r>
            <w:proofErr w:type="gramEnd"/>
            <w:r>
              <w:t xml:space="preserve"> RTO was one way that industry associations can better enable diffusion. Partnering with existing RTOs is another common strategy.</w:t>
            </w:r>
          </w:p>
        </w:tc>
      </w:tr>
      <w:tr w:rsidR="00557DD7" w14:paraId="10708E7F" w14:textId="77777777" w:rsidTr="00C426E9">
        <w:trPr>
          <w:hidden/>
        </w:trPr>
        <w:tc>
          <w:tcPr>
            <w:tcW w:w="9638" w:type="dxa"/>
            <w:shd w:val="clear" w:color="auto" w:fill="auto"/>
            <w:tcMar>
              <w:top w:w="0" w:type="dxa"/>
              <w:left w:w="170" w:type="dxa"/>
              <w:bottom w:w="0" w:type="dxa"/>
              <w:right w:w="170" w:type="dxa"/>
            </w:tcMar>
          </w:tcPr>
          <w:p w14:paraId="380E1CB8" w14:textId="61750F7F" w:rsidR="00557DD7" w:rsidRPr="00465191" w:rsidRDefault="00557DD7" w:rsidP="00C426E9">
            <w:pPr>
              <w:pStyle w:val="BodyText"/>
              <w:spacing w:before="0" w:after="0" w:line="80" w:lineRule="atLeast"/>
              <w:rPr>
                <w:smallCaps/>
                <w:vanish/>
              </w:rPr>
            </w:pPr>
          </w:p>
        </w:tc>
      </w:tr>
    </w:tbl>
    <w:p w14:paraId="5EBD411C" w14:textId="5ADDC0C2" w:rsidR="00557DD7" w:rsidRDefault="00557DD7" w:rsidP="00CD51CF">
      <w:pPr>
        <w:pStyle w:val="NoSpacing"/>
        <w:spacing w:line="260" w:lineRule="atLeast"/>
      </w:pPr>
    </w:p>
    <w:tbl>
      <w:tblPr>
        <w:tblStyle w:val="Texttable-Paleblue"/>
        <w:tblW w:w="5000" w:type="pct"/>
        <w:tblLook w:val="04A0" w:firstRow="1" w:lastRow="0" w:firstColumn="1" w:lastColumn="0" w:noHBand="0" w:noVBand="1"/>
      </w:tblPr>
      <w:tblGrid>
        <w:gridCol w:w="713"/>
        <w:gridCol w:w="8925"/>
      </w:tblGrid>
      <w:tr w:rsidR="00557DD7" w14:paraId="3A987EA6" w14:textId="77777777" w:rsidTr="00C426E9">
        <w:trPr>
          <w:tblHeader/>
        </w:trPr>
        <w:tc>
          <w:tcPr>
            <w:tcW w:w="709" w:type="dxa"/>
            <w:tcMar>
              <w:top w:w="0" w:type="dxa"/>
              <w:bottom w:w="0" w:type="dxa"/>
            </w:tcMar>
            <w:vAlign w:val="center"/>
          </w:tcPr>
          <w:p w14:paraId="1D77AE2F" w14:textId="77777777" w:rsidR="00557DD7" w:rsidRDefault="00557DD7" w:rsidP="00CD51CF">
            <w:pPr>
              <w:keepLines/>
              <w:jc w:val="center"/>
            </w:pPr>
            <w:r w:rsidRPr="00A51374">
              <w:rPr>
                <w:noProof/>
              </w:rPr>
              <w:drawing>
                <wp:inline distT="0" distB="0" distL="0" distR="0" wp14:anchorId="046B9FAB" wp14:editId="2FD92309">
                  <wp:extent cx="288000" cy="288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36200D7" w14:textId="6640CDC3" w:rsidR="00557DD7" w:rsidRPr="00715040" w:rsidRDefault="00557DD7" w:rsidP="00CD51CF">
            <w:pPr>
              <w:pStyle w:val="TableHeading"/>
              <w:keepLines/>
              <w:spacing w:before="120" w:after="120"/>
              <w:contextualSpacing/>
              <w:rPr>
                <w:sz w:val="20"/>
              </w:rPr>
            </w:pPr>
            <w:r w:rsidRPr="00715040">
              <w:rPr>
                <w:sz w:val="20"/>
              </w:rPr>
              <w:t>Recommendation</w:t>
            </w:r>
            <w:r>
              <w:rPr>
                <w:sz w:val="20"/>
              </w:rPr>
              <w:t xml:space="preserve"> direction</w:t>
            </w:r>
            <w:r w:rsidRPr="00715040">
              <w:rPr>
                <w:sz w:val="20"/>
              </w:rPr>
              <w:t xml:space="preserve"> </w:t>
            </w:r>
            <w:r>
              <w:rPr>
                <w:noProof/>
                <w:sz w:val="20"/>
              </w:rPr>
              <w:t>2</w:t>
            </w:r>
            <w:r w:rsidRPr="00715040">
              <w:rPr>
                <w:sz w:val="20"/>
              </w:rPr>
              <w:t>.</w:t>
            </w:r>
            <w:r>
              <w:rPr>
                <w:noProof/>
                <w:sz w:val="20"/>
              </w:rPr>
              <w:t>2</w:t>
            </w:r>
          </w:p>
          <w:p w14:paraId="31C701B0" w14:textId="77777777" w:rsidR="00557DD7" w:rsidRPr="00715040" w:rsidRDefault="00557DD7" w:rsidP="00CD51CF">
            <w:pPr>
              <w:pStyle w:val="TableHeading"/>
              <w:keepLines/>
              <w:spacing w:before="120" w:after="120"/>
              <w:contextualSpacing/>
              <w:rPr>
                <w:sz w:val="20"/>
              </w:rPr>
            </w:pPr>
            <w:r>
              <w:rPr>
                <w:sz w:val="20"/>
              </w:rPr>
              <w:t>Focus on skills to increase firm absorptive capacity</w:t>
            </w:r>
          </w:p>
        </w:tc>
      </w:tr>
      <w:tr w:rsidR="00557DD7" w14:paraId="2BDBA954" w14:textId="77777777" w:rsidTr="00C426E9">
        <w:tc>
          <w:tcPr>
            <w:tcW w:w="9583" w:type="dxa"/>
            <w:gridSpan w:val="2"/>
            <w:tcMar>
              <w:top w:w="0" w:type="dxa"/>
            </w:tcMar>
          </w:tcPr>
          <w:p w14:paraId="073F8B9D" w14:textId="3F2CD69A" w:rsidR="00557DD7" w:rsidRPr="00767EAE" w:rsidRDefault="00557DD7" w:rsidP="00CD51CF">
            <w:pPr>
              <w:pStyle w:val="BodyText"/>
              <w:keepLines/>
            </w:pPr>
            <w:r w:rsidRPr="00C00F0B">
              <w:t>To strengthen diffusion, government support for building workforce skills should focus on transferable skills that augment the absorptive capacity of firms, such as digital and management skills.</w:t>
            </w:r>
            <w:r w:rsidR="00D32790">
              <w:t xml:space="preserve"> Support measures should be broad-based.</w:t>
            </w:r>
          </w:p>
        </w:tc>
      </w:tr>
      <w:tr w:rsidR="00557DD7" w14:paraId="69A29358" w14:textId="77777777" w:rsidTr="00C426E9">
        <w:tc>
          <w:tcPr>
            <w:tcW w:w="9583" w:type="dxa"/>
            <w:gridSpan w:val="2"/>
            <w:shd w:val="clear" w:color="auto" w:fill="auto"/>
            <w:tcMar>
              <w:top w:w="0" w:type="dxa"/>
              <w:bottom w:w="0" w:type="dxa"/>
            </w:tcMar>
          </w:tcPr>
          <w:p w14:paraId="24FBC433" w14:textId="77777777" w:rsidR="00557DD7" w:rsidRPr="007E0EA8" w:rsidRDefault="00557DD7" w:rsidP="00C426E9">
            <w:pPr>
              <w:pStyle w:val="NoSpacing"/>
              <w:spacing w:line="200" w:lineRule="exact"/>
            </w:pPr>
          </w:p>
        </w:tc>
      </w:tr>
    </w:tbl>
    <w:tbl>
      <w:tblPr>
        <w:tblStyle w:val="Boxtable"/>
        <w:tblW w:w="5000" w:type="pct"/>
        <w:tblLook w:val="04A0" w:firstRow="1" w:lastRow="0" w:firstColumn="1" w:lastColumn="0" w:noHBand="0" w:noVBand="1"/>
      </w:tblPr>
      <w:tblGrid>
        <w:gridCol w:w="9638"/>
      </w:tblGrid>
      <w:tr w:rsidR="00557DD7" w14:paraId="17C4737E" w14:textId="77777777" w:rsidTr="00C426E9">
        <w:trPr>
          <w:tblHeader/>
        </w:trPr>
        <w:tc>
          <w:tcPr>
            <w:tcW w:w="9638" w:type="dxa"/>
            <w:tcMar>
              <w:top w:w="170" w:type="dxa"/>
              <w:left w:w="170" w:type="dxa"/>
              <w:bottom w:w="113" w:type="dxa"/>
              <w:right w:w="170" w:type="dxa"/>
            </w:tcMar>
            <w:hideMark/>
          </w:tcPr>
          <w:p w14:paraId="7884BFF1" w14:textId="661BDC37" w:rsidR="00557DD7" w:rsidRDefault="00557DD7" w:rsidP="00C426E9">
            <w:pPr>
              <w:pStyle w:val="BoxHeading1"/>
            </w:pPr>
            <w:r>
              <w:lastRenderedPageBreak/>
              <w:t xml:space="preserve">Box </w:t>
            </w:r>
            <w:bookmarkStart w:id="93" w:name="OLE_LINK19"/>
            <w:r>
              <w:t>2.</w:t>
            </w:r>
            <w:r>
              <w:rPr>
                <w:noProof/>
              </w:rPr>
              <w:t>5</w:t>
            </w:r>
            <w:bookmarkEnd w:id="93"/>
            <w:r>
              <w:t xml:space="preserve"> – Programs that may help build skills businesses need for innovation</w:t>
            </w:r>
          </w:p>
        </w:tc>
      </w:tr>
      <w:tr w:rsidR="00557DD7" w14:paraId="0D400D70" w14:textId="77777777" w:rsidTr="00C426E9">
        <w:tc>
          <w:tcPr>
            <w:tcW w:w="9638" w:type="dxa"/>
            <w:tcMar>
              <w:top w:w="28" w:type="dxa"/>
              <w:left w:w="170" w:type="dxa"/>
              <w:bottom w:w="170" w:type="dxa"/>
              <w:right w:w="170" w:type="dxa"/>
            </w:tcMar>
            <w:hideMark/>
          </w:tcPr>
          <w:p w14:paraId="668F74D3" w14:textId="77777777" w:rsidR="00557DD7" w:rsidRPr="00A37126" w:rsidRDefault="00557DD7" w:rsidP="00C426E9">
            <w:pPr>
              <w:pStyle w:val="BodyText"/>
              <w:rPr>
                <w:i/>
                <w:iCs/>
              </w:rPr>
            </w:pPr>
            <w:r>
              <w:rPr>
                <w:i/>
                <w:iCs/>
              </w:rPr>
              <w:t>General programs</w:t>
            </w:r>
          </w:p>
          <w:p w14:paraId="2881AA81" w14:textId="77777777" w:rsidR="00557DD7" w:rsidRPr="005D34AF" w:rsidRDefault="00557DD7" w:rsidP="00C426E9">
            <w:pPr>
              <w:pStyle w:val="BodyText"/>
              <w:rPr>
                <w:spacing w:val="-4"/>
              </w:rPr>
            </w:pPr>
            <w:r w:rsidRPr="005D34AF">
              <w:rPr>
                <w:spacing w:val="-4"/>
              </w:rPr>
              <w:t>Various government programs that provide support to upgrade skills and improve business performance may also build the skills and management capabilities needed to successfully identify and adopt innovations.</w:t>
            </w:r>
          </w:p>
          <w:p w14:paraId="1176E744" w14:textId="03E6355A" w:rsidR="00557DD7" w:rsidRDefault="00557DD7" w:rsidP="00C426E9">
            <w:pPr>
              <w:pStyle w:val="BodyText"/>
            </w:pPr>
            <w:r>
              <w:t xml:space="preserve">For example, the Australian Government’s </w:t>
            </w:r>
            <w:proofErr w:type="spellStart"/>
            <w:r w:rsidRPr="00A2441D">
              <w:rPr>
                <w:b/>
                <w:bCs/>
              </w:rPr>
              <w:t>JobTrainer</w:t>
            </w:r>
            <w:proofErr w:type="spellEnd"/>
            <w:r w:rsidRPr="00A2441D">
              <w:rPr>
                <w:b/>
                <w:bCs/>
              </w:rPr>
              <w:t xml:space="preserve"> Fund</w:t>
            </w:r>
            <w:r>
              <w:t>, which was introduced during the COVID</w:t>
            </w:r>
            <w:r>
              <w:noBreakHyphen/>
              <w:t>19 pandemic, provides financial support for j</w:t>
            </w:r>
            <w:r w:rsidRPr="00011163">
              <w:t>ob seekers and young people (including school leavers) to upskill or reskill in areas of identified skills</w:t>
            </w:r>
            <w:r>
              <w:t xml:space="preserve"> </w:t>
            </w:r>
            <w:r w:rsidRPr="00FF57B2">
              <w:rPr>
                <w:rFonts w:ascii="Arial" w:hAnsi="Arial" w:cs="Arial"/>
                <w:szCs w:val="24"/>
              </w:rPr>
              <w:t>(DESE 2022b)</w:t>
            </w:r>
            <w:r>
              <w:t xml:space="preserve">, whereas the </w:t>
            </w:r>
            <w:r w:rsidRPr="00A2441D">
              <w:rPr>
                <w:b/>
                <w:bCs/>
              </w:rPr>
              <w:t>Skills and Training Incentive Program</w:t>
            </w:r>
            <w:r>
              <w:rPr>
                <w:b/>
                <w:bCs/>
              </w:rPr>
              <w:t xml:space="preserve"> </w:t>
            </w:r>
            <w:r w:rsidRPr="0070121E">
              <w:t>assists mature age Australians to update their skills and stay in the workforce</w:t>
            </w:r>
            <w:r>
              <w:t xml:space="preserve"> </w:t>
            </w:r>
            <w:r w:rsidRPr="00FF57B2">
              <w:rPr>
                <w:rFonts w:ascii="Arial" w:hAnsi="Arial" w:cs="Arial"/>
                <w:szCs w:val="24"/>
              </w:rPr>
              <w:t>(DESE 2022c)</w:t>
            </w:r>
            <w:r>
              <w:t>. To the extent that these programs target skills needed by businesses, they may also support innovation capabilities.</w:t>
            </w:r>
          </w:p>
          <w:p w14:paraId="1992CB5C" w14:textId="7BCDB56C" w:rsidR="00557DD7" w:rsidRPr="007F7CB9" w:rsidRDefault="00557DD7" w:rsidP="00C426E9">
            <w:pPr>
              <w:pStyle w:val="BodyText"/>
            </w:pPr>
            <w:r>
              <w:t xml:space="preserve">Other programs indirectly support management capability by providing information and services that help businesses to identify opportunities to improve business performance — including through innovation. For example, the ATO’s </w:t>
            </w:r>
            <w:r w:rsidRPr="0025033D">
              <w:rPr>
                <w:b/>
                <w:bCs/>
              </w:rPr>
              <w:t>Small Business Benchmarking</w:t>
            </w:r>
            <w:r>
              <w:t xml:space="preserve"> provides free benchmarking for small businesses on industry</w:t>
            </w:r>
            <w:r w:rsidR="000565F7">
              <w:noBreakHyphen/>
            </w:r>
            <w:r>
              <w:t>relevant performance indicators, including guidance on when a</w:t>
            </w:r>
            <w:r w:rsidRPr="003867C9">
              <w:t xml:space="preserve"> business may have room to improve</w:t>
            </w:r>
            <w:r>
              <w:t xml:space="preserve"> </w:t>
            </w:r>
            <w:r w:rsidRPr="00095022">
              <w:rPr>
                <w:rFonts w:ascii="Arial" w:hAnsi="Arial" w:cs="Arial"/>
                <w:szCs w:val="24"/>
              </w:rPr>
              <w:t>(ATO 2022)</w:t>
            </w:r>
            <w:r w:rsidRPr="003867C9">
              <w:t>.</w:t>
            </w:r>
          </w:p>
          <w:p w14:paraId="2F904FFB" w14:textId="563FAF0F" w:rsidR="00557DD7" w:rsidRDefault="00557DD7" w:rsidP="00C426E9">
            <w:pPr>
              <w:pStyle w:val="BodyText"/>
            </w:pPr>
            <w:r>
              <w:t xml:space="preserve">State governments also play a role through a variety of programs including advisory and concierge services to small businesses, such as the NSW Government’s </w:t>
            </w:r>
            <w:r w:rsidRPr="0096218F">
              <w:rPr>
                <w:b/>
                <w:bCs/>
              </w:rPr>
              <w:t>Business Concierge</w:t>
            </w:r>
            <w:r>
              <w:t xml:space="preserve"> and </w:t>
            </w:r>
            <w:r w:rsidRPr="0096218F">
              <w:rPr>
                <w:b/>
                <w:bCs/>
              </w:rPr>
              <w:t>Business Connect</w:t>
            </w:r>
            <w:r>
              <w:t xml:space="preserve"> programs </w:t>
            </w:r>
            <w:r w:rsidRPr="00095022">
              <w:rPr>
                <w:rFonts w:ascii="Arial" w:hAnsi="Arial" w:cs="Arial"/>
                <w:szCs w:val="24"/>
              </w:rPr>
              <w:t>(Service NSW 2022)</w:t>
            </w:r>
            <w:r>
              <w:t>.</w:t>
            </w:r>
          </w:p>
          <w:p w14:paraId="4E591591" w14:textId="77777777" w:rsidR="00557DD7" w:rsidRPr="000A0B5E" w:rsidRDefault="00557DD7" w:rsidP="00C426E9">
            <w:pPr>
              <w:pStyle w:val="BodyText"/>
              <w:rPr>
                <w:i/>
                <w:iCs/>
              </w:rPr>
            </w:pPr>
            <w:r w:rsidRPr="000A0B5E">
              <w:rPr>
                <w:i/>
                <w:iCs/>
              </w:rPr>
              <w:t>Programs focussing on novel approaches and entrepreneurs</w:t>
            </w:r>
          </w:p>
          <w:p w14:paraId="4A9D3D28" w14:textId="61B2C9D7" w:rsidR="00557DD7" w:rsidRPr="00A37126" w:rsidRDefault="00557DD7" w:rsidP="00C426E9">
            <w:pPr>
              <w:pStyle w:val="BodyText"/>
              <w:rPr>
                <w:i/>
              </w:rPr>
            </w:pPr>
            <w:r>
              <w:t xml:space="preserve">Services offered under </w:t>
            </w:r>
            <w:proofErr w:type="spellStart"/>
            <w:r w:rsidRPr="00EC7C4B">
              <w:t>AusIndustry</w:t>
            </w:r>
            <w:r>
              <w:t>’s</w:t>
            </w:r>
            <w:proofErr w:type="spellEnd"/>
            <w:r w:rsidRPr="00EC7C4B">
              <w:t xml:space="preserve"> </w:t>
            </w:r>
            <w:r w:rsidRPr="000F0DB4">
              <w:rPr>
                <w:b/>
                <w:bCs/>
              </w:rPr>
              <w:t>Entrepreneurs Programme</w:t>
            </w:r>
            <w:r>
              <w:t xml:space="preserve"> provide advice and funding </w:t>
            </w:r>
            <w:r w:rsidR="00AB4985">
              <w:t>for entrepreneurs and businesses</w:t>
            </w:r>
            <w:r>
              <w:t xml:space="preserve"> to connect with researchers and undertake research projects (</w:t>
            </w:r>
            <w:r w:rsidRPr="00EC7C4B">
              <w:t>Innovation Connections</w:t>
            </w:r>
            <w:r>
              <w:t xml:space="preserve">) and to bring </w:t>
            </w:r>
            <w:r w:rsidRPr="00C971DA">
              <w:t>novel product, process or service to market</w:t>
            </w:r>
            <w:r>
              <w:t xml:space="preserve"> (</w:t>
            </w:r>
            <w:r w:rsidRPr="00C971DA">
              <w:t>Accelerating Commercialisation</w:t>
            </w:r>
            <w:r>
              <w:t xml:space="preserve">) </w:t>
            </w:r>
            <w:r w:rsidRPr="00095022">
              <w:rPr>
                <w:rFonts w:ascii="Arial" w:hAnsi="Arial" w:cs="Arial"/>
                <w:szCs w:val="24"/>
              </w:rPr>
              <w:t>(business.gov.au 2022)</w:t>
            </w:r>
            <w:r>
              <w:t xml:space="preserve">. The CSIRO also runs a range of programs directed towards entrepreneurs and research teams, such as the </w:t>
            </w:r>
            <w:r w:rsidRPr="00B064D3">
              <w:rPr>
                <w:b/>
              </w:rPr>
              <w:t>ON programmes</w:t>
            </w:r>
            <w:r>
              <w:t xml:space="preserve">, which include training in customer discovery and market validation activities, as well as an accelerator to help commercialise ideas </w:t>
            </w:r>
            <w:r w:rsidRPr="00095022">
              <w:rPr>
                <w:rFonts w:ascii="Arial" w:hAnsi="Arial" w:cs="Arial"/>
                <w:szCs w:val="24"/>
              </w:rPr>
              <w:t>(CSIRO 2019)</w:t>
            </w:r>
            <w:r>
              <w:t>. State Governments across Australia also offer a variety of grant programs and fund accelerators and start</w:t>
            </w:r>
            <w:r w:rsidR="000565F7">
              <w:noBreakHyphen/>
            </w:r>
            <w:r>
              <w:t xml:space="preserve">up hubs, such as the </w:t>
            </w:r>
            <w:r w:rsidRPr="00AA3188">
              <w:rPr>
                <w:b/>
              </w:rPr>
              <w:t xml:space="preserve">Victorian </w:t>
            </w:r>
            <w:r w:rsidRPr="00AA3188">
              <w:rPr>
                <w:b/>
                <w:bCs/>
              </w:rPr>
              <w:t>Innovation Hub</w:t>
            </w:r>
            <w:r>
              <w:t xml:space="preserve"> and </w:t>
            </w:r>
            <w:r w:rsidRPr="001C529B">
              <w:rPr>
                <w:b/>
                <w:bCs/>
              </w:rPr>
              <w:t xml:space="preserve">Sydney </w:t>
            </w:r>
            <w:proofErr w:type="spellStart"/>
            <w:r w:rsidRPr="001C529B">
              <w:rPr>
                <w:b/>
                <w:bCs/>
              </w:rPr>
              <w:t>Startup</w:t>
            </w:r>
            <w:proofErr w:type="spellEnd"/>
            <w:r w:rsidRPr="001C529B">
              <w:rPr>
                <w:b/>
                <w:bCs/>
              </w:rPr>
              <w:t xml:space="preserve"> Hub</w:t>
            </w:r>
            <w:r>
              <w:t>, providing the infrastructure to help start</w:t>
            </w:r>
            <w:r w:rsidR="000565F7">
              <w:noBreakHyphen/>
            </w:r>
            <w:r>
              <w:t xml:space="preserve">ups grow </w:t>
            </w:r>
            <w:r w:rsidRPr="00095022">
              <w:rPr>
                <w:rFonts w:ascii="Arial" w:hAnsi="Arial" w:cs="Arial"/>
                <w:szCs w:val="24"/>
              </w:rPr>
              <w:t>(Department of Jobs, Precincts and Regions 2018; Investment NSW 2022)</w:t>
            </w:r>
            <w:r>
              <w:t>.</w:t>
            </w:r>
          </w:p>
        </w:tc>
      </w:tr>
      <w:tr w:rsidR="00557DD7" w14:paraId="39425BDC" w14:textId="77777777" w:rsidTr="00C426E9">
        <w:trPr>
          <w:hidden/>
        </w:trPr>
        <w:tc>
          <w:tcPr>
            <w:tcW w:w="9638" w:type="dxa"/>
            <w:shd w:val="clear" w:color="auto" w:fill="auto"/>
            <w:tcMar>
              <w:top w:w="0" w:type="dxa"/>
              <w:left w:w="170" w:type="dxa"/>
              <w:bottom w:w="0" w:type="dxa"/>
              <w:right w:w="170" w:type="dxa"/>
            </w:tcMar>
          </w:tcPr>
          <w:p w14:paraId="6D50365C" w14:textId="6179237F" w:rsidR="00557DD7" w:rsidRPr="00465191" w:rsidRDefault="00557DD7" w:rsidP="00C426E9">
            <w:pPr>
              <w:pStyle w:val="BodyText"/>
              <w:spacing w:before="0" w:after="0" w:line="80" w:lineRule="atLeast"/>
              <w:rPr>
                <w:smallCaps/>
                <w:vanish/>
              </w:rPr>
            </w:pPr>
          </w:p>
        </w:tc>
      </w:tr>
    </w:tbl>
    <w:p w14:paraId="20AFD869" w14:textId="77777777" w:rsidR="00557DD7" w:rsidRDefault="00557DD7" w:rsidP="00557DD7">
      <w:pPr>
        <w:pStyle w:val="Heading5"/>
      </w:pPr>
      <w:r>
        <w:t>Building fundamental and transferable skills for innovation with extension services</w:t>
      </w:r>
    </w:p>
    <w:p w14:paraId="150DE5AD" w14:textId="77777777" w:rsidR="00557DD7" w:rsidRDefault="00557DD7" w:rsidP="00557DD7">
      <w:pPr>
        <w:pStyle w:val="BodyText"/>
      </w:pPr>
      <w:r w:rsidRPr="00B51412">
        <w:t xml:space="preserve">If governments invest in building capabilities for innovation outside of the broader education system, they should prioritise policies and programs with the highest expected social return. Given the potential effect on productivity of improving management capabilities, programs to address skills gaps </w:t>
      </w:r>
      <w:r>
        <w:t xml:space="preserve">in </w:t>
      </w:r>
      <w:r w:rsidRPr="00B51412">
        <w:t>the firms that will most benefit from it — namely, SMEs — may be one way to generate a high social return</w:t>
      </w:r>
      <w:r>
        <w:t>.</w:t>
      </w:r>
      <w:r>
        <w:rPr>
          <w:rStyle w:val="FootnoteReference"/>
        </w:rPr>
        <w:footnoteReference w:id="19"/>
      </w:r>
    </w:p>
    <w:p w14:paraId="5130D3CC" w14:textId="237BC8A0" w:rsidR="00557DD7" w:rsidRDefault="00557DD7" w:rsidP="00557DD7">
      <w:pPr>
        <w:pStyle w:val="BodyText"/>
      </w:pPr>
      <w:r>
        <w:lastRenderedPageBreak/>
        <w:t xml:space="preserve">A possible approach is to offer </w:t>
      </w:r>
      <w:r w:rsidRPr="00484A1C">
        <w:t xml:space="preserve">education and training services to </w:t>
      </w:r>
      <w:r>
        <w:t>advise</w:t>
      </w:r>
      <w:r w:rsidRPr="00484A1C">
        <w:t xml:space="preserve"> managers on the existence and proper implementation of new </w:t>
      </w:r>
      <w:r>
        <w:t>technologies, similar to</w:t>
      </w:r>
      <w:r w:rsidRPr="00484A1C">
        <w:t xml:space="preserve"> </w:t>
      </w:r>
      <w:r>
        <w:t xml:space="preserve">the </w:t>
      </w:r>
      <w:r w:rsidRPr="00484A1C">
        <w:t xml:space="preserve">extension </w:t>
      </w:r>
      <w:r>
        <w:t>services offered in the agricultural sector.</w:t>
      </w:r>
      <w:r>
        <w:rPr>
          <w:rStyle w:val="FootnoteReference"/>
        </w:rPr>
        <w:footnoteReference w:id="20"/>
      </w:r>
      <w:r>
        <w:t xml:space="preserve"> </w:t>
      </w:r>
      <w:r w:rsidRPr="00791043">
        <w:t>Extension services have been used mainly in agriculture as a way of transfe</w:t>
      </w:r>
      <w:r>
        <w:t>r</w:t>
      </w:r>
      <w:r w:rsidRPr="00791043">
        <w:t xml:space="preserve">ring knowledge and innovations </w:t>
      </w:r>
      <w:r>
        <w:t>—</w:t>
      </w:r>
      <w:r w:rsidRPr="00791043">
        <w:t xml:space="preserve"> often developed through publicly funded R&amp;D </w:t>
      </w:r>
      <w:r>
        <w:t xml:space="preserve">— </w:t>
      </w:r>
      <w:r w:rsidRPr="00791043">
        <w:t>to farmers for their practical use.</w:t>
      </w:r>
    </w:p>
    <w:p w14:paraId="593A0A8E" w14:textId="7354F25C" w:rsidR="00557DD7" w:rsidRDefault="00557DD7" w:rsidP="00557DD7">
      <w:pPr>
        <w:pStyle w:val="BodyText"/>
      </w:pPr>
      <w:r>
        <w:t xml:space="preserve">There is a significant body of evidence suggesting that agricultural extension generates </w:t>
      </w:r>
      <w:r w:rsidRPr="00C72BBD">
        <w:t>significant positive social returns</w:t>
      </w:r>
      <w:r>
        <w:t>. For example, b</w:t>
      </w:r>
      <w:r w:rsidRPr="00575608">
        <w:t>ased on a meta</w:t>
      </w:r>
      <w:r>
        <w:noBreakHyphen/>
      </w:r>
      <w:r w:rsidRPr="00575608">
        <w:t>analysis of 289 studies on the returns to agricultural R&amp;D and extension in the post</w:t>
      </w:r>
      <w:r w:rsidR="000565F7">
        <w:noBreakHyphen/>
      </w:r>
      <w:r w:rsidRPr="00575608">
        <w:t>war period, Alston et al</w:t>
      </w:r>
      <w:r>
        <w:t>.</w:t>
      </w:r>
      <w:r w:rsidRPr="00575608">
        <w:t xml:space="preserve"> (2000, p. 201) found an overall median rate of return to extension of 63</w:t>
      </w:r>
      <w:r w:rsidR="004C783B">
        <w:t> </w:t>
      </w:r>
      <w:r w:rsidRPr="00575608">
        <w:t>per</w:t>
      </w:r>
      <w:r w:rsidR="004C783B">
        <w:t> </w:t>
      </w:r>
      <w:r w:rsidRPr="00575608">
        <w:t xml:space="preserve">cent. In a study focused on the Australian broadacre industry, Sheng et al. (2011, pp. 28, 31) estimated that past public investments in extension generated an average rate of return that could be as high as 47 per cent a year — </w:t>
      </w:r>
      <w:r w:rsidR="005E41AE">
        <w:t>contributing about 0.27 percentage points to</w:t>
      </w:r>
      <w:r w:rsidRPr="00575608">
        <w:t xml:space="preserve"> annual total factor productivity growth in the broadacre industry.</w:t>
      </w:r>
    </w:p>
    <w:p w14:paraId="22B3D470" w14:textId="2FBF66F9" w:rsidR="00557DD7" w:rsidRDefault="00557DD7" w:rsidP="00557DD7">
      <w:pPr>
        <w:pStyle w:val="BodyText"/>
      </w:pPr>
      <w:r w:rsidRPr="00884671">
        <w:t xml:space="preserve">The key policy question is whether variations on this model could work in industries other than agriculture. As noted in </w:t>
      </w:r>
      <w:r w:rsidR="009428AA">
        <w:t>c</w:t>
      </w:r>
      <w:r w:rsidRPr="00884671">
        <w:t>hapter</w:t>
      </w:r>
      <w:r w:rsidR="000565F7">
        <w:t> </w:t>
      </w:r>
      <w:r w:rsidRPr="00884671">
        <w:t>1</w:t>
      </w:r>
      <w:r>
        <w:t xml:space="preserve"> of this report</w:t>
      </w:r>
      <w:r w:rsidRPr="00884671">
        <w:t>, different sectors of the economy innovate in different ways, with implications for the shape of the innovation ecosystem in each case.</w:t>
      </w:r>
      <w:r>
        <w:t xml:space="preserve"> For example, a</w:t>
      </w:r>
      <w:r w:rsidRPr="00D47642">
        <w:t>griculture is traditionally characterised by significant industry</w:t>
      </w:r>
      <w:r>
        <w:noBreakHyphen/>
      </w:r>
      <w:r w:rsidRPr="00D47642">
        <w:t xml:space="preserve">specific R&amp;D (performed centrally and </w:t>
      </w:r>
      <w:r>
        <w:t xml:space="preserve">funded </w:t>
      </w:r>
      <w:r w:rsidRPr="00D47642">
        <w:t>by industry levies or public subsid</w:t>
      </w:r>
      <w:r w:rsidR="00CC7034">
        <w:t>ies</w:t>
      </w:r>
      <w:r w:rsidRPr="00D47642">
        <w:t xml:space="preserve">), with a fairly stable population of farm businesses who are often not competing with one another on price, quality or volume. </w:t>
      </w:r>
      <w:r>
        <w:t xml:space="preserve">In other industries, businesses’ needs tend to be more differentiated and there can be more secrecy and competition </w:t>
      </w:r>
      <w:r w:rsidR="00CB5A0C">
        <w:t>about</w:t>
      </w:r>
      <w:r>
        <w:t xml:space="preserve"> innovation.</w:t>
      </w:r>
    </w:p>
    <w:p w14:paraId="67E980E9" w14:textId="5687E90B" w:rsidR="00557DD7" w:rsidRDefault="00557DD7" w:rsidP="00557DD7">
      <w:pPr>
        <w:pStyle w:val="BodyText"/>
      </w:pPr>
      <w:r>
        <w:t xml:space="preserve">Outside agriculture, extension services have had more mixed results. For example, the Manufacturing Extension Partnership (MEP) in the United States, which provides extension services to manufacturing SMEs, was not without problems. Econometric evidence indicates that the program has had positive and significant effects on labour productivity and rates of firm survival, particularly for small firms </w:t>
      </w:r>
      <w:r w:rsidRPr="00B4401B">
        <w:t>(Lipscomb et al. 2018, p. 41)</w:t>
      </w:r>
      <w:r>
        <w:t>. However, despite the original intent for the program to become self</w:t>
      </w:r>
      <w:r>
        <w:noBreakHyphen/>
        <w:t>financing after a six</w:t>
      </w:r>
      <w:r>
        <w:noBreakHyphen/>
        <w:t>year period of government support, the program has not managed to become self</w:t>
      </w:r>
      <w:r>
        <w:noBreakHyphen/>
        <w:t xml:space="preserve">sustaining, and continued support for the program in the United States has been contentious </w:t>
      </w:r>
      <w:r w:rsidRPr="00BB2E38">
        <w:rPr>
          <w:rFonts w:ascii="Arial" w:hAnsi="Arial" w:cs="Arial"/>
          <w:szCs w:val="24"/>
        </w:rPr>
        <w:t>(Sargent 2019, pp. 3–4)</w:t>
      </w:r>
      <w:r>
        <w:t>.</w:t>
      </w:r>
    </w:p>
    <w:p w14:paraId="04035BA4" w14:textId="4C188A12" w:rsidR="00557DD7" w:rsidRDefault="00557DD7" w:rsidP="00557DD7">
      <w:pPr>
        <w:pStyle w:val="BodyText"/>
      </w:pPr>
      <w:r>
        <w:t>Moreover, the specific design of the program is crucial to ensure that the services provided match the needs of businesses. For example, the original design of the MEP, which targeted the transfer of federally funded technologies to SMEs, was found to be misguided — manufacturing SMEs did not need advanced technologies. Rather, their needs were more basic, including off</w:t>
      </w:r>
      <w:r>
        <w:noBreakHyphen/>
        <w:t>the</w:t>
      </w:r>
      <w:r>
        <w:noBreakHyphen/>
        <w:t xml:space="preserve">shelf technology and more general management advice </w:t>
      </w:r>
      <w:r w:rsidRPr="003B2EB0">
        <w:t>(Sargent 2019, p. 4).</w:t>
      </w:r>
    </w:p>
    <w:p w14:paraId="0FDF52C3" w14:textId="24124546" w:rsidR="00557DD7" w:rsidRDefault="00557DD7" w:rsidP="00557DD7">
      <w:pPr>
        <w:pStyle w:val="BodyText"/>
      </w:pPr>
      <w:r w:rsidRPr="0058412A">
        <w:t>Extension services have not been tried outside of manufacturing and agriculture. However, some of the practices of industry associations may be considered as examples of extension</w:t>
      </w:r>
      <w:r>
        <w:noBreakHyphen/>
      </w:r>
      <w:r w:rsidRPr="0058412A">
        <w:t xml:space="preserve">like services. For example, the Restaurant and Catering Association told the Commission that, among other services, </w:t>
      </w:r>
      <w:r>
        <w:t xml:space="preserve">they </w:t>
      </w:r>
      <w:r w:rsidRPr="0058412A">
        <w:t>help the businesses that reach out to them to identify challenges and solve problems, including translating and providing information about innovations already available in the market</w:t>
      </w:r>
      <w:r>
        <w:t xml:space="preserve"> (R</w:t>
      </w:r>
      <w:r w:rsidR="00723E18">
        <w:t>&amp;</w:t>
      </w:r>
      <w:r>
        <w:t>CA</w:t>
      </w:r>
      <w:r w:rsidRPr="00403BAC">
        <w:t xml:space="preserve">, pers. comm. </w:t>
      </w:r>
      <w:r>
        <w:t>9</w:t>
      </w:r>
      <w:r w:rsidR="000565F7">
        <w:t> </w:t>
      </w:r>
      <w:r>
        <w:t xml:space="preserve">June </w:t>
      </w:r>
      <w:r w:rsidRPr="00403BAC">
        <w:t>2022</w:t>
      </w:r>
      <w:r>
        <w:t>)</w:t>
      </w:r>
      <w:r w:rsidRPr="0058412A">
        <w:t>.</w:t>
      </w:r>
    </w:p>
    <w:p w14:paraId="0576AE74" w14:textId="4312C209" w:rsidR="00557DD7" w:rsidRDefault="00557DD7" w:rsidP="00557DD7">
      <w:pPr>
        <w:pStyle w:val="BodyText"/>
      </w:pPr>
      <w:r w:rsidRPr="00271DEB">
        <w:t>Accordingly, while government</w:t>
      </w:r>
      <w:r>
        <w:noBreakHyphen/>
      </w:r>
      <w:r w:rsidRPr="00271DEB">
        <w:t>funded extension services have limited application and mixed results outside agriculture, given the</w:t>
      </w:r>
      <w:r w:rsidR="00C51B13">
        <w:t>ir</w:t>
      </w:r>
      <w:r w:rsidRPr="00271DEB">
        <w:t xml:space="preserve"> success in agriculture, some variation on this theme is worth considering to better enable the diffusion of innovations and avoid the worst aspects of other forms of industry policy. Extension services avoid picking winners </w:t>
      </w:r>
      <w:r w:rsidR="00A15BEE">
        <w:t>and</w:t>
      </w:r>
      <w:r w:rsidRPr="00271DEB">
        <w:t xml:space="preserve"> could offer a direct way to build the absorptive capacity of the broad population of Australian firms.</w:t>
      </w:r>
    </w:p>
    <w:p w14:paraId="5F72FD17" w14:textId="77777777" w:rsidR="00D077DB" w:rsidRPr="00C726E6" w:rsidRDefault="00D077DB" w:rsidP="00D077DB">
      <w:pPr>
        <w:pStyle w:val="NoSpacing"/>
      </w:pPr>
    </w:p>
    <w:tbl>
      <w:tblPr>
        <w:tblStyle w:val="TextTable-Grey"/>
        <w:tblW w:w="5000" w:type="pct"/>
        <w:tblLook w:val="04A0" w:firstRow="1" w:lastRow="0" w:firstColumn="1" w:lastColumn="0" w:noHBand="0" w:noVBand="1"/>
      </w:tblPr>
      <w:tblGrid>
        <w:gridCol w:w="713"/>
        <w:gridCol w:w="8925"/>
      </w:tblGrid>
      <w:tr w:rsidR="00557DD7" w14:paraId="66642DE4" w14:textId="77777777" w:rsidTr="00C426E9">
        <w:trPr>
          <w:tblHeader/>
        </w:trPr>
        <w:tc>
          <w:tcPr>
            <w:tcW w:w="713" w:type="dxa"/>
            <w:vAlign w:val="center"/>
          </w:tcPr>
          <w:p w14:paraId="350F40AE" w14:textId="77777777" w:rsidR="00557DD7" w:rsidRDefault="00557DD7" w:rsidP="00C426E9">
            <w:pPr>
              <w:keepNext/>
              <w:keepLines/>
              <w:spacing w:after="0"/>
              <w:jc w:val="right"/>
            </w:pPr>
            <w:r w:rsidRPr="00A51374">
              <w:rPr>
                <w:noProof/>
              </w:rPr>
              <w:drawing>
                <wp:inline distT="0" distB="0" distL="0" distR="0" wp14:anchorId="3821E7C9" wp14:editId="07C5E9DB">
                  <wp:extent cx="288000" cy="288000"/>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53110F4" w14:textId="2D484EC3" w:rsidR="00557DD7" w:rsidRPr="000B0B71" w:rsidRDefault="00557DD7" w:rsidP="00C426E9">
            <w:pPr>
              <w:pStyle w:val="TableHeading"/>
              <w:keepNext/>
              <w:spacing w:before="180" w:after="120"/>
              <w:rPr>
                <w:sz w:val="20"/>
              </w:rPr>
            </w:pPr>
            <w:r w:rsidRPr="000B0B71">
              <w:rPr>
                <w:sz w:val="20"/>
              </w:rPr>
              <w:t xml:space="preserve">Information request </w:t>
            </w:r>
            <w:r>
              <w:rPr>
                <w:noProof/>
                <w:sz w:val="20"/>
              </w:rPr>
              <w:t>2</w:t>
            </w:r>
            <w:r w:rsidRPr="00DF7217">
              <w:rPr>
                <w:sz w:val="20"/>
              </w:rPr>
              <w:t>.</w:t>
            </w:r>
            <w:r w:rsidR="00D42F97">
              <w:rPr>
                <w:sz w:val="20"/>
              </w:rPr>
              <w:t>3</w:t>
            </w:r>
            <w:r>
              <w:rPr>
                <w:sz w:val="20"/>
              </w:rPr>
              <w:t xml:space="preserve"> </w:t>
            </w:r>
          </w:p>
        </w:tc>
      </w:tr>
      <w:tr w:rsidR="00557DD7" w14:paraId="6442C8D1" w14:textId="77777777" w:rsidTr="00C426E9">
        <w:tc>
          <w:tcPr>
            <w:tcW w:w="9638" w:type="dxa"/>
            <w:gridSpan w:val="2"/>
            <w:tcMar>
              <w:top w:w="0" w:type="dxa"/>
            </w:tcMar>
          </w:tcPr>
          <w:p w14:paraId="2C416815" w14:textId="6065BD7E" w:rsidR="00557DD7" w:rsidRPr="008529A2" w:rsidRDefault="00557DD7" w:rsidP="00C426E9">
            <w:pPr>
              <w:pStyle w:val="BodyText"/>
            </w:pPr>
            <w:r w:rsidRPr="004C3532">
              <w:t xml:space="preserve">What aspects of the agricultural extension services model could be applied more broadly, and in which sectors in particular, to assist with diffusion </w:t>
            </w:r>
            <w:r w:rsidR="00F7103F">
              <w:t>of</w:t>
            </w:r>
            <w:r w:rsidRPr="004C3532">
              <w:t xml:space="preserve"> technologies</w:t>
            </w:r>
            <w:r w:rsidR="00F7103F">
              <w:t xml:space="preserve"> and practices</w:t>
            </w:r>
            <w:r w:rsidRPr="004C3532">
              <w:t>?</w:t>
            </w:r>
          </w:p>
        </w:tc>
      </w:tr>
      <w:tr w:rsidR="00557DD7" w14:paraId="47023420" w14:textId="77777777" w:rsidTr="00C426E9">
        <w:tc>
          <w:tcPr>
            <w:tcW w:w="9638" w:type="dxa"/>
            <w:gridSpan w:val="2"/>
            <w:shd w:val="clear" w:color="auto" w:fill="auto"/>
            <w:tcMar>
              <w:top w:w="0" w:type="dxa"/>
              <w:bottom w:w="0" w:type="dxa"/>
            </w:tcMar>
          </w:tcPr>
          <w:p w14:paraId="711ED5EF" w14:textId="77777777" w:rsidR="00557DD7" w:rsidRDefault="00557DD7" w:rsidP="00C426E9">
            <w:pPr>
              <w:pStyle w:val="NoSpacing"/>
              <w:spacing w:line="200" w:lineRule="exact"/>
            </w:pPr>
          </w:p>
        </w:tc>
      </w:tr>
    </w:tbl>
    <w:p w14:paraId="3A9684AB" w14:textId="77777777" w:rsidR="00557DD7" w:rsidRDefault="00557DD7" w:rsidP="00557DD7">
      <w:pPr>
        <w:pStyle w:val="Heading2"/>
      </w:pPr>
      <w:bookmarkStart w:id="94" w:name="_Toc113969658"/>
      <w:r>
        <w:t>Collaboration and networks can catalyse innovation diffusion</w:t>
      </w:r>
      <w:bookmarkEnd w:id="94"/>
    </w:p>
    <w:p w14:paraId="3B6C742E" w14:textId="77777777" w:rsidR="00557DD7" w:rsidRDefault="00557DD7" w:rsidP="00557DD7">
      <w:pPr>
        <w:pStyle w:val="BodyText"/>
      </w:pPr>
      <w:r>
        <w:t xml:space="preserve">The diffusion of innovation requires channels for collaboration and networks for knowledge transfer. Such linkages are critical to allow information about innovations to spread — to </w:t>
      </w:r>
      <w:r>
        <w:rPr>
          <w:i/>
          <w:iCs/>
        </w:rPr>
        <w:t>diffuse</w:t>
      </w:r>
      <w:r>
        <w:t xml:space="preserve"> — among businesses. These include:</w:t>
      </w:r>
    </w:p>
    <w:p w14:paraId="4AB1DD4E" w14:textId="35413A7A" w:rsidR="00557DD7" w:rsidRDefault="00557DD7" w:rsidP="001A1DD7">
      <w:pPr>
        <w:pStyle w:val="ListBullet"/>
      </w:pPr>
      <w:r>
        <w:t>within business and business</w:t>
      </w:r>
      <w:r w:rsidR="00E63F3C">
        <w:noBreakHyphen/>
      </w:r>
      <w:r>
        <w:t>to</w:t>
      </w:r>
      <w:r w:rsidR="00E63F3C">
        <w:noBreakHyphen/>
      </w:r>
      <w:r>
        <w:t>business linkages, such as information flows through supply chains (see section</w:t>
      </w:r>
      <w:r w:rsidR="000565F7">
        <w:t> </w:t>
      </w:r>
      <w:r>
        <w:t>2.2 for examples relating to international trade)</w:t>
      </w:r>
    </w:p>
    <w:p w14:paraId="2483D5F3" w14:textId="226D2F24" w:rsidR="00557DD7" w:rsidRDefault="00557DD7" w:rsidP="001A1DD7">
      <w:pPr>
        <w:pStyle w:val="ListBullet"/>
      </w:pPr>
      <w:r>
        <w:t>business</w:t>
      </w:r>
      <w:r w:rsidR="00E63F3C">
        <w:noBreakHyphen/>
      </w:r>
      <w:r>
        <w:t>to</w:t>
      </w:r>
      <w:r w:rsidR="00E63F3C">
        <w:noBreakHyphen/>
      </w:r>
      <w:r>
        <w:t xml:space="preserve">business linkages via an intermediary, such as industry associations </w:t>
      </w:r>
      <w:r w:rsidRPr="00B473E6">
        <w:t>and consultants</w:t>
      </w:r>
    </w:p>
    <w:p w14:paraId="70B3923B" w14:textId="3C1F3833" w:rsidR="00557DD7" w:rsidRDefault="00557DD7" w:rsidP="001A1DD7">
      <w:pPr>
        <w:pStyle w:val="ListBullet"/>
      </w:pPr>
      <w:r>
        <w:t>research institutions</w:t>
      </w:r>
      <w:r w:rsidR="00E63F3C">
        <w:noBreakHyphen/>
      </w:r>
      <w:r>
        <w:t>to</w:t>
      </w:r>
      <w:r w:rsidR="00E63F3C">
        <w:noBreakHyphen/>
      </w:r>
      <w:r>
        <w:t>business linkages, such as with universities</w:t>
      </w:r>
      <w:r w:rsidR="00E2422F">
        <w:t>.</w:t>
      </w:r>
    </w:p>
    <w:p w14:paraId="33FDE229" w14:textId="77777777" w:rsidR="00557DD7" w:rsidRDefault="00557DD7" w:rsidP="00557DD7">
      <w:pPr>
        <w:pStyle w:val="Heading3"/>
      </w:pPr>
      <w:r>
        <w:t xml:space="preserve">Channels for information and innovation diffusion </w:t>
      </w:r>
    </w:p>
    <w:p w14:paraId="2DDA1B22" w14:textId="0226E61E" w:rsidR="00557DD7" w:rsidRDefault="00557DD7" w:rsidP="00557DD7">
      <w:pPr>
        <w:pStyle w:val="BodyText"/>
      </w:pPr>
      <w:r>
        <w:t xml:space="preserve">Information is critical to the uptake of innovation. Businesses need to know what technologies and practices exist in the </w:t>
      </w:r>
      <w:proofErr w:type="gramStart"/>
      <w:r>
        <w:t>market place</w:t>
      </w:r>
      <w:proofErr w:type="gramEnd"/>
      <w:r>
        <w:t xml:space="preserve">, their compatibility with the business’ organisation and how to adapt and integrate them into their organisation </w:t>
      </w:r>
      <w:r w:rsidRPr="006326BA">
        <w:rPr>
          <w:rFonts w:ascii="Arial" w:hAnsi="Arial" w:cs="Arial"/>
          <w:szCs w:val="24"/>
        </w:rPr>
        <w:t>(Hall 2004, p. 19)</w:t>
      </w:r>
      <w:r>
        <w:t>. Sources of information include research organisations (universities and</w:t>
      </w:r>
      <w:r w:rsidRPr="00787109">
        <w:t xml:space="preserve"> public research institutions); </w:t>
      </w:r>
      <w:r>
        <w:t xml:space="preserve">firms in the same or related industries </w:t>
      </w:r>
      <w:r w:rsidRPr="00787109">
        <w:t xml:space="preserve">(including foreign </w:t>
      </w:r>
      <w:r>
        <w:t>firms); and industry organisations and networks</w:t>
      </w:r>
      <w:r w:rsidRPr="00787109">
        <w:t>.</w:t>
      </w:r>
      <w:r>
        <w:t xml:space="preserve"> However, not all sources of information will be perceived as equal by firms, with some sources likely to be considered both more trustworthy and relevant to a business’ situation </w:t>
      </w:r>
      <w:r w:rsidRPr="00010B58">
        <w:rPr>
          <w:rFonts w:ascii="Arial" w:hAnsi="Arial" w:cs="Arial"/>
          <w:szCs w:val="24"/>
        </w:rPr>
        <w:t>(</w:t>
      </w:r>
      <w:proofErr w:type="spellStart"/>
      <w:r w:rsidRPr="00010B58">
        <w:rPr>
          <w:rFonts w:ascii="Arial" w:hAnsi="Arial" w:cs="Arial"/>
          <w:szCs w:val="24"/>
        </w:rPr>
        <w:t>Nooteboom</w:t>
      </w:r>
      <w:proofErr w:type="spellEnd"/>
      <w:r w:rsidRPr="00010B58">
        <w:rPr>
          <w:rFonts w:ascii="Arial" w:hAnsi="Arial" w:cs="Arial"/>
          <w:szCs w:val="24"/>
        </w:rPr>
        <w:t> 1994, p. 343)</w:t>
      </w:r>
      <w:r>
        <w:t>.</w:t>
      </w:r>
    </w:p>
    <w:p w14:paraId="234FB1D5" w14:textId="77777777" w:rsidR="00557DD7" w:rsidRDefault="00557DD7" w:rsidP="00557DD7">
      <w:pPr>
        <w:pStyle w:val="Heading4"/>
      </w:pPr>
      <w:r>
        <w:t>The business community is the most important channel for diffusing information about innovations</w:t>
      </w:r>
    </w:p>
    <w:p w14:paraId="436600FC" w14:textId="522DE102" w:rsidR="00557DD7" w:rsidRDefault="002D1FDD" w:rsidP="00557DD7">
      <w:pPr>
        <w:pStyle w:val="BodyText"/>
      </w:pPr>
      <w:r w:rsidRPr="002D1FDD">
        <w:t>Firms responding to the ABS Business Characteristics Survey</w:t>
      </w:r>
      <w:r w:rsidR="00557DD7">
        <w:t xml:space="preserve"> (figure 2.</w:t>
      </w:r>
      <w:r w:rsidR="004C70BE">
        <w:t>9</w:t>
      </w:r>
      <w:r w:rsidRPr="002D1FDD">
        <w:t xml:space="preserve">) indicate that they derive ideas and information about innovation from a wide range of sources. Interestingly, </w:t>
      </w:r>
      <w:r w:rsidR="00557DD7">
        <w:t>Australian</w:t>
      </w:r>
      <w:r w:rsidR="00557DD7" w:rsidRPr="00603917">
        <w:t xml:space="preserve"> </w:t>
      </w:r>
      <w:r w:rsidR="00557DD7">
        <w:t xml:space="preserve">businesses </w:t>
      </w:r>
      <w:r>
        <w:t>source</w:t>
      </w:r>
      <w:r w:rsidR="00557DD7">
        <w:t xml:space="preserve"> most of their ideas for innovation from within their own organisation. Although some of this comes from in</w:t>
      </w:r>
      <w:r w:rsidR="000565F7">
        <w:noBreakHyphen/>
      </w:r>
      <w:r w:rsidR="00557DD7">
        <w:t>house R&amp;D, a large part of this comes about from workers moving between firms and bringing diverse skills and knowledge from their previous workplaces with them. In its 2017 Innovation Benchmark Report, PwC noted that, of the 1222 firms they interviewed, over two thirds agreed that:</w:t>
      </w:r>
    </w:p>
    <w:p w14:paraId="3B409DC3" w14:textId="022D6434" w:rsidR="00557DD7" w:rsidRDefault="00557DD7" w:rsidP="00557DD7">
      <w:pPr>
        <w:pStyle w:val="Quote"/>
      </w:pPr>
      <w:r w:rsidRPr="009B6418">
        <w:t>bringing in employees with fresh thinking and establishing innovative behaviours and cultures are the most critical success factors for innovation, well above other criteria, such as increasing the innovation budget or establishing a clear business model for innovation.</w:t>
      </w:r>
      <w:r>
        <w:t xml:space="preserve"> </w:t>
      </w:r>
      <w:r w:rsidRPr="00D81986">
        <w:rPr>
          <w:rFonts w:ascii="Arial" w:hAnsi="Arial" w:cs="Arial"/>
          <w:szCs w:val="24"/>
        </w:rPr>
        <w:t>(Eriksson 2017)</w:t>
      </w:r>
    </w:p>
    <w:p w14:paraId="38F10FFE" w14:textId="66C0C6DC" w:rsidR="00557DD7" w:rsidRDefault="00557DD7" w:rsidP="00557DD7">
      <w:pPr>
        <w:pStyle w:val="BodyText"/>
      </w:pPr>
      <w:r>
        <w:t>Businesses also learn about innovative ideas and processes from their clients, their competitors and from their suppliers. Direct interactions with</w:t>
      </w:r>
      <w:r w:rsidRPr="004860CA">
        <w:t xml:space="preserve"> suppliers</w:t>
      </w:r>
      <w:r>
        <w:t xml:space="preserve"> and</w:t>
      </w:r>
      <w:r w:rsidRPr="004860CA">
        <w:t xml:space="preserve"> c</w:t>
      </w:r>
      <w:r>
        <w:t>lient</w:t>
      </w:r>
      <w:r w:rsidRPr="004860CA">
        <w:t>s</w:t>
      </w:r>
      <w:r>
        <w:t xml:space="preserve"> can be a trusted source of information, particularly where there</w:t>
      </w:r>
      <w:r w:rsidRPr="000B4ED4">
        <w:t xml:space="preserve"> </w:t>
      </w:r>
      <w:r>
        <w:t xml:space="preserve">are strong existing business relationships. Large, efficient firms (such as multinational corporations) even have incentives to </w:t>
      </w:r>
      <w:r w:rsidR="002A4423">
        <w:t xml:space="preserve">actively </w:t>
      </w:r>
      <w:r>
        <w:t xml:space="preserve">transfer information up and down their supply </w:t>
      </w:r>
      <w:r>
        <w:lastRenderedPageBreak/>
        <w:t>chain (</w:t>
      </w:r>
      <w:r w:rsidRPr="00C5786C">
        <w:t>section</w:t>
      </w:r>
      <w:r w:rsidR="000565F7">
        <w:t> </w:t>
      </w:r>
      <w:r w:rsidRPr="00C5786C">
        <w:t>2.2</w:t>
      </w:r>
      <w:r>
        <w:t xml:space="preserve">). Equally, competitors’ experience with adopting and using new technologies can be an important source of information about innovation </w:t>
      </w:r>
      <w:r w:rsidRPr="00931A5F">
        <w:rPr>
          <w:rFonts w:ascii="Arial" w:hAnsi="Arial" w:cs="Arial"/>
          <w:szCs w:val="24"/>
        </w:rPr>
        <w:t xml:space="preserve">(Stoneman and </w:t>
      </w:r>
      <w:proofErr w:type="spellStart"/>
      <w:r w:rsidRPr="00931A5F">
        <w:rPr>
          <w:rFonts w:ascii="Arial" w:hAnsi="Arial" w:cs="Arial"/>
          <w:szCs w:val="24"/>
        </w:rPr>
        <w:t>Diederen</w:t>
      </w:r>
      <w:proofErr w:type="spellEnd"/>
      <w:r w:rsidRPr="00931A5F">
        <w:rPr>
          <w:rFonts w:ascii="Arial" w:hAnsi="Arial" w:cs="Arial"/>
          <w:szCs w:val="24"/>
        </w:rPr>
        <w:t> 1994, p. 924)</w:t>
      </w:r>
      <w:r>
        <w:t>, when that information can be shared</w:t>
      </w:r>
      <w:r w:rsidR="00F124C8">
        <w:t xml:space="preserve"> or observed</w:t>
      </w:r>
      <w:r>
        <w:t>.</w:t>
      </w:r>
    </w:p>
    <w:p w14:paraId="12FF4810" w14:textId="716CA98E" w:rsidR="00557DD7" w:rsidRDefault="00557DD7" w:rsidP="00557DD7">
      <w:pPr>
        <w:pStyle w:val="BodyText"/>
      </w:pPr>
      <w:r>
        <w:t xml:space="preserve">Seeing how technologies have performed in other businesses can reduce uncertainty </w:t>
      </w:r>
      <w:r w:rsidR="00CB5A0C">
        <w:t>about</w:t>
      </w:r>
      <w:r>
        <w:t xml:space="preserve"> the potential costs and benefits from adoption, reduce the need for costly experimentation, and play a role in socialising more complex organisational and technological innovations. This is particularly the case for time and resource</w:t>
      </w:r>
      <w:r w:rsidR="00B42085">
        <w:t>-</w:t>
      </w:r>
      <w:r>
        <w:t xml:space="preserve">poor small businesses. Participants in consultations for this report emphasised the importance of visibility </w:t>
      </w:r>
      <w:r w:rsidR="00CB5A0C">
        <w:t>for</w:t>
      </w:r>
      <w:r>
        <w:t xml:space="preserve"> successful innovations. The higher uptake of more common foundational technologies, like cloud technology, </w:t>
      </w:r>
      <w:r w:rsidR="00B42085">
        <w:t>is</w:t>
      </w:r>
      <w:r>
        <w:t xml:space="preserve"> partially due to their increased visibility to Australian businesses compared with niche technologies, such as 3D printing </w:t>
      </w:r>
      <w:r w:rsidR="00936D73" w:rsidRPr="00936D73">
        <w:rPr>
          <w:rFonts w:ascii="Arial" w:hAnsi="Arial" w:cs="Arial"/>
          <w:szCs w:val="24"/>
        </w:rPr>
        <w:t>(PC 2022a, pp. 10–11)</w:t>
      </w:r>
      <w:r>
        <w:t>.</w:t>
      </w:r>
    </w:p>
    <w:p w14:paraId="667C378C" w14:textId="4872F319" w:rsidR="00557DD7" w:rsidRPr="00146382" w:rsidRDefault="00557DD7" w:rsidP="00557DD7">
      <w:pPr>
        <w:pStyle w:val="FigureTableHeading"/>
      </w:pPr>
      <w:r>
        <w:t xml:space="preserve">Figure </w:t>
      </w:r>
      <w:bookmarkStart w:id="95" w:name="OLE_LINK13"/>
      <w:r>
        <w:rPr>
          <w:noProof/>
        </w:rPr>
        <w:t>2</w:t>
      </w:r>
      <w:r>
        <w:t>.9</w:t>
      </w:r>
      <w:bookmarkEnd w:id="95"/>
      <w:r>
        <w:rPr>
          <w:noProof/>
        </w:rPr>
        <w:t xml:space="preserve"> </w:t>
      </w:r>
      <w:r>
        <w:t>– Innovative ideas mostly come from within businesses or from clients and customers</w:t>
      </w:r>
    </w:p>
    <w:p w14:paraId="466BD65E" w14:textId="61D482DC" w:rsidR="00557DD7" w:rsidRPr="00727A16" w:rsidRDefault="00557DD7" w:rsidP="00557DD7">
      <w:pPr>
        <w:pStyle w:val="FigureTableSubheading"/>
        <w:keepLines/>
        <w:rPr>
          <w:spacing w:val="-6"/>
        </w:rPr>
      </w:pPr>
      <w:r w:rsidRPr="00727A16">
        <w:rPr>
          <w:spacing w:val="-6"/>
        </w:rPr>
        <w:t>Sources of ideas or information for innovation, innovation</w:t>
      </w:r>
      <w:r w:rsidRPr="00727A16">
        <w:rPr>
          <w:spacing w:val="-6"/>
        </w:rPr>
        <w:noBreakHyphen/>
      </w:r>
      <w:proofErr w:type="spellStart"/>
      <w:r w:rsidRPr="00727A16">
        <w:rPr>
          <w:spacing w:val="-6"/>
        </w:rPr>
        <w:t>active</w:t>
      </w:r>
      <w:r w:rsidRPr="00727A16">
        <w:rPr>
          <w:spacing w:val="-6"/>
          <w:vertAlign w:val="superscript"/>
        </w:rPr>
        <w:t>a</w:t>
      </w:r>
      <w:proofErr w:type="spellEnd"/>
      <w:r w:rsidRPr="00727A16">
        <w:rPr>
          <w:spacing w:val="-6"/>
        </w:rPr>
        <w:t xml:space="preserve"> businesses, 2019</w:t>
      </w:r>
      <w:r w:rsidR="000565F7" w:rsidRPr="00727A16">
        <w:rPr>
          <w:spacing w:val="-6"/>
        </w:rPr>
        <w:t>–</w:t>
      </w:r>
      <w:r w:rsidRPr="00727A16">
        <w:rPr>
          <w:spacing w:val="-6"/>
        </w:rPr>
        <w:t>2021</w:t>
      </w:r>
    </w:p>
    <w:p w14:paraId="320BAC31" w14:textId="5CAA992E" w:rsidR="00557DD7" w:rsidRPr="005550A0" w:rsidRDefault="00557DD7" w:rsidP="00557DD7">
      <w:pPr>
        <w:pStyle w:val="BodyText"/>
      </w:pPr>
      <w:r w:rsidRPr="005E3640">
        <w:rPr>
          <w:noProof/>
        </w:rPr>
        <w:drawing>
          <wp:inline distT="0" distB="0" distL="0" distR="0" wp14:anchorId="4EA9363F" wp14:editId="20354D08">
            <wp:extent cx="6120130" cy="2879725"/>
            <wp:effectExtent l="0" t="0" r="0" b="0"/>
            <wp:docPr id="94" name="Picture 94" descr="This figure shows the sources of ideas or information for innovation for Australian businesses that were innovation-active in 2019-2021, by firm size. It shows that larger firms rely more on consultants as sources of information for innovation, whereas small firms rely more on websites for information for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figure shows the sources of ideas or information for innovation for Australian businesses that were innovation-active in 2019-2021, by firm size. It shows that larger firms rely more on consultants as sources of information for innovation, whereas small firms rely more on websites for information for innovation "/>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6120130" cy="2879725"/>
                    </a:xfrm>
                    <a:prstGeom prst="rect">
                      <a:avLst/>
                    </a:prstGeom>
                    <a:noFill/>
                    <a:ln>
                      <a:noFill/>
                    </a:ln>
                  </pic:spPr>
                </pic:pic>
              </a:graphicData>
            </a:graphic>
          </wp:inline>
        </w:drawing>
      </w:r>
    </w:p>
    <w:p w14:paraId="04D997B1" w14:textId="77777777" w:rsidR="00557DD7" w:rsidRDefault="00557DD7" w:rsidP="00557DD7">
      <w:pPr>
        <w:pStyle w:val="Note"/>
        <w:keepLines/>
      </w:pPr>
      <w:r w:rsidRPr="00180E66">
        <w:rPr>
          <w:b/>
          <w:bCs/>
        </w:rPr>
        <w:t>a.</w:t>
      </w:r>
      <w:r>
        <w:rPr>
          <w:b/>
          <w:bCs/>
        </w:rPr>
        <w:t xml:space="preserve"> </w:t>
      </w:r>
      <w:r>
        <w:t>Innovation</w:t>
      </w:r>
      <w:r>
        <w:noBreakHyphen/>
        <w:t xml:space="preserve">active firms are </w:t>
      </w:r>
      <w:r w:rsidRPr="00BA0AA9">
        <w:t xml:space="preserve">firms </w:t>
      </w:r>
      <w:r>
        <w:t xml:space="preserve">that </w:t>
      </w:r>
      <w:r w:rsidRPr="00BA0AA9">
        <w:t>report</w:t>
      </w:r>
      <w:r>
        <w: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w:t>
      </w:r>
    </w:p>
    <w:p w14:paraId="2A9D0425" w14:textId="70B5A7AC" w:rsidR="00557DD7" w:rsidRDefault="00557DD7" w:rsidP="00557DD7">
      <w:pPr>
        <w:pStyle w:val="Source"/>
      </w:pPr>
      <w:r w:rsidRPr="00696447">
        <w:t xml:space="preserve">Source: </w:t>
      </w:r>
      <w:r>
        <w:t>ABS (</w:t>
      </w:r>
      <w:r>
        <w:rPr>
          <w:i/>
          <w:iCs/>
        </w:rPr>
        <w:t>Characteristics of Australian Business</w:t>
      </w:r>
      <w:r>
        <w:t xml:space="preserve">, </w:t>
      </w:r>
      <w:r w:rsidRPr="007508DF">
        <w:rPr>
          <w:i/>
          <w:iCs/>
        </w:rPr>
        <w:t>2020</w:t>
      </w:r>
      <w:r w:rsidR="000565F7">
        <w:rPr>
          <w:i/>
          <w:iCs/>
        </w:rPr>
        <w:noBreakHyphen/>
      </w:r>
      <w:r w:rsidRPr="007508DF">
        <w:rPr>
          <w:i/>
          <w:iCs/>
        </w:rPr>
        <w:t>21 financial year</w:t>
      </w:r>
      <w:r>
        <w:t>, Cat. no. 8158.0).</w:t>
      </w:r>
    </w:p>
    <w:p w14:paraId="64B4C4AC" w14:textId="77777777" w:rsidR="00557DD7" w:rsidRDefault="00557DD7" w:rsidP="00557DD7">
      <w:pPr>
        <w:pStyle w:val="BodyText"/>
      </w:pPr>
      <w:r>
        <w:t xml:space="preserve">Many of these information flows will occur without government intervention. In some industries, </w:t>
      </w:r>
      <w:proofErr w:type="spellStart"/>
      <w:r>
        <w:t>spillovers</w:t>
      </w:r>
      <w:proofErr w:type="spellEnd"/>
      <w:r>
        <w:t xml:space="preserve"> among competitors may be actively promoted, as in agriculture where on</w:t>
      </w:r>
      <w:r>
        <w:noBreakHyphen/>
        <w:t>farm demonstrations and farmer networks actively encourage learning from early adopters. This will also be the case in creative industries where collaboration is actively encouraged, such as in the interactive games and entertainment sector:</w:t>
      </w:r>
    </w:p>
    <w:p w14:paraId="05E9F466" w14:textId="6A635CEA" w:rsidR="00557DD7" w:rsidRDefault="00557DD7" w:rsidP="00557DD7">
      <w:pPr>
        <w:pStyle w:val="Quote"/>
      </w:pPr>
      <w:r>
        <w:t>[the] sector is a very sharing sector — our members are very happy to talk about and share their experiences with other companies. (IGEA, pers. comm., 7</w:t>
      </w:r>
      <w:r w:rsidR="000565F7">
        <w:t> </w:t>
      </w:r>
      <w:r>
        <w:t>June 2022)</w:t>
      </w:r>
    </w:p>
    <w:p w14:paraId="7B518E78" w14:textId="3E16C779" w:rsidR="00557DD7" w:rsidRPr="00403BAC" w:rsidRDefault="00557DD7" w:rsidP="00557DD7">
      <w:pPr>
        <w:pStyle w:val="BodyText"/>
      </w:pPr>
      <w:r w:rsidRPr="00403BAC">
        <w:t xml:space="preserve">Collaboration between firms has been found to improve firms’ capacity to innovate </w:t>
      </w:r>
      <w:r w:rsidRPr="00C32579">
        <w:rPr>
          <w:rFonts w:ascii="Arial" w:hAnsi="Arial" w:cs="Arial"/>
          <w:szCs w:val="24"/>
        </w:rPr>
        <w:t xml:space="preserve">(De </w:t>
      </w:r>
      <w:proofErr w:type="spellStart"/>
      <w:r w:rsidRPr="00C32579">
        <w:rPr>
          <w:rFonts w:ascii="Arial" w:hAnsi="Arial" w:cs="Arial"/>
          <w:szCs w:val="24"/>
        </w:rPr>
        <w:t>Propris</w:t>
      </w:r>
      <w:proofErr w:type="spellEnd"/>
      <w:r w:rsidRPr="00C32579">
        <w:rPr>
          <w:rFonts w:ascii="Arial" w:hAnsi="Arial" w:cs="Arial"/>
          <w:szCs w:val="24"/>
        </w:rPr>
        <w:t> 2002, p. 350)</w:t>
      </w:r>
      <w:r w:rsidRPr="00403BAC">
        <w:t>, by connecting businesses with the know</w:t>
      </w:r>
      <w:r>
        <w:noBreakHyphen/>
      </w:r>
      <w:r w:rsidRPr="00403BAC">
        <w:t xml:space="preserve">how, capabilities and resources they need to adopt, adapt and successfully integrate </w:t>
      </w:r>
      <w:r>
        <w:t>innovations</w:t>
      </w:r>
      <w:r w:rsidRPr="00403BAC">
        <w:t xml:space="preserve"> into their operations. For example, collaboration has been found to increase the probability that Australian firms will innovate </w:t>
      </w:r>
      <w:r w:rsidRPr="00FF57B2">
        <w:rPr>
          <w:rFonts w:ascii="Arial" w:hAnsi="Arial" w:cs="Arial"/>
          <w:szCs w:val="24"/>
        </w:rPr>
        <w:t xml:space="preserve">(Soriano and </w:t>
      </w:r>
      <w:proofErr w:type="spellStart"/>
      <w:r w:rsidRPr="00FF57B2">
        <w:rPr>
          <w:rFonts w:ascii="Arial" w:hAnsi="Arial" w:cs="Arial"/>
          <w:szCs w:val="24"/>
        </w:rPr>
        <w:t>Abello</w:t>
      </w:r>
      <w:proofErr w:type="spellEnd"/>
      <w:r w:rsidRPr="00FF57B2">
        <w:rPr>
          <w:rFonts w:ascii="Arial" w:hAnsi="Arial" w:cs="Arial"/>
          <w:szCs w:val="24"/>
        </w:rPr>
        <w:t> 2015, pp. 349–352)</w:t>
      </w:r>
      <w:r w:rsidRPr="00403BAC">
        <w:t xml:space="preserve"> and introduce innovations that are new</w:t>
      </w:r>
      <w:r>
        <w:noBreakHyphen/>
      </w:r>
      <w:r w:rsidRPr="00403BAC">
        <w:t>to</w:t>
      </w:r>
      <w:r>
        <w:noBreakHyphen/>
      </w:r>
      <w:r w:rsidRPr="00403BAC">
        <w:t>the</w:t>
      </w:r>
      <w:r>
        <w:noBreakHyphen/>
      </w:r>
      <w:r w:rsidRPr="00403BAC">
        <w:t xml:space="preserve">market </w:t>
      </w:r>
      <w:r w:rsidRPr="00C1478B">
        <w:rPr>
          <w:rFonts w:ascii="Arial" w:hAnsi="Arial" w:cs="Arial"/>
          <w:szCs w:val="24"/>
        </w:rPr>
        <w:t xml:space="preserve">(Majeed and </w:t>
      </w:r>
      <w:proofErr w:type="spellStart"/>
      <w:r w:rsidRPr="00C1478B">
        <w:rPr>
          <w:rFonts w:ascii="Arial" w:hAnsi="Arial" w:cs="Arial"/>
          <w:szCs w:val="24"/>
        </w:rPr>
        <w:t>Breunig</w:t>
      </w:r>
      <w:proofErr w:type="spellEnd"/>
      <w:r w:rsidRPr="00C1478B">
        <w:rPr>
          <w:rFonts w:ascii="Arial" w:hAnsi="Arial" w:cs="Arial"/>
          <w:szCs w:val="24"/>
        </w:rPr>
        <w:t> 2021, p. 13)</w:t>
      </w:r>
      <w:r w:rsidRPr="00403BAC">
        <w:t>.</w:t>
      </w:r>
    </w:p>
    <w:p w14:paraId="02D39240" w14:textId="1EC5C666" w:rsidR="00557DD7" w:rsidRPr="00F82BD9" w:rsidRDefault="00557DD7" w:rsidP="00557DD7">
      <w:pPr>
        <w:pStyle w:val="BodyText"/>
      </w:pPr>
      <w:r w:rsidRPr="00403BAC">
        <w:lastRenderedPageBreak/>
        <w:t xml:space="preserve">Collaborating also helps to establish networks between businesses, both formal and informal, that facilitate the flow of information and knowledge throughout the Australian economy and from overseas. Collaborations often arise </w:t>
      </w:r>
      <w:r w:rsidR="0056795C">
        <w:t>spontaneously,</w:t>
      </w:r>
      <w:r w:rsidRPr="00403BAC">
        <w:t xml:space="preserve"> as firms see </w:t>
      </w:r>
      <w:r>
        <w:t xml:space="preserve">the </w:t>
      </w:r>
      <w:r w:rsidRPr="00403BAC">
        <w:t>mutual benefit of engaging each other</w:t>
      </w:r>
      <w:r>
        <w:t>. F</w:t>
      </w:r>
      <w:r w:rsidRPr="00403BAC">
        <w:t xml:space="preserve">or example, </w:t>
      </w:r>
      <w:r w:rsidR="000565F7">
        <w:t>‘</w:t>
      </w:r>
      <w:r w:rsidRPr="009F650E">
        <w:t>young and small Australian companies who may not have a strong business focus can develop project management skills via collaborations with overseas companies</w:t>
      </w:r>
      <w:r w:rsidR="000565F7">
        <w:t>’</w:t>
      </w:r>
      <w:r w:rsidRPr="00403BAC">
        <w:t xml:space="preserve"> (IGEA, pers. comm. </w:t>
      </w:r>
      <w:r>
        <w:t>7</w:t>
      </w:r>
      <w:r w:rsidR="000565F7">
        <w:t> </w:t>
      </w:r>
      <w:r>
        <w:t xml:space="preserve">June </w:t>
      </w:r>
      <w:r w:rsidRPr="00403BAC">
        <w:t>2022). However, these collaborations can also be facilitated by public initiatives (such as challenges, contests, hackathons), incubators and accelerators, or publicly funded mechanisms like the Cooperative Research Centres</w:t>
      </w:r>
      <w:r w:rsidR="000565F7">
        <w:t>.</w:t>
      </w:r>
    </w:p>
    <w:p w14:paraId="099E5015" w14:textId="77777777" w:rsidR="00557DD7" w:rsidRDefault="00557DD7" w:rsidP="00557DD7">
      <w:pPr>
        <w:pStyle w:val="Heading4"/>
      </w:pPr>
      <w:r>
        <w:t xml:space="preserve">Intermediary organisations play an important role in realising </w:t>
      </w:r>
      <w:proofErr w:type="spellStart"/>
      <w:r>
        <w:t>spillovers</w:t>
      </w:r>
      <w:proofErr w:type="spellEnd"/>
      <w:r>
        <w:t xml:space="preserve"> and connecting businesses </w:t>
      </w:r>
    </w:p>
    <w:p w14:paraId="1972FD44" w14:textId="79930145" w:rsidR="00557DD7" w:rsidRDefault="00557DD7" w:rsidP="00557DD7">
      <w:pPr>
        <w:pStyle w:val="BodyText"/>
      </w:pPr>
      <w:r>
        <w:t>I</w:t>
      </w:r>
      <w:r w:rsidDel="00815BBB">
        <w:t>ntermediary organisation</w:t>
      </w:r>
      <w:r>
        <w:t>s</w:t>
      </w:r>
      <w:r w:rsidDel="00815BBB">
        <w:t xml:space="preserve"> </w:t>
      </w:r>
      <w:r>
        <w:t>can play an important role in helping</w:t>
      </w:r>
      <w:r w:rsidDel="00815BBB">
        <w:t xml:space="preserve"> businesses build capacity for innovation adoption.</w:t>
      </w:r>
      <w:r>
        <w:t xml:space="preserve"> These can include consultants, industry associations or platforms for third party information accessible via web resources.</w:t>
      </w:r>
      <w:r w:rsidDel="00815BBB">
        <w:t xml:space="preserve"> </w:t>
      </w:r>
      <w:r>
        <w:t xml:space="preserve">These intermediaries can facilitate </w:t>
      </w:r>
      <w:proofErr w:type="gramStart"/>
      <w:r>
        <w:t>early stage</w:t>
      </w:r>
      <w:proofErr w:type="gramEnd"/>
      <w:r>
        <w:t xml:space="preserve"> innovative development and transformation and can also help firms with commercialisation and diffusion later in the innovation process </w:t>
      </w:r>
      <w:r w:rsidRPr="00B8367E">
        <w:rPr>
          <w:rFonts w:ascii="Arial" w:hAnsi="Arial" w:cs="Arial"/>
          <w:szCs w:val="24"/>
        </w:rPr>
        <w:t>(</w:t>
      </w:r>
      <w:proofErr w:type="spellStart"/>
      <w:r w:rsidRPr="00B8367E">
        <w:rPr>
          <w:rFonts w:ascii="Arial" w:hAnsi="Arial" w:cs="Arial"/>
          <w:szCs w:val="24"/>
        </w:rPr>
        <w:t>Bergek</w:t>
      </w:r>
      <w:proofErr w:type="spellEnd"/>
      <w:r w:rsidRPr="00B8367E">
        <w:rPr>
          <w:rFonts w:ascii="Arial" w:hAnsi="Arial" w:cs="Arial"/>
          <w:szCs w:val="24"/>
        </w:rPr>
        <w:t> 2020, pp. 379–382)</w:t>
      </w:r>
      <w:r>
        <w:t>.</w:t>
      </w:r>
    </w:p>
    <w:p w14:paraId="6B6AD6AF" w14:textId="4DD8D99C" w:rsidR="00557DD7" w:rsidRDefault="00557DD7" w:rsidP="00557DD7">
      <w:pPr>
        <w:pStyle w:val="BodyText"/>
      </w:pPr>
      <w:r>
        <w:t>Businesses rely on different intermediaries depending on firm</w:t>
      </w:r>
      <w:r>
        <w:noBreakHyphen/>
        <w:t>specific characteristics, such as firm size. For example, larger firms are more likely than small or medium firms to ‘outsource’ identifying valuable ideas by using consultants (figure </w:t>
      </w:r>
      <w:bookmarkStart w:id="96" w:name="_1723987508"/>
      <w:bookmarkStart w:id="97" w:name="_1723642564"/>
      <w:bookmarkStart w:id="98" w:name="_1723875729"/>
      <w:bookmarkStart w:id="99" w:name="_1723876849"/>
      <w:bookmarkStart w:id="100" w:name="_1724049740"/>
      <w:bookmarkEnd w:id="96"/>
      <w:bookmarkEnd w:id="97"/>
      <w:bookmarkEnd w:id="98"/>
      <w:bookmarkEnd w:id="99"/>
      <w:bookmarkEnd w:id="100"/>
      <w:r>
        <w:t>2.</w:t>
      </w:r>
      <w:r w:rsidR="00387E4E">
        <w:t>10</w:t>
      </w:r>
      <w:r>
        <w:t>). Smaller firms, on the other hand, are more likely to rely on their own research using</w:t>
      </w:r>
      <w:r w:rsidRPr="00FB50A0">
        <w:t xml:space="preserve"> open</w:t>
      </w:r>
      <w:r>
        <w:noBreakHyphen/>
      </w:r>
      <w:r w:rsidRPr="00FB50A0">
        <w:t>knowledge</w:t>
      </w:r>
      <w:r>
        <w:t xml:space="preserve"> sources (w</w:t>
      </w:r>
      <w:r w:rsidRPr="00EB6D2F">
        <w:t>ebsites, journals, research papers or publications</w:t>
      </w:r>
      <w:r>
        <w:t>)</w:t>
      </w:r>
      <w:r w:rsidR="005F15D7">
        <w:t xml:space="preserve"> than large firms</w:t>
      </w:r>
      <w:r>
        <w:t>.</w:t>
      </w:r>
    </w:p>
    <w:p w14:paraId="50FA1828" w14:textId="22D715F3" w:rsidR="00D82FC2" w:rsidRDefault="00D82FC2" w:rsidP="00D82FC2">
      <w:pPr>
        <w:pStyle w:val="BodyText"/>
      </w:pPr>
      <w:r>
        <w:t xml:space="preserve">Industry associations also communicate information about innovations to stakeholders and can help to build absorptive capacity within organisations. </w:t>
      </w:r>
      <w:r w:rsidR="0092713C">
        <w:t>Industry associations</w:t>
      </w:r>
      <w:r>
        <w:t xml:space="preserve"> can also host professional conferences, seminars, meetings and trade shows, which are effective at creating networks and facilitating the flow of information between businesses.</w:t>
      </w:r>
      <w:r w:rsidRPr="007450A4">
        <w:t xml:space="preserve"> As the Australian Retailers Association put it when discussing the importance of visibility </w:t>
      </w:r>
      <w:r w:rsidR="00535F2A">
        <w:t>of</w:t>
      </w:r>
      <w:r w:rsidRPr="007450A4">
        <w:t xml:space="preserve"> new innovations, </w:t>
      </w:r>
      <w:r>
        <w:t>‘</w:t>
      </w:r>
      <w:r w:rsidRPr="0009166C">
        <w:t>if you don’t see it, you can’t be inspired by it and want to buy it</w:t>
      </w:r>
      <w:r>
        <w:t>’</w:t>
      </w:r>
      <w:r w:rsidRPr="007450A4">
        <w:t xml:space="preserve"> (</w:t>
      </w:r>
      <w:r>
        <w:t xml:space="preserve">ARA, </w:t>
      </w:r>
      <w:r w:rsidRPr="0009166C">
        <w:t xml:space="preserve">pers. </w:t>
      </w:r>
      <w:r>
        <w:t>c</w:t>
      </w:r>
      <w:r w:rsidRPr="0009166C">
        <w:t>omm</w:t>
      </w:r>
      <w:r>
        <w:t>.</w:t>
      </w:r>
      <w:r w:rsidRPr="0009166C">
        <w:t xml:space="preserve">, </w:t>
      </w:r>
      <w:r>
        <w:t>6</w:t>
      </w:r>
      <w:r w:rsidR="000565F7">
        <w:t> </w:t>
      </w:r>
      <w:r>
        <w:t>June 2022</w:t>
      </w:r>
      <w:r w:rsidRPr="007450A4">
        <w:t xml:space="preserve">). The Interactive Games &amp; Entertainment Association similarly told the Commission another way they help build awareness </w:t>
      </w:r>
      <w:r>
        <w:t xml:space="preserve">of innovation </w:t>
      </w:r>
      <w:r w:rsidRPr="007450A4">
        <w:t xml:space="preserve">is by running the </w:t>
      </w:r>
      <w:r>
        <w:t>‘</w:t>
      </w:r>
      <w:r w:rsidRPr="007450A4">
        <w:t>Australian Game Developer Awards’, which highlights innovation and excellence in a range of areas including engineering, art and sound design</w:t>
      </w:r>
      <w:r>
        <w:t xml:space="preserve"> </w:t>
      </w:r>
      <w:r w:rsidRPr="007450A4">
        <w:t>(</w:t>
      </w:r>
      <w:r>
        <w:t>IGEA, pers. comm., 7</w:t>
      </w:r>
      <w:r w:rsidR="000565F7">
        <w:t> </w:t>
      </w:r>
      <w:r>
        <w:t>June 2022</w:t>
      </w:r>
      <w:r w:rsidRPr="007450A4">
        <w:t>).</w:t>
      </w:r>
    </w:p>
    <w:p w14:paraId="7CBAE2FB" w14:textId="235C458B" w:rsidR="00557DD7" w:rsidRPr="00146382" w:rsidRDefault="00557DD7" w:rsidP="00557DD7">
      <w:pPr>
        <w:pStyle w:val="FigureTableHeading"/>
      </w:pPr>
      <w:r>
        <w:lastRenderedPageBreak/>
        <w:t xml:space="preserve">Figure </w:t>
      </w:r>
      <w:bookmarkStart w:id="101" w:name="OLE_LINK4"/>
      <w:r>
        <w:rPr>
          <w:noProof/>
        </w:rPr>
        <w:t>2</w:t>
      </w:r>
      <w:r>
        <w:t>.</w:t>
      </w:r>
      <w:r>
        <w:rPr>
          <w:noProof/>
        </w:rPr>
        <w:t>10</w:t>
      </w:r>
      <w:bookmarkEnd w:id="101"/>
      <w:r>
        <w:rPr>
          <w:noProof/>
        </w:rPr>
        <w:t xml:space="preserve"> </w:t>
      </w:r>
      <w:r>
        <w:t xml:space="preserve">– Larger firms are more likely to </w:t>
      </w:r>
      <w:r w:rsidR="000565F7">
        <w:t>‘</w:t>
      </w:r>
      <w:r>
        <w:t>outsource</w:t>
      </w:r>
      <w:r w:rsidR="000565F7">
        <w:t>’</w:t>
      </w:r>
      <w:r>
        <w:t xml:space="preserve"> innovation, while smaller firms rely more on open sources of information</w:t>
      </w:r>
    </w:p>
    <w:p w14:paraId="28A2B2E4" w14:textId="3AD80CFC" w:rsidR="00557DD7" w:rsidRDefault="00557DD7" w:rsidP="00557DD7">
      <w:pPr>
        <w:pStyle w:val="FigureTableSubheading"/>
        <w:keepLines/>
      </w:pPr>
      <w:r>
        <w:t>Sources of ideas or information for innovation, innovation</w:t>
      </w:r>
      <w:r w:rsidR="000565F7">
        <w:noBreakHyphen/>
      </w:r>
      <w:proofErr w:type="spellStart"/>
      <w:r>
        <w:t>active</w:t>
      </w:r>
      <w:r>
        <w:rPr>
          <w:vertAlign w:val="superscript"/>
        </w:rPr>
        <w:t>a</w:t>
      </w:r>
      <w:proofErr w:type="spellEnd"/>
      <w:r>
        <w:t xml:space="preserve"> businesses, 2019</w:t>
      </w:r>
      <w:r w:rsidR="000565F7">
        <w:t>–</w:t>
      </w:r>
      <w:r>
        <w:t>21</w:t>
      </w:r>
    </w:p>
    <w:p w14:paraId="1DFC3B1A" w14:textId="6D23AB44" w:rsidR="000443E7" w:rsidRPr="000443E7" w:rsidRDefault="004F3CD4" w:rsidP="000443E7">
      <w:pPr>
        <w:pStyle w:val="BodyText"/>
      </w:pPr>
      <w:r w:rsidRPr="004F3CD4">
        <w:rPr>
          <w:noProof/>
        </w:rPr>
        <w:drawing>
          <wp:inline distT="0" distB="0" distL="0" distR="0" wp14:anchorId="67E36727" wp14:editId="0DB0FC87">
            <wp:extent cx="6117590" cy="2787015"/>
            <wp:effectExtent l="0" t="0" r="0" b="0"/>
            <wp:docPr id="112" name="Picture 112" descr="This figure shows the proportions of innovation-active businesses collaborating with Australian universities or other higher education institutions broken down by firm size in 2019-21. A greater share of small firms collaborates with universities or other higher education institutions than larger fi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is figure shows the proportions of innovation-active businesses collaborating with Australian universities or other higher education institutions broken down by firm size in 2019-21. A greater share of small firms collaborates with universities or other higher education institutions than larger firms. "/>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6117590" cy="2787015"/>
                    </a:xfrm>
                    <a:prstGeom prst="rect">
                      <a:avLst/>
                    </a:prstGeom>
                    <a:noFill/>
                    <a:ln>
                      <a:noFill/>
                    </a:ln>
                  </pic:spPr>
                </pic:pic>
              </a:graphicData>
            </a:graphic>
          </wp:inline>
        </w:drawing>
      </w:r>
    </w:p>
    <w:p w14:paraId="4859AF09" w14:textId="10A4D140" w:rsidR="00557DD7" w:rsidRDefault="00557DD7" w:rsidP="00660CC9">
      <w:pPr>
        <w:pStyle w:val="Note"/>
      </w:pPr>
      <w:r>
        <w:rPr>
          <w:b/>
          <w:bCs/>
        </w:rPr>
        <w:t xml:space="preserve">a. </w:t>
      </w:r>
      <w:r>
        <w:t>Innovation</w:t>
      </w:r>
      <w:r>
        <w:noBreakHyphen/>
        <w:t xml:space="preserve">active firms are </w:t>
      </w:r>
      <w:r w:rsidRPr="00BA0AA9">
        <w:t xml:space="preserve">firms </w:t>
      </w:r>
      <w:r>
        <w:t xml:space="preserve">that </w:t>
      </w:r>
      <w:r w:rsidRPr="003846C0">
        <w:t>reported</w:t>
      </w:r>
      <w:r w:rsidRPr="00BA0AA9">
        <w:t xml:space="preserve"> one or more innovations</w:t>
      </w:r>
      <w:r>
        <w:t>,</w:t>
      </w:r>
      <w:r w:rsidRPr="00BA0AA9">
        <w:t xml:space="preserve"> </w:t>
      </w:r>
      <w:r>
        <w:t xml:space="preserve">or </w:t>
      </w:r>
      <w:r w:rsidRPr="00BA0AA9">
        <w:t>firms with abandoned or ongoing innovation activities related to product or process innovations</w:t>
      </w:r>
      <w:r>
        <w:t>.</w:t>
      </w:r>
    </w:p>
    <w:p w14:paraId="339CC642" w14:textId="6D2A8314" w:rsidR="00557DD7" w:rsidRDefault="00557DD7" w:rsidP="00557DD7">
      <w:pPr>
        <w:pStyle w:val="Source"/>
      </w:pPr>
      <w:r w:rsidRPr="00696447">
        <w:t>Source:</w:t>
      </w:r>
      <w:r>
        <w:t xml:space="preserve"> ABS (</w:t>
      </w:r>
      <w:r>
        <w:rPr>
          <w:i/>
          <w:iCs/>
        </w:rPr>
        <w:t>Characteristics of Australian Business</w:t>
      </w:r>
      <w:r>
        <w:t xml:space="preserve">, </w:t>
      </w:r>
      <w:r w:rsidRPr="007508DF">
        <w:rPr>
          <w:i/>
          <w:iCs/>
        </w:rPr>
        <w:t>2020</w:t>
      </w:r>
      <w:r w:rsidR="000565F7">
        <w:rPr>
          <w:i/>
          <w:iCs/>
        </w:rPr>
        <w:noBreakHyphen/>
      </w:r>
      <w:r w:rsidRPr="007508DF">
        <w:rPr>
          <w:i/>
          <w:iCs/>
        </w:rPr>
        <w:t>21 financial year</w:t>
      </w:r>
      <w:r>
        <w:t>, Cat. no. 8158.0).</w:t>
      </w:r>
    </w:p>
    <w:p w14:paraId="519F98A4" w14:textId="673EF8E1" w:rsidR="00557DD7" w:rsidRDefault="00557DD7" w:rsidP="00557DD7">
      <w:pPr>
        <w:pStyle w:val="BodyText"/>
      </w:pPr>
      <w:r>
        <w:t xml:space="preserve">More generally, industry associations can facilitate connections among firms, including leading and laggard </w:t>
      </w:r>
      <w:proofErr w:type="gramStart"/>
      <w:r>
        <w:t>firms;</w:t>
      </w:r>
      <w:proofErr w:type="gramEnd"/>
      <w:r>
        <w:t xml:space="preserve"> young and established firms</w:t>
      </w:r>
      <w:r w:rsidR="00C84F03">
        <w:t>. Associations can also</w:t>
      </w:r>
      <w:r>
        <w:t xml:space="preserve"> connect firms to government agencies and support. For example, among its other services, IGEA </w:t>
      </w:r>
      <w:r w:rsidRPr="004B7CBD">
        <w:t>facilitates connections between firms by performing</w:t>
      </w:r>
      <w:r>
        <w:t xml:space="preserve"> an introductory role between its members by hosting formal and informal events (IGEA, pers. comm., 7</w:t>
      </w:r>
      <w:r w:rsidR="000565F7">
        <w:t> </w:t>
      </w:r>
      <w:r>
        <w:t xml:space="preserve">June 2022). </w:t>
      </w:r>
      <w:r w:rsidRPr="00181B2B">
        <w:t xml:space="preserve">IGEA </w:t>
      </w:r>
      <w:r>
        <w:t>suggested that some new collaborations and publishing deals came about because social events brought firms to together. COSBOA stressed that i</w:t>
      </w:r>
      <w:r w:rsidRPr="002C497C">
        <w:t>mproving innovation adoption requires people to get advice from trusted advisors and organisations</w:t>
      </w:r>
      <w:r>
        <w:t>, noting that ‘g</w:t>
      </w:r>
      <w:r w:rsidRPr="00F76D96">
        <w:t>ood adopters [have] good support and connections in the community, good advisors, and are connected to their organisations</w:t>
      </w:r>
      <w:r>
        <w:t>’</w:t>
      </w:r>
      <w:r w:rsidRPr="00F76D96">
        <w:t xml:space="preserve"> (</w:t>
      </w:r>
      <w:r w:rsidRPr="00F9396A">
        <w:t>COSBOA, pers. comm. 9</w:t>
      </w:r>
      <w:r w:rsidR="000565F7">
        <w:t> </w:t>
      </w:r>
      <w:r w:rsidRPr="00F9396A">
        <w:t>June 2022</w:t>
      </w:r>
      <w:r w:rsidRPr="00F76D96">
        <w:t>)</w:t>
      </w:r>
      <w:r>
        <w:t>.</w:t>
      </w:r>
      <w:r w:rsidRPr="00F61ADB">
        <w:t xml:space="preserve"> </w:t>
      </w:r>
      <w:r>
        <w:t xml:space="preserve">The </w:t>
      </w:r>
      <w:r w:rsidRPr="000F17C7">
        <w:t>Restaurant and Catering Association</w:t>
      </w:r>
      <w:r>
        <w:rPr>
          <w:b/>
          <w:bCs/>
        </w:rPr>
        <w:t xml:space="preserve"> </w:t>
      </w:r>
      <w:r>
        <w:t>indicated that they work with platforms (such as Uber Eats) and technology companies to make adoption easier, providing information to platforms to better help them provide a service to firms in their industry (R</w:t>
      </w:r>
      <w:r w:rsidR="004B4E3B">
        <w:t>&amp;</w:t>
      </w:r>
      <w:r>
        <w:t xml:space="preserve">CA, </w:t>
      </w:r>
      <w:r w:rsidRPr="006F7174">
        <w:t xml:space="preserve">pers. comm., </w:t>
      </w:r>
      <w:r>
        <w:t>9</w:t>
      </w:r>
      <w:r w:rsidR="000565F7">
        <w:t> </w:t>
      </w:r>
      <w:r>
        <w:t>June 2022).</w:t>
      </w:r>
    </w:p>
    <w:p w14:paraId="72AF9A8D" w14:textId="7EA06ED7" w:rsidR="00557DD7" w:rsidRDefault="00557DD7" w:rsidP="00557DD7">
      <w:pPr>
        <w:pStyle w:val="BodyText"/>
      </w:pPr>
      <w:r>
        <w:t xml:space="preserve">Government has a limited role to play as intermediary between businesses. As noted </w:t>
      </w:r>
      <w:r w:rsidRPr="00C312DB">
        <w:t xml:space="preserve">by </w:t>
      </w:r>
      <w:proofErr w:type="spellStart"/>
      <w:r w:rsidRPr="00C312DB">
        <w:t>Nooteboom</w:t>
      </w:r>
      <w:proofErr w:type="spellEnd"/>
      <w:r w:rsidRPr="00C312DB">
        <w:t xml:space="preserve"> </w:t>
      </w:r>
      <w:r w:rsidRPr="00C312DB">
        <w:rPr>
          <w:rFonts w:ascii="Arial" w:hAnsi="Arial" w:cs="Arial"/>
          <w:szCs w:val="24"/>
        </w:rPr>
        <w:t>(1994, p. 343)</w:t>
      </w:r>
      <w:r>
        <w:t xml:space="preserve">, while governments may be disinterested parties to innovation — and as such, regarded as a trustworthy source of information by businesses — they may not be seen as competent to </w:t>
      </w:r>
      <w:r w:rsidRPr="00092BD8">
        <w:t xml:space="preserve">judge </w:t>
      </w:r>
      <w:r>
        <w:t xml:space="preserve">the </w:t>
      </w:r>
      <w:r w:rsidRPr="00092BD8">
        <w:t xml:space="preserve">applicability </w:t>
      </w:r>
      <w:r>
        <w:t xml:space="preserve">of a given technology or practice for a </w:t>
      </w:r>
      <w:r w:rsidRPr="00092BD8">
        <w:t>firm</w:t>
      </w:r>
      <w:r>
        <w:t>. Moreover, inquiry participants suggested that information that is critical for diffusion — such as on digitalisation and cybersecurity — is provided by government agencies but can be overly technical and reliant on jargon, limiting its usefulness for small businesses in particular.</w:t>
      </w:r>
      <w:r w:rsidR="006621E2" w:rsidRPr="006621E2">
        <w:t xml:space="preserve"> Intermediaries may help to ‘translate’ government information.</w:t>
      </w:r>
    </w:p>
    <w:tbl>
      <w:tblPr>
        <w:tblStyle w:val="TextTable-Grey"/>
        <w:tblW w:w="5000" w:type="pct"/>
        <w:tblLook w:val="04A0" w:firstRow="1" w:lastRow="0" w:firstColumn="1" w:lastColumn="0" w:noHBand="0" w:noVBand="1"/>
      </w:tblPr>
      <w:tblGrid>
        <w:gridCol w:w="713"/>
        <w:gridCol w:w="8925"/>
      </w:tblGrid>
      <w:tr w:rsidR="009D50DA" w14:paraId="67A33FBA" w14:textId="77777777">
        <w:trPr>
          <w:tblHeader/>
        </w:trPr>
        <w:tc>
          <w:tcPr>
            <w:tcW w:w="713" w:type="dxa"/>
            <w:vAlign w:val="center"/>
          </w:tcPr>
          <w:p w14:paraId="2D0BB265" w14:textId="77777777" w:rsidR="009D50DA" w:rsidRDefault="009D50DA">
            <w:pPr>
              <w:keepNext/>
              <w:keepLines/>
              <w:spacing w:after="0"/>
              <w:jc w:val="right"/>
            </w:pPr>
            <w:r w:rsidRPr="00A51374">
              <w:rPr>
                <w:noProof/>
              </w:rPr>
              <w:lastRenderedPageBreak/>
              <w:drawing>
                <wp:inline distT="0" distB="0" distL="0" distR="0" wp14:anchorId="6B5C30AE" wp14:editId="4AC471E1">
                  <wp:extent cx="288000" cy="288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4C794C6" w14:textId="77B537B5" w:rsidR="009D50DA" w:rsidRPr="000B0B71" w:rsidRDefault="009D50DA">
            <w:pPr>
              <w:pStyle w:val="TableHeading"/>
              <w:keepNext/>
              <w:spacing w:before="180" w:after="120"/>
              <w:rPr>
                <w:sz w:val="20"/>
              </w:rPr>
            </w:pPr>
            <w:r w:rsidRPr="000B0B71">
              <w:rPr>
                <w:sz w:val="20"/>
              </w:rPr>
              <w:t xml:space="preserve">Information request </w:t>
            </w:r>
            <w:r w:rsidR="009A6E9C">
              <w:rPr>
                <w:noProof/>
                <w:sz w:val="20"/>
              </w:rPr>
              <w:t>2</w:t>
            </w:r>
            <w:r w:rsidR="009A6E9C" w:rsidRPr="00DF7217">
              <w:rPr>
                <w:sz w:val="20"/>
              </w:rPr>
              <w:t>.</w:t>
            </w:r>
            <w:r w:rsidR="00D42F97">
              <w:rPr>
                <w:sz w:val="20"/>
              </w:rPr>
              <w:t>4</w:t>
            </w:r>
          </w:p>
        </w:tc>
      </w:tr>
      <w:tr w:rsidR="009D50DA" w14:paraId="6C9F7C33" w14:textId="77777777">
        <w:tc>
          <w:tcPr>
            <w:tcW w:w="9638" w:type="dxa"/>
            <w:gridSpan w:val="2"/>
            <w:tcMar>
              <w:top w:w="0" w:type="dxa"/>
            </w:tcMar>
          </w:tcPr>
          <w:p w14:paraId="7CD0AD91" w14:textId="3B8C1425" w:rsidR="009D50DA" w:rsidRPr="008529A2" w:rsidRDefault="009D50DA">
            <w:pPr>
              <w:pStyle w:val="BodyText"/>
            </w:pPr>
            <w:r>
              <w:t>H</w:t>
            </w:r>
            <w:r w:rsidRPr="007A653C">
              <w:t xml:space="preserve">ow </w:t>
            </w:r>
            <w:r>
              <w:t>c</w:t>
            </w:r>
            <w:r w:rsidR="00FA2FD2">
              <w:t>an</w:t>
            </w:r>
            <w:r>
              <w:t xml:space="preserve"> </w:t>
            </w:r>
            <w:r w:rsidRPr="007A653C">
              <w:t>government</w:t>
            </w:r>
            <w:r w:rsidR="00FA2FD2">
              <w:t>s</w:t>
            </w:r>
            <w:r w:rsidRPr="007A653C">
              <w:t xml:space="preserve"> best support industry associations to diffuse information </w:t>
            </w:r>
            <w:r w:rsidR="00FA2FD2">
              <w:t xml:space="preserve">about innovation </w:t>
            </w:r>
            <w:r w:rsidRPr="007A653C">
              <w:t>to their members</w:t>
            </w:r>
            <w:r w:rsidRPr="004C3532">
              <w:t>?</w:t>
            </w:r>
          </w:p>
        </w:tc>
      </w:tr>
      <w:tr w:rsidR="009D50DA" w14:paraId="0A43F009" w14:textId="77777777">
        <w:tc>
          <w:tcPr>
            <w:tcW w:w="9638" w:type="dxa"/>
            <w:gridSpan w:val="2"/>
            <w:shd w:val="clear" w:color="auto" w:fill="auto"/>
            <w:tcMar>
              <w:top w:w="0" w:type="dxa"/>
              <w:bottom w:w="0" w:type="dxa"/>
            </w:tcMar>
          </w:tcPr>
          <w:p w14:paraId="3D6C995A" w14:textId="77777777" w:rsidR="009D50DA" w:rsidRDefault="009D50DA">
            <w:pPr>
              <w:pStyle w:val="NoSpacing"/>
              <w:spacing w:line="200" w:lineRule="exact"/>
            </w:pPr>
          </w:p>
        </w:tc>
      </w:tr>
    </w:tbl>
    <w:p w14:paraId="55C8FE4B" w14:textId="25A97AE7" w:rsidR="00557DD7" w:rsidRPr="00103EC0" w:rsidRDefault="00557DD7" w:rsidP="00557DD7">
      <w:pPr>
        <w:pStyle w:val="Heading3"/>
      </w:pPr>
      <w:r>
        <w:t>University</w:t>
      </w:r>
      <w:r w:rsidR="000565F7">
        <w:noBreakHyphen/>
      </w:r>
      <w:r>
        <w:t xml:space="preserve">industry collaboration </w:t>
      </w:r>
    </w:p>
    <w:p w14:paraId="1AD072D1" w14:textId="541162D7" w:rsidR="00557DD7" w:rsidRDefault="00557DD7" w:rsidP="00557DD7">
      <w:pPr>
        <w:pStyle w:val="BodyText"/>
      </w:pPr>
      <w:r>
        <w:t>University</w:t>
      </w:r>
      <w:r>
        <w:noBreakHyphen/>
        <w:t>industry connections are largely utilised for transferring and commercialising novel innovation. However, linkages with universities can also build absorptive capacity across firms and spread knowledge and skills within and across industries — making the potential for diffusion of innovation higher across the economy. These connections can include:</w:t>
      </w:r>
      <w:r w:rsidRPr="0030291C">
        <w:t xml:space="preserve"> </w:t>
      </w:r>
    </w:p>
    <w:p w14:paraId="49D18129" w14:textId="087D7149" w:rsidR="00557DD7" w:rsidRDefault="00557DD7" w:rsidP="001A1DD7">
      <w:pPr>
        <w:pStyle w:val="ListBullet"/>
      </w:pPr>
      <w:r>
        <w:t>joint R&amp;D conducted between businesses and research institutions, like universities,</w:t>
      </w:r>
    </w:p>
    <w:p w14:paraId="0554D572" w14:textId="0F842772" w:rsidR="00557DD7" w:rsidRDefault="00557DD7" w:rsidP="001A1DD7">
      <w:pPr>
        <w:pStyle w:val="ListBullet"/>
      </w:pPr>
      <w:r>
        <w:t>patent licensing,</w:t>
      </w:r>
    </w:p>
    <w:p w14:paraId="228D17D6" w14:textId="5BE9FDB4" w:rsidR="00557DD7" w:rsidRDefault="00557DD7" w:rsidP="001A1DD7">
      <w:pPr>
        <w:pStyle w:val="ListBullet"/>
      </w:pPr>
      <w:r>
        <w:t>the hiring of researchers with graduate training or PhDs who have strong links to universities,</w:t>
      </w:r>
    </w:p>
    <w:p w14:paraId="19D820AC" w14:textId="3AB6D28F" w:rsidR="00557DD7" w:rsidRDefault="00557DD7" w:rsidP="001A1DD7">
      <w:pPr>
        <w:pStyle w:val="ListBullet"/>
      </w:pPr>
      <w:r>
        <w:t>input into course content, for example by professional bodies, and</w:t>
      </w:r>
    </w:p>
    <w:p w14:paraId="136A153E" w14:textId="77777777" w:rsidR="00557DD7" w:rsidRDefault="00557DD7" w:rsidP="001A1DD7">
      <w:pPr>
        <w:pStyle w:val="ListBullet"/>
      </w:pPr>
      <w:r>
        <w:t>consulting by academics.</w:t>
      </w:r>
    </w:p>
    <w:p w14:paraId="67BDAC2F" w14:textId="09099DAB" w:rsidR="00557DD7" w:rsidRDefault="00557DD7" w:rsidP="00557DD7">
      <w:pPr>
        <w:pStyle w:val="BodyText"/>
      </w:pPr>
      <w:r>
        <w:t>There is a widely held view that Australian business collaboration with universities is poor.</w:t>
      </w:r>
      <w:r>
        <w:rPr>
          <w:rStyle w:val="FootnoteReference"/>
        </w:rPr>
        <w:footnoteReference w:id="21"/>
      </w:r>
      <w:r>
        <w:t xml:space="preserve"> Data from the ABS show that, among all innovating firms, collaboration with universities is highest among small businesses (5–19 employees), though levels of collaboration are relatively low overall (figure </w:t>
      </w:r>
      <w:bookmarkStart w:id="102" w:name="_1723876871"/>
      <w:bookmarkStart w:id="103" w:name="_1723983836"/>
      <w:bookmarkStart w:id="104" w:name="_1723642586"/>
      <w:bookmarkStart w:id="105" w:name="_1723884577"/>
      <w:bookmarkStart w:id="106" w:name="_1724049747"/>
      <w:bookmarkEnd w:id="102"/>
      <w:bookmarkEnd w:id="103"/>
      <w:bookmarkEnd w:id="104"/>
      <w:bookmarkEnd w:id="105"/>
      <w:bookmarkEnd w:id="106"/>
      <w:r>
        <w:t>2.1</w:t>
      </w:r>
      <w:r w:rsidR="00A35D6A">
        <w:t>1</w:t>
      </w:r>
      <w:r>
        <w:t>).</w:t>
      </w:r>
      <w:r w:rsidRPr="00894D7C">
        <w:t xml:space="preserve"> </w:t>
      </w:r>
      <w:r>
        <w:t>Similarly, figure </w:t>
      </w:r>
      <w:bookmarkStart w:id="107" w:name="_1723987521"/>
      <w:bookmarkStart w:id="108" w:name="_1724049754"/>
      <w:bookmarkEnd w:id="107"/>
      <w:bookmarkEnd w:id="108"/>
      <w:r>
        <w:t>2.8 shows that universities play a very minor role as a source of information and ideas about innovation, relative to other channels of information.</w:t>
      </w:r>
    </w:p>
    <w:p w14:paraId="72837DE8" w14:textId="365BAAD2" w:rsidR="00557DD7" w:rsidRPr="004B3961" w:rsidRDefault="00557DD7" w:rsidP="00557DD7">
      <w:pPr>
        <w:pStyle w:val="FigureTableHeading"/>
        <w:rPr>
          <w:vertAlign w:val="superscript"/>
        </w:rPr>
      </w:pPr>
      <w:r>
        <w:lastRenderedPageBreak/>
        <w:t xml:space="preserve">Figure </w:t>
      </w:r>
      <w:bookmarkStart w:id="109" w:name="OLE_LINK6"/>
      <w:bookmarkStart w:id="110" w:name="OLE_LINK15"/>
      <w:r>
        <w:rPr>
          <w:noProof/>
        </w:rPr>
        <w:t>2</w:t>
      </w:r>
      <w:r>
        <w:t>.</w:t>
      </w:r>
      <w:r>
        <w:rPr>
          <w:noProof/>
        </w:rPr>
        <w:t>11</w:t>
      </w:r>
      <w:bookmarkEnd w:id="109"/>
      <w:bookmarkEnd w:id="110"/>
      <w:r>
        <w:rPr>
          <w:noProof/>
        </w:rPr>
        <w:t xml:space="preserve"> </w:t>
      </w:r>
      <w:r>
        <w:t xml:space="preserve">– Small firms collaborate with universities relatively more than larger </w:t>
      </w:r>
      <w:proofErr w:type="spellStart"/>
      <w:r>
        <w:t>firms</w:t>
      </w:r>
      <w:r>
        <w:rPr>
          <w:vertAlign w:val="superscript"/>
        </w:rPr>
        <w:t>a</w:t>
      </w:r>
      <w:proofErr w:type="spellEnd"/>
    </w:p>
    <w:p w14:paraId="398230A2" w14:textId="12B88E92" w:rsidR="00557DD7" w:rsidRDefault="00557DD7" w:rsidP="00557DD7">
      <w:pPr>
        <w:pStyle w:val="FigureTableSubheading"/>
        <w:keepLines/>
      </w:pPr>
      <w:r w:rsidRPr="006B014C">
        <w:t xml:space="preserve">Collaboration for </w:t>
      </w:r>
      <w:r>
        <w:t xml:space="preserve">innovation with Australian universities or </w:t>
      </w:r>
      <w:r w:rsidRPr="006141AE">
        <w:t xml:space="preserve">other </w:t>
      </w:r>
      <w:r>
        <w:t>higher education institutions, 2019</w:t>
      </w:r>
      <w:r w:rsidR="000565F7">
        <w:t>–</w:t>
      </w:r>
      <w:r>
        <w:t>21</w:t>
      </w:r>
    </w:p>
    <w:p w14:paraId="52907A5C" w14:textId="6CDC331D" w:rsidR="00557DD7" w:rsidRDefault="00C72E53" w:rsidP="00557DD7">
      <w:pPr>
        <w:pStyle w:val="FigureTableSubheading"/>
        <w:keepLines/>
      </w:pPr>
      <w:r w:rsidRPr="00C72E53">
        <w:rPr>
          <w:noProof/>
        </w:rPr>
        <w:drawing>
          <wp:inline distT="0" distB="0" distL="0" distR="0" wp14:anchorId="57318A4B" wp14:editId="25F76BB5">
            <wp:extent cx="6120130" cy="2874645"/>
            <wp:effectExtent l="0" t="0" r="0" b="0"/>
            <wp:docPr id="10" name="Picture 10" descr="This figure shows the per cent of Australians employed in different industries with post-graduate education relevant to their job in 2018-19. It shows that education, professional and financial services, and health care have large shares of post-graduate traine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he per cent of Australians employed in different industries with post-graduate education relevant to their job in 2018-19. It shows that education, professional and financial services, and health care have large shares of post-graduate trained workers.​"/>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6120130" cy="2874645"/>
                    </a:xfrm>
                    <a:prstGeom prst="rect">
                      <a:avLst/>
                    </a:prstGeom>
                    <a:noFill/>
                    <a:ln>
                      <a:noFill/>
                    </a:ln>
                  </pic:spPr>
                </pic:pic>
              </a:graphicData>
            </a:graphic>
          </wp:inline>
        </w:drawing>
      </w:r>
    </w:p>
    <w:p w14:paraId="0BB30E84" w14:textId="7DD1E6B1" w:rsidR="00557DD7" w:rsidRDefault="00557DD7" w:rsidP="00557DD7">
      <w:pPr>
        <w:pStyle w:val="Note"/>
      </w:pPr>
      <w:r w:rsidRPr="00452050">
        <w:rPr>
          <w:b/>
        </w:rPr>
        <w:t>a.</w:t>
      </w:r>
      <w:r>
        <w:t xml:space="preserve"> As a share of innovation</w:t>
      </w:r>
      <w:r w:rsidR="000565F7">
        <w:noBreakHyphen/>
      </w:r>
      <w:r>
        <w:t>active firms</w:t>
      </w:r>
      <w:r w:rsidR="00C72E53">
        <w:t>.</w:t>
      </w:r>
    </w:p>
    <w:p w14:paraId="6F40916D" w14:textId="24DAB709" w:rsidR="00557DD7" w:rsidRDefault="00557DD7" w:rsidP="00557DD7">
      <w:pPr>
        <w:pStyle w:val="Note"/>
      </w:pPr>
      <w:r w:rsidRPr="00696447">
        <w:t>Source:</w:t>
      </w:r>
      <w:r>
        <w:t xml:space="preserve"> ABS (</w:t>
      </w:r>
      <w:r>
        <w:rPr>
          <w:i/>
          <w:iCs/>
        </w:rPr>
        <w:t>Characteristics of Australian Business</w:t>
      </w:r>
      <w:r>
        <w:t xml:space="preserve">, </w:t>
      </w:r>
      <w:r w:rsidRPr="007508DF">
        <w:rPr>
          <w:i/>
          <w:iCs/>
        </w:rPr>
        <w:t>2020</w:t>
      </w:r>
      <w:r w:rsidR="000565F7">
        <w:rPr>
          <w:i/>
          <w:iCs/>
        </w:rPr>
        <w:noBreakHyphen/>
      </w:r>
      <w:r w:rsidRPr="007508DF">
        <w:rPr>
          <w:i/>
          <w:iCs/>
        </w:rPr>
        <w:t>21 financial year</w:t>
      </w:r>
      <w:r>
        <w:t>, Cat. no. 8158.0).</w:t>
      </w:r>
    </w:p>
    <w:p w14:paraId="1B17FAA3" w14:textId="77777777" w:rsidR="00557DD7" w:rsidRDefault="00557DD7" w:rsidP="00557DD7">
      <w:pPr>
        <w:pStyle w:val="Heading4"/>
      </w:pPr>
      <w:r>
        <w:t>Strengthening</w:t>
      </w:r>
      <w:r w:rsidRPr="001B3999">
        <w:t xml:space="preserve"> </w:t>
      </w:r>
      <w:r>
        <w:t>industry connections with</w:t>
      </w:r>
      <w:r w:rsidRPr="001B3999">
        <w:t xml:space="preserve"> universities </w:t>
      </w:r>
      <w:r>
        <w:t>should look beyond direct commercialisation</w:t>
      </w:r>
    </w:p>
    <w:p w14:paraId="01F6F265" w14:textId="77777777" w:rsidR="00557DD7" w:rsidRDefault="00557DD7" w:rsidP="00557DD7">
      <w:pPr>
        <w:pStyle w:val="BodyText"/>
      </w:pPr>
      <w:r>
        <w:t xml:space="preserve">Low levels of engagement between firms and </w:t>
      </w:r>
      <w:r w:rsidRPr="0030291C">
        <w:t>universities</w:t>
      </w:r>
      <w:r>
        <w:t xml:space="preserve"> may reflect the relatively less common, new</w:t>
      </w:r>
      <w:r>
        <w:noBreakHyphen/>
        <w:t>to</w:t>
      </w:r>
      <w:r>
        <w:noBreakHyphen/>
        <w:t>the</w:t>
      </w:r>
      <w:r>
        <w:noBreakHyphen/>
        <w:t>world research and innovation that is typically done in collaboration with</w:t>
      </w:r>
      <w:r w:rsidRPr="00BA77DD">
        <w:t xml:space="preserve"> </w:t>
      </w:r>
      <w:r w:rsidRPr="0030291C">
        <w:t xml:space="preserve">universities </w:t>
      </w:r>
      <w:r>
        <w:t>(</w:t>
      </w:r>
      <w:r w:rsidRPr="0030291C">
        <w:t xml:space="preserve">and </w:t>
      </w:r>
      <w:r>
        <w:t xml:space="preserve">with </w:t>
      </w:r>
      <w:r w:rsidRPr="0030291C">
        <w:t xml:space="preserve">other </w:t>
      </w:r>
      <w:r>
        <w:t>government and private not</w:t>
      </w:r>
      <w:r>
        <w:noBreakHyphen/>
        <w:t>for</w:t>
      </w:r>
      <w:r>
        <w:noBreakHyphen/>
        <w:t xml:space="preserve">profit </w:t>
      </w:r>
      <w:r w:rsidRPr="0030291C">
        <w:t>research institutions</w:t>
      </w:r>
      <w:r>
        <w:t xml:space="preserve">). </w:t>
      </w:r>
    </w:p>
    <w:p w14:paraId="79BDC27D" w14:textId="6AD14912" w:rsidR="00557DD7" w:rsidRPr="00727A16" w:rsidRDefault="00166D6C" w:rsidP="00557DD7">
      <w:pPr>
        <w:pStyle w:val="BodyText"/>
        <w:rPr>
          <w:spacing w:val="-4"/>
        </w:rPr>
      </w:pPr>
      <w:r w:rsidRPr="00727A16">
        <w:rPr>
          <w:spacing w:val="-4"/>
        </w:rPr>
        <w:t>However, i</w:t>
      </w:r>
      <w:r w:rsidR="00557DD7" w:rsidRPr="00727A16">
        <w:rPr>
          <w:spacing w:val="-4"/>
        </w:rPr>
        <w:t xml:space="preserve">t may also reflect a narrow view of the ways that firms can leverage university expertise and research — one that treats university knowledge transfer as synonymous with research </w:t>
      </w:r>
      <w:r w:rsidR="00557DD7" w:rsidRPr="00727A16">
        <w:rPr>
          <w:i/>
          <w:spacing w:val="-4"/>
        </w:rPr>
        <w:t>commercialisation</w:t>
      </w:r>
      <w:r w:rsidR="00557DD7" w:rsidRPr="00727A16">
        <w:rPr>
          <w:spacing w:val="-4"/>
        </w:rPr>
        <w:t xml:space="preserve">. For example, the recent University Research Commercialisation Action Plan (the Action Plan) </w:t>
      </w:r>
      <w:r w:rsidR="00557DD7" w:rsidRPr="00727A16">
        <w:rPr>
          <w:rFonts w:cs="Arial"/>
          <w:spacing w:val="-4"/>
          <w:szCs w:val="24"/>
        </w:rPr>
        <w:t>(DESE 2022d)</w:t>
      </w:r>
      <w:r w:rsidR="00557DD7" w:rsidRPr="00727A16">
        <w:rPr>
          <w:spacing w:val="-4"/>
        </w:rPr>
        <w:t xml:space="preserve"> highlighted some barriers to university knowledge transfer</w:t>
      </w:r>
      <w:r w:rsidR="00825145" w:rsidRPr="00727A16">
        <w:rPr>
          <w:spacing w:val="-4"/>
        </w:rPr>
        <w:t>. However</w:t>
      </w:r>
      <w:r w:rsidR="00557DD7" w:rsidRPr="00727A16">
        <w:rPr>
          <w:spacing w:val="-4"/>
        </w:rPr>
        <w:t>, measures introduced in the Action Plan are designed to increase university research commercialisation by addressing (primarily) university and researcher disincentives and barriers to university</w:t>
      </w:r>
      <w:r w:rsidR="000565F7" w:rsidRPr="00727A16">
        <w:rPr>
          <w:spacing w:val="-4"/>
        </w:rPr>
        <w:noBreakHyphen/>
      </w:r>
      <w:r w:rsidR="00557DD7" w:rsidRPr="00727A16">
        <w:rPr>
          <w:spacing w:val="-4"/>
        </w:rPr>
        <w:t>industry collaboration, focused on advanced manufacturing.</w:t>
      </w:r>
    </w:p>
    <w:p w14:paraId="7FDB1F48" w14:textId="70EA8F9E" w:rsidR="00557DD7" w:rsidRPr="00727A16" w:rsidRDefault="00557DD7" w:rsidP="00557DD7">
      <w:pPr>
        <w:pStyle w:val="BodyText"/>
        <w:rPr>
          <w:spacing w:val="-4"/>
        </w:rPr>
      </w:pPr>
      <w:r w:rsidRPr="00727A16">
        <w:rPr>
          <w:spacing w:val="-4"/>
        </w:rPr>
        <w:t>But the channels for knowledge transfer are considerably broader, including not just commercialisation activities, such as IP licensing and academic spin</w:t>
      </w:r>
      <w:r w:rsidR="000565F7" w:rsidRPr="00727A16">
        <w:rPr>
          <w:spacing w:val="-4"/>
        </w:rPr>
        <w:noBreakHyphen/>
      </w:r>
      <w:r w:rsidRPr="00727A16">
        <w:rPr>
          <w:spacing w:val="-4"/>
        </w:rPr>
        <w:t xml:space="preserve">offs, but also knowledge transfer through labour mobility and consulting, as well as </w:t>
      </w:r>
      <w:proofErr w:type="spellStart"/>
      <w:r w:rsidRPr="00727A16">
        <w:rPr>
          <w:spacing w:val="-4"/>
        </w:rPr>
        <w:t>spillovers</w:t>
      </w:r>
      <w:proofErr w:type="spellEnd"/>
      <w:r w:rsidRPr="00727A16">
        <w:rPr>
          <w:spacing w:val="-4"/>
        </w:rPr>
        <w:t xml:space="preserve"> from conferences and networking </w:t>
      </w:r>
      <w:r w:rsidR="00936D73" w:rsidRPr="00727A16">
        <w:rPr>
          <w:rFonts w:cs="Arial"/>
          <w:spacing w:val="-4"/>
          <w:szCs w:val="24"/>
        </w:rPr>
        <w:t>(OECD 2019c, p. 32)</w:t>
      </w:r>
      <w:r w:rsidRPr="00727A16">
        <w:rPr>
          <w:spacing w:val="-4"/>
        </w:rPr>
        <w:t xml:space="preserve">. The importance of these channels can differ across fields of research, types of institutions and sectors, as certain kinds of research and types of knowledge are better suited to specific transfer activities </w:t>
      </w:r>
      <w:r w:rsidRPr="00727A16">
        <w:rPr>
          <w:rFonts w:cs="Arial"/>
          <w:spacing w:val="-4"/>
          <w:szCs w:val="24"/>
        </w:rPr>
        <w:t>(Hughes et al. 2021, pp. 25–36)</w:t>
      </w:r>
      <w:r w:rsidRPr="00727A16">
        <w:rPr>
          <w:spacing w:val="-4"/>
        </w:rPr>
        <w:t xml:space="preserve">. Moreover, being overly focussed on measures that only capture a single channel of knowledge transfer may </w:t>
      </w:r>
      <w:r w:rsidR="00312F29" w:rsidRPr="00727A16">
        <w:rPr>
          <w:spacing w:val="-4"/>
        </w:rPr>
        <w:t>miss other types of</w:t>
      </w:r>
      <w:r w:rsidRPr="00727A16">
        <w:rPr>
          <w:spacing w:val="-4"/>
        </w:rPr>
        <w:t xml:space="preserve"> knowledge transfer and can fail to support the relative strengths of different institutions. For example, regional and technical universities report valuing their ongoing relationships with firms and industries as a pathway for students, joint research and collaboration over more traditional commercialisation activities.</w:t>
      </w:r>
    </w:p>
    <w:p w14:paraId="144C1741" w14:textId="7D3EF700" w:rsidR="00557DD7" w:rsidRPr="00F82BD9" w:rsidRDefault="00557DD7" w:rsidP="00557DD7">
      <w:pPr>
        <w:pStyle w:val="BodyText"/>
      </w:pPr>
      <w:r>
        <w:t>There is considerable scope to strengthen</w:t>
      </w:r>
      <w:r w:rsidRPr="001B3999">
        <w:t xml:space="preserve"> </w:t>
      </w:r>
      <w:r>
        <w:t>connections between businesses and</w:t>
      </w:r>
      <w:r w:rsidRPr="001B3999">
        <w:t xml:space="preserve"> universities</w:t>
      </w:r>
      <w:r>
        <w:t>. As discussed in section</w:t>
      </w:r>
      <w:r w:rsidR="000565F7">
        <w:t> </w:t>
      </w:r>
      <w:r>
        <w:t>2.3, clearer pathways into industry for early</w:t>
      </w:r>
      <w:r>
        <w:noBreakHyphen/>
        <w:t>career researchers holds considerable potential. But mid</w:t>
      </w:r>
      <w:r w:rsidR="000565F7">
        <w:noBreakHyphen/>
      </w:r>
      <w:r>
        <w:t xml:space="preserve"> and l</w:t>
      </w:r>
      <w:r w:rsidRPr="00C7605E">
        <w:t>ate</w:t>
      </w:r>
      <w:r>
        <w:noBreakHyphen/>
      </w:r>
      <w:r w:rsidRPr="00C7605E">
        <w:t>career academic</w:t>
      </w:r>
      <w:r>
        <w:t>s</w:t>
      </w:r>
      <w:r w:rsidRPr="00C7605E">
        <w:t xml:space="preserve"> could also be a valuable channel for the diffusion of </w:t>
      </w:r>
      <w:proofErr w:type="gramStart"/>
      <w:r w:rsidRPr="00C7605E">
        <w:t>innovation</w:t>
      </w:r>
      <w:r>
        <w:t>,</w:t>
      </w:r>
      <w:r w:rsidRPr="00C7605E">
        <w:t xml:space="preserve"> if</w:t>
      </w:r>
      <w:proofErr w:type="gramEnd"/>
      <w:r w:rsidRPr="00C7605E">
        <w:t xml:space="preserve"> </w:t>
      </w:r>
      <w:r w:rsidRPr="00C7605E">
        <w:lastRenderedPageBreak/>
        <w:t xml:space="preserve">appropriate linkages between industry </w:t>
      </w:r>
      <w:r w:rsidR="00AD2726">
        <w:t xml:space="preserve">and </w:t>
      </w:r>
      <w:r w:rsidRPr="00C7605E">
        <w:t xml:space="preserve">them can be created. </w:t>
      </w:r>
      <w:r w:rsidR="00AD2726">
        <w:t>One possible channel is</w:t>
      </w:r>
      <w:r w:rsidRPr="00C7605E">
        <w:t xml:space="preserve"> academic consulting with private industry, </w:t>
      </w:r>
      <w:r>
        <w:t>al</w:t>
      </w:r>
      <w:r w:rsidRPr="00C7605E">
        <w:t xml:space="preserve">though </w:t>
      </w:r>
      <w:r>
        <w:t xml:space="preserve">complex approval processes and </w:t>
      </w:r>
      <w:r w:rsidR="00096B33">
        <w:t>procedures</w:t>
      </w:r>
      <w:r>
        <w:t xml:space="preserve"> may reduce the incentives for academics to seek out opportunities </w:t>
      </w:r>
      <w:r w:rsidR="00A5727E">
        <w:t>for consulting</w:t>
      </w:r>
      <w:r w:rsidRPr="00C7605E">
        <w:t xml:space="preserve"> (box</w:t>
      </w:r>
      <w:r>
        <w:t> 2.6</w:t>
      </w:r>
      <w:r w:rsidR="00344B85">
        <w:t>).</w:t>
      </w:r>
    </w:p>
    <w:p w14:paraId="4624C319" w14:textId="77777777" w:rsidR="00557DD7" w:rsidRPr="00F82BD9" w:rsidRDefault="00557DD7" w:rsidP="00557DD7">
      <w:pPr>
        <w:pStyle w:val="NoSpacing"/>
      </w:pPr>
    </w:p>
    <w:tbl>
      <w:tblPr>
        <w:tblStyle w:val="Boxtable"/>
        <w:tblW w:w="5000" w:type="pct"/>
        <w:tblLook w:val="04A0" w:firstRow="1" w:lastRow="0" w:firstColumn="1" w:lastColumn="0" w:noHBand="0" w:noVBand="1"/>
      </w:tblPr>
      <w:tblGrid>
        <w:gridCol w:w="9638"/>
      </w:tblGrid>
      <w:tr w:rsidR="00557DD7" w14:paraId="1A8D230E" w14:textId="77777777" w:rsidTr="00C426E9">
        <w:trPr>
          <w:tblHeader/>
        </w:trPr>
        <w:tc>
          <w:tcPr>
            <w:tcW w:w="9638" w:type="dxa"/>
            <w:tcMar>
              <w:top w:w="170" w:type="dxa"/>
              <w:left w:w="170" w:type="dxa"/>
              <w:bottom w:w="113" w:type="dxa"/>
              <w:right w:w="170" w:type="dxa"/>
            </w:tcMar>
            <w:hideMark/>
          </w:tcPr>
          <w:p w14:paraId="0B5D6F8D" w14:textId="48439526" w:rsidR="00557DD7" w:rsidRDefault="00557DD7" w:rsidP="00C426E9">
            <w:pPr>
              <w:pStyle w:val="BoxHeading1"/>
            </w:pPr>
            <w:r>
              <w:t xml:space="preserve">Box </w:t>
            </w:r>
            <w:bookmarkStart w:id="111" w:name="OLE_LINK7"/>
            <w:r>
              <w:rPr>
                <w:noProof/>
              </w:rPr>
              <w:t>2</w:t>
            </w:r>
            <w:r>
              <w:t>.</w:t>
            </w:r>
            <w:r>
              <w:rPr>
                <w:noProof/>
              </w:rPr>
              <w:t>6</w:t>
            </w:r>
            <w:bookmarkEnd w:id="111"/>
            <w:r>
              <w:t xml:space="preserve"> – Barriers to academic consulting </w:t>
            </w:r>
          </w:p>
        </w:tc>
      </w:tr>
      <w:tr w:rsidR="00557DD7" w14:paraId="3AEDF205" w14:textId="77777777" w:rsidTr="00C426E9">
        <w:tc>
          <w:tcPr>
            <w:tcW w:w="9638" w:type="dxa"/>
            <w:tcMar>
              <w:top w:w="28" w:type="dxa"/>
              <w:left w:w="170" w:type="dxa"/>
              <w:bottom w:w="170" w:type="dxa"/>
              <w:right w:w="170" w:type="dxa"/>
            </w:tcMar>
            <w:hideMark/>
          </w:tcPr>
          <w:p w14:paraId="03306917" w14:textId="1BA32B98" w:rsidR="00B05E8B" w:rsidRDefault="00B05E8B" w:rsidP="00B05E8B">
            <w:pPr>
              <w:pStyle w:val="BodyText"/>
            </w:pPr>
            <w:r>
              <w:t>Academic consulting is a channel for universities to engage with and transfer knowledge to industry and government</w:t>
            </w:r>
            <w:r w:rsidR="00E90DA9">
              <w:t>s</w:t>
            </w:r>
            <w:r>
              <w:t xml:space="preserve">, and to transfer insights from social science research in particular </w:t>
            </w:r>
            <w:r w:rsidR="00936D73" w:rsidRPr="00936D73">
              <w:rPr>
                <w:rFonts w:ascii="Arial" w:hAnsi="Arial" w:cs="Arial"/>
                <w:szCs w:val="24"/>
              </w:rPr>
              <w:t>(OECD 2019c, p. 62)</w:t>
            </w:r>
            <w:r>
              <w:t>.</w:t>
            </w:r>
          </w:p>
          <w:p w14:paraId="733C3DDE" w14:textId="68D54D5A" w:rsidR="00B05E8B" w:rsidRDefault="00B05E8B" w:rsidP="00B05E8B">
            <w:pPr>
              <w:pStyle w:val="BodyText"/>
            </w:pPr>
            <w:r>
              <w:t xml:space="preserve">However, consultancy procedures and approval processes may increase transaction costs associated with consultancies and reduce the incentives of academics to engage in them. This may arise as a result of a preference for consultancies to be provided through the university rather than privately by </w:t>
            </w:r>
            <w:proofErr w:type="spellStart"/>
            <w:r>
              <w:t>academics.</w:t>
            </w:r>
            <w:r w:rsidR="00715228" w:rsidRPr="00715228">
              <w:rPr>
                <w:b/>
                <w:bCs/>
                <w:vertAlign w:val="superscript"/>
              </w:rPr>
              <w:t>a</w:t>
            </w:r>
            <w:proofErr w:type="spellEnd"/>
            <w:r>
              <w:t xml:space="preserve"> Conducting </w:t>
            </w:r>
            <w:proofErr w:type="gramStart"/>
            <w:r>
              <w:t>consultancies</w:t>
            </w:r>
            <w:proofErr w:type="gramEnd"/>
            <w:r>
              <w:t xml:space="preserve"> through </w:t>
            </w:r>
            <w:r w:rsidR="00A5727E">
              <w:t xml:space="preserve">the </w:t>
            </w:r>
            <w:r>
              <w:t>university has advantages. For example, staff may be covered by the university’s professional indemnity insurance policies</w:t>
            </w:r>
            <w:r w:rsidR="00385619">
              <w:t xml:space="preserve"> </w:t>
            </w:r>
            <w:r w:rsidR="00826631" w:rsidRPr="00826631">
              <w:rPr>
                <w:rFonts w:ascii="Arial" w:hAnsi="Arial" w:cs="Arial"/>
                <w:szCs w:val="24"/>
              </w:rPr>
              <w:t>(for example, Monash University 2022)</w:t>
            </w:r>
            <w:r>
              <w:t>; be able to use their professional title and university position; and use the university’s facilities and resources. However, the involvement of a university contracting office</w:t>
            </w:r>
            <w:r w:rsidR="00C52791">
              <w:t xml:space="preserve"> or legal teams</w:t>
            </w:r>
            <w:r>
              <w:t xml:space="preserve"> may lead to time delays</w:t>
            </w:r>
            <w:r w:rsidR="00936D73">
              <w:t xml:space="preserve"> </w:t>
            </w:r>
            <w:r w:rsidR="00936D73" w:rsidRPr="00936D73">
              <w:rPr>
                <w:rFonts w:ascii="Arial" w:hAnsi="Arial" w:cs="Arial"/>
                <w:szCs w:val="24"/>
              </w:rPr>
              <w:t>(</w:t>
            </w:r>
            <w:proofErr w:type="spellStart"/>
            <w:r w:rsidR="00936D73" w:rsidRPr="00936D73">
              <w:rPr>
                <w:rFonts w:ascii="Arial" w:hAnsi="Arial" w:cs="Arial"/>
                <w:szCs w:val="24"/>
              </w:rPr>
              <w:t>Verreynne</w:t>
            </w:r>
            <w:proofErr w:type="spellEnd"/>
            <w:r w:rsidR="00936D73" w:rsidRPr="00936D73">
              <w:rPr>
                <w:rFonts w:ascii="Arial" w:hAnsi="Arial" w:cs="Arial"/>
                <w:szCs w:val="24"/>
              </w:rPr>
              <w:t xml:space="preserve">, Torres de </w:t>
            </w:r>
            <w:proofErr w:type="spellStart"/>
            <w:r w:rsidR="00936D73" w:rsidRPr="00936D73">
              <w:rPr>
                <w:rFonts w:ascii="Arial" w:hAnsi="Arial" w:cs="Arial"/>
                <w:szCs w:val="24"/>
              </w:rPr>
              <w:t>Oliverira</w:t>
            </w:r>
            <w:proofErr w:type="spellEnd"/>
            <w:r w:rsidR="00936D73" w:rsidRPr="00936D73">
              <w:rPr>
                <w:rFonts w:ascii="Arial" w:hAnsi="Arial" w:cs="Arial"/>
                <w:szCs w:val="24"/>
              </w:rPr>
              <w:t xml:space="preserve"> and Mention 2021, p. 11)</w:t>
            </w:r>
            <w:r>
              <w:t xml:space="preserve">. Further, requirements </w:t>
            </w:r>
            <w:r w:rsidR="00CB5A0C">
              <w:t>about</w:t>
            </w:r>
            <w:r>
              <w:t xml:space="preserve"> how revenue from consultancies is distributed may also reduce staff incentives to seek them out.</w:t>
            </w:r>
          </w:p>
          <w:p w14:paraId="691E556D" w14:textId="1DDE2488" w:rsidR="00B05E8B" w:rsidRDefault="00953EC3" w:rsidP="00B05E8B">
            <w:pPr>
              <w:pStyle w:val="BodyText"/>
            </w:pPr>
            <w:r>
              <w:t>A</w:t>
            </w:r>
            <w:r w:rsidR="00F64EBE">
              <w:t xml:space="preserve">cademics and </w:t>
            </w:r>
            <w:r w:rsidR="009B2DF9">
              <w:t xml:space="preserve">firms may </w:t>
            </w:r>
            <w:r>
              <w:t xml:space="preserve">prefer to contract directly for consultancy or advisory services. </w:t>
            </w:r>
            <w:r w:rsidR="00B05E8B">
              <w:t xml:space="preserve">Universities generally allow academics to engage in private consulting (also referred to as paid outside work) for up to 52 days in a year </w:t>
            </w:r>
            <w:r w:rsidR="00492AD4">
              <w:t xml:space="preserve">or </w:t>
            </w:r>
            <w:r w:rsidR="00B05E8B" w:rsidRPr="002E12A1">
              <w:t>20</w:t>
            </w:r>
            <w:r w:rsidR="00B05E8B">
              <w:t> </w:t>
            </w:r>
            <w:r w:rsidR="00B05E8B" w:rsidRPr="002E12A1">
              <w:t>per</w:t>
            </w:r>
            <w:r w:rsidR="00B05E8B">
              <w:t> </w:t>
            </w:r>
            <w:r w:rsidR="00B05E8B" w:rsidRPr="002E12A1">
              <w:t xml:space="preserve">cent of their </w:t>
            </w:r>
            <w:proofErr w:type="spellStart"/>
            <w:r w:rsidR="00B05E8B" w:rsidRPr="002E12A1">
              <w:t>time</w:t>
            </w:r>
            <w:r w:rsidR="00B05E8B">
              <w:t>.</w:t>
            </w:r>
            <w:r w:rsidR="00CB69F8" w:rsidRPr="00CB69F8">
              <w:rPr>
                <w:b/>
                <w:bCs/>
                <w:vertAlign w:val="superscript"/>
              </w:rPr>
              <w:t>b</w:t>
            </w:r>
            <w:proofErr w:type="spellEnd"/>
            <w:r w:rsidR="00B05E8B">
              <w:t xml:space="preserve"> However, associated conditions and procedures </w:t>
            </w:r>
            <w:r w:rsidR="007838C6">
              <w:t xml:space="preserve">— </w:t>
            </w:r>
            <w:r w:rsidR="00A241FE">
              <w:t xml:space="preserve">which are intended to </w:t>
            </w:r>
            <w:r w:rsidR="000B4CAE">
              <w:t>ensure</w:t>
            </w:r>
            <w:r w:rsidR="00381A66">
              <w:t xml:space="preserve"> that</w:t>
            </w:r>
            <w:r w:rsidR="000B4CAE" w:rsidRPr="000B4CAE">
              <w:t xml:space="preserve"> </w:t>
            </w:r>
            <w:r w:rsidR="00381A66">
              <w:t xml:space="preserve">academic </w:t>
            </w:r>
            <w:r w:rsidR="000B4CAE" w:rsidRPr="000B4CAE">
              <w:t xml:space="preserve">staff </w:t>
            </w:r>
            <w:r w:rsidR="00381A66">
              <w:t>fulfil their</w:t>
            </w:r>
            <w:r w:rsidR="000B4CAE" w:rsidRPr="000B4CAE">
              <w:t xml:space="preserve"> obligations to the university</w:t>
            </w:r>
            <w:r w:rsidR="00224482">
              <w:t xml:space="preserve"> and</w:t>
            </w:r>
            <w:r w:rsidR="000B4CAE" w:rsidRPr="000B4CAE">
              <w:t xml:space="preserve"> </w:t>
            </w:r>
            <w:r w:rsidR="00381A66">
              <w:t>limit</w:t>
            </w:r>
            <w:r w:rsidR="000B4CAE" w:rsidRPr="000B4CAE">
              <w:t xml:space="preserve"> any risk to the university</w:t>
            </w:r>
            <w:r w:rsidR="00381A66">
              <w:t xml:space="preserve"> — </w:t>
            </w:r>
            <w:r w:rsidR="00B05E8B">
              <w:t xml:space="preserve">may </w:t>
            </w:r>
            <w:r w:rsidR="00564AD3">
              <w:t>reduce academic</w:t>
            </w:r>
            <w:r w:rsidR="00280B3F">
              <w:t>s’</w:t>
            </w:r>
            <w:r w:rsidR="00564AD3">
              <w:t xml:space="preserve"> incentives </w:t>
            </w:r>
            <w:r w:rsidR="00280B3F">
              <w:t>to pursue</w:t>
            </w:r>
            <w:r w:rsidR="00B05E8B">
              <w:t xml:space="preserve"> private consultancies as a knowledge transfer channel:</w:t>
            </w:r>
          </w:p>
          <w:p w14:paraId="4BC01708" w14:textId="6496ED14" w:rsidR="00B05E8B" w:rsidRDefault="000E4100" w:rsidP="001A1DD7">
            <w:pPr>
              <w:pStyle w:val="ListBullet"/>
            </w:pPr>
            <w:r>
              <w:t>a</w:t>
            </w:r>
            <w:r w:rsidR="00B05E8B">
              <w:t>pproval processes</w:t>
            </w:r>
            <w:r w:rsidR="00992584">
              <w:t>, such as requiring approval</w:t>
            </w:r>
            <w:r w:rsidR="000E1913">
              <w:t xml:space="preserve"> above the level of the Head of Unit</w:t>
            </w:r>
            <w:r w:rsidR="00992584">
              <w:t xml:space="preserve">. For example, Monash University </w:t>
            </w:r>
            <w:r w:rsidR="00E87D7F">
              <w:t xml:space="preserve">requires </w:t>
            </w:r>
            <w:r w:rsidR="001F37D6">
              <w:t>that paid outside work be approved by th</w:t>
            </w:r>
            <w:r w:rsidR="001F37D6" w:rsidRPr="001F37D6">
              <w:t>e Sub</w:t>
            </w:r>
            <w:r w:rsidR="000565F7">
              <w:noBreakHyphen/>
            </w:r>
            <w:r w:rsidR="001F37D6" w:rsidRPr="001F37D6">
              <w:t>Faculty Dean or Head of School/Institute (MNHS), Dean or Executive Director (or delegate)</w:t>
            </w:r>
            <w:r w:rsidR="001F37D6">
              <w:t xml:space="preserve"> </w:t>
            </w:r>
            <w:r w:rsidR="003B5ADA" w:rsidRPr="003B5ADA">
              <w:rPr>
                <w:rFonts w:ascii="Arial" w:hAnsi="Arial" w:cs="Arial"/>
                <w:szCs w:val="24"/>
              </w:rPr>
              <w:t>(Monash University 2022)</w:t>
            </w:r>
          </w:p>
          <w:p w14:paraId="28E05FFA" w14:textId="4C01284B" w:rsidR="00766403" w:rsidRDefault="000E4100" w:rsidP="001A1DD7">
            <w:pPr>
              <w:pStyle w:val="ListBullet"/>
            </w:pPr>
            <w:r>
              <w:t>p</w:t>
            </w:r>
            <w:r w:rsidR="00B05E8B">
              <w:t>rohibitions on using university titles or positions</w:t>
            </w:r>
            <w:r w:rsidR="00BE713E">
              <w:t xml:space="preserve">. For example, </w:t>
            </w:r>
            <w:r w:rsidR="00DF6D0F">
              <w:t xml:space="preserve">the University of Western Australia’s Consultancy Policy prohibits </w:t>
            </w:r>
            <w:r w:rsidR="00EC6825">
              <w:t xml:space="preserve">private consultancies from </w:t>
            </w:r>
            <w:r w:rsidR="00EC6825" w:rsidRPr="00EC6825">
              <w:t>mak</w:t>
            </w:r>
            <w:r w:rsidR="00EC6825">
              <w:t>ing</w:t>
            </w:r>
            <w:r w:rsidR="00EC6825" w:rsidRPr="00EC6825">
              <w:t xml:space="preserve"> use of a </w:t>
            </w:r>
            <w:proofErr w:type="gramStart"/>
            <w:r w:rsidR="00EC6825" w:rsidRPr="00EC6825">
              <w:t>University</w:t>
            </w:r>
            <w:proofErr w:type="gramEnd"/>
            <w:r w:rsidR="00EC6825" w:rsidRPr="00EC6825">
              <w:t xml:space="preserve"> position or professorial title</w:t>
            </w:r>
            <w:r w:rsidR="00EC6825">
              <w:t xml:space="preserve"> </w:t>
            </w:r>
            <w:r w:rsidR="002069AB" w:rsidRPr="002069AB">
              <w:rPr>
                <w:rFonts w:ascii="Arial" w:hAnsi="Arial" w:cs="Arial"/>
                <w:szCs w:val="24"/>
              </w:rPr>
              <w:t>(University of Western Australia 2021)</w:t>
            </w:r>
            <w:r w:rsidR="00E70231">
              <w:t xml:space="preserve">; </w:t>
            </w:r>
            <w:r w:rsidR="00BE713E">
              <w:t xml:space="preserve">the University of Queensland (UQ) </w:t>
            </w:r>
            <w:r w:rsidR="00BE713E" w:rsidRPr="00611B2B">
              <w:t xml:space="preserve">prohibits academics from using their position or association with UQ as the basis for obtaining </w:t>
            </w:r>
            <w:r w:rsidR="000565F7">
              <w:t>‘</w:t>
            </w:r>
            <w:r w:rsidR="00BE713E" w:rsidRPr="00611B2B">
              <w:t>secondary work</w:t>
            </w:r>
            <w:r w:rsidR="000565F7">
              <w:t>’</w:t>
            </w:r>
            <w:r w:rsidR="00BE713E" w:rsidRPr="00611B2B">
              <w:t xml:space="preserve"> (incl. independent contracting and consulting)</w:t>
            </w:r>
            <w:r w:rsidR="005A45B8">
              <w:t xml:space="preserve"> </w:t>
            </w:r>
            <w:r w:rsidR="003B5ADA" w:rsidRPr="00E70231">
              <w:rPr>
                <w:rFonts w:ascii="Arial" w:hAnsi="Arial" w:cs="Arial"/>
                <w:szCs w:val="24"/>
              </w:rPr>
              <w:t>(University of Queensland </w:t>
            </w:r>
            <w:proofErr w:type="spellStart"/>
            <w:r w:rsidR="003B5ADA" w:rsidRPr="00E70231">
              <w:rPr>
                <w:rFonts w:ascii="Arial" w:hAnsi="Arial" w:cs="Arial"/>
                <w:szCs w:val="24"/>
              </w:rPr>
              <w:t>nd</w:t>
            </w:r>
            <w:proofErr w:type="spellEnd"/>
            <w:r w:rsidR="003B5ADA" w:rsidRPr="00E70231">
              <w:rPr>
                <w:rFonts w:ascii="Arial" w:hAnsi="Arial" w:cs="Arial"/>
                <w:szCs w:val="24"/>
              </w:rPr>
              <w:t>)</w:t>
            </w:r>
          </w:p>
          <w:p w14:paraId="513E9EBE" w14:textId="0D219EF0" w:rsidR="00B05E8B" w:rsidRDefault="000E4100" w:rsidP="001A1DD7">
            <w:pPr>
              <w:pStyle w:val="ListBullet"/>
            </w:pPr>
            <w:r>
              <w:t>c</w:t>
            </w:r>
            <w:r w:rsidR="00B05E8B">
              <w:t>onditions for using university resources (e.g. the requirement to obtain permission and reimburse the university for using resources)</w:t>
            </w:r>
            <w:r w:rsidR="009844C7">
              <w:t>.</w:t>
            </w:r>
          </w:p>
          <w:p w14:paraId="35989DE4" w14:textId="2FCA2FDB" w:rsidR="00557DD7" w:rsidRDefault="00557DD7" w:rsidP="0009423F">
            <w:pPr>
              <w:pStyle w:val="Note"/>
              <w:keepLines/>
            </w:pPr>
            <w:r w:rsidRPr="00180E66">
              <w:rPr>
                <w:b/>
                <w:bCs/>
              </w:rPr>
              <w:t>a.</w:t>
            </w:r>
            <w:r>
              <w:t xml:space="preserve"> </w:t>
            </w:r>
            <w:r w:rsidR="00715228">
              <w:t xml:space="preserve">As an example, </w:t>
            </w:r>
            <w:r w:rsidR="005F4B1F">
              <w:t>UQ’s</w:t>
            </w:r>
            <w:r w:rsidR="00524FC2">
              <w:t xml:space="preserve"> </w:t>
            </w:r>
            <w:r w:rsidR="00E17490" w:rsidRPr="00E17490">
              <w:t>Consultancy, Secondary Employment and Internal Work</w:t>
            </w:r>
            <w:r w:rsidR="00E17490">
              <w:t xml:space="preserve"> Policy</w:t>
            </w:r>
            <w:r w:rsidR="00147323">
              <w:t xml:space="preserve"> indicates that </w:t>
            </w:r>
            <w:r w:rsidR="004C4536">
              <w:t>i</w:t>
            </w:r>
            <w:r w:rsidR="004C4536" w:rsidRPr="004C4536">
              <w:t>t is the University’s preference that any non</w:t>
            </w:r>
            <w:r w:rsidR="000565F7">
              <w:noBreakHyphen/>
            </w:r>
            <w:r w:rsidR="004C4536" w:rsidRPr="004C4536">
              <w:t>research work be conducted through UQ as consultancy rather than as secondary employment</w:t>
            </w:r>
            <w:r w:rsidR="00B35D57">
              <w:t xml:space="preserve"> </w:t>
            </w:r>
            <w:r w:rsidR="00D74F5A" w:rsidRPr="00D74F5A">
              <w:rPr>
                <w:rFonts w:ascii="Arial" w:hAnsi="Arial" w:cs="Arial"/>
                <w:szCs w:val="24"/>
              </w:rPr>
              <w:t>(University of Queensland </w:t>
            </w:r>
            <w:proofErr w:type="spellStart"/>
            <w:r w:rsidR="00D74F5A" w:rsidRPr="00D74F5A">
              <w:rPr>
                <w:rFonts w:ascii="Arial" w:hAnsi="Arial" w:cs="Arial"/>
                <w:szCs w:val="24"/>
              </w:rPr>
              <w:t>nd</w:t>
            </w:r>
            <w:proofErr w:type="spellEnd"/>
            <w:r w:rsidR="00D74F5A" w:rsidRPr="00D74F5A">
              <w:rPr>
                <w:rFonts w:ascii="Arial" w:hAnsi="Arial" w:cs="Arial"/>
                <w:szCs w:val="24"/>
              </w:rPr>
              <w:t>)</w:t>
            </w:r>
            <w:r w:rsidR="004C4536" w:rsidRPr="004C4536">
              <w:t>.</w:t>
            </w:r>
            <w:r w:rsidR="0009423F">
              <w:t xml:space="preserve"> </w:t>
            </w:r>
            <w:r w:rsidRPr="00180E66">
              <w:rPr>
                <w:b/>
                <w:bCs/>
              </w:rPr>
              <w:t>b.</w:t>
            </w:r>
            <w:r>
              <w:t xml:space="preserve"> </w:t>
            </w:r>
            <w:r w:rsidRPr="0065689F">
              <w:t>The University of Melbourne specifies 13 days in a quarter, where the dean, or Vice</w:t>
            </w:r>
            <w:r w:rsidR="000565F7">
              <w:noBreakHyphen/>
            </w:r>
            <w:r w:rsidRPr="0065689F">
              <w:t>Chancellor in the case of a dean, can approve an arrangement where the days are averaged over two quarters</w:t>
            </w:r>
            <w:r w:rsidR="0008500B">
              <w:t xml:space="preserve"> </w:t>
            </w:r>
            <w:r w:rsidR="00D101DA" w:rsidRPr="00D101DA">
              <w:rPr>
                <w:rFonts w:ascii="Arial" w:hAnsi="Arial" w:cs="Arial"/>
                <w:szCs w:val="24"/>
              </w:rPr>
              <w:t>(University of Melbourne </w:t>
            </w:r>
            <w:proofErr w:type="spellStart"/>
            <w:r w:rsidR="00D101DA" w:rsidRPr="00D101DA">
              <w:rPr>
                <w:rFonts w:ascii="Arial" w:hAnsi="Arial" w:cs="Arial"/>
                <w:szCs w:val="24"/>
              </w:rPr>
              <w:t>nd</w:t>
            </w:r>
            <w:proofErr w:type="spellEnd"/>
            <w:r w:rsidR="00D101DA" w:rsidRPr="00D101DA">
              <w:rPr>
                <w:rFonts w:ascii="Arial" w:hAnsi="Arial" w:cs="Arial"/>
                <w:szCs w:val="24"/>
              </w:rPr>
              <w:t>)</w:t>
            </w:r>
            <w:r w:rsidRPr="0065689F">
              <w:t>.</w:t>
            </w:r>
            <w:r w:rsidR="00653B2E">
              <w:t xml:space="preserve"> N</w:t>
            </w:r>
            <w:r w:rsidR="00653B2E" w:rsidRPr="00ED0FFB">
              <w:t>either the University of Queensland nor Monash University appear to specify how much time can be used for private consulting</w:t>
            </w:r>
            <w:r w:rsidR="00653B2E">
              <w:t>.</w:t>
            </w:r>
          </w:p>
        </w:tc>
      </w:tr>
      <w:tr w:rsidR="00557DD7" w14:paraId="70EAE57A" w14:textId="77777777" w:rsidTr="00C426E9">
        <w:trPr>
          <w:hidden/>
        </w:trPr>
        <w:tc>
          <w:tcPr>
            <w:tcW w:w="9638" w:type="dxa"/>
            <w:shd w:val="clear" w:color="auto" w:fill="auto"/>
            <w:tcMar>
              <w:top w:w="0" w:type="dxa"/>
              <w:left w:w="170" w:type="dxa"/>
              <w:bottom w:w="0" w:type="dxa"/>
              <w:right w:w="170" w:type="dxa"/>
            </w:tcMar>
          </w:tcPr>
          <w:p w14:paraId="556A7A83" w14:textId="2E9C0D99" w:rsidR="00557DD7" w:rsidRPr="00465191" w:rsidRDefault="00557DD7" w:rsidP="00C426E9">
            <w:pPr>
              <w:pStyle w:val="BodyText"/>
              <w:spacing w:before="0" w:after="0" w:line="80" w:lineRule="atLeast"/>
              <w:rPr>
                <w:smallCaps/>
                <w:vanish/>
              </w:rPr>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1E298AE7" w14:textId="77777777" w:rsidTr="00C426E9">
        <w:trPr>
          <w:trHeight w:val="765"/>
          <w:tblHeader/>
        </w:trPr>
        <w:tc>
          <w:tcPr>
            <w:tcW w:w="366" w:type="pct"/>
            <w:tcBorders>
              <w:bottom w:val="nil"/>
            </w:tcBorders>
            <w:tcMar>
              <w:bottom w:w="0" w:type="dxa"/>
            </w:tcMar>
            <w:vAlign w:val="center"/>
          </w:tcPr>
          <w:p w14:paraId="0936D539" w14:textId="77777777" w:rsidR="00557DD7" w:rsidRDefault="00557DD7" w:rsidP="00976026">
            <w:pPr>
              <w:pStyle w:val="NoSpacing"/>
              <w:keepNext/>
              <w:keepLines/>
              <w:jc w:val="right"/>
            </w:pPr>
            <w:r w:rsidRPr="00A51374">
              <w:rPr>
                <w:noProof/>
              </w:rPr>
              <w:lastRenderedPageBreak/>
              <w:drawing>
                <wp:inline distT="0" distB="0" distL="0" distR="0" wp14:anchorId="2D62CC4D" wp14:editId="4244819C">
                  <wp:extent cx="288000" cy="288000"/>
                  <wp:effectExtent l="0" t="0" r="0" b="0"/>
                  <wp:docPr id="9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79E9FC9" w14:textId="0EB934E7" w:rsidR="00557DD7" w:rsidRPr="00A4395A" w:rsidRDefault="00557DD7" w:rsidP="00976026">
            <w:pPr>
              <w:pStyle w:val="TableHeading"/>
              <w:keepNext/>
              <w:keepLines/>
              <w:spacing w:before="60" w:after="120"/>
              <w:contextualSpacing/>
              <w:rPr>
                <w:sz w:val="20"/>
              </w:rPr>
            </w:pPr>
            <w:r w:rsidRPr="00A4395A">
              <w:rPr>
                <w:sz w:val="20"/>
              </w:rPr>
              <w:t xml:space="preserve">Finding </w:t>
            </w:r>
            <w:r>
              <w:rPr>
                <w:noProof/>
                <w:sz w:val="20"/>
              </w:rPr>
              <w:t>2</w:t>
            </w:r>
            <w:r w:rsidRPr="00A4395A">
              <w:rPr>
                <w:sz w:val="20"/>
              </w:rPr>
              <w:t>.</w:t>
            </w:r>
            <w:r w:rsidR="00C97C1D">
              <w:rPr>
                <w:noProof/>
                <w:sz w:val="20"/>
              </w:rPr>
              <w:t>4</w:t>
            </w:r>
          </w:p>
          <w:p w14:paraId="3B649EB6" w14:textId="77777777" w:rsidR="00557DD7" w:rsidRPr="005F1065" w:rsidRDefault="00557DD7" w:rsidP="00976026">
            <w:pPr>
              <w:pStyle w:val="TableHeading"/>
              <w:keepNext/>
              <w:keepLines/>
              <w:spacing w:before="60" w:after="120"/>
              <w:contextualSpacing/>
              <w:rPr>
                <w:sz w:val="20"/>
              </w:rPr>
            </w:pPr>
            <w:r>
              <w:rPr>
                <w:sz w:val="20"/>
              </w:rPr>
              <w:t>A narrow focus on university research commercialisation.</w:t>
            </w:r>
          </w:p>
        </w:tc>
      </w:tr>
      <w:tr w:rsidR="00557DD7" w14:paraId="5546E805" w14:textId="77777777" w:rsidTr="00C426E9">
        <w:tc>
          <w:tcPr>
            <w:tcW w:w="5000" w:type="pct"/>
            <w:gridSpan w:val="2"/>
            <w:tcBorders>
              <w:top w:val="nil"/>
              <w:bottom w:val="single" w:sz="4" w:space="0" w:color="66BCDB" w:themeColor="text2"/>
            </w:tcBorders>
          </w:tcPr>
          <w:p w14:paraId="3AC29124" w14:textId="5EF957B6" w:rsidR="00557DD7" w:rsidRDefault="00557DD7" w:rsidP="00976026">
            <w:pPr>
              <w:pStyle w:val="BodyText"/>
              <w:keepNext/>
              <w:keepLines/>
            </w:pPr>
            <w:r>
              <w:t>Recent policy initiatives to increase knowledge transfer are too narrow in their scope in that they focus on direct commercialisation activities and advanced manufacturing industries. By focusing on research commercialisation, policy initiatives to increase knowledge transfer treat</w:t>
            </w:r>
            <w:r w:rsidRPr="009C4A48">
              <w:t xml:space="preserve"> knowledge transfer as synonymous with commercialisation, even though other channels </w:t>
            </w:r>
            <w:r>
              <w:t xml:space="preserve">(e.g. consulting by academics) </w:t>
            </w:r>
            <w:r w:rsidRPr="009C4A48">
              <w:t>may be more relevant for certain types of firms and industries</w:t>
            </w:r>
            <w:r>
              <w:t xml:space="preserve"> (especially service industries)</w:t>
            </w:r>
            <w:r w:rsidRPr="009C4A48">
              <w:t xml:space="preserve">, research areas </w:t>
            </w:r>
            <w:r w:rsidR="000D62AE">
              <w:t>(e.g. social sciences)</w:t>
            </w:r>
            <w:r w:rsidRPr="009C4A48">
              <w:t xml:space="preserve"> and research institutions</w:t>
            </w:r>
            <w:r>
              <w:t>.</w:t>
            </w:r>
          </w:p>
        </w:tc>
      </w:tr>
      <w:tr w:rsidR="00557DD7" w14:paraId="5BB7C512" w14:textId="77777777" w:rsidTr="00C426E9">
        <w:tc>
          <w:tcPr>
            <w:tcW w:w="5000" w:type="pct"/>
            <w:gridSpan w:val="2"/>
            <w:tcBorders>
              <w:top w:val="single" w:sz="4" w:space="0" w:color="66BCDB" w:themeColor="text2"/>
              <w:left w:val="nil"/>
              <w:bottom w:val="nil"/>
              <w:right w:val="nil"/>
            </w:tcBorders>
            <w:tcMar>
              <w:bottom w:w="0" w:type="dxa"/>
            </w:tcMar>
          </w:tcPr>
          <w:p w14:paraId="1C3FEEC5" w14:textId="77777777" w:rsidR="00557DD7" w:rsidRDefault="00557DD7" w:rsidP="00C426E9">
            <w:pPr>
              <w:pStyle w:val="NoSpacing"/>
              <w:spacing w:line="200" w:lineRule="atLeast"/>
            </w:pPr>
          </w:p>
        </w:tc>
      </w:tr>
    </w:tbl>
    <w:p w14:paraId="341024A6" w14:textId="77777777" w:rsidR="00557DD7" w:rsidRDefault="00557DD7" w:rsidP="00557DD7">
      <w:pPr>
        <w:pStyle w:val="NoSpacing"/>
      </w:pPr>
    </w:p>
    <w:tbl>
      <w:tblPr>
        <w:tblStyle w:val="TextTable-Grey"/>
        <w:tblW w:w="5000" w:type="pct"/>
        <w:tblLook w:val="04A0" w:firstRow="1" w:lastRow="0" w:firstColumn="1" w:lastColumn="0" w:noHBand="0" w:noVBand="1"/>
      </w:tblPr>
      <w:tblGrid>
        <w:gridCol w:w="778"/>
        <w:gridCol w:w="8860"/>
      </w:tblGrid>
      <w:tr w:rsidR="00557DD7" w14:paraId="744EFA29" w14:textId="77777777" w:rsidTr="00C426E9">
        <w:trPr>
          <w:tblHeader/>
        </w:trPr>
        <w:tc>
          <w:tcPr>
            <w:tcW w:w="709" w:type="dxa"/>
            <w:vAlign w:val="center"/>
          </w:tcPr>
          <w:p w14:paraId="6A5AB75D" w14:textId="77777777" w:rsidR="00557DD7" w:rsidRDefault="00557DD7" w:rsidP="00C426E9">
            <w:pPr>
              <w:keepNext/>
              <w:keepLines/>
              <w:spacing w:after="0"/>
              <w:jc w:val="right"/>
            </w:pPr>
            <w:r w:rsidRPr="00A51374">
              <w:rPr>
                <w:noProof/>
              </w:rPr>
              <w:drawing>
                <wp:inline distT="0" distB="0" distL="0" distR="0" wp14:anchorId="592D1D21" wp14:editId="32C36490">
                  <wp:extent cx="288000" cy="28800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079" w:type="dxa"/>
            <w:vAlign w:val="center"/>
          </w:tcPr>
          <w:p w14:paraId="35395A6E" w14:textId="2022594D" w:rsidR="00557DD7" w:rsidRPr="000B0B71" w:rsidRDefault="00557DD7" w:rsidP="00C426E9">
            <w:pPr>
              <w:pStyle w:val="TableHeading"/>
              <w:keepNext/>
              <w:spacing w:before="180" w:after="120"/>
              <w:rPr>
                <w:sz w:val="20"/>
              </w:rPr>
            </w:pPr>
            <w:r w:rsidRPr="000B0B71">
              <w:rPr>
                <w:sz w:val="20"/>
              </w:rPr>
              <w:t xml:space="preserve">Information request </w:t>
            </w:r>
            <w:r>
              <w:rPr>
                <w:noProof/>
                <w:sz w:val="20"/>
              </w:rPr>
              <w:t>2</w:t>
            </w:r>
            <w:r w:rsidRPr="00DF7217">
              <w:rPr>
                <w:sz w:val="20"/>
              </w:rPr>
              <w:t>.</w:t>
            </w:r>
            <w:r w:rsidR="00D42F97">
              <w:rPr>
                <w:sz w:val="20"/>
              </w:rPr>
              <w:t>5</w:t>
            </w:r>
          </w:p>
        </w:tc>
      </w:tr>
      <w:tr w:rsidR="00557DD7" w14:paraId="6D87BDBA" w14:textId="77777777" w:rsidTr="00C426E9">
        <w:tc>
          <w:tcPr>
            <w:tcW w:w="8788" w:type="dxa"/>
            <w:gridSpan w:val="2"/>
            <w:tcMar>
              <w:top w:w="0" w:type="dxa"/>
            </w:tcMar>
          </w:tcPr>
          <w:p w14:paraId="14DFECAF" w14:textId="77777777" w:rsidR="00557DD7" w:rsidRPr="008529A2" w:rsidRDefault="00557DD7" w:rsidP="00C426E9">
            <w:pPr>
              <w:pStyle w:val="BodyText"/>
              <w:keepNext/>
              <w:keepLines/>
            </w:pPr>
            <w:r>
              <w:t>Can Australia’s current level of academic consulting to private industry be increased? In what industries or areas of research could linkages improve the diffusion of innovation?</w:t>
            </w:r>
          </w:p>
        </w:tc>
      </w:tr>
      <w:tr w:rsidR="00557DD7" w14:paraId="42C40B0E" w14:textId="77777777" w:rsidTr="00C426E9">
        <w:tc>
          <w:tcPr>
            <w:tcW w:w="8788" w:type="dxa"/>
            <w:gridSpan w:val="2"/>
            <w:shd w:val="clear" w:color="auto" w:fill="auto"/>
            <w:tcMar>
              <w:top w:w="0" w:type="dxa"/>
              <w:bottom w:w="0" w:type="dxa"/>
            </w:tcMar>
          </w:tcPr>
          <w:p w14:paraId="0B8685B4" w14:textId="77777777" w:rsidR="00557DD7" w:rsidRDefault="00557DD7" w:rsidP="00C426E9">
            <w:pPr>
              <w:pStyle w:val="NoSpacing"/>
              <w:spacing w:line="200" w:lineRule="exact"/>
            </w:pPr>
          </w:p>
        </w:tc>
      </w:tr>
    </w:tbl>
    <w:p w14:paraId="75E8E88E" w14:textId="77777777" w:rsidR="00557DD7" w:rsidRDefault="00557DD7" w:rsidP="00557DD7">
      <w:pPr>
        <w:pStyle w:val="Heading3"/>
      </w:pPr>
      <w:r>
        <w:t xml:space="preserve">Other opportunities to foster </w:t>
      </w:r>
      <w:proofErr w:type="spellStart"/>
      <w:r>
        <w:t>spillovers</w:t>
      </w:r>
      <w:proofErr w:type="spellEnd"/>
      <w:r>
        <w:t xml:space="preserve"> and information flows</w:t>
      </w:r>
    </w:p>
    <w:p w14:paraId="032E92F0" w14:textId="77777777" w:rsidR="00557DD7" w:rsidRPr="00385EB4" w:rsidRDefault="00557DD7" w:rsidP="00557DD7">
      <w:pPr>
        <w:pStyle w:val="Heading4"/>
      </w:pPr>
      <w:r>
        <w:t>Benchmarking can highlight opportunities for innovation where businesses are under</w:t>
      </w:r>
      <w:r>
        <w:noBreakHyphen/>
        <w:t>performing relative to their peers</w:t>
      </w:r>
    </w:p>
    <w:p w14:paraId="2CC7C4B3" w14:textId="43B12AA3" w:rsidR="00557DD7" w:rsidRDefault="00557DD7" w:rsidP="00557DD7">
      <w:pPr>
        <w:pStyle w:val="BodyText"/>
      </w:pPr>
      <w:r w:rsidRPr="00BA5CDD">
        <w:t>Perceiving a need — or equally an opportunity — to improve business performance can lead firms to</w:t>
      </w:r>
      <w:r w:rsidRPr="006F3F92">
        <w:t xml:space="preserve"> </w:t>
      </w:r>
      <w:r w:rsidRPr="00AF786D">
        <w:t xml:space="preserve">seek out </w:t>
      </w:r>
      <w:r>
        <w:t>and adopt productivity</w:t>
      </w:r>
      <w:r w:rsidR="000565F7">
        <w:noBreakHyphen/>
      </w:r>
      <w:r>
        <w:t xml:space="preserve">enhancing </w:t>
      </w:r>
      <w:r w:rsidRPr="00AF786D">
        <w:t>technologies and practices</w:t>
      </w:r>
      <w:r>
        <w:t xml:space="preserve">. Yet </w:t>
      </w:r>
      <w:r w:rsidRPr="00AF786D">
        <w:t xml:space="preserve">as discussed in </w:t>
      </w:r>
      <w:r w:rsidR="009428AA">
        <w:t>c</w:t>
      </w:r>
      <w:r w:rsidRPr="00AF786D">
        <w:t>hapter</w:t>
      </w:r>
      <w:r w:rsidR="000565F7">
        <w:t> </w:t>
      </w:r>
      <w:r w:rsidRPr="00AF786D">
        <w:t xml:space="preserve">1, most Australian businesses undertake little or no assessment of their own performance, with innovation </w:t>
      </w:r>
      <w:r>
        <w:t xml:space="preserve">measures </w:t>
      </w:r>
      <w:r w:rsidRPr="00AF786D">
        <w:t xml:space="preserve">receiving the least </w:t>
      </w:r>
      <w:r w:rsidRPr="00502896">
        <w:t>attention (figure</w:t>
      </w:r>
      <w:r w:rsidR="000565F7">
        <w:t> </w:t>
      </w:r>
      <w:r w:rsidRPr="00502896">
        <w:t>1.3). One explanation may be a lack of time. Managers who are time and resource poor may not have the capacity to assess</w:t>
      </w:r>
      <w:r>
        <w:t xml:space="preserve"> the performance of their business. As noted by the </w:t>
      </w:r>
      <w:r w:rsidRPr="00495666">
        <w:t>Australian Institute of Company Directors</w:t>
      </w:r>
      <w:r>
        <w:t xml:space="preserve"> (AICD):</w:t>
      </w:r>
    </w:p>
    <w:p w14:paraId="06D1D3C3" w14:textId="323759B5" w:rsidR="00557DD7" w:rsidRDefault="00557DD7" w:rsidP="00557DD7">
      <w:pPr>
        <w:pStyle w:val="Quote"/>
      </w:pPr>
      <w:r w:rsidRPr="00495666">
        <w:t>Feedback from AICD members, for instance during consultation on cyber reforms, is consistent that due to resourcing and time constraints many SMEs and NFPs struggle adapting to digital technology changes and building management capability</w:t>
      </w:r>
      <w:r>
        <w:t>. (AICD, sub.</w:t>
      </w:r>
      <w:r w:rsidR="000565F7">
        <w:t> </w:t>
      </w:r>
      <w:r>
        <w:t>44, p.</w:t>
      </w:r>
      <w:r w:rsidR="000565F7">
        <w:t> </w:t>
      </w:r>
      <w:r>
        <w:t>9)</w:t>
      </w:r>
    </w:p>
    <w:p w14:paraId="3AB583F5" w14:textId="77777777" w:rsidR="00557DD7" w:rsidRDefault="00557DD7" w:rsidP="00557DD7">
      <w:pPr>
        <w:pStyle w:val="BodyText"/>
      </w:pPr>
      <w:r>
        <w:t xml:space="preserve">However, a lack </w:t>
      </w:r>
      <w:r w:rsidRPr="00AF786D">
        <w:t xml:space="preserve">of information </w:t>
      </w:r>
      <w:r>
        <w:t>and effective performance measurement tools</w:t>
      </w:r>
      <w:r w:rsidRPr="00AF786D">
        <w:t xml:space="preserve"> may also be a factor</w:t>
      </w:r>
      <w:r>
        <w:t xml:space="preserve">. Benchmarking tools can help businesses to </w:t>
      </w:r>
      <w:r w:rsidRPr="0098569F">
        <w:t>identify areas of under</w:t>
      </w:r>
      <w:r>
        <w:noBreakHyphen/>
      </w:r>
      <w:r w:rsidRPr="0098569F">
        <w:t xml:space="preserve">performance </w:t>
      </w:r>
      <w:r>
        <w:t>by allowing them</w:t>
      </w:r>
      <w:r w:rsidRPr="0098569F">
        <w:t xml:space="preserve"> to </w:t>
      </w:r>
      <w:r w:rsidRPr="002D2F76">
        <w:t xml:space="preserve">compare their performance </w:t>
      </w:r>
      <w:r>
        <w:t>with</w:t>
      </w:r>
      <w:r w:rsidRPr="002D2F76">
        <w:t xml:space="preserve"> similar businesses</w:t>
      </w:r>
      <w:r>
        <w:t xml:space="preserve"> across </w:t>
      </w:r>
      <w:r w:rsidRPr="002D2F76">
        <w:t xml:space="preserve">a set of relevant </w:t>
      </w:r>
      <w:r>
        <w:t xml:space="preserve">performance </w:t>
      </w:r>
      <w:r w:rsidRPr="002D2F76">
        <w:t>indicators</w:t>
      </w:r>
      <w:r w:rsidRPr="0098569F">
        <w:t>.</w:t>
      </w:r>
      <w:r>
        <w:t xml:space="preserve"> </w:t>
      </w:r>
    </w:p>
    <w:p w14:paraId="6094169C" w14:textId="620F577C" w:rsidR="00557DD7" w:rsidRDefault="00557DD7" w:rsidP="00557DD7">
      <w:pPr>
        <w:pStyle w:val="BodyText"/>
      </w:pPr>
      <w:r>
        <w:t>A range of business</w:t>
      </w:r>
      <w:r w:rsidRPr="002D2F76">
        <w:t xml:space="preserve"> benchmarking initiatives exist in Australia</w:t>
      </w:r>
      <w:r>
        <w:t xml:space="preserve">, offered </w:t>
      </w:r>
      <w:r w:rsidRPr="00AF786D">
        <w:t>by government</w:t>
      </w:r>
      <w:r>
        <w:t xml:space="preserve"> agencies</w:t>
      </w:r>
      <w:r w:rsidRPr="00AF786D">
        <w:t xml:space="preserve">, </w:t>
      </w:r>
      <w:r>
        <w:t xml:space="preserve">as well as </w:t>
      </w:r>
      <w:r w:rsidRPr="00AF786D">
        <w:t>for</w:t>
      </w:r>
      <w:r>
        <w:noBreakHyphen/>
      </w:r>
      <w:r w:rsidRPr="00AF786D">
        <w:t xml:space="preserve">profit </w:t>
      </w:r>
      <w:r w:rsidR="00D35E12">
        <w:t>businesses</w:t>
      </w:r>
      <w:r w:rsidRPr="00AF786D">
        <w:t xml:space="preserve"> or industry bodies to benefit their customers and members</w:t>
      </w:r>
      <w:r>
        <w:t xml:space="preserve"> (box 2.7)</w:t>
      </w:r>
      <w:r w:rsidRPr="00AF786D">
        <w:t>.</w:t>
      </w:r>
      <w:r w:rsidRPr="00572C8E">
        <w:t xml:space="preserve"> </w:t>
      </w:r>
      <w:r w:rsidRPr="00AF786D">
        <w:t>In</w:t>
      </w:r>
      <w:r>
        <w:t xml:space="preserve"> general</w:t>
      </w:r>
      <w:r w:rsidRPr="00AF786D">
        <w:t>, government</w:t>
      </w:r>
      <w:r w:rsidR="000565F7">
        <w:noBreakHyphen/>
      </w:r>
      <w:r w:rsidRPr="00AF786D">
        <w:t xml:space="preserve">provided services have </w:t>
      </w:r>
      <w:r>
        <w:t>not been developed</w:t>
      </w:r>
      <w:r w:rsidRPr="00AF786D">
        <w:t xml:space="preserve"> primarily for the purpose of providing benchmarking tool</w:t>
      </w:r>
      <w:r>
        <w:t>s</w:t>
      </w:r>
      <w:r w:rsidRPr="00AF786D">
        <w:t xml:space="preserve"> for businesses</w:t>
      </w:r>
      <w:r>
        <w:t>. R</w:t>
      </w:r>
      <w:r w:rsidRPr="00AF786D">
        <w:t xml:space="preserve">ather, they have been developed either to provide value back to businesses </w:t>
      </w:r>
      <w:r>
        <w:t>that</w:t>
      </w:r>
      <w:r w:rsidRPr="00AF786D">
        <w:t xml:space="preserve"> </w:t>
      </w:r>
      <w:r>
        <w:t>supply</w:t>
      </w:r>
      <w:r w:rsidRPr="00AF786D">
        <w:t xml:space="preserve"> data </w:t>
      </w:r>
      <w:r>
        <w:t>required by that government agency</w:t>
      </w:r>
      <w:r w:rsidRPr="00AF786D">
        <w:t xml:space="preserve"> (</w:t>
      </w:r>
      <w:r>
        <w:t>for example, where</w:t>
      </w:r>
      <w:r w:rsidRPr="00AF786D">
        <w:t xml:space="preserve"> businesses respond to surveys conducted by the ABS and </w:t>
      </w:r>
      <w:r w:rsidR="00BB6831" w:rsidRPr="00BB6831">
        <w:t>Australian Bureau of Agricultural and Resource Economics and Sciences (</w:t>
      </w:r>
      <w:r w:rsidRPr="00AF786D">
        <w:t>ABARES), or as a complement to other activities undertaken by the agency (</w:t>
      </w:r>
      <w:r>
        <w:t>for example,</w:t>
      </w:r>
      <w:r w:rsidRPr="00AF786D">
        <w:t xml:space="preserve"> benchmarks developed by the ATO </w:t>
      </w:r>
      <w:r>
        <w:t>for</w:t>
      </w:r>
      <w:r w:rsidRPr="00AF786D">
        <w:t xml:space="preserve"> monitoring compliance can also be used by businesses to </w:t>
      </w:r>
      <w:r>
        <w:t>assess their</w:t>
      </w:r>
      <w:r w:rsidRPr="00AF786D">
        <w:t xml:space="preserve"> performance).</w:t>
      </w:r>
      <w:r>
        <w:t xml:space="preserve"> T</w:t>
      </w:r>
      <w:r w:rsidRPr="00B659BE">
        <w:t xml:space="preserve">his means that the insights that can be provided to businesses are limited by the existing </w:t>
      </w:r>
      <w:r w:rsidRPr="00B659BE">
        <w:lastRenderedPageBreak/>
        <w:t xml:space="preserve">data, with limited analysis of the underlying drivers, actionable advice, or connection to other services </w:t>
      </w:r>
      <w:r w:rsidR="001C551C">
        <w:t>that</w:t>
      </w:r>
      <w:r w:rsidRPr="00B659BE">
        <w:t xml:space="preserve"> could assist</w:t>
      </w:r>
      <w:r w:rsidR="008B2C3E">
        <w:t xml:space="preserve"> </w:t>
      </w:r>
      <w:r w:rsidR="00FF255E">
        <w:t>businesses</w:t>
      </w:r>
      <w:r w:rsidRPr="00B659BE">
        <w:t>.</w:t>
      </w:r>
    </w:p>
    <w:p w14:paraId="2C3438E3" w14:textId="77777777" w:rsidR="00557DD7" w:rsidRPr="00BA3650" w:rsidRDefault="00557DD7" w:rsidP="00557DD7">
      <w:pPr>
        <w:pStyle w:val="BodyText"/>
      </w:pPr>
      <w:r>
        <w:t>In contrast, services developed by private providers and industry associations tend to be more directly targeted at providing benchmarking services to businesses. The services differ in the detail they provide to businesses, and in particular, the degree to which the information is tailored and actionable for an individual business, with private services tending to offer the most tailored and actionable advice (for a fee).</w:t>
      </w:r>
    </w:p>
    <w:p w14:paraId="6A772A9D" w14:textId="753EF6B0" w:rsidR="00557DD7" w:rsidRPr="00F82BD9" w:rsidRDefault="00557DD7" w:rsidP="00557DD7">
      <w:pPr>
        <w:pStyle w:val="NoSpacing"/>
      </w:pPr>
    </w:p>
    <w:tbl>
      <w:tblPr>
        <w:tblStyle w:val="Boxtable"/>
        <w:tblW w:w="5000" w:type="pct"/>
        <w:tblLook w:val="04A0" w:firstRow="1" w:lastRow="0" w:firstColumn="1" w:lastColumn="0" w:noHBand="0" w:noVBand="1"/>
      </w:tblPr>
      <w:tblGrid>
        <w:gridCol w:w="9638"/>
      </w:tblGrid>
      <w:tr w:rsidR="00557DD7" w14:paraId="47CF3F2C" w14:textId="77777777" w:rsidTr="00C426E9">
        <w:trPr>
          <w:tblHeader/>
        </w:trPr>
        <w:tc>
          <w:tcPr>
            <w:tcW w:w="9638" w:type="dxa"/>
            <w:tcMar>
              <w:top w:w="170" w:type="dxa"/>
              <w:left w:w="170" w:type="dxa"/>
              <w:bottom w:w="113" w:type="dxa"/>
              <w:right w:w="170" w:type="dxa"/>
            </w:tcMar>
            <w:hideMark/>
          </w:tcPr>
          <w:p w14:paraId="78AAB42E" w14:textId="2298D0C4" w:rsidR="00557DD7" w:rsidRDefault="00557DD7" w:rsidP="00C426E9">
            <w:pPr>
              <w:pStyle w:val="BoxHeading1"/>
            </w:pPr>
            <w:bookmarkStart w:id="112" w:name="_Ref78902111"/>
            <w:r>
              <w:t xml:space="preserve">Box </w:t>
            </w:r>
            <w:bookmarkStart w:id="113" w:name="OLE_LINK14"/>
            <w:r>
              <w:rPr>
                <w:noProof/>
              </w:rPr>
              <w:t>2</w:t>
            </w:r>
            <w:r>
              <w:t>.</w:t>
            </w:r>
            <w:r>
              <w:rPr>
                <w:noProof/>
              </w:rPr>
              <w:t>7</w:t>
            </w:r>
            <w:bookmarkEnd w:id="113"/>
            <w:r>
              <w:t xml:space="preserve"> – </w:t>
            </w:r>
            <w:bookmarkEnd w:id="112"/>
            <w:r>
              <w:t>Existing benchmarking initiatives</w:t>
            </w:r>
          </w:p>
        </w:tc>
      </w:tr>
      <w:tr w:rsidR="00557DD7" w14:paraId="3BBE0164" w14:textId="77777777" w:rsidTr="00C426E9">
        <w:tc>
          <w:tcPr>
            <w:tcW w:w="9638" w:type="dxa"/>
            <w:tcMar>
              <w:top w:w="28" w:type="dxa"/>
              <w:left w:w="170" w:type="dxa"/>
              <w:bottom w:w="170" w:type="dxa"/>
              <w:right w:w="170" w:type="dxa"/>
            </w:tcMar>
            <w:hideMark/>
          </w:tcPr>
          <w:p w14:paraId="74B75B90" w14:textId="77777777" w:rsidR="00557DD7" w:rsidRDefault="00557DD7" w:rsidP="00C426E9">
            <w:pPr>
              <w:pStyle w:val="BodyText"/>
            </w:pPr>
            <w:r>
              <w:t xml:space="preserve">The Australian government provides </w:t>
            </w:r>
            <w:r w:rsidRPr="00B659BE">
              <w:t>several</w:t>
            </w:r>
            <w:r>
              <w:t xml:space="preserve"> </w:t>
            </w:r>
            <w:r w:rsidRPr="00B659BE">
              <w:t>benchmarking</w:t>
            </w:r>
            <w:r>
              <w:t xml:space="preserve"> initiatives. These include:</w:t>
            </w:r>
          </w:p>
          <w:p w14:paraId="3940A8B0" w14:textId="661806F0" w:rsidR="00557DD7" w:rsidRDefault="00557DD7" w:rsidP="001A1DD7">
            <w:pPr>
              <w:pStyle w:val="ListBullet"/>
            </w:pPr>
            <w:r>
              <w:t xml:space="preserve">small business industry benchmarks published online by the ATO </w:t>
            </w:r>
            <w:r w:rsidRPr="00036528">
              <w:rPr>
                <w:rFonts w:ascii="Arial" w:hAnsi="Arial" w:cs="Arial"/>
                <w:szCs w:val="24"/>
              </w:rPr>
              <w:t>(2022)</w:t>
            </w:r>
            <w:r>
              <w:t>, which provide ranges for general performance indicators based on tax return data, tailored to an extensive range of highly disaggregated industries (although not tailored to individual businesses that access the service)</w:t>
            </w:r>
          </w:p>
          <w:p w14:paraId="009427B5" w14:textId="13050B44" w:rsidR="00557DD7" w:rsidRPr="0009423F" w:rsidRDefault="00557DD7" w:rsidP="001A1DD7">
            <w:pPr>
              <w:pStyle w:val="ListBullet"/>
              <w:rPr>
                <w:spacing w:val="-4"/>
              </w:rPr>
            </w:pPr>
            <w:r w:rsidRPr="0009423F">
              <w:rPr>
                <w:spacing w:val="-4"/>
              </w:rPr>
              <w:t>an initiative currently being developed by the ABS, which will provide tailored benchmarking reports to small</w:t>
            </w:r>
            <w:r w:rsidR="000565F7" w:rsidRPr="0009423F">
              <w:rPr>
                <w:spacing w:val="-4"/>
              </w:rPr>
              <w:noBreakHyphen/>
            </w:r>
            <w:r w:rsidRPr="0009423F">
              <w:rPr>
                <w:spacing w:val="-4"/>
              </w:rPr>
              <w:t>to</w:t>
            </w:r>
            <w:r w:rsidR="000565F7" w:rsidRPr="0009423F">
              <w:rPr>
                <w:spacing w:val="-4"/>
              </w:rPr>
              <w:noBreakHyphen/>
            </w:r>
            <w:r w:rsidRPr="0009423F">
              <w:rPr>
                <w:spacing w:val="-4"/>
              </w:rPr>
              <w:t xml:space="preserve">medium businesses when they participate in relevant ABS surveys and report their data through a new streamlined reporting application linked to their existing accounting software </w:t>
            </w:r>
            <w:r w:rsidRPr="0009423F">
              <w:rPr>
                <w:rFonts w:cs="Arial"/>
                <w:spacing w:val="-4"/>
                <w:szCs w:val="24"/>
              </w:rPr>
              <w:t>(ABS 2022a)</w:t>
            </w:r>
          </w:p>
          <w:p w14:paraId="4EC3EDF8" w14:textId="14E366F9" w:rsidR="00557DD7" w:rsidRPr="00604D8E" w:rsidRDefault="00557DD7" w:rsidP="001A1DD7">
            <w:pPr>
              <w:pStyle w:val="ListBullet"/>
            </w:pPr>
            <w:r>
              <w:t>s</w:t>
            </w:r>
            <w:r w:rsidRPr="00604D8E">
              <w:t xml:space="preserve">ome government agencies </w:t>
            </w:r>
            <w:r>
              <w:t xml:space="preserve">that </w:t>
            </w:r>
            <w:r w:rsidRPr="00604D8E">
              <w:t xml:space="preserve">may also provide data at a sufficient level of granularity to enable benchmarking — for example, ABARES provides a variety of agricultural indicators by farm size and type through its Farm Data Portal </w:t>
            </w:r>
            <w:r>
              <w:t>that</w:t>
            </w:r>
            <w:r w:rsidRPr="00604D8E">
              <w:t xml:space="preserve"> c</w:t>
            </w:r>
            <w:r>
              <w:t>an</w:t>
            </w:r>
            <w:r w:rsidRPr="00604D8E">
              <w:t xml:space="preserve"> be used by farmers to benchmark their performance (ABARES 2022). </w:t>
            </w:r>
          </w:p>
          <w:p w14:paraId="4D8D2B2B" w14:textId="4F2D4055" w:rsidR="00557DD7" w:rsidRDefault="00557DD7" w:rsidP="00C426E9">
            <w:pPr>
              <w:pStyle w:val="BodyText"/>
            </w:pPr>
            <w:r>
              <w:t>In addition, several for</w:t>
            </w:r>
            <w:r w:rsidR="000565F7">
              <w:noBreakHyphen/>
            </w:r>
            <w:r>
              <w:t xml:space="preserve">profit providers offer benchmarking services to Australian businesses </w:t>
            </w:r>
            <w:r w:rsidRPr="006673CC">
              <w:t>(Benchmarking.com.au 2021; FMRC </w:t>
            </w:r>
            <w:proofErr w:type="spellStart"/>
            <w:r w:rsidRPr="006673CC">
              <w:t>nd</w:t>
            </w:r>
            <w:proofErr w:type="spellEnd"/>
            <w:r w:rsidRPr="006673CC">
              <w:t>; GE Digital 2022)</w:t>
            </w:r>
            <w:r>
              <w:t xml:space="preserve"> and some industry bodies may also offer similar services for their members — for example, Dairy Australia has developed the Dairy Farm Monitor Project which provides comparative data to dairy farmers through an online portal </w:t>
            </w:r>
            <w:r w:rsidRPr="006D4CA5">
              <w:t>(Dairy Australia 2022)</w:t>
            </w:r>
            <w:r>
              <w:t>.</w:t>
            </w:r>
          </w:p>
        </w:tc>
      </w:tr>
      <w:tr w:rsidR="00557DD7" w14:paraId="003F5412" w14:textId="77777777" w:rsidTr="00C426E9">
        <w:trPr>
          <w:hidden/>
        </w:trPr>
        <w:tc>
          <w:tcPr>
            <w:tcW w:w="9638" w:type="dxa"/>
            <w:shd w:val="clear" w:color="auto" w:fill="auto"/>
            <w:tcMar>
              <w:top w:w="0" w:type="dxa"/>
              <w:left w:w="170" w:type="dxa"/>
              <w:bottom w:w="0" w:type="dxa"/>
              <w:right w:w="170" w:type="dxa"/>
            </w:tcMar>
          </w:tcPr>
          <w:p w14:paraId="03481AF8" w14:textId="063E9B70" w:rsidR="00557DD7" w:rsidRPr="00465191" w:rsidRDefault="00557DD7" w:rsidP="00C426E9">
            <w:pPr>
              <w:pStyle w:val="BodyText"/>
              <w:spacing w:before="0" w:after="0" w:line="80" w:lineRule="atLeast"/>
              <w:rPr>
                <w:smallCaps/>
                <w:vanish/>
              </w:rPr>
            </w:pPr>
          </w:p>
        </w:tc>
      </w:tr>
    </w:tbl>
    <w:p w14:paraId="1888DDF5" w14:textId="77777777" w:rsidR="00557DD7" w:rsidRPr="003E222A" w:rsidRDefault="00557DD7" w:rsidP="00557DD7">
      <w:pPr>
        <w:pStyle w:val="Heading5"/>
      </w:pPr>
      <w:r w:rsidRPr="00DF1716">
        <w:t xml:space="preserve">How can </w:t>
      </w:r>
      <w:r w:rsidRPr="003E222A">
        <w:t>benchmarking initiatives better support innovation</w:t>
      </w:r>
      <w:r>
        <w:t xml:space="preserve"> diffusion</w:t>
      </w:r>
      <w:r w:rsidRPr="003E222A">
        <w:t>?</w:t>
      </w:r>
    </w:p>
    <w:p w14:paraId="55B7B8F1" w14:textId="77777777" w:rsidR="00557DD7" w:rsidRPr="000B2378" w:rsidRDefault="00557DD7" w:rsidP="00557DD7">
      <w:pPr>
        <w:pStyle w:val="BodyText"/>
      </w:pPr>
      <w:r w:rsidRPr="000B2378">
        <w:t xml:space="preserve">There are three key considerations for developing effective benchmarking tools </w:t>
      </w:r>
      <w:r>
        <w:t xml:space="preserve">that encourage innovation diffusion </w:t>
      </w:r>
      <w:r w:rsidRPr="000B2378">
        <w:t xml:space="preserve">— </w:t>
      </w:r>
      <w:r>
        <w:t xml:space="preserve">obtaining </w:t>
      </w:r>
      <w:r w:rsidRPr="000B2378">
        <w:t xml:space="preserve">access to data, encouraging businesses to use the tools that are developed, and ensuring the tools offer meaningful insights and assistance </w:t>
      </w:r>
      <w:r>
        <w:t>that</w:t>
      </w:r>
      <w:r w:rsidRPr="000B2378">
        <w:t xml:space="preserve"> promote innovation.</w:t>
      </w:r>
    </w:p>
    <w:p w14:paraId="043EE74C" w14:textId="03477155" w:rsidR="00557DD7" w:rsidRPr="000B2378" w:rsidRDefault="00557DD7" w:rsidP="00557DD7">
      <w:pPr>
        <w:pStyle w:val="BodyText"/>
      </w:pPr>
      <w:r w:rsidRPr="000B2378">
        <w:t>Regarding access to data</w:t>
      </w:r>
      <w:r>
        <w:t>,</w:t>
      </w:r>
      <w:r w:rsidRPr="000B2378">
        <w:t xml:space="preserve"> improving data sharing arrangements across agencies and increasing the collection of data from government funded entities </w:t>
      </w:r>
      <w:r w:rsidR="00936D73" w:rsidRPr="00936D73">
        <w:rPr>
          <w:rFonts w:ascii="Arial" w:hAnsi="Arial" w:cs="Arial"/>
          <w:szCs w:val="24"/>
        </w:rPr>
        <w:t>(for more detail see PC 2022a, p. 43)</w:t>
      </w:r>
      <w:r w:rsidRPr="00B92822">
        <w:t xml:space="preserve"> could increase the usefulness of data for benchmarking purposes</w:t>
      </w:r>
      <w:r w:rsidRPr="000B2378">
        <w:t>. However, this would need to be balanced against the need for data security and maintaining confidentiality for individual businesses.</w:t>
      </w:r>
    </w:p>
    <w:p w14:paraId="7C3BF7BE" w14:textId="2BD492A5" w:rsidR="00557DD7" w:rsidRPr="000B2378" w:rsidRDefault="00557DD7" w:rsidP="00557DD7">
      <w:pPr>
        <w:pStyle w:val="BodyText"/>
      </w:pPr>
      <w:r>
        <w:t>Benchmarking</w:t>
      </w:r>
      <w:r w:rsidRPr="000B2378">
        <w:t xml:space="preserve"> examples from the U</w:t>
      </w:r>
      <w:r>
        <w:t>nited </w:t>
      </w:r>
      <w:r w:rsidRPr="000B2378">
        <w:t>K</w:t>
      </w:r>
      <w:r>
        <w:t>ingdom</w:t>
      </w:r>
      <w:r w:rsidRPr="000B2378">
        <w:t xml:space="preserve">, Canada, and New Zealand demonstrate the potential to make </w:t>
      </w:r>
      <w:r>
        <w:t>benchmarking</w:t>
      </w:r>
      <w:r w:rsidRPr="000B2378">
        <w:t xml:space="preserve"> tools directly accessible online, including the ability to tailor the results based on some basic inputs provided by a business.</w:t>
      </w:r>
      <w:r w:rsidR="008C5C43">
        <w:rPr>
          <w:rStyle w:val="FootnoteReference"/>
        </w:rPr>
        <w:footnoteReference w:id="22"/>
      </w:r>
      <w:r w:rsidRPr="000B2378">
        <w:t xml:space="preserve"> The ABS initiative also highlights how existing points of contact between government and businesses can be leveraged to offer benchmarking tools with benefits for both parties</w:t>
      </w:r>
      <w:r>
        <w:t>. In this case, b</w:t>
      </w:r>
      <w:r w:rsidRPr="000B2378">
        <w:t xml:space="preserve">usinesses are offered access to benchmarking, which also acts as an incentive for </w:t>
      </w:r>
      <w:r w:rsidRPr="000B2378">
        <w:lastRenderedPageBreak/>
        <w:t xml:space="preserve">them to engage with government in other ways (in the ABS example, benchmarking reports will be provided as a direct benefit to businesses </w:t>
      </w:r>
      <w:r>
        <w:t>that</w:t>
      </w:r>
      <w:r w:rsidRPr="000B2378">
        <w:t xml:space="preserve"> use the new streamlined reporting application).</w:t>
      </w:r>
    </w:p>
    <w:p w14:paraId="239C2983" w14:textId="5A854C15" w:rsidR="00557DD7" w:rsidRPr="0009423F" w:rsidRDefault="00557DD7" w:rsidP="00557DD7">
      <w:pPr>
        <w:pStyle w:val="BodyText"/>
        <w:rPr>
          <w:spacing w:val="-4"/>
        </w:rPr>
      </w:pPr>
      <w:r w:rsidRPr="0009423F">
        <w:rPr>
          <w:spacing w:val="-4"/>
        </w:rPr>
        <w:t xml:space="preserve">The tools that are developed should offer meaningful insights and assistance to the businesses that access them, and specifically promote innovation. The effectiveness of the tools may be improved by accompanying the benchmarking results with other analysis and advice that highlights the possible underlying drivers of the results and provides more actionable advice for businesses. Benchmarking services could also link to other government programs and support for businesses. One question, however, is whether businesses would recognise government as a competent provider of such advice </w:t>
      </w:r>
      <w:r w:rsidRPr="0009423F">
        <w:rPr>
          <w:rFonts w:cs="Arial"/>
          <w:spacing w:val="-4"/>
          <w:szCs w:val="24"/>
        </w:rPr>
        <w:t>(</w:t>
      </w:r>
      <w:proofErr w:type="spellStart"/>
      <w:r w:rsidRPr="0009423F">
        <w:rPr>
          <w:rFonts w:cs="Arial"/>
          <w:spacing w:val="-4"/>
          <w:szCs w:val="24"/>
        </w:rPr>
        <w:t>Nooteboom</w:t>
      </w:r>
      <w:proofErr w:type="spellEnd"/>
      <w:r w:rsidRPr="0009423F">
        <w:rPr>
          <w:rFonts w:cs="Arial"/>
          <w:spacing w:val="-4"/>
          <w:szCs w:val="24"/>
        </w:rPr>
        <w:t> 1994, p. 343)</w:t>
      </w:r>
      <w:r w:rsidRPr="0009423F">
        <w:rPr>
          <w:spacing w:val="-4"/>
        </w:rPr>
        <w:t>. This may suggest a need to involve third parties with more direct industry expertise, such as industry associations or business advisors.</w:t>
      </w:r>
    </w:p>
    <w:p w14:paraId="17DF31EB" w14:textId="77777777" w:rsidR="00D9752D" w:rsidRDefault="00D9752D" w:rsidP="00D9752D">
      <w:pPr>
        <w:pStyle w:val="NoSpacing"/>
      </w:pPr>
    </w:p>
    <w:tbl>
      <w:tblPr>
        <w:tblStyle w:val="TextTable-Grey"/>
        <w:tblW w:w="5000" w:type="pct"/>
        <w:tblLook w:val="04A0" w:firstRow="1" w:lastRow="0" w:firstColumn="1" w:lastColumn="0" w:noHBand="0" w:noVBand="1"/>
      </w:tblPr>
      <w:tblGrid>
        <w:gridCol w:w="713"/>
        <w:gridCol w:w="8925"/>
      </w:tblGrid>
      <w:tr w:rsidR="00557DD7" w14:paraId="7D34C3BC" w14:textId="77777777" w:rsidTr="00C426E9">
        <w:trPr>
          <w:tblHeader/>
        </w:trPr>
        <w:tc>
          <w:tcPr>
            <w:tcW w:w="713" w:type="dxa"/>
            <w:vAlign w:val="center"/>
          </w:tcPr>
          <w:p w14:paraId="38F1593D" w14:textId="77777777" w:rsidR="00557DD7" w:rsidRDefault="00557DD7" w:rsidP="00C426E9">
            <w:pPr>
              <w:keepNext/>
              <w:keepLines/>
              <w:spacing w:after="0"/>
              <w:jc w:val="right"/>
            </w:pPr>
            <w:r w:rsidRPr="00A51374">
              <w:rPr>
                <w:noProof/>
              </w:rPr>
              <w:drawing>
                <wp:inline distT="0" distB="0" distL="0" distR="0" wp14:anchorId="0CF5BF88" wp14:editId="4AC1885E">
                  <wp:extent cx="288000" cy="288000"/>
                  <wp:effectExtent l="0" t="0" r="0" b="0"/>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DF93A0D" w14:textId="1DC9BE2C" w:rsidR="00557DD7" w:rsidRPr="000B0B71" w:rsidRDefault="00557DD7" w:rsidP="00C426E9">
            <w:pPr>
              <w:pStyle w:val="TableHeading"/>
              <w:keepNext/>
              <w:spacing w:before="180" w:after="120"/>
              <w:rPr>
                <w:sz w:val="20"/>
              </w:rPr>
            </w:pPr>
            <w:r w:rsidRPr="000B0B71">
              <w:rPr>
                <w:sz w:val="20"/>
              </w:rPr>
              <w:t xml:space="preserve">Information request </w:t>
            </w:r>
            <w:r>
              <w:rPr>
                <w:noProof/>
                <w:sz w:val="20"/>
              </w:rPr>
              <w:t>2</w:t>
            </w:r>
            <w:r w:rsidR="009A6E9C" w:rsidRPr="00DF7217">
              <w:rPr>
                <w:sz w:val="20"/>
              </w:rPr>
              <w:t>.</w:t>
            </w:r>
            <w:r w:rsidR="00D42F97">
              <w:rPr>
                <w:sz w:val="20"/>
              </w:rPr>
              <w:t>6</w:t>
            </w:r>
          </w:p>
        </w:tc>
      </w:tr>
      <w:tr w:rsidR="00557DD7" w14:paraId="2A0DEBE6" w14:textId="77777777" w:rsidTr="00C426E9">
        <w:tc>
          <w:tcPr>
            <w:tcW w:w="9638" w:type="dxa"/>
            <w:gridSpan w:val="2"/>
            <w:tcMar>
              <w:top w:w="0" w:type="dxa"/>
            </w:tcMar>
          </w:tcPr>
          <w:p w14:paraId="6C45FA48" w14:textId="77777777" w:rsidR="00557DD7" w:rsidRDefault="00557DD7" w:rsidP="001A1DD7">
            <w:pPr>
              <w:pStyle w:val="ListBullet"/>
            </w:pPr>
            <w:r>
              <w:t>What data sources could be used to support business benchmarking? Where could data linkages between public sector agencies or use of private sector data to complement that collected by governments enhance the usefulness of data for business benchmarking? What specific issues would need to be overcome for this to happen (assuming data security, confidentiality, and privacy requirements were satisfied)?</w:t>
            </w:r>
          </w:p>
          <w:p w14:paraId="539F8714" w14:textId="150A874E" w:rsidR="00557DD7" w:rsidRPr="008529A2" w:rsidRDefault="00557DD7" w:rsidP="001A1DD7">
            <w:pPr>
              <w:pStyle w:val="ListBullet"/>
            </w:pPr>
            <w:r>
              <w:t>What information would be most useful to provide to businesses to encourage innovation and the diffusion of innovative practices?</w:t>
            </w:r>
          </w:p>
        </w:tc>
      </w:tr>
      <w:tr w:rsidR="00557DD7" w14:paraId="1FE499B4" w14:textId="77777777" w:rsidTr="00C426E9">
        <w:tc>
          <w:tcPr>
            <w:tcW w:w="9638" w:type="dxa"/>
            <w:gridSpan w:val="2"/>
            <w:shd w:val="clear" w:color="auto" w:fill="auto"/>
            <w:tcMar>
              <w:top w:w="0" w:type="dxa"/>
              <w:bottom w:w="0" w:type="dxa"/>
            </w:tcMar>
          </w:tcPr>
          <w:p w14:paraId="731FA407" w14:textId="77777777" w:rsidR="00557DD7" w:rsidRDefault="00557DD7" w:rsidP="00C426E9">
            <w:pPr>
              <w:pStyle w:val="NoSpacing"/>
              <w:spacing w:line="200" w:lineRule="exact"/>
            </w:pPr>
          </w:p>
        </w:tc>
      </w:tr>
    </w:tbl>
    <w:p w14:paraId="1FE95D4B" w14:textId="77777777" w:rsidR="00557DD7" w:rsidRDefault="00557DD7" w:rsidP="00557DD7">
      <w:pPr>
        <w:pStyle w:val="Heading4"/>
      </w:pPr>
      <w:r>
        <w:t>Leverage existing institutions to provide information that supports the diffusion of newer technologies and processes</w:t>
      </w:r>
    </w:p>
    <w:p w14:paraId="56ACC3FC" w14:textId="121492F5" w:rsidR="00557DD7" w:rsidRDefault="00557DD7" w:rsidP="00557DD7">
      <w:pPr>
        <w:pStyle w:val="BodyText"/>
      </w:pPr>
      <w:r>
        <w:t xml:space="preserve">For newer technologies and processes that are untested in Australia or </w:t>
      </w:r>
      <w:r w:rsidR="00422B24">
        <w:t>in</w:t>
      </w:r>
      <w:r>
        <w:t xml:space="preserve"> a given industry, a lack of information about how they perform under local circumstances, or the adaptations needed to suit the local market, may be a barrier adoption and use. While early adopters — both </w:t>
      </w:r>
      <w:r>
        <w:rPr>
          <w:i/>
          <w:iCs/>
        </w:rPr>
        <w:t>leaders</w:t>
      </w:r>
      <w:r>
        <w:t xml:space="preserve"> and </w:t>
      </w:r>
      <w:r w:rsidRPr="00207EC2">
        <w:rPr>
          <w:i/>
          <w:iCs/>
        </w:rPr>
        <w:t>naïve leaders</w:t>
      </w:r>
      <w:r>
        <w:t xml:space="preserve"> — are an important source of information for other firms about the performance of novel innovations, they can incur significant </w:t>
      </w:r>
      <w:r w:rsidRPr="00902449">
        <w:t xml:space="preserve">costs </w:t>
      </w:r>
      <w:r>
        <w:t xml:space="preserve">in adopting and trialling new technologies. The incentives for secrecy that this creates can mean that other potential adopters must incur the same costs to evaluate and trial the technology, delaying wider adoption. Indeed, several industry associations suggested to the Commission that more coordinated testing and evaluation of new technologies might enhance diffusion by reducing uncertainty and enhancing </w:t>
      </w:r>
      <w:proofErr w:type="spellStart"/>
      <w:r>
        <w:t>spillovers</w:t>
      </w:r>
      <w:proofErr w:type="spellEnd"/>
      <w:r>
        <w:t xml:space="preserve"> of information that is critical to good decision</w:t>
      </w:r>
      <w:r w:rsidR="000565F7">
        <w:noBreakHyphen/>
      </w:r>
      <w:r>
        <w:t xml:space="preserve">making </w:t>
      </w:r>
      <w:r w:rsidR="00CB5A0C">
        <w:t>about</w:t>
      </w:r>
      <w:r>
        <w:t xml:space="preserve"> adoption.</w:t>
      </w:r>
    </w:p>
    <w:p w14:paraId="3CE78E29" w14:textId="64F13C69" w:rsidR="00557DD7" w:rsidRDefault="00557DD7" w:rsidP="00557DD7">
      <w:pPr>
        <w:pStyle w:val="BodyText"/>
      </w:pPr>
      <w:r>
        <w:t>It is difficult to make a case that firms who incur the costs of researching, importing, adapting and trialling a new technology should share their experiences with other firms, as this would presumably reduce the payoff and their incentive to innovate in the first place. But if those initial costs are shared — with relevant industry associations, government or other non</w:t>
      </w:r>
      <w:r>
        <w:noBreakHyphen/>
        <w:t>commercial entities — then making that information available to other firms could enhance diffusion.</w:t>
      </w:r>
    </w:p>
    <w:p w14:paraId="1A459F27" w14:textId="0CE69376" w:rsidR="00557DD7" w:rsidRDefault="00557DD7" w:rsidP="00362B34">
      <w:pPr>
        <w:pStyle w:val="BodyText"/>
      </w:pPr>
      <w:r>
        <w:t>One option may be to leverage existing institutions to assist in identifying and evaluating new technologies. As an example of how this might be organised, the remit of the government</w:t>
      </w:r>
      <w:r>
        <w:noBreakHyphen/>
        <w:t xml:space="preserve">funded Industry Growth Centres </w:t>
      </w:r>
      <w:r>
        <w:lastRenderedPageBreak/>
        <w:t>(</w:t>
      </w:r>
      <w:r w:rsidRPr="000C51AC">
        <w:t>box</w:t>
      </w:r>
      <w:r>
        <w:t> 2.</w:t>
      </w:r>
      <w:r w:rsidR="00447BA1">
        <w:t>8</w:t>
      </w:r>
      <w:r w:rsidRPr="000C51AC">
        <w:t>)</w:t>
      </w:r>
      <w:r>
        <w:t xml:space="preserve"> could be expanded to explicitly include a role in enhancing innovation diffusion.</w:t>
      </w:r>
      <w:r>
        <w:rPr>
          <w:rStyle w:val="FootnoteReference"/>
        </w:rPr>
        <w:footnoteReference w:id="23"/>
      </w:r>
      <w:r>
        <w:t xml:space="preserve"> T</w:t>
      </w:r>
      <w:r w:rsidRPr="003A6AE1">
        <w:t xml:space="preserve">he </w:t>
      </w:r>
      <w:r>
        <w:t xml:space="preserve">Growth </w:t>
      </w:r>
      <w:r w:rsidRPr="003A6AE1">
        <w:t>Centres are positioned as a link between research, industry, government, and global markets</w:t>
      </w:r>
      <w:r>
        <w:t>. It is possible that the networks and links between research and industry already established by these centres may be better utilised to upskill and diffuse innovation to and between existing businesses, particularly from overseas, rather than focusing on trying to commercialise and scale new</w:t>
      </w:r>
      <w:r>
        <w:noBreakHyphen/>
        <w:t>to</w:t>
      </w:r>
      <w:r>
        <w:noBreakHyphen/>
        <w:t>the</w:t>
      </w:r>
      <w:r>
        <w:noBreakHyphen/>
        <w:t>world innovation.</w:t>
      </w:r>
    </w:p>
    <w:p w14:paraId="7BF74FFD" w14:textId="7064B40B" w:rsidR="00557DD7" w:rsidRPr="00F82BD9" w:rsidRDefault="00557DD7" w:rsidP="00557DD7">
      <w:pPr>
        <w:pStyle w:val="NoSpacing"/>
      </w:pPr>
    </w:p>
    <w:tbl>
      <w:tblPr>
        <w:tblStyle w:val="Boxtable"/>
        <w:tblW w:w="5000" w:type="pct"/>
        <w:tblLook w:val="04A0" w:firstRow="1" w:lastRow="0" w:firstColumn="1" w:lastColumn="0" w:noHBand="0" w:noVBand="1"/>
      </w:tblPr>
      <w:tblGrid>
        <w:gridCol w:w="9638"/>
      </w:tblGrid>
      <w:tr w:rsidR="00557DD7" w14:paraId="671F8F74" w14:textId="77777777" w:rsidTr="00C426E9">
        <w:trPr>
          <w:tblHeader/>
        </w:trPr>
        <w:tc>
          <w:tcPr>
            <w:tcW w:w="9638" w:type="dxa"/>
            <w:tcMar>
              <w:top w:w="170" w:type="dxa"/>
              <w:left w:w="170" w:type="dxa"/>
              <w:bottom w:w="113" w:type="dxa"/>
              <w:right w:w="170" w:type="dxa"/>
            </w:tcMar>
            <w:hideMark/>
          </w:tcPr>
          <w:p w14:paraId="59C49F49" w14:textId="4D3FA31A" w:rsidR="00557DD7" w:rsidRDefault="00557DD7" w:rsidP="00C426E9">
            <w:pPr>
              <w:pStyle w:val="BoxHeading1"/>
            </w:pPr>
            <w:r>
              <w:t xml:space="preserve">Box </w:t>
            </w:r>
            <w:bookmarkStart w:id="114" w:name="OLE_LINK20"/>
            <w:r>
              <w:rPr>
                <w:noProof/>
              </w:rPr>
              <w:t>2</w:t>
            </w:r>
            <w:r>
              <w:t>.</w:t>
            </w:r>
            <w:r w:rsidR="00C97C1D">
              <w:rPr>
                <w:noProof/>
              </w:rPr>
              <w:t>8</w:t>
            </w:r>
            <w:bookmarkEnd w:id="114"/>
            <w:r>
              <w:t xml:space="preserve"> – Industry Growth Centres</w:t>
            </w:r>
          </w:p>
        </w:tc>
      </w:tr>
      <w:tr w:rsidR="00557DD7" w14:paraId="2BDD13CD" w14:textId="77777777" w:rsidTr="00C426E9">
        <w:tc>
          <w:tcPr>
            <w:tcW w:w="9638" w:type="dxa"/>
            <w:tcMar>
              <w:top w:w="28" w:type="dxa"/>
              <w:left w:w="170" w:type="dxa"/>
              <w:bottom w:w="170" w:type="dxa"/>
              <w:right w:w="170" w:type="dxa"/>
            </w:tcMar>
            <w:hideMark/>
          </w:tcPr>
          <w:p w14:paraId="40CF5079" w14:textId="09AFFEA9" w:rsidR="00557DD7" w:rsidRDefault="00557DD7" w:rsidP="00C426E9">
            <w:pPr>
              <w:pStyle w:val="BodyText"/>
            </w:pPr>
            <w:r>
              <w:t>The Industry Growth Centres were established in 2015</w:t>
            </w:r>
            <w:r w:rsidR="000565F7">
              <w:noBreakHyphen/>
            </w:r>
            <w:r>
              <w:t xml:space="preserve">16 to support competitiveness in sectors considered to be of competitive strength and strategic </w:t>
            </w:r>
            <w:proofErr w:type="spellStart"/>
            <w:r>
              <w:t>priority</w:t>
            </w:r>
            <w:r w:rsidR="00447BA1">
              <w:t>:</w:t>
            </w:r>
            <w:r w:rsidRPr="00B32015">
              <w:rPr>
                <w:b/>
                <w:bCs/>
                <w:vertAlign w:val="superscript"/>
              </w:rPr>
              <w:t>a</w:t>
            </w:r>
            <w:proofErr w:type="spellEnd"/>
            <w:r>
              <w:t xml:space="preserve"> advanced manufacturing, known as the Advanced Manufacturing Growth Centre (AMGC); cyber security, known as </w:t>
            </w:r>
            <w:proofErr w:type="spellStart"/>
            <w:r>
              <w:t>AustCyber</w:t>
            </w:r>
            <w:proofErr w:type="spellEnd"/>
            <w:r>
              <w:t xml:space="preserve">; food and agribusiness, known as Food Innovation Australia Ltd (FIAL); medical technologies and pharmaceuticals, known as </w:t>
            </w:r>
            <w:proofErr w:type="spellStart"/>
            <w:r>
              <w:t>MTPConnect</w:t>
            </w:r>
            <w:proofErr w:type="spellEnd"/>
            <w:r>
              <w:t xml:space="preserve">; mining equipment, technology and services, known METS Ignited; and oil, gas and energy resources, known as National Energy Resources Australia (NERA) </w:t>
            </w:r>
            <w:r w:rsidRPr="005C5E06">
              <w:rPr>
                <w:rFonts w:ascii="Arial" w:hAnsi="Arial" w:cs="Arial"/>
                <w:szCs w:val="24"/>
              </w:rPr>
              <w:t>(DIIS 2019a)</w:t>
            </w:r>
            <w:r>
              <w:t>.</w:t>
            </w:r>
          </w:p>
          <w:p w14:paraId="6C4F0B0B" w14:textId="32686312" w:rsidR="00557DD7" w:rsidRDefault="00557DD7" w:rsidP="00C426E9">
            <w:pPr>
              <w:pStyle w:val="BodyText"/>
            </w:pPr>
            <w:r w:rsidRPr="007209E2">
              <w:t xml:space="preserve">Each Growth Centre is currently tasked with four key priorities: increasing collaboration and commercialisation, enhancing management and workforce skills, improving access to international markets and opportunities, and identifying opportunities for regulatory reform </w:t>
            </w:r>
            <w:r w:rsidRPr="005C5E06">
              <w:rPr>
                <w:rFonts w:ascii="Arial" w:hAnsi="Arial" w:cs="Arial"/>
                <w:szCs w:val="24"/>
              </w:rPr>
              <w:t>(DIIS 2019a)</w:t>
            </w:r>
            <w:r w:rsidRPr="007209E2">
              <w:t xml:space="preserve">. The Centres </w:t>
            </w:r>
            <w:r>
              <w:t>were intended</w:t>
            </w:r>
            <w:r w:rsidRPr="007209E2">
              <w:t xml:space="preserve"> to </w:t>
            </w:r>
            <w:r>
              <w:t>focus</w:t>
            </w:r>
            <w:r w:rsidRPr="007209E2">
              <w:t xml:space="preserve"> on areas where groups </w:t>
            </w:r>
            <w:r>
              <w:t>were yet to develop, as well as to</w:t>
            </w:r>
            <w:r w:rsidRPr="007209E2">
              <w:t xml:space="preserve"> </w:t>
            </w:r>
            <w:proofErr w:type="gramStart"/>
            <w:r w:rsidRPr="007209E2">
              <w:t>more closely engag</w:t>
            </w:r>
            <w:r>
              <w:t>e</w:t>
            </w:r>
            <w:r w:rsidRPr="007209E2">
              <w:t xml:space="preserve"> with the research sector</w:t>
            </w:r>
            <w:proofErr w:type="gramEnd"/>
            <w:r w:rsidRPr="007209E2">
              <w:t xml:space="preserve"> (Nous Group 2019, p. 7).</w:t>
            </w:r>
          </w:p>
          <w:p w14:paraId="2F67A413" w14:textId="3A3168FF" w:rsidR="00557DD7" w:rsidRDefault="00557DD7" w:rsidP="00C426E9">
            <w:pPr>
              <w:pStyle w:val="BodyText"/>
            </w:pPr>
            <w:r>
              <w:t>An</w:t>
            </w:r>
            <w:r w:rsidRPr="0078322A">
              <w:t xml:space="preserve"> assessment by Nous Group in 2019 suggested each Centre was generally meeting its objectives and business plan</w:t>
            </w:r>
            <w:r>
              <w:t>. Of their four priorities,</w:t>
            </w:r>
            <w:r w:rsidRPr="0078322A">
              <w:t xml:space="preserve"> </w:t>
            </w:r>
            <w:r>
              <w:t>the centres were found to have focused</w:t>
            </w:r>
            <w:r w:rsidRPr="0078322A">
              <w:t xml:space="preserve"> the most on increasing collaboration and commercialisation of research (Nous Group 2019, p. 6). A similar assessment by ACIL Allen in 2020 </w:t>
            </w:r>
            <w:r>
              <w:t>(which</w:t>
            </w:r>
            <w:r w:rsidRPr="0078322A">
              <w:t xml:space="preserve"> has not been released publicly</w:t>
            </w:r>
            <w:r>
              <w:t>)</w:t>
            </w:r>
            <w:r w:rsidRPr="0078322A">
              <w:t xml:space="preserve"> suggest</w:t>
            </w:r>
            <w:r>
              <w:t>s</w:t>
            </w:r>
            <w:r w:rsidRPr="0078322A">
              <w:t xml:space="preserve"> the centres performed well given their level of funding (Brookes 2022).</w:t>
            </w:r>
          </w:p>
          <w:p w14:paraId="360E4924" w14:textId="5DF78921" w:rsidR="00557DD7" w:rsidRPr="004B3818" w:rsidRDefault="00557DD7" w:rsidP="00C426E9">
            <w:pPr>
              <w:pStyle w:val="BodyText"/>
              <w:rPr>
                <w:spacing w:val="-2"/>
              </w:rPr>
            </w:pPr>
            <w:r w:rsidRPr="004B3818">
              <w:rPr>
                <w:spacing w:val="-2"/>
              </w:rPr>
              <w:t>However, the future of the centres is uncertain. While some are likely to be self</w:t>
            </w:r>
            <w:r w:rsidR="000565F7" w:rsidRPr="004B3818">
              <w:rPr>
                <w:spacing w:val="-2"/>
              </w:rPr>
              <w:noBreakHyphen/>
            </w:r>
            <w:r w:rsidRPr="004B3818">
              <w:rPr>
                <w:spacing w:val="-2"/>
              </w:rPr>
              <w:t xml:space="preserve">sustaining without ongoing government funding (as was the original intention), other centres are likely to be in a weaker financial position </w:t>
            </w:r>
            <w:r w:rsidRPr="004B3818">
              <w:rPr>
                <w:rFonts w:cs="Arial"/>
                <w:spacing w:val="-2"/>
                <w:szCs w:val="24"/>
              </w:rPr>
              <w:t>(Riley 2022)</w:t>
            </w:r>
            <w:r w:rsidRPr="004B3818">
              <w:rPr>
                <w:spacing w:val="-2"/>
              </w:rPr>
              <w:t>.</w:t>
            </w:r>
            <w:r w:rsidR="00666CE6" w:rsidRPr="004B3818">
              <w:rPr>
                <w:spacing w:val="-2"/>
              </w:rPr>
              <w:t xml:space="preserve"> There are also a range of service industries not supported by a Growth Centre.</w:t>
            </w:r>
          </w:p>
          <w:p w14:paraId="17D39A8F" w14:textId="1AA0BEEA" w:rsidR="00557DD7" w:rsidRDefault="00557DD7" w:rsidP="000C6F5F">
            <w:pPr>
              <w:pStyle w:val="Note"/>
              <w:keepLines/>
            </w:pPr>
            <w:r w:rsidRPr="00180E66">
              <w:rPr>
                <w:b/>
                <w:bCs/>
              </w:rPr>
              <w:t>a.</w:t>
            </w:r>
            <w:r>
              <w:t xml:space="preserve"> </w:t>
            </w:r>
            <w:r w:rsidR="00447BA1">
              <w:t>The ALP</w:t>
            </w:r>
            <w:r>
              <w:t xml:space="preserve"> proposed a seventh Growth Centre </w:t>
            </w:r>
            <w:r w:rsidRPr="00E66D42">
              <w:t xml:space="preserve">focused on the battery production supply chain </w:t>
            </w:r>
            <w:r>
              <w:t xml:space="preserve">during the 2022 election campaign </w:t>
            </w:r>
            <w:r w:rsidRPr="00E66D42">
              <w:t>(Riley 2022)</w:t>
            </w:r>
            <w:r>
              <w:t xml:space="preserve">. </w:t>
            </w:r>
          </w:p>
        </w:tc>
      </w:tr>
      <w:tr w:rsidR="00557DD7" w14:paraId="447357E9" w14:textId="77777777" w:rsidTr="00C426E9">
        <w:trPr>
          <w:hidden/>
        </w:trPr>
        <w:tc>
          <w:tcPr>
            <w:tcW w:w="9638" w:type="dxa"/>
            <w:shd w:val="clear" w:color="auto" w:fill="auto"/>
            <w:tcMar>
              <w:top w:w="0" w:type="dxa"/>
              <w:left w:w="170" w:type="dxa"/>
              <w:bottom w:w="0" w:type="dxa"/>
              <w:right w:w="170" w:type="dxa"/>
            </w:tcMar>
          </w:tcPr>
          <w:p w14:paraId="5B4D6D9F" w14:textId="5DC38056" w:rsidR="004E3E36" w:rsidRPr="00465191" w:rsidRDefault="004E3E36" w:rsidP="00C426E9">
            <w:pPr>
              <w:pStyle w:val="BodyText"/>
              <w:spacing w:before="0" w:after="0" w:line="80" w:lineRule="atLeast"/>
              <w:rPr>
                <w:smallCaps/>
                <w:vanish/>
              </w:rPr>
            </w:pPr>
          </w:p>
        </w:tc>
      </w:tr>
    </w:tbl>
    <w:p w14:paraId="6CAFA438" w14:textId="77777777" w:rsidR="004E3E36" w:rsidRDefault="004E3E36" w:rsidP="004E3E36">
      <w:pPr>
        <w:pStyle w:val="NoSpacing"/>
      </w:pPr>
    </w:p>
    <w:tbl>
      <w:tblPr>
        <w:tblStyle w:val="TextTable-Grey"/>
        <w:tblW w:w="5000" w:type="pct"/>
        <w:tblLook w:val="04A0" w:firstRow="1" w:lastRow="0" w:firstColumn="1" w:lastColumn="0" w:noHBand="0" w:noVBand="1"/>
      </w:tblPr>
      <w:tblGrid>
        <w:gridCol w:w="713"/>
        <w:gridCol w:w="8925"/>
      </w:tblGrid>
      <w:tr w:rsidR="00557DD7" w14:paraId="6F3B3EA9" w14:textId="77777777" w:rsidTr="00C426E9">
        <w:trPr>
          <w:tblHeader/>
        </w:trPr>
        <w:tc>
          <w:tcPr>
            <w:tcW w:w="713" w:type="dxa"/>
            <w:vAlign w:val="center"/>
          </w:tcPr>
          <w:p w14:paraId="5FE63A88" w14:textId="77777777" w:rsidR="00557DD7" w:rsidRDefault="00557DD7" w:rsidP="004B3818">
            <w:pPr>
              <w:keepNext/>
              <w:keepLines/>
              <w:spacing w:after="0"/>
              <w:jc w:val="right"/>
            </w:pPr>
            <w:r w:rsidRPr="00A51374">
              <w:rPr>
                <w:noProof/>
              </w:rPr>
              <w:drawing>
                <wp:inline distT="0" distB="0" distL="0" distR="0" wp14:anchorId="7D994E51" wp14:editId="7D5E8743">
                  <wp:extent cx="288000" cy="288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E604B73" w14:textId="06B118B3" w:rsidR="00557DD7" w:rsidRPr="000B0B71" w:rsidRDefault="00557DD7" w:rsidP="004B3818">
            <w:pPr>
              <w:pStyle w:val="TableHeading"/>
              <w:keepNext/>
              <w:spacing w:before="180" w:after="120"/>
              <w:rPr>
                <w:sz w:val="20"/>
              </w:rPr>
            </w:pPr>
            <w:r w:rsidRPr="000B0B71">
              <w:rPr>
                <w:sz w:val="20"/>
              </w:rPr>
              <w:t xml:space="preserve">Information request </w:t>
            </w:r>
            <w:r>
              <w:rPr>
                <w:noProof/>
                <w:sz w:val="20"/>
              </w:rPr>
              <w:t>2</w:t>
            </w:r>
            <w:r w:rsidRPr="00DF7217">
              <w:rPr>
                <w:sz w:val="20"/>
              </w:rPr>
              <w:t>.</w:t>
            </w:r>
            <w:r w:rsidR="00447BA1">
              <w:rPr>
                <w:sz w:val="20"/>
              </w:rPr>
              <w:t>7</w:t>
            </w:r>
          </w:p>
        </w:tc>
      </w:tr>
      <w:tr w:rsidR="00557DD7" w:rsidRPr="009471A9" w14:paraId="3C566726" w14:textId="77777777" w:rsidTr="00C426E9">
        <w:tc>
          <w:tcPr>
            <w:tcW w:w="9638" w:type="dxa"/>
            <w:gridSpan w:val="2"/>
            <w:tcMar>
              <w:top w:w="0" w:type="dxa"/>
            </w:tcMar>
          </w:tcPr>
          <w:p w14:paraId="4EDFC8F6" w14:textId="77777777" w:rsidR="00557DD7" w:rsidRDefault="00557DD7" w:rsidP="001A1DD7">
            <w:pPr>
              <w:pStyle w:val="ListBullet"/>
            </w:pPr>
            <w:r w:rsidRPr="007B186D">
              <w:t>Is it feasible for Industry Growth Centres to play a more explicit role in supporting innovation diffusion?</w:t>
            </w:r>
          </w:p>
          <w:p w14:paraId="7A2D7109" w14:textId="77777777" w:rsidR="00557DD7" w:rsidRPr="008529A2" w:rsidRDefault="00557DD7" w:rsidP="001A1DD7">
            <w:pPr>
              <w:pStyle w:val="ListBullet"/>
            </w:pPr>
            <w:r w:rsidRPr="007B186D">
              <w:t>If so, what specific supporting activities could Industry Growth Centres deliver, and which of these would be most useful for industry?</w:t>
            </w:r>
          </w:p>
        </w:tc>
      </w:tr>
      <w:tr w:rsidR="00557DD7" w14:paraId="31130FE5" w14:textId="77777777" w:rsidTr="00C426E9">
        <w:tc>
          <w:tcPr>
            <w:tcW w:w="9638" w:type="dxa"/>
            <w:gridSpan w:val="2"/>
            <w:shd w:val="clear" w:color="auto" w:fill="auto"/>
            <w:tcMar>
              <w:top w:w="0" w:type="dxa"/>
              <w:bottom w:w="0" w:type="dxa"/>
            </w:tcMar>
          </w:tcPr>
          <w:p w14:paraId="59BFE077" w14:textId="77777777" w:rsidR="00557DD7" w:rsidRDefault="00557DD7" w:rsidP="00C426E9">
            <w:pPr>
              <w:pStyle w:val="NoSpacing"/>
              <w:spacing w:line="200" w:lineRule="exact"/>
            </w:pPr>
          </w:p>
        </w:tc>
      </w:tr>
    </w:tbl>
    <w:p w14:paraId="435595CA" w14:textId="77777777" w:rsidR="00557DD7" w:rsidRDefault="00557DD7" w:rsidP="00557DD7">
      <w:pPr>
        <w:pStyle w:val="Heading4"/>
      </w:pPr>
      <w:r>
        <w:lastRenderedPageBreak/>
        <w:t>Firms learn from their neighbours, but place</w:t>
      </w:r>
      <w:r>
        <w:noBreakHyphen/>
        <w:t xml:space="preserve">based programs are unlikely to yield a large diffusion dividend </w:t>
      </w:r>
    </w:p>
    <w:p w14:paraId="456038CE" w14:textId="4AAEFE3A" w:rsidR="00557DD7" w:rsidRPr="001D60A6" w:rsidRDefault="00557DD7" w:rsidP="00557DD7">
      <w:pPr>
        <w:pStyle w:val="BodyText"/>
      </w:pPr>
      <w:r>
        <w:t>A</w:t>
      </w:r>
      <w:r w:rsidRPr="001D60A6">
        <w:t xml:space="preserve"> recent trend in innovation policy in Australian is an increased focus on place</w:t>
      </w:r>
      <w:r w:rsidR="000565F7">
        <w:noBreakHyphen/>
      </w:r>
      <w:r w:rsidRPr="001D60A6">
        <w:t>based programs (ISA 2016, p. 82). Place</w:t>
      </w:r>
      <w:r>
        <w:noBreakHyphen/>
      </w:r>
      <w:r w:rsidRPr="001D60A6">
        <w:t xml:space="preserve">based innovation programs </w:t>
      </w:r>
      <w:r>
        <w:t>—</w:t>
      </w:r>
      <w:r w:rsidRPr="001D60A6">
        <w:t xml:space="preserve"> </w:t>
      </w:r>
      <w:r>
        <w:t>measures to develop</w:t>
      </w:r>
      <w:r w:rsidRPr="001D60A6">
        <w:t xml:space="preserve"> </w:t>
      </w:r>
      <w:r>
        <w:t xml:space="preserve">or enhance existing </w:t>
      </w:r>
      <w:r w:rsidRPr="001D60A6">
        <w:t xml:space="preserve">accelerators, incubators, clusters and technology parks and precincts </w:t>
      </w:r>
      <w:r w:rsidRPr="00280ACC">
        <w:rPr>
          <w:rFonts w:ascii="Arial" w:hAnsi="Arial" w:cs="Arial"/>
          <w:szCs w:val="24"/>
        </w:rPr>
        <w:t>(ISA 2016, p. 82)</w:t>
      </w:r>
      <w:r>
        <w:t xml:space="preserve"> —</w:t>
      </w:r>
      <w:r w:rsidRPr="001D60A6">
        <w:t xml:space="preserve"> can create additional opportunities for </w:t>
      </w:r>
      <w:proofErr w:type="spellStart"/>
      <w:r w:rsidRPr="001D60A6">
        <w:t>spillovers</w:t>
      </w:r>
      <w:proofErr w:type="spellEnd"/>
      <w:r w:rsidRPr="001D60A6">
        <w:t xml:space="preserve"> between participating firms</w:t>
      </w:r>
      <w:r w:rsidR="00D404C7">
        <w:t xml:space="preserve"> — </w:t>
      </w:r>
      <w:r w:rsidR="00C95DD0">
        <w:t xml:space="preserve">often </w:t>
      </w:r>
      <w:r w:rsidR="0065667D">
        <w:t>firms operating at or close to the technological frontier</w:t>
      </w:r>
      <w:r w:rsidRPr="001D60A6">
        <w:t xml:space="preserve">. </w:t>
      </w:r>
      <w:r>
        <w:t>For example, p</w:t>
      </w:r>
      <w:r w:rsidRPr="002B24E4">
        <w:t xml:space="preserve">roximity of research institutions to each other can create ecosystems where horizontal </w:t>
      </w:r>
      <w:proofErr w:type="spellStart"/>
      <w:r w:rsidRPr="002B24E4">
        <w:t>spillovers</w:t>
      </w:r>
      <w:proofErr w:type="spellEnd"/>
      <w:r w:rsidRPr="002B24E4">
        <w:t xml:space="preserve"> in the form of knowledge, skills and shared infrastructure can attract further investment and improve the diffusion of innovation. </w:t>
      </w:r>
      <w:r w:rsidRPr="00A107CB">
        <w:t xml:space="preserve">Various Australian governments </w:t>
      </w:r>
      <w:r w:rsidR="00EE6806">
        <w:t>are</w:t>
      </w:r>
      <w:r w:rsidRPr="00A107CB">
        <w:t xml:space="preserve"> already taking advantage of this co</w:t>
      </w:r>
      <w:r w:rsidR="008726B7">
        <w:t>-</w:t>
      </w:r>
      <w:r w:rsidRPr="00A107CB">
        <w:t>location, such as the Melbourne Biomedical Precinct (Invest Victoria 2022).</w:t>
      </w:r>
      <w:r w:rsidRPr="002B24E4">
        <w:t xml:space="preserve"> </w:t>
      </w:r>
      <w:r>
        <w:t>Indeed</w:t>
      </w:r>
      <w:r w:rsidRPr="001D60A6">
        <w:t>, placed</w:t>
      </w:r>
      <w:r>
        <w:noBreakHyphen/>
      </w:r>
      <w:r w:rsidRPr="001D60A6">
        <w:t xml:space="preserve">based programs are one of the key mechanisms for </w:t>
      </w:r>
      <w:r>
        <w:t>s</w:t>
      </w:r>
      <w:r w:rsidRPr="001D60A6">
        <w:t xml:space="preserve">tate and territory governments to facilitate information flows in the innovation system and encourage </w:t>
      </w:r>
      <w:proofErr w:type="spellStart"/>
      <w:r w:rsidRPr="001D60A6">
        <w:t>spillovers</w:t>
      </w:r>
      <w:proofErr w:type="spellEnd"/>
      <w:r w:rsidRPr="001D60A6">
        <w:t xml:space="preserve"> (ISA 2016, pp. 23–24).</w:t>
      </w:r>
      <w:r w:rsidRPr="00FD14EA">
        <w:rPr>
          <w:rStyle w:val="FootnoteReference"/>
        </w:rPr>
        <w:footnoteReference w:id="24"/>
      </w:r>
      <w:r w:rsidRPr="001D60A6">
        <w:t xml:space="preserve"> Place</w:t>
      </w:r>
      <w:r>
        <w:noBreakHyphen/>
      </w:r>
      <w:r w:rsidRPr="001D60A6">
        <w:t xml:space="preserve">based policies also play a role in regional development policy </w:t>
      </w:r>
      <w:r w:rsidR="00936D73" w:rsidRPr="00936D73">
        <w:rPr>
          <w:rFonts w:ascii="Arial" w:hAnsi="Arial" w:cs="Arial"/>
          <w:szCs w:val="24"/>
        </w:rPr>
        <w:t>(PC 2017e, pp. 70–71)</w:t>
      </w:r>
      <w:r>
        <w:t>.</w:t>
      </w:r>
    </w:p>
    <w:p w14:paraId="1770092F" w14:textId="64F6F375" w:rsidR="00557DD7" w:rsidRPr="001D60A6" w:rsidRDefault="00557DD7" w:rsidP="00557DD7">
      <w:pPr>
        <w:pStyle w:val="BodyText"/>
      </w:pPr>
      <w:r w:rsidRPr="008F2CD1">
        <w:t xml:space="preserve">For firms, the two key benefits of clustering are </w:t>
      </w:r>
      <w:proofErr w:type="spellStart"/>
      <w:r w:rsidRPr="008F2CD1">
        <w:t>spillovers</w:t>
      </w:r>
      <w:proofErr w:type="spellEnd"/>
      <w:r w:rsidRPr="008F2CD1">
        <w:t xml:space="preserve"> from job</w:t>
      </w:r>
      <w:r>
        <w:t xml:space="preserve"> </w:t>
      </w:r>
      <w:r w:rsidRPr="008F2CD1">
        <w:t>transitions</w:t>
      </w:r>
      <w:r w:rsidRPr="001D60A6">
        <w:t xml:space="preserve"> and </w:t>
      </w:r>
      <w:r w:rsidRPr="008F2CD1">
        <w:t xml:space="preserve">knowledge sharing. </w:t>
      </w:r>
      <w:r>
        <w:t>J</w:t>
      </w:r>
      <w:r w:rsidRPr="001D60A6">
        <w:t>ob</w:t>
      </w:r>
      <w:r>
        <w:t xml:space="preserve"> </w:t>
      </w:r>
      <w:r w:rsidRPr="001D60A6">
        <w:t>transitions</w:t>
      </w:r>
      <w:r>
        <w:t xml:space="preserve"> within local clusters create a channel for diffusion</w:t>
      </w:r>
      <w:r w:rsidRPr="001D60A6">
        <w:t>, with employees carrying knowledge with them as they move between firms (Krugman 1991)</w:t>
      </w:r>
      <w:r>
        <w:t>. Clustering</w:t>
      </w:r>
      <w:r w:rsidRPr="001D60A6">
        <w:t xml:space="preserve"> </w:t>
      </w:r>
      <w:r>
        <w:t>may also promote</w:t>
      </w:r>
      <w:r w:rsidRPr="001D60A6">
        <w:t xml:space="preserve"> collaboration and informal knowledge sharing, particularly when local firms are technologically close (</w:t>
      </w:r>
      <w:proofErr w:type="spellStart"/>
      <w:r w:rsidRPr="001D60A6">
        <w:t>Matray</w:t>
      </w:r>
      <w:proofErr w:type="spellEnd"/>
      <w:r w:rsidRPr="001D60A6">
        <w:t> 2021, p. 396).</w:t>
      </w:r>
    </w:p>
    <w:p w14:paraId="401D1B74" w14:textId="420FC7EF" w:rsidR="00557DD7" w:rsidRPr="001D60A6" w:rsidRDefault="00557DD7" w:rsidP="00557DD7">
      <w:pPr>
        <w:pStyle w:val="BodyText"/>
      </w:pPr>
      <w:r>
        <w:t>W</w:t>
      </w:r>
      <w:r w:rsidRPr="001D60A6">
        <w:t xml:space="preserve">hile </w:t>
      </w:r>
      <w:r>
        <w:t xml:space="preserve">there is </w:t>
      </w:r>
      <w:r w:rsidRPr="001D60A6">
        <w:t xml:space="preserve">empirical evidence </w:t>
      </w:r>
      <w:r>
        <w:t>of</w:t>
      </w:r>
      <w:r w:rsidRPr="001D60A6">
        <w:t xml:space="preserve"> knowledge </w:t>
      </w:r>
      <w:proofErr w:type="spellStart"/>
      <w:r w:rsidRPr="001D60A6">
        <w:t>spillover</w:t>
      </w:r>
      <w:r>
        <w:t>s</w:t>
      </w:r>
      <w:proofErr w:type="spellEnd"/>
      <w:r w:rsidRPr="001D60A6">
        <w:t xml:space="preserve"> between </w:t>
      </w:r>
      <w:r>
        <w:t>co</w:t>
      </w:r>
      <w:r w:rsidR="000565F7">
        <w:noBreakHyphen/>
      </w:r>
      <w:r w:rsidRPr="001D60A6">
        <w:t>loca</w:t>
      </w:r>
      <w:r>
        <w:t>ted</w:t>
      </w:r>
      <w:r w:rsidRPr="001D60A6">
        <w:t xml:space="preserve"> firms</w:t>
      </w:r>
      <w:r>
        <w:t xml:space="preserve"> </w:t>
      </w:r>
      <w:r w:rsidRPr="003667CB">
        <w:rPr>
          <w:rFonts w:ascii="Arial" w:hAnsi="Arial" w:cs="Arial"/>
          <w:szCs w:val="24"/>
        </w:rPr>
        <w:t xml:space="preserve">(for example, </w:t>
      </w:r>
      <w:proofErr w:type="spellStart"/>
      <w:r w:rsidRPr="003667CB">
        <w:rPr>
          <w:rFonts w:ascii="Arial" w:hAnsi="Arial" w:cs="Arial"/>
          <w:szCs w:val="24"/>
        </w:rPr>
        <w:t>Matray</w:t>
      </w:r>
      <w:proofErr w:type="spellEnd"/>
      <w:r w:rsidRPr="003667CB">
        <w:rPr>
          <w:rFonts w:ascii="Arial" w:hAnsi="Arial" w:cs="Arial"/>
          <w:szCs w:val="24"/>
        </w:rPr>
        <w:t> 2021, pp. 405–409)</w:t>
      </w:r>
      <w:r w:rsidRPr="001D60A6">
        <w:t xml:space="preserve">, empirical evidence on the effectiveness of cluster </w:t>
      </w:r>
      <w:r w:rsidRPr="003667CB">
        <w:rPr>
          <w:i/>
        </w:rPr>
        <w:t>policies</w:t>
      </w:r>
      <w:r w:rsidRPr="001D60A6">
        <w:t xml:space="preserve"> is less decisive. One meta</w:t>
      </w:r>
      <w:r w:rsidR="000565F7">
        <w:noBreakHyphen/>
      </w:r>
      <w:r w:rsidRPr="001D60A6">
        <w:t>analysis of studies on accelerators and incubators found positive impacts on employment and access to finance (</w:t>
      </w:r>
      <w:proofErr w:type="spellStart"/>
      <w:r w:rsidRPr="001D60A6">
        <w:t>Madaleno</w:t>
      </w:r>
      <w:proofErr w:type="spellEnd"/>
      <w:r w:rsidRPr="001D60A6">
        <w:t xml:space="preserve"> et al. 2022, p. 290). Australian studies </w:t>
      </w:r>
      <w:r>
        <w:t>have</w:t>
      </w:r>
      <w:r w:rsidRPr="001D60A6">
        <w:t xml:space="preserve"> found that clustering had a positive and significant effect on R&amp;D expenditure amongst clustered firms, driven largely by increased competition (Bakhtiari and </w:t>
      </w:r>
      <w:proofErr w:type="spellStart"/>
      <w:r w:rsidRPr="001D60A6">
        <w:t>Breunig</w:t>
      </w:r>
      <w:proofErr w:type="spellEnd"/>
      <w:r w:rsidRPr="001D60A6">
        <w:t xml:space="preserve"> 2018). </w:t>
      </w:r>
      <w:r>
        <w:t>However,</w:t>
      </w:r>
      <w:r w:rsidRPr="001D60A6">
        <w:t xml:space="preserve"> other scholars suggest the evidence is ambiguous (Bloom, Van Reenen and Williams 2019, p. 178).</w:t>
      </w:r>
    </w:p>
    <w:p w14:paraId="37B300A4" w14:textId="62268B25" w:rsidR="00557DD7" w:rsidRDefault="00557DD7" w:rsidP="00557DD7">
      <w:pPr>
        <w:pStyle w:val="BodyText"/>
      </w:pPr>
      <w:r>
        <w:t>G</w:t>
      </w:r>
      <w:r w:rsidRPr="001D60A6">
        <w:t xml:space="preserve">iven that </w:t>
      </w:r>
      <w:proofErr w:type="spellStart"/>
      <w:r w:rsidRPr="001D60A6">
        <w:t>spillovers</w:t>
      </w:r>
      <w:proofErr w:type="spellEnd"/>
      <w:r w:rsidRPr="001D60A6">
        <w:t xml:space="preserve"> from place</w:t>
      </w:r>
      <w:r>
        <w:noBreakHyphen/>
      </w:r>
      <w:r w:rsidRPr="001D60A6">
        <w:t>based programs are localised to participating firms, declining rapidly with distance (</w:t>
      </w:r>
      <w:proofErr w:type="spellStart"/>
      <w:r w:rsidRPr="001D60A6">
        <w:t>Matray</w:t>
      </w:r>
      <w:proofErr w:type="spellEnd"/>
      <w:r w:rsidRPr="001D60A6">
        <w:t xml:space="preserve"> 2021, p. 403), and highly novel innovators are only a small fraction of Australian firms, these policies </w:t>
      </w:r>
      <w:r w:rsidRPr="001B5F93">
        <w:t>on their own may not</w:t>
      </w:r>
      <w:r w:rsidRPr="001D60A6">
        <w:t xml:space="preserve"> yield a significant and wide</w:t>
      </w:r>
      <w:r>
        <w:noBreakHyphen/>
      </w:r>
      <w:r w:rsidRPr="001D60A6">
        <w:t xml:space="preserve">reaching diffusion dividend. </w:t>
      </w:r>
      <w:r w:rsidRPr="001B5F93">
        <w:t>Additional mechanisms may be required to expand the reach of information and expertise developed in a cluster. For example, collaboration with an Industry Growth Centre (and expansion of the remit of the Centre beyond local start</w:t>
      </w:r>
      <w:r>
        <w:noBreakHyphen/>
      </w:r>
      <w:r w:rsidRPr="001B5F93">
        <w:t>ups) could facilitate broader knowledge transfer.</w:t>
      </w:r>
    </w:p>
    <w:p w14:paraId="124E3235" w14:textId="77777777" w:rsidR="004E3E36" w:rsidRDefault="004E3E36" w:rsidP="004E3E3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57DD7" w14:paraId="14A7624A" w14:textId="77777777" w:rsidTr="00C426E9">
        <w:trPr>
          <w:trHeight w:val="765"/>
          <w:tblHeader/>
        </w:trPr>
        <w:tc>
          <w:tcPr>
            <w:tcW w:w="366" w:type="pct"/>
            <w:tcBorders>
              <w:bottom w:val="nil"/>
            </w:tcBorders>
            <w:tcMar>
              <w:bottom w:w="0" w:type="dxa"/>
            </w:tcMar>
            <w:vAlign w:val="center"/>
          </w:tcPr>
          <w:p w14:paraId="66D36609" w14:textId="77777777" w:rsidR="00557DD7" w:rsidRDefault="00557DD7" w:rsidP="00C426E9">
            <w:pPr>
              <w:pStyle w:val="NoSpacing"/>
              <w:keepLines/>
              <w:jc w:val="right"/>
            </w:pPr>
            <w:r w:rsidRPr="00A51374">
              <w:rPr>
                <w:noProof/>
              </w:rPr>
              <w:drawing>
                <wp:inline distT="0" distB="0" distL="0" distR="0" wp14:anchorId="2E780FB3" wp14:editId="4EFF1154">
                  <wp:extent cx="288000" cy="288000"/>
                  <wp:effectExtent l="0" t="0" r="0" b="0"/>
                  <wp:docPr id="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FE4E85" w14:textId="2B545395" w:rsidR="00557DD7" w:rsidRPr="00A4395A" w:rsidRDefault="00557DD7" w:rsidP="00C426E9">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sidR="00C97C1D">
              <w:rPr>
                <w:noProof/>
                <w:sz w:val="20"/>
              </w:rPr>
              <w:t>5</w:t>
            </w:r>
          </w:p>
          <w:p w14:paraId="751729B1" w14:textId="77777777" w:rsidR="00557DD7" w:rsidRDefault="00557DD7" w:rsidP="00C426E9">
            <w:pPr>
              <w:pStyle w:val="TableHeading"/>
              <w:keepLines/>
              <w:spacing w:before="60" w:after="120"/>
              <w:contextualSpacing/>
            </w:pPr>
            <w:r>
              <w:rPr>
                <w:sz w:val="20"/>
              </w:rPr>
              <w:t>Policies to promote clusters have a limited impact on broader knowledge transfer</w:t>
            </w:r>
          </w:p>
        </w:tc>
      </w:tr>
      <w:tr w:rsidR="00557DD7" w14:paraId="6610519B" w14:textId="77777777" w:rsidTr="00C426E9">
        <w:tc>
          <w:tcPr>
            <w:tcW w:w="5000" w:type="pct"/>
            <w:gridSpan w:val="2"/>
            <w:tcBorders>
              <w:top w:val="nil"/>
              <w:bottom w:val="single" w:sz="4" w:space="0" w:color="66BCDB" w:themeColor="text2"/>
            </w:tcBorders>
          </w:tcPr>
          <w:p w14:paraId="74727570" w14:textId="77777777" w:rsidR="00557DD7" w:rsidRDefault="00557DD7" w:rsidP="00C426E9">
            <w:pPr>
              <w:pStyle w:val="BodyText"/>
              <w:keepLines/>
            </w:pPr>
            <w:r>
              <w:t>Clustering</w:t>
            </w:r>
            <w:r w:rsidRPr="001D60A6">
              <w:t xml:space="preserve"> may </w:t>
            </w:r>
            <w:r>
              <w:t>promote innovation</w:t>
            </w:r>
            <w:r w:rsidRPr="001D60A6">
              <w:t xml:space="preserve"> diffusion amongst participating firms</w:t>
            </w:r>
            <w:r>
              <w:t xml:space="preserve"> through </w:t>
            </w:r>
            <w:r w:rsidRPr="008F2CD1">
              <w:t>job</w:t>
            </w:r>
            <w:r>
              <w:t xml:space="preserve"> </w:t>
            </w:r>
            <w:r w:rsidRPr="008F2CD1">
              <w:t>transitions</w:t>
            </w:r>
            <w:r w:rsidRPr="001D60A6">
              <w:t xml:space="preserve"> and </w:t>
            </w:r>
            <w:r w:rsidRPr="008F2CD1">
              <w:t>knowledge sharing</w:t>
            </w:r>
            <w:r w:rsidRPr="001D60A6">
              <w:t xml:space="preserve">. But given that </w:t>
            </w:r>
            <w:proofErr w:type="spellStart"/>
            <w:r w:rsidRPr="001D60A6">
              <w:t>spillovers</w:t>
            </w:r>
            <w:proofErr w:type="spellEnd"/>
            <w:r w:rsidRPr="001D60A6">
              <w:t xml:space="preserve"> from co</w:t>
            </w:r>
            <w:r>
              <w:noBreakHyphen/>
            </w:r>
            <w:r w:rsidRPr="001D60A6">
              <w:t>location are</w:t>
            </w:r>
            <w:r>
              <w:t xml:space="preserve"> highly</w:t>
            </w:r>
            <w:r w:rsidRPr="001D60A6">
              <w:t xml:space="preserve"> localised, and most </w:t>
            </w:r>
            <w:r>
              <w:t>place</w:t>
            </w:r>
            <w:r>
              <w:noBreakHyphen/>
              <w:t xml:space="preserve">based </w:t>
            </w:r>
            <w:r w:rsidRPr="001D60A6">
              <w:t xml:space="preserve">programs focus on highly novel innovators, </w:t>
            </w:r>
            <w:r>
              <w:t>place</w:t>
            </w:r>
            <w:r>
              <w:noBreakHyphen/>
              <w:t>based innovation policies</w:t>
            </w:r>
            <w:r w:rsidRPr="001D60A6">
              <w:t xml:space="preserve"> </w:t>
            </w:r>
            <w:r>
              <w:t>are unlikely to</w:t>
            </w:r>
            <w:r w:rsidRPr="001D60A6">
              <w:t xml:space="preserve"> yield a significant and wide</w:t>
            </w:r>
            <w:r>
              <w:noBreakHyphen/>
            </w:r>
            <w:r w:rsidRPr="001D60A6">
              <w:t>reaching diffusion dividend.</w:t>
            </w:r>
          </w:p>
        </w:tc>
      </w:tr>
      <w:tr w:rsidR="00557DD7" w14:paraId="72A23F5E" w14:textId="77777777" w:rsidTr="00C426E9">
        <w:tc>
          <w:tcPr>
            <w:tcW w:w="5000" w:type="pct"/>
            <w:gridSpan w:val="2"/>
            <w:tcBorders>
              <w:top w:val="single" w:sz="4" w:space="0" w:color="66BCDB" w:themeColor="text2"/>
              <w:left w:val="nil"/>
              <w:bottom w:val="nil"/>
              <w:right w:val="nil"/>
            </w:tcBorders>
            <w:tcMar>
              <w:bottom w:w="0" w:type="dxa"/>
            </w:tcMar>
          </w:tcPr>
          <w:p w14:paraId="1B179455" w14:textId="77777777" w:rsidR="00557DD7" w:rsidRDefault="00557DD7" w:rsidP="00C426E9">
            <w:pPr>
              <w:pStyle w:val="NoSpacing"/>
              <w:spacing w:line="200" w:lineRule="atLeast"/>
            </w:pPr>
          </w:p>
        </w:tc>
      </w:tr>
    </w:tbl>
    <w:p w14:paraId="6DDF3A28" w14:textId="22BCA159" w:rsidR="0003438B" w:rsidRDefault="0003438B" w:rsidP="0003438B">
      <w:pPr>
        <w:pStyle w:val="BodyText"/>
      </w:pPr>
      <w:r>
        <w:t xml:space="preserve"> </w:t>
      </w:r>
    </w:p>
    <w:p w14:paraId="455AFD34" w14:textId="77777777" w:rsidR="0087036F" w:rsidRDefault="0087036F" w:rsidP="00AF6B4B">
      <w:pPr>
        <w:pStyle w:val="BodyText"/>
        <w:rPr>
          <w:noProof/>
        </w:rPr>
        <w:sectPr w:rsidR="0087036F" w:rsidSect="00ED1DD7">
          <w:headerReference w:type="default" r:id="rId70"/>
          <w:type w:val="oddPage"/>
          <w:pgSz w:w="11906" w:h="16838" w:code="9"/>
          <w:pgMar w:top="1134" w:right="1134" w:bottom="1134" w:left="1134" w:header="794" w:footer="510" w:gutter="0"/>
          <w:cols w:space="708"/>
          <w:docGrid w:linePitch="360"/>
        </w:sectPr>
      </w:pPr>
    </w:p>
    <w:p w14:paraId="36D5343F" w14:textId="77777777" w:rsidR="003A0ECF" w:rsidRDefault="003A0ECF" w:rsidP="003A0ECF">
      <w:pPr>
        <w:pStyle w:val="Heading1"/>
      </w:pPr>
      <w:bookmarkStart w:id="115" w:name="_Toc113969659"/>
      <w:r>
        <w:lastRenderedPageBreak/>
        <w:t>Innovation and diffusion in government services</w:t>
      </w:r>
      <w:bookmarkEnd w:id="115"/>
    </w:p>
    <w:tbl>
      <w:tblPr>
        <w:tblStyle w:val="Texttable-Paleblue"/>
        <w:tblW w:w="5000" w:type="pct"/>
        <w:tblLook w:val="04A0" w:firstRow="1" w:lastRow="0" w:firstColumn="1" w:lastColumn="0" w:noHBand="0" w:noVBand="1"/>
      </w:tblPr>
      <w:tblGrid>
        <w:gridCol w:w="577"/>
        <w:gridCol w:w="9061"/>
      </w:tblGrid>
      <w:tr w:rsidR="003A0ECF" w:rsidRPr="002F759A" w14:paraId="7F8943F3" w14:textId="77777777" w:rsidTr="00C426E9">
        <w:tc>
          <w:tcPr>
            <w:tcW w:w="9638" w:type="dxa"/>
            <w:gridSpan w:val="2"/>
            <w:tcMar>
              <w:left w:w="170" w:type="dxa"/>
            </w:tcMar>
          </w:tcPr>
          <w:p w14:paraId="2C421E18" w14:textId="77777777" w:rsidR="003A0ECF" w:rsidRPr="002F759A" w:rsidRDefault="003A0ECF" w:rsidP="00C426E9">
            <w:pPr>
              <w:pStyle w:val="Keypoints-heading"/>
            </w:pPr>
            <w:r w:rsidRPr="002F759A">
              <w:t>Key points</w:t>
            </w:r>
          </w:p>
        </w:tc>
      </w:tr>
      <w:tr w:rsidR="003A0ECF" w14:paraId="47F16681" w14:textId="77777777" w:rsidTr="00C426E9">
        <w:tc>
          <w:tcPr>
            <w:tcW w:w="577" w:type="dxa"/>
            <w:tcMar>
              <w:top w:w="0" w:type="dxa"/>
              <w:bottom w:w="0" w:type="dxa"/>
              <w:right w:w="113" w:type="dxa"/>
            </w:tcMar>
          </w:tcPr>
          <w:p w14:paraId="5000BB2F" w14:textId="77777777" w:rsidR="003A0ECF" w:rsidRDefault="003A0ECF" w:rsidP="00C426E9">
            <w:pPr>
              <w:pStyle w:val="KeyPointsicon"/>
            </w:pPr>
            <w:r w:rsidRPr="00A51374">
              <w:rPr>
                <w:noProof/>
              </w:rPr>
              <w:drawing>
                <wp:inline distT="0" distB="0" distL="0" distR="0" wp14:anchorId="7B7D5BC7" wp14:editId="1336ED90">
                  <wp:extent cx="180000" cy="180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19E84B" w14:textId="74C4C7EA" w:rsidR="003A0ECF" w:rsidRPr="00007D86" w:rsidRDefault="003A0ECF" w:rsidP="00C426E9">
            <w:pPr>
              <w:pStyle w:val="KeyPoints-Bold"/>
              <w:rPr>
                <w:spacing w:val="-4"/>
              </w:rPr>
            </w:pPr>
            <w:r w:rsidRPr="00007D86">
              <w:rPr>
                <w:spacing w:val="-4"/>
              </w:rPr>
              <w:t xml:space="preserve">Given governments’ spending of </w:t>
            </w:r>
            <w:r w:rsidR="0052279C" w:rsidRPr="00007D86">
              <w:rPr>
                <w:spacing w:val="-4"/>
              </w:rPr>
              <w:t>about</w:t>
            </w:r>
            <w:r w:rsidRPr="00007D86">
              <w:rPr>
                <w:spacing w:val="-4"/>
              </w:rPr>
              <w:t xml:space="preserve"> $</w:t>
            </w:r>
            <w:r w:rsidR="0052279C" w:rsidRPr="00007D86">
              <w:rPr>
                <w:spacing w:val="-4"/>
              </w:rPr>
              <w:t>88</w:t>
            </w:r>
            <w:r w:rsidRPr="00007D86">
              <w:rPr>
                <w:spacing w:val="-4"/>
              </w:rPr>
              <w:t>0 billion or more than 42 per cent of gross domestic product, even small gains from innovation and adoption can realise either better services or cost savings of billions.</w:t>
            </w:r>
          </w:p>
        </w:tc>
      </w:tr>
      <w:tr w:rsidR="003A0ECF" w14:paraId="5721406D" w14:textId="77777777" w:rsidTr="00C426E9">
        <w:tc>
          <w:tcPr>
            <w:tcW w:w="577" w:type="dxa"/>
            <w:tcMar>
              <w:top w:w="0" w:type="dxa"/>
              <w:bottom w:w="0" w:type="dxa"/>
              <w:right w:w="113" w:type="dxa"/>
            </w:tcMar>
          </w:tcPr>
          <w:p w14:paraId="12F633DD" w14:textId="77777777" w:rsidR="003A0ECF" w:rsidRPr="00A51374" w:rsidRDefault="003A0ECF" w:rsidP="00C426E9">
            <w:pPr>
              <w:pStyle w:val="KeyPointsicon"/>
            </w:pPr>
            <w:r w:rsidRPr="00F31E73">
              <w:rPr>
                <w:noProof/>
              </w:rPr>
              <w:drawing>
                <wp:inline distT="0" distB="0" distL="0" distR="0" wp14:anchorId="3D4461FD" wp14:editId="036FF4FD">
                  <wp:extent cx="180000" cy="180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306654" w14:textId="77777777" w:rsidR="003A0ECF" w:rsidRPr="00007D86" w:rsidRDefault="003A0ECF" w:rsidP="00C426E9">
            <w:pPr>
              <w:pStyle w:val="KeyPoints-Bold"/>
              <w:rPr>
                <w:spacing w:val="-4"/>
              </w:rPr>
            </w:pPr>
            <w:r w:rsidRPr="00007D86">
              <w:rPr>
                <w:spacing w:val="-4"/>
              </w:rPr>
              <w:t>Innovative approaches in service delivery, policy and system design are present throughout the public sector, and extend to regulation, tax and funding settings that also produce benefits for the private sector.</w:t>
            </w:r>
          </w:p>
          <w:p w14:paraId="7DD24B1A" w14:textId="03F59EAE" w:rsidR="003A0ECF" w:rsidRPr="00E164D7" w:rsidRDefault="003A0ECF" w:rsidP="00371E2B">
            <w:pPr>
              <w:pStyle w:val="KeyPoints-Bullet"/>
            </w:pPr>
            <w:r w:rsidRPr="00E164D7">
              <w:t>But innovation is often slow, piecemeal, disorganised, and inconsistent across jurisdictions</w:t>
            </w:r>
            <w:r w:rsidR="00FE0839">
              <w:t>.</w:t>
            </w:r>
          </w:p>
          <w:p w14:paraId="07981331" w14:textId="00D52619" w:rsidR="003A0ECF" w:rsidRPr="00E164D7" w:rsidRDefault="003A0ECF" w:rsidP="00371E2B">
            <w:pPr>
              <w:pStyle w:val="KeyPoints-Bullet"/>
            </w:pPr>
            <w:r w:rsidRPr="00E164D7">
              <w:t>Benchmarking shows wide variations in the efficient provision of services across jurisdictions</w:t>
            </w:r>
            <w:r w:rsidR="00FE0839">
              <w:t>.</w:t>
            </w:r>
          </w:p>
          <w:p w14:paraId="70250442" w14:textId="77777777" w:rsidR="003A0ECF" w:rsidRPr="00610627" w:rsidRDefault="003A0ECF" w:rsidP="00371E2B">
            <w:pPr>
              <w:pStyle w:val="KeyPoints-Bullet"/>
            </w:pPr>
            <w:r w:rsidRPr="00E164D7">
              <w:t>This reflects unique aspects of the public sector: measures of success are contested and ambiguous; funding models create opposing and perverse incentives; norms and regulations discourage innovative approaches; and competitive pressures and the threat of exit are absent.</w:t>
            </w:r>
          </w:p>
        </w:tc>
      </w:tr>
      <w:tr w:rsidR="003A0ECF" w14:paraId="75B72326" w14:textId="77777777" w:rsidTr="00C426E9">
        <w:tc>
          <w:tcPr>
            <w:tcW w:w="577" w:type="dxa"/>
            <w:tcMar>
              <w:top w:w="0" w:type="dxa"/>
              <w:bottom w:w="0" w:type="dxa"/>
              <w:right w:w="113" w:type="dxa"/>
            </w:tcMar>
          </w:tcPr>
          <w:p w14:paraId="31B17788" w14:textId="77777777" w:rsidR="003A0ECF" w:rsidRPr="00A51374" w:rsidRDefault="003A0ECF" w:rsidP="00C426E9">
            <w:pPr>
              <w:pStyle w:val="KeyPointsicon"/>
            </w:pPr>
            <w:r w:rsidRPr="00F31E73">
              <w:rPr>
                <w:noProof/>
              </w:rPr>
              <w:drawing>
                <wp:inline distT="0" distB="0" distL="0" distR="0" wp14:anchorId="79164BB9" wp14:editId="6763F2CA">
                  <wp:extent cx="180000" cy="180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0435F65" w14:textId="77777777" w:rsidR="003A0ECF" w:rsidRDefault="003A0ECF" w:rsidP="00C426E9">
            <w:pPr>
              <w:pStyle w:val="KeyPoints-Bold"/>
            </w:pPr>
            <w:r>
              <w:t>Many of the approaches to achieving diffusion of new processes and approaches in government services are well</w:t>
            </w:r>
            <w:r>
              <w:noBreakHyphen/>
              <w:t>known but underexploited.</w:t>
            </w:r>
          </w:p>
          <w:p w14:paraId="33AF6801" w14:textId="2299D370" w:rsidR="003A0ECF" w:rsidRDefault="003A0ECF" w:rsidP="00C426E9">
            <w:pPr>
              <w:pStyle w:val="KeyPoints-Bullet"/>
            </w:pPr>
            <w:r w:rsidRPr="005F0E54">
              <w:t xml:space="preserve">New funding and procurement models </w:t>
            </w:r>
            <w:r>
              <w:t xml:space="preserve">could drive better quality care in health </w:t>
            </w:r>
            <w:proofErr w:type="gramStart"/>
            <w:r>
              <w:t>services, and</w:t>
            </w:r>
            <w:proofErr w:type="gramEnd"/>
            <w:r>
              <w:t xml:space="preserve"> save tens of billions in procurement in defence and public infrastructure</w:t>
            </w:r>
            <w:r w:rsidR="00FE0839">
              <w:t>.</w:t>
            </w:r>
          </w:p>
          <w:p w14:paraId="6B35BEB0" w14:textId="025124E4" w:rsidR="003A0ECF" w:rsidRDefault="003A0ECF" w:rsidP="00C426E9">
            <w:pPr>
              <w:pStyle w:val="KeyPoints-Bullet"/>
            </w:pPr>
            <w:r>
              <w:t>Better service benchmarking, data collection and program evaluation can uncover why there are inefficiencies, what to do about them, and motivate adoption of best practice by underperformers</w:t>
            </w:r>
            <w:r w:rsidR="00FE0839">
              <w:t>.</w:t>
            </w:r>
          </w:p>
          <w:p w14:paraId="07E14360" w14:textId="7E00F0F4" w:rsidR="003A0ECF" w:rsidRDefault="003A0ECF" w:rsidP="00C426E9">
            <w:pPr>
              <w:pStyle w:val="KeyPoints-Bullet"/>
            </w:pPr>
            <w:r>
              <w:t>Hiring of migrants in the public sector is restricted, constraining the injection of new talent</w:t>
            </w:r>
            <w:r w:rsidR="00FE0839">
              <w:t>.</w:t>
            </w:r>
          </w:p>
          <w:p w14:paraId="67E280D4" w14:textId="0528AE58" w:rsidR="003A0ECF" w:rsidRDefault="003A0ECF" w:rsidP="00C426E9">
            <w:pPr>
              <w:pStyle w:val="KeyPoints-Bullet"/>
            </w:pPr>
            <w:r>
              <w:t>Reforming the pricing of Australian standards, requiring free access to government</w:t>
            </w:r>
            <w:r>
              <w:noBreakHyphen/>
              <w:t>funded research monopolised by academic publishing, and intellectual property reforms could better enable the diffusion of good ideas</w:t>
            </w:r>
            <w:r w:rsidR="00FE0839">
              <w:t>.</w:t>
            </w:r>
          </w:p>
          <w:p w14:paraId="777545BD" w14:textId="04B5072A" w:rsidR="003A0ECF" w:rsidRPr="001F4B73" w:rsidRDefault="003A0ECF" w:rsidP="00C426E9">
            <w:pPr>
              <w:pStyle w:val="KeyPoints-Bullet"/>
            </w:pPr>
            <w:r>
              <w:t>The steep costs of diffusing best practice could be reduced by e</w:t>
            </w:r>
            <w:r w:rsidRPr="001F4B73">
              <w:t>xploit</w:t>
            </w:r>
            <w:r>
              <w:t>ing</w:t>
            </w:r>
            <w:r w:rsidRPr="001F4B73">
              <w:t xml:space="preserve"> the reputation of existing longstanding institutions with strong brand names that already act as repositories of best practice</w:t>
            </w:r>
            <w:r w:rsidR="00FE0839">
              <w:t>.</w:t>
            </w:r>
          </w:p>
          <w:p w14:paraId="6901661C" w14:textId="77777777" w:rsidR="003A0ECF" w:rsidRPr="00610627" w:rsidRDefault="003A0ECF" w:rsidP="00007D86">
            <w:pPr>
              <w:pStyle w:val="KeyPoints-Bullet"/>
              <w:spacing w:after="120"/>
            </w:pPr>
            <w:r>
              <w:t>National Agreements and other arrangements for coordination between the Australian, state and territory governments may be better configured to take advantage of the relative strengths of the different levels of government and be less funding</w:t>
            </w:r>
            <w:r>
              <w:noBreakHyphen/>
              <w:t>driven.</w:t>
            </w:r>
          </w:p>
        </w:tc>
      </w:tr>
    </w:tbl>
    <w:p w14:paraId="55EA4E65" w14:textId="77777777" w:rsidR="003A0ECF" w:rsidRDefault="003A0ECF" w:rsidP="00007D86">
      <w:pPr>
        <w:pStyle w:val="BodyText"/>
        <w:spacing w:before="240"/>
      </w:pPr>
      <w:r>
        <w:t>Like market goods and services, public sector innovation and its diffusion increases productivity by either raising output per unit of input at unchanged quality (for example, through improved procurement of defence equipment) or by improving quality and community wellbeing (such as better</w:t>
      </w:r>
      <w:r>
        <w:noBreakHyphen/>
        <w:t xml:space="preserve">quality aged care or more effective health care technologies). While there are fiscal benefits for government from some forms of </w:t>
      </w:r>
      <w:r>
        <w:lastRenderedPageBreak/>
        <w:t>innovation and diffusion, an increase in the ‘bang for a buck’ of government spending does not necessarily mean fewer costs: as service quality rises, so too does demand.</w:t>
      </w:r>
      <w:r w:rsidRPr="00B72F6B">
        <w:rPr>
          <w:rStyle w:val="FootnoteReference"/>
        </w:rPr>
        <w:footnoteReference w:id="25"/>
      </w:r>
      <w:r>
        <w:t xml:space="preserve"> </w:t>
      </w:r>
    </w:p>
    <w:p w14:paraId="18CE6351" w14:textId="253C117E" w:rsidR="003A0ECF" w:rsidRDefault="003A0ECF" w:rsidP="003A0ECF">
      <w:pPr>
        <w:pStyle w:val="BodyText"/>
      </w:pPr>
      <w:r>
        <w:t>All levels of government are direct providers of non</w:t>
      </w:r>
      <w:r>
        <w:noBreakHyphen/>
        <w:t>market services or, through contractual arrangements, the key agents for managing their provision by the private and not</w:t>
      </w:r>
      <w:r>
        <w:noBreakHyphen/>
        <w:t>for</w:t>
      </w:r>
      <w:r>
        <w:noBreakHyphen/>
        <w:t>profit sector. This includes services provided by local government (such as libraries and waste management), state and territory governments (such as health care, schools and public transport, the justice system, and emergency services) and the Australian Government (defence, higher education, and much of the tax and transfer system). As many non</w:t>
      </w:r>
      <w:r>
        <w:noBreakHyphen/>
        <w:t>government organisations supply services on behalf of governments, innovations in the way in which governments fund and regulate such organisations are particularly important.</w:t>
      </w:r>
    </w:p>
    <w:p w14:paraId="40C4E01C" w14:textId="722B1F7D" w:rsidR="003A0ECF" w:rsidRDefault="003A0ECF" w:rsidP="003A0ECF">
      <w:pPr>
        <w:pStyle w:val="BodyText"/>
      </w:pPr>
      <w:r>
        <w:t>The scale of government</w:t>
      </w:r>
      <w:r>
        <w:noBreakHyphen/>
        <w:t>funded and managed services is huge, and so the gains from even modest innovations and their wider diffusion can be large. In 2020</w:t>
      </w:r>
      <w:r>
        <w:noBreakHyphen/>
        <w:t xml:space="preserve">21, total general gross government expenses amounted to about $880 billion at the local, state and territory and Australian level, or about 42 per cent of gross domestic product </w:t>
      </w:r>
      <w:r w:rsidR="00936D73" w:rsidRPr="00936D73">
        <w:rPr>
          <w:rFonts w:ascii="Arial" w:hAnsi="Arial" w:cs="Arial"/>
          <w:szCs w:val="24"/>
        </w:rPr>
        <w:t>(ABS 2021a, 2022b)</w:t>
      </w:r>
      <w:r>
        <w:t>. The biggest potential savings would arise from efficiencies in the delivery of government services to the community (whose value was $445 billion or 21.6 per cent of GDP</w:t>
      </w:r>
      <w:r w:rsidRPr="00B72F6B">
        <w:rPr>
          <w:rStyle w:val="FootnoteReference"/>
        </w:rPr>
        <w:footnoteReference w:id="26"/>
      </w:r>
      <w:r>
        <w:t>). Innovative policies relating to the additional $244 billion of ‘social protection’ transfers like unemployment benefits and pensions could achieve better outcomes for people for the same, or lower, cost (a quality</w:t>
      </w:r>
      <w:r>
        <w:noBreakHyphen/>
        <w:t>based productivity gain for government).</w:t>
      </w:r>
    </w:p>
    <w:p w14:paraId="5BD6692A" w14:textId="75053846" w:rsidR="003A0ECF" w:rsidRDefault="003A0ECF" w:rsidP="003A0ECF">
      <w:pPr>
        <w:pStyle w:val="BodyText"/>
      </w:pPr>
      <w:r>
        <w:t xml:space="preserve">This is a static picture of the role of governments. The expenditure per capita of government services will increase over time — particularly in areas like health and aged care, which are affected by population ageing and rising expectations about the quality of services as income rises </w:t>
      </w:r>
      <w:r w:rsidRPr="007E6BC5">
        <w:rPr>
          <w:rFonts w:ascii="Arial" w:hAnsi="Arial" w:cs="Arial"/>
          <w:szCs w:val="24"/>
        </w:rPr>
        <w:t>(Commonwealth of Australia 2021)</w:t>
      </w:r>
      <w:r>
        <w:t xml:space="preserve">. As emphasised in the companion report, </w:t>
      </w:r>
      <w:r w:rsidRPr="008175AE">
        <w:rPr>
          <w:i/>
          <w:iCs/>
        </w:rPr>
        <w:t>The Key to Prosperity</w:t>
      </w:r>
      <w:r>
        <w:t xml:space="preserve"> </w:t>
      </w:r>
      <w:r w:rsidRPr="00465640">
        <w:rPr>
          <w:rFonts w:ascii="Arial" w:hAnsi="Arial" w:cs="Arial"/>
          <w:szCs w:val="24"/>
        </w:rPr>
        <w:t>(PC 2022b, p. 37ff)</w:t>
      </w:r>
      <w:r>
        <w:t>, just like services in general, further cost pressures will reflect that wage growth in government services will be strongly affected by the necessity to match the wages in higher productivity sectors (Baumol’s ‘cost disease’). Wages are a key component of government</w:t>
      </w:r>
      <w:r>
        <w:noBreakHyphen/>
        <w:t>funded services like age and disability care.</w:t>
      </w:r>
    </w:p>
    <w:p w14:paraId="4B8D45AD" w14:textId="58D950A4" w:rsidR="003A0ECF" w:rsidRDefault="003A0ECF" w:rsidP="003A0ECF">
      <w:pPr>
        <w:pStyle w:val="BodyText"/>
      </w:pPr>
      <w:r>
        <w:t xml:space="preserve">Public sector innovation and its diffusion have always been important, albeit downplayed in public policy. Notably, the Ferris performance review of Australia’s innovation, science and research system acknowledged its importance, but it hardly figured in its policy analysis or recommendations </w:t>
      </w:r>
      <w:r w:rsidRPr="00F843D0">
        <w:rPr>
          <w:rFonts w:ascii="Arial" w:hAnsi="Arial" w:cs="Arial"/>
          <w:szCs w:val="24"/>
        </w:rPr>
        <w:t>(ISA 2016)</w:t>
      </w:r>
      <w:r>
        <w:t>.</w:t>
      </w:r>
    </w:p>
    <w:p w14:paraId="05B6DA63" w14:textId="0AC84DCC" w:rsidR="003A0ECF" w:rsidRDefault="003A0ECF" w:rsidP="003A0ECF">
      <w:pPr>
        <w:pStyle w:val="BodyText"/>
      </w:pPr>
      <w:r>
        <w:t xml:space="preserve">Yet the need for innovation and its effective diffusion will grow over the next 50 years in managing climate change, the growing burden of chronic disease, and population ageing, among many other issues. A need for effective innovation and its adoption and adaptation across different communities is central to the ambitions of Aboriginal and Torres Strait Islander people and Australian governments to close the gap. The greater the level of innovation and the more rapidly good ideas in any given area of government service provision can be diffused, the more productive and effective will be government in these vital areas.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34"/>
        <w:gridCol w:w="8894"/>
      </w:tblGrid>
      <w:tr w:rsidR="003A0ECF" w14:paraId="18007EAC" w14:textId="77777777" w:rsidTr="00C426E9">
        <w:trPr>
          <w:trHeight w:val="765"/>
          <w:tblHeader/>
        </w:trPr>
        <w:tc>
          <w:tcPr>
            <w:tcW w:w="381" w:type="pct"/>
            <w:tcBorders>
              <w:bottom w:val="nil"/>
            </w:tcBorders>
            <w:tcMar>
              <w:bottom w:w="0" w:type="dxa"/>
            </w:tcMar>
            <w:vAlign w:val="center"/>
          </w:tcPr>
          <w:p w14:paraId="52E4C7F4" w14:textId="77777777" w:rsidR="003A0ECF" w:rsidRDefault="003A0ECF" w:rsidP="00C426E9">
            <w:pPr>
              <w:pStyle w:val="NoSpacing"/>
              <w:keepLines/>
              <w:jc w:val="right"/>
            </w:pPr>
            <w:r w:rsidRPr="00A51374">
              <w:rPr>
                <w:noProof/>
              </w:rPr>
              <w:lastRenderedPageBreak/>
              <w:drawing>
                <wp:inline distT="0" distB="0" distL="0" distR="0" wp14:anchorId="00660F85" wp14:editId="666E1683">
                  <wp:extent cx="288000" cy="288000"/>
                  <wp:effectExtent l="0" t="0" r="0" b="0"/>
                  <wp:docPr id="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19" w:type="pct"/>
            <w:tcBorders>
              <w:bottom w:val="nil"/>
            </w:tcBorders>
            <w:tcMar>
              <w:bottom w:w="0" w:type="dxa"/>
            </w:tcMar>
            <w:vAlign w:val="center"/>
          </w:tcPr>
          <w:p w14:paraId="2DD7BA20" w14:textId="77777777" w:rsidR="003A0ECF" w:rsidRPr="00A4395A" w:rsidRDefault="003A0ECF" w:rsidP="00C426E9">
            <w:pPr>
              <w:pStyle w:val="TableHeading"/>
              <w:keepLines/>
              <w:spacing w:before="60" w:after="120"/>
              <w:contextualSpacing/>
              <w:rPr>
                <w:sz w:val="20"/>
              </w:rPr>
            </w:pPr>
            <w:r w:rsidRPr="00A4395A">
              <w:rPr>
                <w:sz w:val="20"/>
              </w:rPr>
              <w:t xml:space="preserve">Finding </w:t>
            </w:r>
            <w:r>
              <w:rPr>
                <w:sz w:val="20"/>
              </w:rPr>
              <w:t>3.1</w:t>
            </w:r>
          </w:p>
          <w:p w14:paraId="480C3956" w14:textId="77777777" w:rsidR="003A0ECF" w:rsidRDefault="003A0ECF" w:rsidP="00C426E9">
            <w:pPr>
              <w:pStyle w:val="TableHeading"/>
              <w:keepLines/>
              <w:spacing w:before="60" w:after="120"/>
              <w:contextualSpacing/>
            </w:pPr>
            <w:r>
              <w:rPr>
                <w:sz w:val="20"/>
              </w:rPr>
              <w:t>Small changes — large gains</w:t>
            </w:r>
          </w:p>
        </w:tc>
      </w:tr>
      <w:tr w:rsidR="003A0ECF" w14:paraId="67481DFE" w14:textId="77777777" w:rsidTr="00C426E9">
        <w:tc>
          <w:tcPr>
            <w:tcW w:w="5000" w:type="pct"/>
            <w:gridSpan w:val="2"/>
            <w:tcBorders>
              <w:top w:val="nil"/>
              <w:bottom w:val="single" w:sz="4" w:space="0" w:color="66BCDB" w:themeColor="text2"/>
            </w:tcBorders>
          </w:tcPr>
          <w:p w14:paraId="66084B92" w14:textId="77777777" w:rsidR="003A0ECF" w:rsidRDefault="003A0ECF" w:rsidP="00C426E9">
            <w:pPr>
              <w:pStyle w:val="BodyText"/>
              <w:keepLines/>
            </w:pPr>
            <w:r>
              <w:t xml:space="preserve">Australian, state and territory, and local governments spend hundreds of billions of dollars each year, mostly on services and social welfare transfers. The scale of governments’ activities means that even the smallest of reforms — if widely adopted — can generate large savings or improve the quality of services for millions of people. </w:t>
            </w:r>
          </w:p>
        </w:tc>
      </w:tr>
      <w:tr w:rsidR="003A0ECF" w14:paraId="05453AD6" w14:textId="77777777" w:rsidTr="00C426E9">
        <w:tc>
          <w:tcPr>
            <w:tcW w:w="5000" w:type="pct"/>
            <w:gridSpan w:val="2"/>
            <w:tcBorders>
              <w:top w:val="single" w:sz="4" w:space="0" w:color="66BCDB" w:themeColor="text2"/>
              <w:left w:val="nil"/>
              <w:bottom w:val="nil"/>
              <w:right w:val="nil"/>
            </w:tcBorders>
            <w:tcMar>
              <w:bottom w:w="0" w:type="dxa"/>
            </w:tcMar>
          </w:tcPr>
          <w:p w14:paraId="54B38013" w14:textId="77777777" w:rsidR="003A0ECF" w:rsidRDefault="003A0ECF" w:rsidP="00C426E9">
            <w:pPr>
              <w:pStyle w:val="NoSpacing"/>
              <w:spacing w:line="200" w:lineRule="atLeast"/>
            </w:pPr>
          </w:p>
        </w:tc>
      </w:tr>
    </w:tbl>
    <w:p w14:paraId="4BEEE6BA" w14:textId="77777777" w:rsidR="003A0ECF" w:rsidRPr="002625A3" w:rsidRDefault="003A0ECF" w:rsidP="003A0ECF">
      <w:pPr>
        <w:pStyle w:val="Heading2"/>
      </w:pPr>
      <w:bookmarkStart w:id="116" w:name="_Toc113969660"/>
      <w:r w:rsidRPr="002625A3">
        <w:t>There is abundant innovation and diffusion …</w:t>
      </w:r>
      <w:bookmarkEnd w:id="116"/>
    </w:p>
    <w:p w14:paraId="2716563F" w14:textId="203C01E6" w:rsidR="003A0ECF" w:rsidRDefault="003A0ECF" w:rsidP="003A0ECF">
      <w:pPr>
        <w:pStyle w:val="BodyText"/>
      </w:pPr>
      <w:r>
        <w:t xml:space="preserve">Innovative approaches to government services and their delivery, policy and system design are present throughout government services, often in relation to service processes, but also in relation to regulation, tax and funding settings. As in private businesses, innovation relies on data, research and experimentation, acquired expertise and absorption of ideas from businesses and other governments (domestic and global). However, the measurement of public sector innovation and diffusion is much worse than for the private sector. The enumerated value of innovation — $2.3 billion spent by the Australian Government and the $1.3 billion spent by state and territory governments — solely relates to R&amp;D, which is at the novel end of the innovation spectrum </w:t>
      </w:r>
      <w:r w:rsidR="00936D73" w:rsidRPr="00936D73">
        <w:rPr>
          <w:rFonts w:ascii="Arial" w:hAnsi="Arial" w:cs="Arial"/>
          <w:szCs w:val="24"/>
        </w:rPr>
        <w:t>(ABS 2022e)</w:t>
      </w:r>
      <w:r>
        <w:t>. Yet there are many activities where resources are spent on innovation, adoption and diffusion of the kind set out below that will be rarely captured by such metrics.</w:t>
      </w:r>
    </w:p>
    <w:p w14:paraId="1EF77F36" w14:textId="77777777" w:rsidR="003A0ECF" w:rsidRDefault="003A0ECF" w:rsidP="00A469A1">
      <w:pPr>
        <w:pStyle w:val="Heading3"/>
      </w:pPr>
      <w:r>
        <w:t>Chronic disease</w:t>
      </w:r>
    </w:p>
    <w:p w14:paraId="17D809AB" w14:textId="6D016F51" w:rsidR="003A0ECF" w:rsidRDefault="003A0ECF" w:rsidP="003A0ECF">
      <w:pPr>
        <w:pStyle w:val="BodyText"/>
      </w:pPr>
      <w:r>
        <w:t xml:space="preserve">Drawing on 17 case studies, the Productivity Commission undertook a detailed assessment of innovative health care for chronic health conditions </w:t>
      </w:r>
      <w:r w:rsidRPr="00B65968">
        <w:rPr>
          <w:rFonts w:ascii="Arial" w:hAnsi="Arial" w:cs="Arial"/>
          <w:szCs w:val="24"/>
        </w:rPr>
        <w:t>(PC 2021b)</w:t>
      </w:r>
      <w:r>
        <w:t xml:space="preserve">. These innovations, which occurred in many settings and across most jurisdictions, demonstrated better quality care and sometimes cost reductions. For example, </w:t>
      </w:r>
      <w:r w:rsidRPr="00351D96">
        <w:t>Monash Watch,</w:t>
      </w:r>
      <w:r>
        <w:t xml:space="preserve"> a Victorian telephone outreach program identifies people at risk of repeat hospitalisations and supports continuous health checks and support services through Care Guides who call consumers regularly, and Health Coaches who triage the calls and arrange necessary health services. Interim results show that Monash Watch is achieving a 20</w:t>
      </w:r>
      <w:r>
        <w:noBreakHyphen/>
        <w:t xml:space="preserve">25 per cent reduction in hospital acute emergency bed days compared with usual care </w:t>
      </w:r>
      <w:r w:rsidRPr="005E33D6">
        <w:rPr>
          <w:rFonts w:ascii="Arial" w:hAnsi="Arial" w:cs="Arial"/>
          <w:szCs w:val="24"/>
        </w:rPr>
        <w:t>(PC 2021b, p. 61)</w:t>
      </w:r>
      <w:r>
        <w:t>. Monash Watch has already expanded from its original location in Dandenong with a second team operating in Cranbourne. Moreover, the initiative is being incorporated into Monash Health more broadly and the approach is expanding to other health services across Victoria.</w:t>
      </w:r>
    </w:p>
    <w:p w14:paraId="55F7B0CC" w14:textId="77777777" w:rsidR="003A0ECF" w:rsidRDefault="003A0ECF" w:rsidP="00A469A1">
      <w:pPr>
        <w:pStyle w:val="Heading3"/>
      </w:pPr>
      <w:r>
        <w:t>Criminal Justice</w:t>
      </w:r>
    </w:p>
    <w:p w14:paraId="1A466D7C" w14:textId="1D6DC361" w:rsidR="003A0ECF" w:rsidRDefault="003A0ECF" w:rsidP="003A0ECF">
      <w:pPr>
        <w:pStyle w:val="BodyText"/>
      </w:pPr>
      <w:r>
        <w:t xml:space="preserve">Alternative practices in the justice system can achieve better outcomes at lower costs without jeopardising community safety </w:t>
      </w:r>
      <w:r w:rsidRPr="00900358">
        <w:rPr>
          <w:rFonts w:ascii="Arial" w:hAnsi="Arial" w:cs="Arial"/>
          <w:szCs w:val="24"/>
        </w:rPr>
        <w:t>(PC 2021a)</w:t>
      </w:r>
      <w:r>
        <w:t xml:space="preserve">. For instance, the South Australian Government reduced the likelihood of offenders returning to custody from 34.3 per cent to 20 per cent through the Home Detention Integrated Services Program, which offered wraparound support for a wide range of specific offender needs. Offenders in the program were less likely to return to custody </w:t>
      </w:r>
      <w:r w:rsidRPr="000D77DE">
        <w:rPr>
          <w:rFonts w:ascii="Arial" w:hAnsi="Arial" w:cs="Arial"/>
          <w:szCs w:val="24"/>
        </w:rPr>
        <w:t>(Cale et al. 2019, p. 9; PC 2021a, p. 84)</w:t>
      </w:r>
      <w:r>
        <w:t xml:space="preserve">. This created an approximate saving of $54 000 per participant due to the lower cost of home detention and the reduction in return to custody </w:t>
      </w:r>
      <w:r w:rsidRPr="009B1AD6">
        <w:rPr>
          <w:rFonts w:ascii="Arial" w:hAnsi="Arial" w:cs="Arial"/>
          <w:szCs w:val="24"/>
        </w:rPr>
        <w:t>(PC 2021a, p. 84)</w:t>
      </w:r>
      <w:r>
        <w:t xml:space="preserve">. Other programs to lower the costs of the criminal justice system and reduce recidivism rates are in place across most jurisdictions, though adoption of novel approaches is weak. </w:t>
      </w:r>
    </w:p>
    <w:p w14:paraId="1AE2ECB1" w14:textId="77777777" w:rsidR="003A0ECF" w:rsidRDefault="003A0ECF" w:rsidP="00A469A1">
      <w:pPr>
        <w:pStyle w:val="Heading3"/>
      </w:pPr>
      <w:r>
        <w:lastRenderedPageBreak/>
        <w:t>Regulatory and Tax compliance</w:t>
      </w:r>
    </w:p>
    <w:p w14:paraId="0E9EF016" w14:textId="6B8F747E" w:rsidR="003A0ECF" w:rsidRDefault="003A0ECF" w:rsidP="003A0ECF">
      <w:r>
        <w:t>Single touch payroll (STP) was developed to collect data on tax and super contributions with lower business compliance costs, and greater speed and accuracy. It works by sending tax and superannuation data from any of many STP</w:t>
      </w:r>
      <w:r>
        <w:noBreakHyphen/>
        <w:t>enabled payroll accounting software programs to the Australian Tax Office as the business runs the payroll, avoiding the costs of separately reporting the information. Single touch payroll incidentally provided rapid monitoring of the economic impacts of COVID</w:t>
      </w:r>
      <w:r>
        <w:noBreakHyphen/>
        <w:t xml:space="preserve">19 </w:t>
      </w:r>
      <w:r w:rsidR="00936D73" w:rsidRPr="00936D73">
        <w:rPr>
          <w:rFonts w:ascii="Arial" w:hAnsi="Arial" w:cs="Arial"/>
          <w:szCs w:val="24"/>
        </w:rPr>
        <w:t xml:space="preserve">(Andrews, </w:t>
      </w:r>
      <w:proofErr w:type="spellStart"/>
      <w:r w:rsidR="00936D73" w:rsidRPr="00936D73">
        <w:rPr>
          <w:rFonts w:ascii="Arial" w:hAnsi="Arial" w:cs="Arial"/>
          <w:szCs w:val="24"/>
        </w:rPr>
        <w:t>Hambur</w:t>
      </w:r>
      <w:proofErr w:type="spellEnd"/>
      <w:r w:rsidR="00936D73" w:rsidRPr="00936D73">
        <w:rPr>
          <w:rFonts w:ascii="Arial" w:hAnsi="Arial" w:cs="Arial"/>
          <w:szCs w:val="24"/>
        </w:rPr>
        <w:t xml:space="preserve"> and </w:t>
      </w:r>
      <w:proofErr w:type="spellStart"/>
      <w:r w:rsidR="00936D73" w:rsidRPr="00936D73">
        <w:rPr>
          <w:rFonts w:ascii="Arial" w:hAnsi="Arial" w:cs="Arial"/>
          <w:szCs w:val="24"/>
        </w:rPr>
        <w:t>Bahar</w:t>
      </w:r>
      <w:proofErr w:type="spellEnd"/>
      <w:r w:rsidR="00936D73" w:rsidRPr="00936D73">
        <w:rPr>
          <w:rFonts w:ascii="Arial" w:hAnsi="Arial" w:cs="Arial"/>
          <w:szCs w:val="24"/>
        </w:rPr>
        <w:t> 2021; PC 2020h, p. 10, 2022a, pp. 48–49)</w:t>
      </w:r>
      <w:r>
        <w:t xml:space="preserve"> and stimulated the take</w:t>
      </w:r>
      <w:r>
        <w:noBreakHyphen/>
        <w:t xml:space="preserve">up of technology by small businesses and complementary innovations in finance, accounting and related services. </w:t>
      </w:r>
    </w:p>
    <w:p w14:paraId="026D2ECC" w14:textId="62A08E60" w:rsidR="003A0ECF" w:rsidRDefault="003A0ECF" w:rsidP="003A0ECF">
      <w:r>
        <w:t xml:space="preserve">Recognising the public health risks of long queues of people seeking </w:t>
      </w:r>
      <w:proofErr w:type="spellStart"/>
      <w:r>
        <w:t>JobSeeker</w:t>
      </w:r>
      <w:proofErr w:type="spellEnd"/>
      <w:r>
        <w:t xml:space="preserve"> payments during the pandemic, Services Australia developed systems for fast online applications. Over 250 000 </w:t>
      </w:r>
      <w:proofErr w:type="spellStart"/>
      <w:r>
        <w:t>JobSeeker</w:t>
      </w:r>
      <w:proofErr w:type="spellEnd"/>
      <w:r>
        <w:t xml:space="preserve"> applications moved online in just a few weeks </w:t>
      </w:r>
      <w:r w:rsidRPr="00C50FD8">
        <w:rPr>
          <w:rFonts w:ascii="Arial" w:hAnsi="Arial" w:cs="Arial"/>
          <w:szCs w:val="24"/>
        </w:rPr>
        <w:t>(IPAA 2020)</w:t>
      </w:r>
      <w:r>
        <w:t xml:space="preserve">. </w:t>
      </w:r>
    </w:p>
    <w:p w14:paraId="31A9016E" w14:textId="77777777" w:rsidR="003A0ECF" w:rsidRDefault="003A0ECF" w:rsidP="00A469A1">
      <w:pPr>
        <w:pStyle w:val="Heading3"/>
      </w:pPr>
      <w:r>
        <w:t>Information for fire services</w:t>
      </w:r>
    </w:p>
    <w:p w14:paraId="3BA8B114" w14:textId="04315A4B" w:rsidR="003A0ECF" w:rsidRPr="000960BB" w:rsidRDefault="003A0ECF" w:rsidP="003A0ECF">
      <w:pPr>
        <w:pStyle w:val="BodyText"/>
      </w:pPr>
      <w:proofErr w:type="spellStart"/>
      <w:r w:rsidRPr="000960BB">
        <w:t>GeoScience</w:t>
      </w:r>
      <w:proofErr w:type="spellEnd"/>
      <w:r w:rsidRPr="000960BB">
        <w:t xml:space="preserve"> Australia monitors the location of fires across Australia every 10 minutes for response by emergency services. It moved its service to the Cloud</w:t>
      </w:r>
      <w:r>
        <w:t>,</w:t>
      </w:r>
      <w:r w:rsidRPr="000960BB">
        <w:t xml:space="preserve"> eliminating the previously frequent outages in the service and reducing maintenance costs by 85 per cent (PSIN 2019).</w:t>
      </w:r>
    </w:p>
    <w:p w14:paraId="519E2E1F" w14:textId="77777777" w:rsidR="003A0ECF" w:rsidRDefault="003A0ECF" w:rsidP="00A469A1">
      <w:pPr>
        <w:pStyle w:val="Heading3"/>
      </w:pPr>
      <w:r>
        <w:t>Ambulance demand management</w:t>
      </w:r>
    </w:p>
    <w:p w14:paraId="3C5C3DA5" w14:textId="11EF9C0E" w:rsidR="003A0ECF" w:rsidRDefault="003A0ECF" w:rsidP="003A0ECF">
      <w:pPr>
        <w:pStyle w:val="BodyText"/>
      </w:pPr>
      <w:r>
        <w:t xml:space="preserve">Many people calling ambulances can have their health needs met in other ways. Early research by the </w:t>
      </w:r>
      <w:r w:rsidRPr="0012682A">
        <w:t>Australian Institute of Health Innovation</w:t>
      </w:r>
      <w:r>
        <w:t xml:space="preserve"> found referral of low</w:t>
      </w:r>
      <w:r>
        <w:noBreakHyphen/>
        <w:t xml:space="preserve">acuity triple zero callers away from ambulances to alternative care arrangements lowered costs considerably with no adverse health impacts </w:t>
      </w:r>
      <w:r w:rsidRPr="00744880">
        <w:rPr>
          <w:rFonts w:cs="Arial"/>
          <w:szCs w:val="24"/>
        </w:rPr>
        <w:t>(</w:t>
      </w:r>
      <w:proofErr w:type="spellStart"/>
      <w:r w:rsidRPr="00744880">
        <w:rPr>
          <w:rFonts w:cs="Arial"/>
          <w:szCs w:val="24"/>
        </w:rPr>
        <w:t>Vecellio</w:t>
      </w:r>
      <w:proofErr w:type="spellEnd"/>
      <w:r w:rsidRPr="00744880">
        <w:rPr>
          <w:rFonts w:cs="Arial"/>
          <w:szCs w:val="24"/>
        </w:rPr>
        <w:t xml:space="preserve">, </w:t>
      </w:r>
      <w:proofErr w:type="spellStart"/>
      <w:r w:rsidRPr="00744880">
        <w:rPr>
          <w:rFonts w:cs="Arial"/>
          <w:szCs w:val="24"/>
        </w:rPr>
        <w:t>Raban</w:t>
      </w:r>
      <w:proofErr w:type="spellEnd"/>
      <w:r w:rsidRPr="00744880">
        <w:rPr>
          <w:rFonts w:cs="Arial"/>
          <w:szCs w:val="24"/>
        </w:rPr>
        <w:t xml:space="preserve"> and Westbrook 2012)</w:t>
      </w:r>
      <w:r>
        <w:t xml:space="preserve">. Such ambulance secondary triage care has now been adopted in all Australian jurisdictions, with proven beneficial outcomes </w:t>
      </w:r>
      <w:r w:rsidRPr="00744880">
        <w:rPr>
          <w:rFonts w:cs="Arial"/>
          <w:szCs w:val="24"/>
        </w:rPr>
        <w:t>(Eastwood et al. 2015)</w:t>
      </w:r>
      <w:r>
        <w:t>.</w:t>
      </w:r>
    </w:p>
    <w:p w14:paraId="39B5A960" w14:textId="77777777" w:rsidR="003A0ECF" w:rsidRPr="00393325" w:rsidRDefault="003A0ECF" w:rsidP="00A469A1">
      <w:pPr>
        <w:pStyle w:val="Heading3"/>
      </w:pPr>
      <w:r>
        <w:t>B</w:t>
      </w:r>
      <w:r w:rsidRPr="00314B15">
        <w:t xml:space="preserve">ig data — collaborative data integration projects </w:t>
      </w:r>
    </w:p>
    <w:p w14:paraId="092F97D4" w14:textId="7800523C" w:rsidR="003A0ECF" w:rsidRDefault="003A0ECF" w:rsidP="003A0ECF">
      <w:pPr>
        <w:pStyle w:val="Box"/>
      </w:pPr>
      <w:r w:rsidRPr="00A56E66">
        <w:t xml:space="preserve">The ABS </w:t>
      </w:r>
      <w:r>
        <w:t xml:space="preserve">and partner government agencies </w:t>
      </w:r>
      <w:r w:rsidRPr="00A56E66">
        <w:t>ha</w:t>
      </w:r>
      <w:r>
        <w:t>ve</w:t>
      </w:r>
      <w:r w:rsidRPr="00A56E66">
        <w:t xml:space="preserve"> led </w:t>
      </w:r>
      <w:r>
        <w:t>many</w:t>
      </w:r>
      <w:r w:rsidRPr="00A56E66">
        <w:t xml:space="preserve"> major data integration projects that bring data </w:t>
      </w:r>
      <w:r>
        <w:t>from</w:t>
      </w:r>
      <w:r w:rsidRPr="00A56E66">
        <w:t xml:space="preserve"> multiple sources into a secure dataset for detailed analysis. This includes the Business Longitudinal Analysis Data Environment (BLADE), Linked Employer</w:t>
      </w:r>
      <w:r>
        <w:noBreakHyphen/>
      </w:r>
      <w:r w:rsidRPr="00A56E66">
        <w:t>Employee Database (LEED)</w:t>
      </w:r>
      <w:r>
        <w:t xml:space="preserve"> and </w:t>
      </w:r>
      <w:r w:rsidRPr="00A56E66">
        <w:t>Multi</w:t>
      </w:r>
      <w:r>
        <w:noBreakHyphen/>
      </w:r>
      <w:r w:rsidRPr="00A56E66">
        <w:t>Agency Data Integration Project (MADIP)</w:t>
      </w:r>
      <w:r>
        <w:t xml:space="preserve">. </w:t>
      </w:r>
      <w:r w:rsidRPr="00A56E66">
        <w:t>These datasets are used to analyse a wide set of social and economic policy issues, including the evaluation of government programs</w:t>
      </w:r>
      <w:r>
        <w:t>.</w:t>
      </w:r>
      <w:r w:rsidRPr="00A56E66">
        <w:t xml:space="preserve"> </w:t>
      </w:r>
      <w:r>
        <w:t xml:space="preserve">The ABS is regularly updating these to widen their application. For instance, the </w:t>
      </w:r>
      <w:r w:rsidRPr="00501547">
        <w:t>Australian Immunisation Register</w:t>
      </w:r>
      <w:r>
        <w:t xml:space="preserve"> has now been linked to MADIP and was used to identify groups of Australians with low COVID</w:t>
      </w:r>
      <w:r w:rsidR="000565F7">
        <w:noBreakHyphen/>
      </w:r>
      <w:r>
        <w:t>19 vaccine uptake due to lower proficiency in English. This led to the deployment of multilingual GPs to support multicultural communities</w:t>
      </w:r>
      <w:r w:rsidR="008F20CC">
        <w:t>,</w:t>
      </w:r>
      <w:r>
        <w:t xml:space="preserve"> and new communication campaigns and community outreach programs to raise vaccination rates in these groups </w:t>
      </w:r>
      <w:r w:rsidRPr="00116C48">
        <w:rPr>
          <w:rFonts w:cs="Arial"/>
          <w:szCs w:val="24"/>
        </w:rPr>
        <w:t>(Gruen 2022)</w:t>
      </w:r>
      <w:r>
        <w:t xml:space="preserve">. The ABS has, more generally, adopted a wide range of innovations in collecting data, such as using retail scanner data to better measure consumer prices </w:t>
      </w:r>
      <w:r w:rsidRPr="00766F2D">
        <w:rPr>
          <w:rFonts w:cs="Arial"/>
          <w:szCs w:val="24"/>
        </w:rPr>
        <w:t>(Gruen 2020)</w:t>
      </w:r>
      <w:r>
        <w:t>.</w:t>
      </w:r>
    </w:p>
    <w:p w14:paraId="01E04C3A" w14:textId="77777777" w:rsidR="003A0ECF" w:rsidRDefault="003A0ECF" w:rsidP="00A469A1">
      <w:pPr>
        <w:pStyle w:val="Heading3"/>
      </w:pPr>
      <w:r>
        <w:t>Virtual hospital services</w:t>
      </w:r>
    </w:p>
    <w:p w14:paraId="14D906FE" w14:textId="0941771A" w:rsidR="003A0ECF" w:rsidRDefault="003A0ECF" w:rsidP="003A0ECF">
      <w:pPr>
        <w:pStyle w:val="BodyText"/>
      </w:pPr>
      <w:r>
        <w:t>While many are familiar with the massive expansion of MBS</w:t>
      </w:r>
      <w:r>
        <w:noBreakHyphen/>
        <w:t>funded telehealth in general practice associated with COVID</w:t>
      </w:r>
      <w:r>
        <w:noBreakHyphen/>
        <w:t>19, there was also rapid innovation in acute care. As noted by the Australian Commission for Safety and Quality in Health Care (sub. 9</w:t>
      </w:r>
      <w:r w:rsidR="00B36B49">
        <w:t>, p.5</w:t>
      </w:r>
      <w:r>
        <w:t>):</w:t>
      </w:r>
    </w:p>
    <w:p w14:paraId="64EE0169" w14:textId="1C8A3D51" w:rsidR="003A0ECF" w:rsidRPr="00906E9D" w:rsidRDefault="003A0ECF" w:rsidP="001A1DD7">
      <w:pPr>
        <w:pStyle w:val="ListBullet"/>
      </w:pPr>
      <w:r w:rsidRPr="00906E9D">
        <w:t xml:space="preserve">in seven months during 2020, the RPA Virtual Hospital grew its workforce from six nurses to a multidisciplinary service of over 50 medical, nursing and allied health teams. Patient use increased from 1000 to 7000 from May 2020 to January 2021 (Hutchings 2021). An economic evaluation suggested net </w:t>
      </w:r>
      <w:r w:rsidRPr="00906E9D">
        <w:lastRenderedPageBreak/>
        <w:t>savings of between $13</w:t>
      </w:r>
      <w:r w:rsidRPr="00906E9D">
        <w:noBreakHyphen/>
        <w:t>18 million dollars from avoided costs associated with standard care models in less than a year of operation (Shaw and Wilson 2021)</w:t>
      </w:r>
    </w:p>
    <w:p w14:paraId="19B90066" w14:textId="5881B3E9" w:rsidR="003A0ECF" w:rsidRPr="00906E9D" w:rsidRDefault="003A0ECF" w:rsidP="001A1DD7">
      <w:pPr>
        <w:pStyle w:val="ListBullet"/>
      </w:pPr>
      <w:r w:rsidRPr="00906E9D">
        <w:t>at the peak of the COVID</w:t>
      </w:r>
      <w:r w:rsidRPr="00906E9D">
        <w:noBreakHyphen/>
        <w:t xml:space="preserve">19 pandemic, Melbourne’s Royal Children’s Hospital was delivering 70 per cent of its specialist clinic appointments by telehealth. It provided 11 200 telehealth consultations in April 2020 (up from 231 in April 2019). Average transport cost savings were $85 per consultation per family, while cost savings in caregiver time averaged $145 (Hiscock et al. 2021). Savings were significantly higher for families in regional or remote areas. The hospital continues to provide telehealth consultations, supported by </w:t>
      </w:r>
      <w:proofErr w:type="spellStart"/>
      <w:r w:rsidRPr="00906E9D">
        <w:t>Healthdirect</w:t>
      </w:r>
      <w:proofErr w:type="spellEnd"/>
      <w:r w:rsidRPr="00906E9D">
        <w:t xml:space="preserve"> Australia’s Video Call program and a telehealth community of practice.</w:t>
      </w:r>
    </w:p>
    <w:p w14:paraId="69510811" w14:textId="77777777" w:rsidR="003A0ECF" w:rsidRDefault="003A0ECF" w:rsidP="00371E2B">
      <w:pPr>
        <w:pStyle w:val="Heading3"/>
      </w:pPr>
      <w:r>
        <w:t>Local government benchmarking</w:t>
      </w:r>
    </w:p>
    <w:p w14:paraId="64AF6B29" w14:textId="4EF61B77" w:rsidR="003A0ECF" w:rsidRDefault="003A0ECF" w:rsidP="003A0ECF">
      <w:pPr>
        <w:pStyle w:val="BodyText"/>
      </w:pPr>
      <w:r w:rsidRPr="00930C88">
        <w:rPr>
          <w:rStyle w:val="BodyTextChar"/>
        </w:rPr>
        <w:t>State and territory governments have developed (and continue to refine) measures of the comparative performance of the more than 550 local governments providing municipal services (</w:t>
      </w:r>
      <w:r>
        <w:rPr>
          <w:rStyle w:val="BodyTextChar"/>
        </w:rPr>
        <w:t xml:space="preserve">with a Victorian benchmarking tool shown in </w:t>
      </w:r>
      <w:r w:rsidRPr="00930C88">
        <w:rPr>
          <w:rStyle w:val="BodyTextChar"/>
        </w:rPr>
        <w:t>figure 3.1). The benchmarking tools improve the accountability of local government</w:t>
      </w:r>
      <w:r>
        <w:rPr>
          <w:rStyle w:val="BodyTextChar"/>
        </w:rPr>
        <w:t>s</w:t>
      </w:r>
      <w:r w:rsidRPr="00930C88">
        <w:rPr>
          <w:rStyle w:val="BodyTextChar"/>
        </w:rPr>
        <w:t xml:space="preserve"> to their citizens and provide incentives for them to improve their practices. This is buttressed by a range of</w:t>
      </w:r>
      <w:r>
        <w:t xml:space="preserve"> non</w:t>
      </w:r>
      <w:r>
        <w:noBreakHyphen/>
        <w:t xml:space="preserve">government agencies that provide benchmarking models that pool data from local governments to </w:t>
      </w:r>
      <w:r w:rsidR="005F30D0">
        <w:t>deliver</w:t>
      </w:r>
      <w:r>
        <w:t xml:space="preserve"> individualised advice on improvements </w:t>
      </w:r>
      <w:r w:rsidRPr="00E57F50">
        <w:rPr>
          <w:rFonts w:cs="Arial"/>
          <w:szCs w:val="24"/>
        </w:rPr>
        <w:t>(Smith 2021)</w:t>
      </w:r>
      <w:r>
        <w:t>.</w:t>
      </w:r>
    </w:p>
    <w:p w14:paraId="38AEEED1" w14:textId="77777777" w:rsidR="003A0ECF" w:rsidRPr="00146382" w:rsidRDefault="003A0ECF" w:rsidP="003A0ECF">
      <w:pPr>
        <w:pStyle w:val="FigureTableHeading"/>
      </w:pPr>
      <w:r>
        <w:t>Figure 3.1</w:t>
      </w:r>
      <w:r>
        <w:rPr>
          <w:noProof/>
        </w:rPr>
        <w:t xml:space="preserve"> </w:t>
      </w:r>
      <w:r>
        <w:t>– Benchmarking local government performance</w:t>
      </w:r>
    </w:p>
    <w:p w14:paraId="2A0CA97C" w14:textId="77777777" w:rsidR="003A0ECF" w:rsidRDefault="003A0ECF" w:rsidP="003A0ECF">
      <w:pPr>
        <w:pStyle w:val="FigureTableSubheading"/>
        <w:keepLines/>
      </w:pPr>
      <w:r>
        <w:t>Victoria</w:t>
      </w:r>
    </w:p>
    <w:p w14:paraId="42CEC08E" w14:textId="0FEBAB54" w:rsidR="003A0ECF" w:rsidRPr="005550A0" w:rsidRDefault="00B3294E" w:rsidP="00007D86">
      <w:pPr>
        <w:pStyle w:val="BodyText"/>
        <w:spacing w:before="0"/>
      </w:pPr>
      <w:r w:rsidRPr="00B3294E">
        <w:rPr>
          <w:noProof/>
        </w:rPr>
        <w:drawing>
          <wp:inline distT="0" distB="0" distL="0" distR="0" wp14:anchorId="3058B721" wp14:editId="1CE51C4C">
            <wp:extent cx="6120000" cy="3795407"/>
            <wp:effectExtent l="0" t="0" r="0" b="0"/>
            <wp:docPr id="119" name="Picture 119" descr="This figure shows a screen clipping of an online tool offered by the Victorian government to benchmark the performance of local councils across a range of performanc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is figure shows a screen clipping of an online tool offered by the Victorian government to benchmark the performance of local councils across a range of performance criteria."/>
                    <pic:cNvPicPr>
                      <a:picLocks noChangeAspect="1" noChangeArrowheads="1"/>
                    </pic:cNvPicPr>
                  </pic:nvPicPr>
                  <pic:blipFill>
                    <a:blip r:embed="rId71" cstate="print">
                      <a:extLst>
                        <a:ext uri="{28A0092B-C50C-407E-A947-70E740481C1C}">
                          <a14:useLocalDpi xmlns:a14="http://schemas.microsoft.com/office/drawing/2010/main"/>
                        </a:ext>
                      </a:extLst>
                    </a:blip>
                    <a:stretch>
                      <a:fillRect/>
                    </a:stretch>
                  </pic:blipFill>
                  <pic:spPr bwMode="auto">
                    <a:xfrm>
                      <a:off x="0" y="0"/>
                      <a:ext cx="6120000" cy="3795407"/>
                    </a:xfrm>
                    <a:prstGeom prst="rect">
                      <a:avLst/>
                    </a:prstGeom>
                    <a:noFill/>
                    <a:ln>
                      <a:noFill/>
                    </a:ln>
                  </pic:spPr>
                </pic:pic>
              </a:graphicData>
            </a:graphic>
          </wp:inline>
        </w:drawing>
      </w:r>
    </w:p>
    <w:p w14:paraId="10BDDE82" w14:textId="2BC1CE52" w:rsidR="003A0ECF" w:rsidRDefault="003A0ECF" w:rsidP="003A0ECF">
      <w:pPr>
        <w:pStyle w:val="Source"/>
      </w:pPr>
      <w:r w:rsidRPr="00696447">
        <w:t>Source:</w:t>
      </w:r>
      <w:r>
        <w:t xml:space="preserve"> VAGO </w:t>
      </w:r>
      <w:r w:rsidRPr="00107A85">
        <w:rPr>
          <w:rFonts w:ascii="Arial" w:hAnsi="Arial" w:cs="Arial"/>
        </w:rPr>
        <w:t>(</w:t>
      </w:r>
      <w:proofErr w:type="spellStart"/>
      <w:r w:rsidRPr="00107A85">
        <w:rPr>
          <w:rFonts w:ascii="Arial" w:hAnsi="Arial" w:cs="Arial"/>
        </w:rPr>
        <w:t>nd</w:t>
      </w:r>
      <w:proofErr w:type="spellEnd"/>
      <w:r w:rsidRPr="00107A85">
        <w:rPr>
          <w:rFonts w:ascii="Arial" w:hAnsi="Arial" w:cs="Arial"/>
        </w:rPr>
        <w:t>)</w:t>
      </w:r>
      <w:r>
        <w:t>.</w:t>
      </w:r>
    </w:p>
    <w:p w14:paraId="5F0DC950" w14:textId="77777777" w:rsidR="003A0ECF" w:rsidRDefault="003A0ECF" w:rsidP="007F4BC7">
      <w:pPr>
        <w:pStyle w:val="Heading3"/>
      </w:pPr>
      <w:r>
        <w:t>Creating diffusion institutions is innovative in its own right</w:t>
      </w:r>
    </w:p>
    <w:p w14:paraId="2EF0E2B9" w14:textId="6845EBF5" w:rsidR="003A0ECF" w:rsidRDefault="003A0ECF" w:rsidP="003A0ECF">
      <w:pPr>
        <w:pStyle w:val="BodyText"/>
      </w:pPr>
      <w:r>
        <w:t xml:space="preserve">While there is an abundance of Australian and global evidence about the effectiveness of educational interventions, the evidence varies enormously in quality, scalability, and relevance to different student groups </w:t>
      </w:r>
      <w:r w:rsidR="00936D73" w:rsidRPr="00936D73">
        <w:rPr>
          <w:rFonts w:ascii="Arial" w:hAnsi="Arial" w:cs="Arial"/>
          <w:szCs w:val="24"/>
        </w:rPr>
        <w:lastRenderedPageBreak/>
        <w:t>(PC 2016d)</w:t>
      </w:r>
      <w:r>
        <w:t>. For instance, the global r</w:t>
      </w:r>
      <w:r w:rsidRPr="008E58C0">
        <w:t>esearch on the use of feedback within classroom practice</w:t>
      </w:r>
      <w:r>
        <w:t xml:space="preserve"> finds (positive) impacts that are about eight times higher in low</w:t>
      </w:r>
      <w:r>
        <w:noBreakHyphen/>
        <w:t>quality than high</w:t>
      </w:r>
      <w:r>
        <w:noBreakHyphen/>
        <w:t>quality studies, suggesting over</w:t>
      </w:r>
      <w:r>
        <w:noBreakHyphen/>
        <w:t xml:space="preserve">confidence in this approach </w:t>
      </w:r>
      <w:r w:rsidRPr="00267003">
        <w:rPr>
          <w:rFonts w:cs="Arial"/>
          <w:szCs w:val="24"/>
        </w:rPr>
        <w:t>(Miller 2021)</w:t>
      </w:r>
      <w:r>
        <w:t xml:space="preserve">. Similar correlations between the quality of the research and effect sizes is common across other interventions </w:t>
      </w:r>
      <w:r w:rsidRPr="009250AB">
        <w:rPr>
          <w:rFonts w:cs="Arial"/>
          <w:szCs w:val="24"/>
        </w:rPr>
        <w:t>(Evans and Yuan 2022)</w:t>
      </w:r>
      <w:r>
        <w:t>.</w:t>
      </w:r>
    </w:p>
    <w:p w14:paraId="6A3692D2" w14:textId="72990ED3" w:rsidR="003A0ECF" w:rsidRPr="00FF5677" w:rsidRDefault="003A0ECF" w:rsidP="003A0ECF">
      <w:pPr>
        <w:pStyle w:val="BodyText"/>
        <w:rPr>
          <w:spacing w:val="-2"/>
        </w:rPr>
      </w:pPr>
      <w:r w:rsidRPr="00FF5677">
        <w:rPr>
          <w:spacing w:val="-2"/>
        </w:rPr>
        <w:t>In recognition of the credibility gap and uncertainty in interpreting research results for teacher practice</w:t>
      </w:r>
      <w:r w:rsidR="00755328" w:rsidRPr="00FF5677">
        <w:rPr>
          <w:spacing w:val="-2"/>
        </w:rPr>
        <w:t>,</w:t>
      </w:r>
      <w:r w:rsidRPr="00FF5677">
        <w:rPr>
          <w:spacing w:val="-2"/>
        </w:rPr>
        <w:t xml:space="preserve"> the Australian Education Research Organisation (AERO) was created to provide critically</w:t>
      </w:r>
      <w:r w:rsidRPr="00FF5677">
        <w:rPr>
          <w:spacing w:val="-2"/>
        </w:rPr>
        <w:noBreakHyphen/>
        <w:t>assessed evidence about effective education in Australia. AERO is jointly funded by the Australian, and state and territory governments.</w:t>
      </w:r>
    </w:p>
    <w:p w14:paraId="16D13176" w14:textId="77777777" w:rsidR="00371E2B" w:rsidRDefault="00371E2B" w:rsidP="007F3BB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34"/>
        <w:gridCol w:w="8894"/>
      </w:tblGrid>
      <w:tr w:rsidR="003A0ECF" w14:paraId="0E30F659" w14:textId="77777777" w:rsidTr="00C426E9">
        <w:trPr>
          <w:trHeight w:val="765"/>
          <w:tblHeader/>
        </w:trPr>
        <w:tc>
          <w:tcPr>
            <w:tcW w:w="381" w:type="pct"/>
            <w:tcBorders>
              <w:bottom w:val="nil"/>
            </w:tcBorders>
            <w:tcMar>
              <w:bottom w:w="0" w:type="dxa"/>
            </w:tcMar>
            <w:vAlign w:val="center"/>
          </w:tcPr>
          <w:p w14:paraId="4AAB644C" w14:textId="77777777" w:rsidR="003A0ECF" w:rsidRDefault="003A0ECF" w:rsidP="00C426E9">
            <w:pPr>
              <w:pStyle w:val="NoSpacing"/>
              <w:keepLines/>
              <w:jc w:val="right"/>
            </w:pPr>
            <w:r w:rsidRPr="00A51374">
              <w:rPr>
                <w:noProof/>
              </w:rPr>
              <w:drawing>
                <wp:inline distT="0" distB="0" distL="0" distR="0" wp14:anchorId="4BE65766" wp14:editId="5EB3B9EC">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19" w:type="pct"/>
            <w:tcBorders>
              <w:bottom w:val="nil"/>
            </w:tcBorders>
            <w:tcMar>
              <w:bottom w:w="0" w:type="dxa"/>
            </w:tcMar>
            <w:vAlign w:val="center"/>
          </w:tcPr>
          <w:p w14:paraId="2C338191" w14:textId="77777777" w:rsidR="003A0ECF" w:rsidRPr="00A4395A" w:rsidRDefault="003A0ECF" w:rsidP="00C426E9">
            <w:pPr>
              <w:pStyle w:val="TableHeading"/>
              <w:keepLines/>
              <w:spacing w:before="60" w:after="120"/>
              <w:contextualSpacing/>
              <w:rPr>
                <w:sz w:val="20"/>
              </w:rPr>
            </w:pPr>
            <w:r w:rsidRPr="00A4395A">
              <w:rPr>
                <w:sz w:val="20"/>
              </w:rPr>
              <w:t xml:space="preserve">Finding </w:t>
            </w:r>
            <w:r>
              <w:rPr>
                <w:sz w:val="20"/>
              </w:rPr>
              <w:t>3.2</w:t>
            </w:r>
          </w:p>
          <w:p w14:paraId="4EFE55DE" w14:textId="77777777" w:rsidR="003A0ECF" w:rsidRDefault="003A0ECF" w:rsidP="00C426E9">
            <w:pPr>
              <w:pStyle w:val="TableHeading"/>
              <w:keepLines/>
              <w:spacing w:before="60" w:after="120"/>
              <w:contextualSpacing/>
            </w:pPr>
            <w:r>
              <w:t>Government innovation is not an oxymoron</w:t>
            </w:r>
          </w:p>
        </w:tc>
      </w:tr>
      <w:tr w:rsidR="003A0ECF" w14:paraId="28A0F85C" w14:textId="77777777" w:rsidTr="00C426E9">
        <w:tc>
          <w:tcPr>
            <w:tcW w:w="5000" w:type="pct"/>
            <w:gridSpan w:val="2"/>
            <w:tcBorders>
              <w:top w:val="nil"/>
              <w:bottom w:val="single" w:sz="4" w:space="0" w:color="66BCDB" w:themeColor="text2"/>
            </w:tcBorders>
          </w:tcPr>
          <w:p w14:paraId="07677FDD" w14:textId="51AF1CA3" w:rsidR="003A0ECF" w:rsidRDefault="003A0ECF" w:rsidP="00C426E9">
            <w:pPr>
              <w:pStyle w:val="BodyText"/>
              <w:keepLines/>
            </w:pPr>
            <w:r>
              <w:t>Government at all levels can be highly innovative, as illustrated by rapid responses to the COVID</w:t>
            </w:r>
            <w:r w:rsidR="000565F7">
              <w:noBreakHyphen/>
            </w:r>
            <w:r>
              <w:t xml:space="preserve">19 pandemic, many innovative programs to address chronic disease, and the leadership role Australian governments have played in the use of technology to better achieve regulatory objectives (‘regtech’), among many other initiatives. </w:t>
            </w:r>
            <w:r w:rsidRPr="008C54F0">
              <w:t>In combination, these initiatives have the potential to save billions.</w:t>
            </w:r>
          </w:p>
        </w:tc>
      </w:tr>
      <w:tr w:rsidR="003A0ECF" w14:paraId="2A998BBC" w14:textId="77777777" w:rsidTr="00C426E9">
        <w:tc>
          <w:tcPr>
            <w:tcW w:w="5000" w:type="pct"/>
            <w:gridSpan w:val="2"/>
            <w:tcBorders>
              <w:top w:val="single" w:sz="4" w:space="0" w:color="66BCDB" w:themeColor="text2"/>
              <w:left w:val="nil"/>
              <w:bottom w:val="nil"/>
              <w:right w:val="nil"/>
            </w:tcBorders>
            <w:tcMar>
              <w:bottom w:w="0" w:type="dxa"/>
            </w:tcMar>
          </w:tcPr>
          <w:p w14:paraId="4264A84E" w14:textId="77777777" w:rsidR="003A0ECF" w:rsidRDefault="003A0ECF" w:rsidP="00C426E9">
            <w:pPr>
              <w:pStyle w:val="NoSpacing"/>
              <w:spacing w:line="200" w:lineRule="atLeast"/>
            </w:pPr>
          </w:p>
        </w:tc>
      </w:tr>
    </w:tbl>
    <w:p w14:paraId="5F926524" w14:textId="77777777" w:rsidR="003A0ECF" w:rsidRPr="002625A3" w:rsidRDefault="003A0ECF" w:rsidP="003A0ECF">
      <w:pPr>
        <w:pStyle w:val="Heading2"/>
      </w:pPr>
      <w:bookmarkStart w:id="117" w:name="_Toc113969661"/>
      <w:r w:rsidRPr="002625A3">
        <w:t>… but adopting best practice can be slow or weak in some important areas</w:t>
      </w:r>
      <w:bookmarkEnd w:id="117"/>
    </w:p>
    <w:p w14:paraId="0E3EF89D" w14:textId="435F18E3" w:rsidR="003A0ECF" w:rsidRDefault="003A0ECF" w:rsidP="003A0ECF">
      <w:pPr>
        <w:pStyle w:val="BodyText"/>
      </w:pPr>
      <w:r>
        <w:t>While innovation occurs in many public sector services, governments can do more to increase diffusion and adoption of good practice across services.</w:t>
      </w:r>
    </w:p>
    <w:p w14:paraId="20D44D0B" w14:textId="324A909C" w:rsidR="003A0ECF" w:rsidRDefault="003A0ECF" w:rsidP="003A0ECF">
      <w:pPr>
        <w:pStyle w:val="BodyText"/>
      </w:pPr>
      <w:r>
        <w:t>The history of government initiatives is often typified by the gradual adoption of good ideas (and the corpses of good ideas that have been buried, such as many of the tax reforms proposed by the Henry Tax Review and more explicit carbon pricing).</w:t>
      </w:r>
    </w:p>
    <w:p w14:paraId="0B9C66B5" w14:textId="413F8FA8" w:rsidR="003A0ECF" w:rsidRDefault="003A0ECF" w:rsidP="003A0ECF">
      <w:pPr>
        <w:pStyle w:val="BodyText"/>
      </w:pPr>
      <w:r>
        <w:t>For example, in 1993, Victoria adopted activity</w:t>
      </w:r>
      <w:r>
        <w:noBreakHyphen/>
        <w:t xml:space="preserve">based funding as the way to </w:t>
      </w:r>
      <w:proofErr w:type="gramStart"/>
      <w:r>
        <w:t>more efficiently fund public hospitals</w:t>
      </w:r>
      <w:proofErr w:type="gramEnd"/>
      <w:r>
        <w:t xml:space="preserve">. It took 17 years before all of the large jurisdictions followed in adopting this innovation </w:t>
      </w:r>
      <w:r w:rsidRPr="003948A3">
        <w:rPr>
          <w:rFonts w:ascii="Arial" w:hAnsi="Arial" w:cs="Arial"/>
          <w:szCs w:val="24"/>
        </w:rPr>
        <w:t>(Duckett 2018a, p. 355)</w:t>
      </w:r>
      <w:r>
        <w:t>.</w:t>
      </w:r>
    </w:p>
    <w:p w14:paraId="0A1CDAB7" w14:textId="4173AC7D" w:rsidR="003A0ECF" w:rsidRDefault="003A0ECF" w:rsidP="003A0ECF">
      <w:pPr>
        <w:pStyle w:val="BodyText"/>
      </w:pPr>
      <w:r>
        <w:t>Before the change to the Medical Benefits Schedule (MBS) in 2020 in response to COVID</w:t>
      </w:r>
      <w:r>
        <w:noBreakHyphen/>
        <w:t>19, GP telehealth services were very limited, though the technology (the telephone) existed. Payments for telehealth services were restricted to only rural or remote areas and aged care facilities, and before mid</w:t>
      </w:r>
      <w:r>
        <w:noBreakHyphen/>
        <w:t xml:space="preserve">2011 they were further confined to psychiatric and radiology services </w:t>
      </w:r>
      <w:r w:rsidR="00936D73" w:rsidRPr="00936D73">
        <w:rPr>
          <w:rFonts w:ascii="Arial" w:hAnsi="Arial" w:cs="Arial"/>
          <w:szCs w:val="24"/>
        </w:rPr>
        <w:t>(PC 2017d, p. 56; Tran and Haddock 2021, p. 6)</w:t>
      </w:r>
      <w:r>
        <w:t xml:space="preserve"> despite evidence of their benefits </w:t>
      </w:r>
      <w:r w:rsidRPr="00311B56">
        <w:rPr>
          <w:rFonts w:ascii="Arial" w:hAnsi="Arial" w:cs="Arial"/>
          <w:szCs w:val="24"/>
        </w:rPr>
        <w:t xml:space="preserve">(Moffatt and </w:t>
      </w:r>
      <w:proofErr w:type="spellStart"/>
      <w:r w:rsidRPr="00311B56">
        <w:rPr>
          <w:rFonts w:ascii="Arial" w:hAnsi="Arial" w:cs="Arial"/>
          <w:szCs w:val="24"/>
        </w:rPr>
        <w:t>Eley</w:t>
      </w:r>
      <w:proofErr w:type="spellEnd"/>
      <w:r w:rsidRPr="00311B56">
        <w:rPr>
          <w:rFonts w:ascii="Arial" w:hAnsi="Arial" w:cs="Arial"/>
          <w:szCs w:val="24"/>
        </w:rPr>
        <w:t> 2010)</w:t>
      </w:r>
      <w:r>
        <w:t>. The increase in telehealth service use necessitated by the pandemic looks set to continue as the pandemic recedes but it could have been rolled out far more widely prior to the pandemic. Sustainable use of telehealth</w:t>
      </w:r>
      <w:r w:rsidRPr="004A74F8">
        <w:t xml:space="preserve"> will require further innovation in monitoring and cost control</w:t>
      </w:r>
      <w:r>
        <w:t>.</w:t>
      </w:r>
      <w:r w:rsidRPr="004A74F8">
        <w:t xml:space="preserve"> </w:t>
      </w:r>
      <w:r>
        <w:t xml:space="preserve">There are other technologies — such as wearables that gather and communicate health indicators to clinicians in a timely, efficient and unobtrusive manner — that are not supported by the clinical model underpinning the MBS funding model (MTAA, sub. 33, </w:t>
      </w:r>
      <w:r w:rsidR="000565F7">
        <w:t>p</w:t>
      </w:r>
      <w:r>
        <w:t>p. 5–6).</w:t>
      </w:r>
    </w:p>
    <w:p w14:paraId="0FFF515C" w14:textId="21B31819" w:rsidR="003A0ECF" w:rsidRDefault="003A0ECF" w:rsidP="003A0ECF">
      <w:pPr>
        <w:pStyle w:val="BodyText"/>
      </w:pPr>
      <w:r>
        <w:t xml:space="preserve">In the case studies of innovations that help manage and prevent chronic disease cited above, the Commission found that many jurisdictions and clinicians had developed highly effective </w:t>
      </w:r>
      <w:r w:rsidRPr="00B3058B">
        <w:t>non</w:t>
      </w:r>
      <w:r>
        <w:noBreakHyphen/>
      </w:r>
      <w:r w:rsidRPr="00B3058B">
        <w:t>clinical innovations</w:t>
      </w:r>
      <w:r>
        <w:t>, but most of these have not been adopted widely across Australia</w:t>
      </w:r>
      <w:r w:rsidRPr="00B3058B">
        <w:t xml:space="preserve"> </w:t>
      </w:r>
      <w:r w:rsidRPr="008B742A">
        <w:rPr>
          <w:rFonts w:ascii="Arial" w:hAnsi="Arial" w:cs="Arial"/>
          <w:szCs w:val="24"/>
        </w:rPr>
        <w:t>(PC 2021b, p. 17)</w:t>
      </w:r>
      <w:r>
        <w:t>.</w:t>
      </w:r>
    </w:p>
    <w:p w14:paraId="50E0F6B6" w14:textId="7DE066BA" w:rsidR="003A0ECF" w:rsidRDefault="003A0ECF" w:rsidP="003A0ECF">
      <w:pPr>
        <w:pStyle w:val="BodyText"/>
      </w:pPr>
      <w:r>
        <w:lastRenderedPageBreak/>
        <w:t xml:space="preserve">Also, despite being the major funder of healthcare and a source of clinical guidelines and advice, Australian governments have often struggled to contain unwarranted variations in practices by clinicians. There are large </w:t>
      </w:r>
      <w:r w:rsidRPr="00B3058B">
        <w:t>variation</w:t>
      </w:r>
      <w:r>
        <w:t>s</w:t>
      </w:r>
      <w:r w:rsidRPr="00B3058B">
        <w:t xml:space="preserve"> in the use of interventions reflecting the different rates at which new practices spread through the health system </w:t>
      </w:r>
      <w:r>
        <w:t>or, worse, how outdated and sometimes harmful practices persist</w:t>
      </w:r>
      <w:r w:rsidRPr="00B3058B">
        <w:t xml:space="preserve"> </w:t>
      </w:r>
      <w:r w:rsidRPr="00854D9F">
        <w:rPr>
          <w:rFonts w:ascii="Arial" w:hAnsi="Arial" w:cs="Arial"/>
          <w:szCs w:val="24"/>
        </w:rPr>
        <w:t>(ACSQHC 2019, p. 46, 2021b, 2021a; Duckett 2017, pp. 15–17; OECD 2017)</w:t>
      </w:r>
      <w:r w:rsidRPr="00B3058B">
        <w:t xml:space="preserve">. </w:t>
      </w:r>
      <w:r>
        <w:t>Despite Australia having a high</w:t>
      </w:r>
      <w:r>
        <w:noBreakHyphen/>
        <w:t xml:space="preserve">quality healthcare system, waste is endemic. In their submission to the Inquiry, ACSQHC noted that: </w:t>
      </w:r>
    </w:p>
    <w:p w14:paraId="6165781C" w14:textId="27B3AD7F" w:rsidR="003A0ECF" w:rsidRDefault="003A0ECF" w:rsidP="003A0ECF">
      <w:pPr>
        <w:pStyle w:val="Quote"/>
      </w:pPr>
      <w:r>
        <w:t>‘If clinical variation does not reflect a difference in patients’ clinical needs or preferences, it is unwarranted and can present an opportunity for the system to improve.’ (ACSQHC, sub. 9, p.</w:t>
      </w:r>
      <w:r w:rsidR="000565F7">
        <w:t> </w:t>
      </w:r>
      <w:r>
        <w:t>7)</w:t>
      </w:r>
    </w:p>
    <w:p w14:paraId="0CBDBBC4" w14:textId="4F3C647A" w:rsidR="003A0ECF" w:rsidRDefault="003A0ECF" w:rsidP="003A0ECF">
      <w:pPr>
        <w:pStyle w:val="BodyText"/>
      </w:pPr>
      <w:r>
        <w:t>The over</w:t>
      </w:r>
      <w:r>
        <w:noBreakHyphen/>
        <w:t>prescription of antibiotics by GPs provides a vivid example. A large percentage of patients are being prescribed antibiotics for conditions for which there is no evidence of health benefits from antibiotic use such as non</w:t>
      </w:r>
      <w:r>
        <w:noBreakHyphen/>
        <w:t xml:space="preserve">infant acute tonsillitis (85 per cent of patients) and bronchitis (82 per cent of patients) </w:t>
      </w:r>
      <w:r w:rsidRPr="00C22068">
        <w:rPr>
          <w:rFonts w:ascii="Arial" w:hAnsi="Arial" w:cs="Arial"/>
          <w:szCs w:val="24"/>
        </w:rPr>
        <w:t>(ACSQHC 2021a, pp. 79–80)</w:t>
      </w:r>
      <w:r>
        <w:t>. There are also large numbers of preventable hospitalisations</w:t>
      </w:r>
      <w:r w:rsidR="002E40CE">
        <w:t>,</w:t>
      </w:r>
      <w:r>
        <w:t xml:space="preserve"> with these varying considerably across locations, suggesting the scope for large</w:t>
      </w:r>
      <w:r>
        <w:noBreakHyphen/>
        <w:t xml:space="preserve">scale diffusion of best practice </w:t>
      </w:r>
      <w:r w:rsidRPr="003224E1">
        <w:rPr>
          <w:rFonts w:ascii="Arial" w:hAnsi="Arial" w:cs="Arial"/>
          <w:szCs w:val="24"/>
        </w:rPr>
        <w:t>(ACSQHC 2021b)</w:t>
      </w:r>
      <w:r>
        <w:t xml:space="preserve">. </w:t>
      </w:r>
    </w:p>
    <w:p w14:paraId="65D90FC3" w14:textId="34390665" w:rsidR="003A0ECF" w:rsidRDefault="003A0ECF" w:rsidP="003A0ECF">
      <w:pPr>
        <w:pStyle w:val="BodyText"/>
      </w:pPr>
      <w:r>
        <w:t>The striking variation across locations suggests opportunities for improvement through more guidance, monitoring, education, and for some contexts and procedures, de</w:t>
      </w:r>
      <w:r>
        <w:noBreakHyphen/>
        <w:t>funding. The MBS was first introduced in 1984 and before 2015</w:t>
      </w:r>
      <w:r>
        <w:noBreakHyphen/>
        <w:t xml:space="preserve">16 had never been subject to a comprehensive review despite substantial changes to medical practice </w:t>
      </w:r>
      <w:r w:rsidRPr="00057F7D">
        <w:rPr>
          <w:rFonts w:ascii="Arial" w:hAnsi="Arial" w:cs="Arial"/>
          <w:szCs w:val="24"/>
        </w:rPr>
        <w:t>(Medicare Benefit Schedule Review Taskforce 2020, p. 1)</w:t>
      </w:r>
      <w:r>
        <w:t xml:space="preserve">. </w:t>
      </w:r>
    </w:p>
    <w:p w14:paraId="533EA992" w14:textId="2F05FE2D" w:rsidR="003A0ECF" w:rsidRPr="00C240D9" w:rsidRDefault="003A0ECF" w:rsidP="003A0ECF">
      <w:pPr>
        <w:pStyle w:val="BodyText"/>
        <w:rPr>
          <w:spacing w:val="-2"/>
        </w:rPr>
      </w:pPr>
      <w:r w:rsidRPr="00C240D9">
        <w:rPr>
          <w:spacing w:val="-2"/>
        </w:rPr>
        <w:t>In mental health, the Commission estimated that in 2017</w:t>
      </w:r>
      <w:r w:rsidRPr="00C240D9">
        <w:rPr>
          <w:spacing w:val="-2"/>
        </w:rPr>
        <w:noBreakHyphen/>
        <w:t xml:space="preserve">18, about 40 000 consumers in community ambulatory mental healthcare services would benefit from participation in an Individual Placement and Support Program, yet only 4.5 per cent of that group did so </w:t>
      </w:r>
      <w:r w:rsidR="00936D73" w:rsidRPr="00C240D9">
        <w:rPr>
          <w:rFonts w:cs="Arial"/>
          <w:spacing w:val="-2"/>
          <w:szCs w:val="24"/>
        </w:rPr>
        <w:t>(PC 2020e, p. 949)</w:t>
      </w:r>
      <w:r w:rsidRPr="00C240D9">
        <w:rPr>
          <w:spacing w:val="-2"/>
        </w:rPr>
        <w:t xml:space="preserve">. This was despite firmly established evidence in favour of this approach. The broader picture of Australia’s mental healthcare system was that adoption of a best practice system would yield benefits of about $20 billion annually </w:t>
      </w:r>
      <w:r w:rsidR="00936D73" w:rsidRPr="00C240D9">
        <w:rPr>
          <w:rFonts w:cs="Arial"/>
          <w:spacing w:val="-2"/>
          <w:szCs w:val="24"/>
        </w:rPr>
        <w:t>(PC 2020e, p. 2)</w:t>
      </w:r>
      <w:r w:rsidRPr="00C240D9">
        <w:rPr>
          <w:spacing w:val="-2"/>
        </w:rPr>
        <w:t>.</w:t>
      </w:r>
    </w:p>
    <w:p w14:paraId="25FC17F0" w14:textId="77777777" w:rsidR="003A0ECF" w:rsidRDefault="003A0ECF" w:rsidP="003A0ECF">
      <w:pPr>
        <w:pStyle w:val="BodyText"/>
      </w:pPr>
      <w:r>
        <w:t>Outside healthcare, there are numerous other instances of innovation and best practice that have diffused slowly or not at all.</w:t>
      </w:r>
    </w:p>
    <w:p w14:paraId="532F1A1E" w14:textId="5D2467FE" w:rsidR="003A0ECF" w:rsidRDefault="003A0ECF" w:rsidP="003A0ECF">
      <w:pPr>
        <w:pStyle w:val="BodyText"/>
      </w:pPr>
      <w:r>
        <w:t>In 2012</w:t>
      </w:r>
      <w:r>
        <w:noBreakHyphen/>
        <w:t>13, the ACT Government implemented a 20</w:t>
      </w:r>
      <w:r>
        <w:noBreakHyphen/>
        <w:t>year transition to aboli</w:t>
      </w:r>
      <w:r w:rsidR="00407DEF">
        <w:t>sh</w:t>
      </w:r>
      <w:r>
        <w:t xml:space="preserve"> inefficient stamp duties on property sales and mov</w:t>
      </w:r>
      <w:r w:rsidR="00F335AB">
        <w:t>e</w:t>
      </w:r>
      <w:r>
        <w:t xml:space="preserve"> to rates. In July 2022, the NSW Government followed in the ACT’s footsteps, though with the significant variation of giving homeowners the option of choosing to pay stamp duty or higher rates. No other jurisdiction has yet moved away from such stamp duties.</w:t>
      </w:r>
    </w:p>
    <w:p w14:paraId="5109D91F" w14:textId="605E8604" w:rsidR="003A0ECF" w:rsidRDefault="003A0ECF" w:rsidP="003A0ECF">
      <w:pPr>
        <w:pStyle w:val="FigureTableHeading"/>
      </w:pPr>
      <w:r>
        <w:t xml:space="preserve">Table </w:t>
      </w:r>
      <w:r>
        <w:rPr>
          <w:noProof/>
        </w:rPr>
        <w:t>3</w:t>
      </w:r>
      <w:r>
        <w:t>.</w:t>
      </w:r>
      <w:r>
        <w:rPr>
          <w:noProof/>
        </w:rPr>
        <w:t xml:space="preserve">1 – </w:t>
      </w:r>
      <w:r>
        <w:t xml:space="preserve">There is considerable variation in healthcare </w:t>
      </w:r>
      <w:proofErr w:type="spellStart"/>
      <w:r>
        <w:t>practice</w:t>
      </w:r>
      <w:r w:rsidRPr="00EC0C27">
        <w:rPr>
          <w:vertAlign w:val="superscript"/>
        </w:rPr>
        <w:t>a</w:t>
      </w:r>
      <w:proofErr w:type="spellEnd"/>
    </w:p>
    <w:p w14:paraId="01DB6D81" w14:textId="77777777" w:rsidR="003A0ECF" w:rsidRDefault="003A0ECF" w:rsidP="003A0ECF">
      <w:pPr>
        <w:pStyle w:val="FigureTableSubheading"/>
      </w:pPr>
      <w:r>
        <w:t>Potentially preventable hospitalisations of chronic disease and infections</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701"/>
        <w:gridCol w:w="1559"/>
        <w:gridCol w:w="1843"/>
        <w:gridCol w:w="1276"/>
      </w:tblGrid>
      <w:tr w:rsidR="003A0ECF" w:rsidRPr="00030C67" w14:paraId="6ACD3D8B" w14:textId="77777777" w:rsidTr="00C426E9">
        <w:trPr>
          <w:tblHeader/>
        </w:trPr>
        <w:tc>
          <w:tcPr>
            <w:tcW w:w="3119" w:type="dxa"/>
            <w:tcBorders>
              <w:bottom w:val="single" w:sz="4" w:space="0" w:color="B3B3B3"/>
            </w:tcBorders>
            <w:shd w:val="clear" w:color="000000" w:fill="auto"/>
            <w:vAlign w:val="bottom"/>
          </w:tcPr>
          <w:p w14:paraId="5A04AF46" w14:textId="77777777" w:rsidR="003A0ECF" w:rsidRPr="004B2520" w:rsidRDefault="003A0ECF" w:rsidP="00C426E9">
            <w:pPr>
              <w:spacing w:before="45" w:after="45"/>
              <w:ind w:right="108"/>
              <w:rPr>
                <w:rFonts w:ascii="Arial" w:hAnsi="Arial" w:cs="Arial"/>
                <w:b/>
                <w:bCs/>
                <w:color w:val="265A9A"/>
                <w:sz w:val="18"/>
                <w:szCs w:val="18"/>
              </w:rPr>
            </w:pPr>
            <w:r w:rsidRPr="004B2520">
              <w:rPr>
                <w:rFonts w:ascii="Arial" w:hAnsi="Arial" w:cs="Arial"/>
                <w:b/>
                <w:bCs/>
                <w:color w:val="265A9A"/>
                <w:sz w:val="18"/>
                <w:szCs w:val="18"/>
              </w:rPr>
              <w:t>Preventable episodes</w:t>
            </w:r>
          </w:p>
        </w:tc>
        <w:tc>
          <w:tcPr>
            <w:tcW w:w="1701" w:type="dxa"/>
            <w:tcBorders>
              <w:bottom w:val="single" w:sz="4" w:space="0" w:color="B3B3B3"/>
            </w:tcBorders>
            <w:shd w:val="clear" w:color="000000" w:fill="auto"/>
          </w:tcPr>
          <w:p w14:paraId="00C5003B" w14:textId="77777777" w:rsidR="003A0ECF" w:rsidRPr="00030C67" w:rsidRDefault="003A0ECF" w:rsidP="001B2DA2">
            <w:pPr>
              <w:pStyle w:val="TableHeading"/>
              <w:ind w:right="57"/>
              <w:jc w:val="right"/>
            </w:pPr>
            <w:r w:rsidRPr="00A83622">
              <w:t>Lowest SA3 rate per 100</w:t>
            </w:r>
            <w:r>
              <w:t xml:space="preserve"> </w:t>
            </w:r>
            <w:r w:rsidRPr="00A83622">
              <w:t>000</w:t>
            </w:r>
          </w:p>
        </w:tc>
        <w:tc>
          <w:tcPr>
            <w:tcW w:w="1559" w:type="dxa"/>
            <w:tcBorders>
              <w:bottom w:val="single" w:sz="4" w:space="0" w:color="B3B3B3"/>
            </w:tcBorders>
            <w:shd w:val="clear" w:color="000000" w:fill="auto"/>
          </w:tcPr>
          <w:p w14:paraId="20A67BDA" w14:textId="77777777" w:rsidR="003A0ECF" w:rsidRPr="00030C67" w:rsidRDefault="003A0ECF" w:rsidP="001B2DA2">
            <w:pPr>
              <w:pStyle w:val="TableHeading"/>
              <w:ind w:right="57"/>
              <w:jc w:val="right"/>
            </w:pPr>
            <w:r w:rsidRPr="00A83622">
              <w:t>Highest SA3 rate per 100</w:t>
            </w:r>
            <w:r>
              <w:t xml:space="preserve"> </w:t>
            </w:r>
            <w:r w:rsidRPr="00A83622">
              <w:t>000</w:t>
            </w:r>
          </w:p>
        </w:tc>
        <w:tc>
          <w:tcPr>
            <w:tcW w:w="1843" w:type="dxa"/>
            <w:tcBorders>
              <w:bottom w:val="single" w:sz="4" w:space="0" w:color="B3B3B3"/>
            </w:tcBorders>
            <w:shd w:val="clear" w:color="000000" w:fill="auto"/>
          </w:tcPr>
          <w:p w14:paraId="2DEA1850" w14:textId="77777777" w:rsidR="003A0ECF" w:rsidRPr="00A83622" w:rsidRDefault="003A0ECF" w:rsidP="001B2DA2">
            <w:pPr>
              <w:pStyle w:val="TableHeading"/>
              <w:ind w:right="57"/>
              <w:jc w:val="right"/>
            </w:pPr>
            <w:r w:rsidRPr="00A83622">
              <w:t>National magnitude of variation</w:t>
            </w:r>
          </w:p>
        </w:tc>
        <w:tc>
          <w:tcPr>
            <w:tcW w:w="1276" w:type="dxa"/>
            <w:tcBorders>
              <w:bottom w:val="single" w:sz="4" w:space="0" w:color="B3B3B3"/>
            </w:tcBorders>
            <w:shd w:val="clear" w:color="000000" w:fill="auto"/>
          </w:tcPr>
          <w:p w14:paraId="08B38A4C" w14:textId="77777777" w:rsidR="003A0ECF" w:rsidRPr="00A83622" w:rsidRDefault="003A0ECF" w:rsidP="001B2DA2">
            <w:pPr>
              <w:pStyle w:val="TableHeading"/>
              <w:ind w:right="57"/>
              <w:jc w:val="right"/>
            </w:pPr>
            <w:r w:rsidRPr="00A83622">
              <w:t>National rate per 100</w:t>
            </w:r>
            <w:r>
              <w:t xml:space="preserve"> </w:t>
            </w:r>
            <w:r w:rsidRPr="00A83622">
              <w:t>000</w:t>
            </w:r>
          </w:p>
        </w:tc>
      </w:tr>
      <w:tr w:rsidR="003A0ECF" w:rsidRPr="00030C67" w14:paraId="27509045" w14:textId="77777777" w:rsidTr="00C426E9">
        <w:tc>
          <w:tcPr>
            <w:tcW w:w="3119" w:type="dxa"/>
            <w:tcBorders>
              <w:top w:val="single" w:sz="4" w:space="0" w:color="B3B3B3"/>
              <w:bottom w:val="nil"/>
            </w:tcBorders>
            <w:shd w:val="clear" w:color="000000" w:fill="F2F2F2"/>
            <w:vAlign w:val="bottom"/>
          </w:tcPr>
          <w:p w14:paraId="5EBEDAF8" w14:textId="77777777" w:rsidR="003A0ECF" w:rsidRPr="004B2520" w:rsidRDefault="003A0ECF" w:rsidP="00C426E9">
            <w:pPr>
              <w:pStyle w:val="TableHeading"/>
              <w:rPr>
                <w:rFonts w:ascii="Arial" w:hAnsi="Arial" w:cs="Arial"/>
                <w:b w:val="0"/>
                <w:bCs/>
                <w:szCs w:val="18"/>
              </w:rPr>
            </w:pPr>
            <w:r w:rsidRPr="004B2520">
              <w:rPr>
                <w:rFonts w:ascii="Arial" w:hAnsi="Arial" w:cs="Arial"/>
                <w:b w:val="0"/>
                <w:bCs/>
                <w:color w:val="000000"/>
                <w:szCs w:val="18"/>
              </w:rPr>
              <w:t>Chronic obstructive pulmonary disease, all ages</w:t>
            </w:r>
          </w:p>
        </w:tc>
        <w:tc>
          <w:tcPr>
            <w:tcW w:w="1701" w:type="dxa"/>
            <w:tcBorders>
              <w:top w:val="single" w:sz="4" w:space="0" w:color="B3B3B3"/>
              <w:bottom w:val="nil"/>
            </w:tcBorders>
            <w:shd w:val="clear" w:color="000000" w:fill="F2F2F2"/>
          </w:tcPr>
          <w:p w14:paraId="5AE339AE" w14:textId="77777777" w:rsidR="003A0ECF" w:rsidRPr="00030C67" w:rsidRDefault="003A0ECF" w:rsidP="001B2DA2">
            <w:pPr>
              <w:pStyle w:val="TableBody"/>
              <w:spacing w:before="45" w:after="45"/>
              <w:ind w:right="57"/>
              <w:jc w:val="right"/>
              <w:rPr>
                <w:rFonts w:ascii="Arial (Body)" w:hAnsi="Arial (Body)"/>
                <w:color w:val="000000"/>
              </w:rPr>
            </w:pPr>
            <w:r w:rsidRPr="003D7698">
              <w:t>56</w:t>
            </w:r>
          </w:p>
        </w:tc>
        <w:tc>
          <w:tcPr>
            <w:tcW w:w="1559" w:type="dxa"/>
            <w:tcBorders>
              <w:top w:val="single" w:sz="4" w:space="0" w:color="B3B3B3"/>
              <w:bottom w:val="nil"/>
            </w:tcBorders>
            <w:shd w:val="clear" w:color="000000" w:fill="F2F2F2"/>
          </w:tcPr>
          <w:p w14:paraId="5A289D07" w14:textId="77777777" w:rsidR="003A0ECF" w:rsidRPr="00030C67" w:rsidRDefault="003A0ECF" w:rsidP="001B2DA2">
            <w:pPr>
              <w:pStyle w:val="TableBody"/>
              <w:spacing w:before="45" w:after="45"/>
              <w:ind w:right="57"/>
              <w:jc w:val="right"/>
              <w:rPr>
                <w:rFonts w:ascii="Arial (Body)" w:hAnsi="Arial (Body)"/>
                <w:color w:val="000000"/>
              </w:rPr>
            </w:pPr>
            <w:r w:rsidRPr="003D7698">
              <w:t>2587</w:t>
            </w:r>
          </w:p>
        </w:tc>
        <w:tc>
          <w:tcPr>
            <w:tcW w:w="1843" w:type="dxa"/>
            <w:tcBorders>
              <w:top w:val="single" w:sz="4" w:space="0" w:color="B3B3B3"/>
              <w:bottom w:val="nil"/>
            </w:tcBorders>
            <w:shd w:val="clear" w:color="000000" w:fill="F2F2F2"/>
          </w:tcPr>
          <w:p w14:paraId="631D070F" w14:textId="77777777" w:rsidR="003A0ECF" w:rsidRDefault="003A0ECF" w:rsidP="001B2DA2">
            <w:pPr>
              <w:pStyle w:val="TableBody"/>
              <w:spacing w:before="45" w:after="45"/>
              <w:ind w:right="57"/>
              <w:jc w:val="right"/>
              <w:rPr>
                <w:rFonts w:ascii="Arial (Body)" w:hAnsi="Arial (Body)"/>
                <w:color w:val="000000"/>
              </w:rPr>
            </w:pPr>
            <w:r w:rsidRPr="003D7698">
              <w:t>18.1</w:t>
            </w:r>
          </w:p>
        </w:tc>
        <w:tc>
          <w:tcPr>
            <w:tcW w:w="1276" w:type="dxa"/>
            <w:tcBorders>
              <w:top w:val="single" w:sz="4" w:space="0" w:color="B3B3B3"/>
              <w:bottom w:val="nil"/>
            </w:tcBorders>
            <w:shd w:val="clear" w:color="000000" w:fill="F2F2F2"/>
          </w:tcPr>
          <w:p w14:paraId="6BA4AB67" w14:textId="77777777" w:rsidR="003A0ECF" w:rsidRDefault="003A0ECF" w:rsidP="001B2DA2">
            <w:pPr>
              <w:pStyle w:val="TableBody"/>
              <w:spacing w:before="45" w:after="45"/>
              <w:ind w:right="57"/>
              <w:jc w:val="right"/>
              <w:rPr>
                <w:rFonts w:ascii="Arial (Body)" w:hAnsi="Arial (Body)"/>
                <w:color w:val="000000"/>
              </w:rPr>
            </w:pPr>
            <w:r w:rsidRPr="003D7698">
              <w:t>260</w:t>
            </w:r>
          </w:p>
        </w:tc>
      </w:tr>
      <w:tr w:rsidR="003A0ECF" w:rsidRPr="00030C67" w14:paraId="1F5BEC14" w14:textId="77777777" w:rsidTr="00C426E9">
        <w:tc>
          <w:tcPr>
            <w:tcW w:w="3119" w:type="dxa"/>
            <w:tcBorders>
              <w:top w:val="nil"/>
              <w:bottom w:val="nil"/>
            </w:tcBorders>
            <w:shd w:val="clear" w:color="000000" w:fill="auto"/>
            <w:vAlign w:val="bottom"/>
          </w:tcPr>
          <w:p w14:paraId="58BB78AA" w14:textId="77777777" w:rsidR="003A0ECF" w:rsidRPr="004B2520" w:rsidRDefault="003A0ECF" w:rsidP="00C426E9">
            <w:pPr>
              <w:pStyle w:val="TableHeading"/>
              <w:rPr>
                <w:rFonts w:ascii="Arial" w:hAnsi="Arial" w:cs="Arial"/>
                <w:b w:val="0"/>
                <w:bCs/>
                <w:szCs w:val="18"/>
              </w:rPr>
            </w:pPr>
            <w:r w:rsidRPr="004B2520">
              <w:rPr>
                <w:rFonts w:ascii="Arial" w:hAnsi="Arial" w:cs="Arial"/>
                <w:b w:val="0"/>
                <w:bCs/>
                <w:color w:val="000000"/>
                <w:szCs w:val="18"/>
              </w:rPr>
              <w:t>Heart failure, all ages</w:t>
            </w:r>
          </w:p>
        </w:tc>
        <w:tc>
          <w:tcPr>
            <w:tcW w:w="1701" w:type="dxa"/>
            <w:tcBorders>
              <w:top w:val="nil"/>
              <w:bottom w:val="nil"/>
            </w:tcBorders>
            <w:shd w:val="clear" w:color="000000" w:fill="auto"/>
          </w:tcPr>
          <w:p w14:paraId="2B10E42E" w14:textId="77777777" w:rsidR="003A0ECF" w:rsidRPr="00030C67" w:rsidRDefault="003A0ECF" w:rsidP="001B2DA2">
            <w:pPr>
              <w:pStyle w:val="TableBody"/>
              <w:spacing w:before="45" w:after="45"/>
              <w:ind w:right="57"/>
              <w:jc w:val="right"/>
              <w:rPr>
                <w:rFonts w:ascii="Arial (Body)" w:hAnsi="Arial (Body)"/>
                <w:color w:val="000000"/>
              </w:rPr>
            </w:pPr>
            <w:r w:rsidRPr="003D7698">
              <w:t>91</w:t>
            </w:r>
          </w:p>
        </w:tc>
        <w:tc>
          <w:tcPr>
            <w:tcW w:w="1559" w:type="dxa"/>
            <w:tcBorders>
              <w:top w:val="nil"/>
              <w:bottom w:val="nil"/>
            </w:tcBorders>
            <w:shd w:val="clear" w:color="000000" w:fill="auto"/>
          </w:tcPr>
          <w:p w14:paraId="420E8B0F" w14:textId="77777777" w:rsidR="003A0ECF" w:rsidRPr="00030C67" w:rsidRDefault="003A0ECF" w:rsidP="001B2DA2">
            <w:pPr>
              <w:pStyle w:val="TableBody"/>
              <w:spacing w:before="45" w:after="45"/>
              <w:ind w:right="57"/>
              <w:jc w:val="right"/>
              <w:rPr>
                <w:rFonts w:ascii="Arial (Body)" w:hAnsi="Arial (Body)"/>
                <w:color w:val="000000"/>
              </w:rPr>
            </w:pPr>
            <w:r w:rsidRPr="003D7698">
              <w:t>1006</w:t>
            </w:r>
          </w:p>
        </w:tc>
        <w:tc>
          <w:tcPr>
            <w:tcW w:w="1843" w:type="dxa"/>
            <w:tcBorders>
              <w:top w:val="nil"/>
              <w:bottom w:val="nil"/>
            </w:tcBorders>
            <w:shd w:val="clear" w:color="000000" w:fill="auto"/>
          </w:tcPr>
          <w:p w14:paraId="42F989D4" w14:textId="77777777" w:rsidR="003A0ECF" w:rsidRDefault="003A0ECF" w:rsidP="001B2DA2">
            <w:pPr>
              <w:pStyle w:val="TableBody"/>
              <w:spacing w:before="45" w:after="45"/>
              <w:ind w:right="57"/>
              <w:jc w:val="right"/>
              <w:rPr>
                <w:rFonts w:ascii="Arial (Body)" w:hAnsi="Arial (Body)"/>
                <w:color w:val="000000"/>
              </w:rPr>
            </w:pPr>
            <w:r w:rsidRPr="003D7698">
              <w:t>5.8</w:t>
            </w:r>
          </w:p>
        </w:tc>
        <w:tc>
          <w:tcPr>
            <w:tcW w:w="1276" w:type="dxa"/>
            <w:tcBorders>
              <w:top w:val="nil"/>
              <w:bottom w:val="nil"/>
            </w:tcBorders>
            <w:shd w:val="clear" w:color="000000" w:fill="auto"/>
          </w:tcPr>
          <w:p w14:paraId="7A295983" w14:textId="77777777" w:rsidR="003A0ECF" w:rsidRDefault="003A0ECF" w:rsidP="001B2DA2">
            <w:pPr>
              <w:pStyle w:val="TableBody"/>
              <w:spacing w:before="45" w:after="45"/>
              <w:ind w:right="57"/>
              <w:jc w:val="right"/>
              <w:rPr>
                <w:rFonts w:ascii="Arial (Body)" w:hAnsi="Arial (Body)"/>
                <w:color w:val="000000"/>
              </w:rPr>
            </w:pPr>
            <w:r w:rsidRPr="003D7698">
              <w:t>201</w:t>
            </w:r>
          </w:p>
        </w:tc>
      </w:tr>
      <w:tr w:rsidR="003A0ECF" w:rsidRPr="00030C67" w14:paraId="2F32BBFC" w14:textId="77777777" w:rsidTr="00C426E9">
        <w:tc>
          <w:tcPr>
            <w:tcW w:w="3119" w:type="dxa"/>
            <w:shd w:val="clear" w:color="000000" w:fill="F2F2F2"/>
            <w:vAlign w:val="bottom"/>
          </w:tcPr>
          <w:p w14:paraId="247C8DEA" w14:textId="77777777" w:rsidR="003A0ECF" w:rsidRPr="004B2520" w:rsidRDefault="003A0ECF" w:rsidP="00C426E9">
            <w:pPr>
              <w:pStyle w:val="TableHeading"/>
              <w:rPr>
                <w:rFonts w:ascii="Arial" w:hAnsi="Arial" w:cs="Arial"/>
                <w:b w:val="0"/>
                <w:bCs/>
                <w:szCs w:val="18"/>
              </w:rPr>
            </w:pPr>
            <w:r w:rsidRPr="004B2520">
              <w:rPr>
                <w:rFonts w:ascii="Arial" w:hAnsi="Arial" w:cs="Arial"/>
                <w:b w:val="0"/>
                <w:bCs/>
                <w:color w:val="000000"/>
                <w:szCs w:val="18"/>
              </w:rPr>
              <w:t xml:space="preserve">Diabetes complications, all ages </w:t>
            </w:r>
          </w:p>
        </w:tc>
        <w:tc>
          <w:tcPr>
            <w:tcW w:w="1701" w:type="dxa"/>
            <w:shd w:val="clear" w:color="000000" w:fill="F2F2F2"/>
          </w:tcPr>
          <w:p w14:paraId="595D0AE5" w14:textId="77777777" w:rsidR="003A0ECF" w:rsidRPr="00030C67" w:rsidRDefault="003A0ECF" w:rsidP="001B2DA2">
            <w:pPr>
              <w:pStyle w:val="TableBody"/>
              <w:spacing w:before="45" w:after="45"/>
              <w:ind w:right="57"/>
              <w:jc w:val="right"/>
              <w:rPr>
                <w:rFonts w:ascii="Arial (Body)" w:hAnsi="Arial (Body)"/>
                <w:color w:val="000000"/>
              </w:rPr>
            </w:pPr>
            <w:r w:rsidRPr="003D7698">
              <w:t>64</w:t>
            </w:r>
          </w:p>
        </w:tc>
        <w:tc>
          <w:tcPr>
            <w:tcW w:w="1559" w:type="dxa"/>
            <w:shd w:val="clear" w:color="000000" w:fill="F2F2F2"/>
          </w:tcPr>
          <w:p w14:paraId="6177D891" w14:textId="77777777" w:rsidR="003A0ECF" w:rsidRPr="00030C67" w:rsidRDefault="003A0ECF" w:rsidP="001B2DA2">
            <w:pPr>
              <w:pStyle w:val="TableBody"/>
              <w:spacing w:before="45" w:after="45"/>
              <w:ind w:right="57"/>
              <w:jc w:val="right"/>
              <w:rPr>
                <w:rFonts w:ascii="Arial (Body)" w:hAnsi="Arial (Body)"/>
                <w:color w:val="000000"/>
              </w:rPr>
            </w:pPr>
            <w:r w:rsidRPr="003D7698">
              <w:t>1617</w:t>
            </w:r>
          </w:p>
        </w:tc>
        <w:tc>
          <w:tcPr>
            <w:tcW w:w="1843" w:type="dxa"/>
            <w:shd w:val="clear" w:color="000000" w:fill="F2F2F2"/>
          </w:tcPr>
          <w:p w14:paraId="4DBC29A9" w14:textId="77777777" w:rsidR="003A0ECF" w:rsidRDefault="003A0ECF" w:rsidP="001B2DA2">
            <w:pPr>
              <w:pStyle w:val="TableBody"/>
              <w:spacing w:before="45" w:after="45"/>
              <w:ind w:right="57"/>
              <w:jc w:val="right"/>
              <w:rPr>
                <w:rFonts w:ascii="Arial (Body)" w:hAnsi="Arial (Body)"/>
                <w:color w:val="000000"/>
              </w:rPr>
            </w:pPr>
            <w:r w:rsidRPr="003D7698">
              <w:t>12.2</w:t>
            </w:r>
          </w:p>
        </w:tc>
        <w:tc>
          <w:tcPr>
            <w:tcW w:w="1276" w:type="dxa"/>
            <w:shd w:val="clear" w:color="000000" w:fill="F2F2F2"/>
          </w:tcPr>
          <w:p w14:paraId="46972351" w14:textId="77777777" w:rsidR="003A0ECF" w:rsidRDefault="003A0ECF" w:rsidP="001B2DA2">
            <w:pPr>
              <w:pStyle w:val="TableBody"/>
              <w:spacing w:before="45" w:after="45"/>
              <w:ind w:right="57"/>
              <w:jc w:val="right"/>
              <w:rPr>
                <w:rFonts w:ascii="Arial (Body)" w:hAnsi="Arial (Body)"/>
                <w:color w:val="000000"/>
              </w:rPr>
            </w:pPr>
            <w:r w:rsidRPr="003D7698">
              <w:t>184</w:t>
            </w:r>
          </w:p>
        </w:tc>
      </w:tr>
      <w:tr w:rsidR="003A0ECF" w:rsidRPr="00030C67" w14:paraId="56F0F289" w14:textId="77777777" w:rsidTr="00C426E9">
        <w:tc>
          <w:tcPr>
            <w:tcW w:w="3119" w:type="dxa"/>
            <w:shd w:val="clear" w:color="auto" w:fill="auto"/>
            <w:vAlign w:val="bottom"/>
          </w:tcPr>
          <w:p w14:paraId="4862790E" w14:textId="0952821F" w:rsidR="003A0ECF" w:rsidRPr="004B2520" w:rsidRDefault="003A0ECF" w:rsidP="00C426E9">
            <w:pPr>
              <w:pStyle w:val="TableHeading"/>
              <w:rPr>
                <w:rFonts w:ascii="Arial" w:hAnsi="Arial" w:cs="Arial"/>
                <w:b w:val="0"/>
                <w:bCs/>
                <w:color w:val="000000"/>
                <w:szCs w:val="18"/>
              </w:rPr>
            </w:pPr>
            <w:r w:rsidRPr="004B2520">
              <w:rPr>
                <w:rFonts w:ascii="Arial" w:hAnsi="Arial" w:cs="Arial"/>
                <w:b w:val="0"/>
                <w:bCs/>
                <w:color w:val="000000"/>
                <w:szCs w:val="18"/>
              </w:rPr>
              <w:t>Kidney and urinary tract infections, all</w:t>
            </w:r>
            <w:r w:rsidR="004B2520">
              <w:rPr>
                <w:rFonts w:ascii="Arial" w:hAnsi="Arial" w:cs="Arial"/>
                <w:b w:val="0"/>
                <w:bCs/>
                <w:color w:val="000000"/>
                <w:szCs w:val="18"/>
              </w:rPr>
              <w:t> </w:t>
            </w:r>
            <w:r w:rsidRPr="004B2520">
              <w:rPr>
                <w:rFonts w:ascii="Arial" w:hAnsi="Arial" w:cs="Arial"/>
                <w:b w:val="0"/>
                <w:bCs/>
                <w:color w:val="000000"/>
                <w:szCs w:val="18"/>
              </w:rPr>
              <w:t>ages</w:t>
            </w:r>
          </w:p>
        </w:tc>
        <w:tc>
          <w:tcPr>
            <w:tcW w:w="1701" w:type="dxa"/>
            <w:shd w:val="clear" w:color="auto" w:fill="auto"/>
          </w:tcPr>
          <w:p w14:paraId="04CAE502" w14:textId="77777777" w:rsidR="003A0ECF" w:rsidRPr="003D7698" w:rsidRDefault="003A0ECF" w:rsidP="001B2DA2">
            <w:pPr>
              <w:pStyle w:val="TableBody"/>
              <w:spacing w:before="45" w:after="45"/>
              <w:ind w:right="57"/>
              <w:jc w:val="right"/>
            </w:pPr>
            <w:r>
              <w:t>141</w:t>
            </w:r>
          </w:p>
        </w:tc>
        <w:tc>
          <w:tcPr>
            <w:tcW w:w="1559" w:type="dxa"/>
            <w:shd w:val="clear" w:color="auto" w:fill="auto"/>
          </w:tcPr>
          <w:p w14:paraId="76C025CF" w14:textId="77777777" w:rsidR="003A0ECF" w:rsidRPr="003D7698" w:rsidRDefault="003A0ECF" w:rsidP="001B2DA2">
            <w:pPr>
              <w:pStyle w:val="TableBody"/>
              <w:spacing w:before="45" w:after="45"/>
              <w:ind w:right="57"/>
              <w:jc w:val="right"/>
            </w:pPr>
            <w:r>
              <w:t>2191</w:t>
            </w:r>
          </w:p>
        </w:tc>
        <w:tc>
          <w:tcPr>
            <w:tcW w:w="1843" w:type="dxa"/>
            <w:shd w:val="clear" w:color="auto" w:fill="auto"/>
          </w:tcPr>
          <w:p w14:paraId="44777D38" w14:textId="77777777" w:rsidR="003A0ECF" w:rsidRPr="003D7698" w:rsidRDefault="003A0ECF" w:rsidP="001B2DA2">
            <w:pPr>
              <w:pStyle w:val="TableBody"/>
              <w:spacing w:before="45" w:after="45"/>
              <w:ind w:right="57"/>
              <w:jc w:val="right"/>
            </w:pPr>
            <w:r>
              <w:t>6.3</w:t>
            </w:r>
          </w:p>
        </w:tc>
        <w:tc>
          <w:tcPr>
            <w:tcW w:w="1276" w:type="dxa"/>
            <w:shd w:val="clear" w:color="auto" w:fill="auto"/>
          </w:tcPr>
          <w:p w14:paraId="370BB379" w14:textId="77777777" w:rsidR="003A0ECF" w:rsidRPr="003D7698" w:rsidRDefault="003A0ECF" w:rsidP="001B2DA2">
            <w:pPr>
              <w:pStyle w:val="TableBody"/>
              <w:spacing w:before="45" w:after="45"/>
              <w:ind w:right="57"/>
              <w:jc w:val="right"/>
            </w:pPr>
            <w:r>
              <w:t>281</w:t>
            </w:r>
          </w:p>
        </w:tc>
      </w:tr>
      <w:tr w:rsidR="003A0ECF" w:rsidRPr="00030C67" w14:paraId="2B072CA7" w14:textId="77777777" w:rsidTr="00C426E9">
        <w:tc>
          <w:tcPr>
            <w:tcW w:w="3119" w:type="dxa"/>
            <w:tcBorders>
              <w:bottom w:val="single" w:sz="4" w:space="0" w:color="B3B3B3"/>
            </w:tcBorders>
            <w:shd w:val="clear" w:color="000000" w:fill="F2F2F2"/>
            <w:vAlign w:val="bottom"/>
          </w:tcPr>
          <w:p w14:paraId="749559D8" w14:textId="77777777" w:rsidR="003A0ECF" w:rsidRPr="004B2520" w:rsidRDefault="003A0ECF" w:rsidP="00C426E9">
            <w:pPr>
              <w:pStyle w:val="TableHeading"/>
              <w:rPr>
                <w:rFonts w:ascii="Arial" w:hAnsi="Arial" w:cs="Arial"/>
                <w:b w:val="0"/>
                <w:bCs/>
                <w:color w:val="000000"/>
                <w:szCs w:val="18"/>
              </w:rPr>
            </w:pPr>
            <w:r w:rsidRPr="004B2520">
              <w:rPr>
                <w:rFonts w:ascii="Arial" w:hAnsi="Arial" w:cs="Arial"/>
                <w:b w:val="0"/>
                <w:bCs/>
                <w:color w:val="000000"/>
                <w:szCs w:val="18"/>
              </w:rPr>
              <w:t>Cellulitis, all ages</w:t>
            </w:r>
          </w:p>
        </w:tc>
        <w:tc>
          <w:tcPr>
            <w:tcW w:w="1701" w:type="dxa"/>
            <w:tcBorders>
              <w:bottom w:val="single" w:sz="4" w:space="0" w:color="B3B3B3"/>
            </w:tcBorders>
            <w:shd w:val="clear" w:color="000000" w:fill="F2F2F2"/>
          </w:tcPr>
          <w:p w14:paraId="20A498C6" w14:textId="77777777" w:rsidR="003A0ECF" w:rsidRDefault="003A0ECF" w:rsidP="001B2DA2">
            <w:pPr>
              <w:pStyle w:val="TableBody"/>
              <w:spacing w:before="45" w:after="45"/>
              <w:ind w:right="57"/>
              <w:jc w:val="right"/>
              <w:rPr>
                <w:rFonts w:ascii="Arial (Body)" w:hAnsi="Arial (Body)"/>
                <w:color w:val="000000"/>
              </w:rPr>
            </w:pPr>
            <w:r>
              <w:t>90</w:t>
            </w:r>
          </w:p>
        </w:tc>
        <w:tc>
          <w:tcPr>
            <w:tcW w:w="1559" w:type="dxa"/>
            <w:tcBorders>
              <w:bottom w:val="single" w:sz="4" w:space="0" w:color="B3B3B3"/>
            </w:tcBorders>
            <w:shd w:val="clear" w:color="000000" w:fill="F2F2F2"/>
          </w:tcPr>
          <w:p w14:paraId="6585AD95" w14:textId="77777777" w:rsidR="003A0ECF" w:rsidRDefault="003A0ECF" w:rsidP="001B2DA2">
            <w:pPr>
              <w:pStyle w:val="TableBody"/>
              <w:spacing w:before="45" w:after="45"/>
              <w:ind w:right="57"/>
              <w:jc w:val="right"/>
              <w:rPr>
                <w:rFonts w:ascii="Arial (Body)" w:hAnsi="Arial (Body)"/>
                <w:color w:val="000000"/>
              </w:rPr>
            </w:pPr>
            <w:r>
              <w:t>2261</w:t>
            </w:r>
          </w:p>
        </w:tc>
        <w:tc>
          <w:tcPr>
            <w:tcW w:w="1843" w:type="dxa"/>
            <w:tcBorders>
              <w:bottom w:val="single" w:sz="4" w:space="0" w:color="B3B3B3"/>
            </w:tcBorders>
            <w:shd w:val="clear" w:color="000000" w:fill="F2F2F2"/>
          </w:tcPr>
          <w:p w14:paraId="54611C2C" w14:textId="77777777" w:rsidR="003A0ECF" w:rsidRDefault="003A0ECF" w:rsidP="001B2DA2">
            <w:pPr>
              <w:pStyle w:val="TableBody"/>
              <w:spacing w:before="45" w:after="45"/>
              <w:ind w:right="57"/>
              <w:jc w:val="right"/>
              <w:rPr>
                <w:rFonts w:ascii="Arial (Body)" w:hAnsi="Arial (Body)"/>
                <w:color w:val="000000"/>
              </w:rPr>
            </w:pPr>
            <w:r>
              <w:t>15.5</w:t>
            </w:r>
          </w:p>
        </w:tc>
        <w:tc>
          <w:tcPr>
            <w:tcW w:w="1276" w:type="dxa"/>
            <w:tcBorders>
              <w:bottom w:val="single" w:sz="4" w:space="0" w:color="B3B3B3"/>
            </w:tcBorders>
            <w:shd w:val="clear" w:color="000000" w:fill="F2F2F2"/>
          </w:tcPr>
          <w:p w14:paraId="2C82A52B" w14:textId="77777777" w:rsidR="003A0ECF" w:rsidRDefault="003A0ECF" w:rsidP="001B2DA2">
            <w:pPr>
              <w:pStyle w:val="TableBody"/>
              <w:spacing w:before="45" w:after="45"/>
              <w:ind w:right="57"/>
              <w:jc w:val="right"/>
              <w:rPr>
                <w:rFonts w:ascii="Arial (Body)" w:hAnsi="Arial (Body)"/>
                <w:color w:val="000000"/>
              </w:rPr>
            </w:pPr>
            <w:r>
              <w:t>256</w:t>
            </w:r>
          </w:p>
        </w:tc>
      </w:tr>
    </w:tbl>
    <w:p w14:paraId="4D48C7D4" w14:textId="30C48667" w:rsidR="003A0ECF" w:rsidRPr="00202B0E" w:rsidRDefault="003A0ECF" w:rsidP="003A0ECF">
      <w:pPr>
        <w:pStyle w:val="Note"/>
        <w:rPr>
          <w:b/>
          <w:bCs/>
        </w:rPr>
      </w:pPr>
      <w:r w:rsidRPr="00452050">
        <w:rPr>
          <w:b/>
          <w:bCs/>
        </w:rPr>
        <w:t>a.</w:t>
      </w:r>
      <w:r w:rsidR="00452050">
        <w:t xml:space="preserve"> </w:t>
      </w:r>
      <w:r>
        <w:t xml:space="preserve">SA3s are </w:t>
      </w:r>
      <w:r w:rsidRPr="00D258FA">
        <w:t xml:space="preserve">functional areas of regional towns and cities with a population </w:t>
      </w:r>
      <w:r>
        <w:t xml:space="preserve">above </w:t>
      </w:r>
      <w:r w:rsidRPr="00D258FA">
        <w:t>20</w:t>
      </w:r>
      <w:r>
        <w:t xml:space="preserve"> </w:t>
      </w:r>
      <w:r w:rsidRPr="00D258FA">
        <w:t>000 or clusters of related suburbs around urban commercial and transport hubs within the major urban areas</w:t>
      </w:r>
      <w:r w:rsidRPr="00202B0E">
        <w:t>.</w:t>
      </w:r>
    </w:p>
    <w:p w14:paraId="7C26DC97" w14:textId="1679DB54" w:rsidR="003A0ECF" w:rsidRDefault="003A0ECF" w:rsidP="003A0ECF">
      <w:pPr>
        <w:pStyle w:val="Source"/>
      </w:pPr>
      <w:r w:rsidRPr="00696447">
        <w:lastRenderedPageBreak/>
        <w:t xml:space="preserve">Source: </w:t>
      </w:r>
      <w:r w:rsidRPr="00202B0E">
        <w:t>ACSQHC</w:t>
      </w:r>
      <w:r w:rsidRPr="00696447">
        <w:t xml:space="preserve"> </w:t>
      </w:r>
      <w:r w:rsidRPr="003224E1">
        <w:rPr>
          <w:rFonts w:ascii="Arial" w:hAnsi="Arial" w:cs="Arial"/>
        </w:rPr>
        <w:t>(2021b)</w:t>
      </w:r>
      <w:r>
        <w:t>.</w:t>
      </w:r>
    </w:p>
    <w:p w14:paraId="79E97F1E" w14:textId="00BE38C7" w:rsidR="003A0ECF" w:rsidRDefault="003A0ECF" w:rsidP="003A0ECF">
      <w:pPr>
        <w:pStyle w:val="BodyText"/>
      </w:pPr>
      <w:r>
        <w:t>Notwithstanding the benefits of major re</w:t>
      </w:r>
      <w:r>
        <w:noBreakHyphen/>
        <w:t xml:space="preserve">zoning reforms in Australia’s biggest cities </w:t>
      </w:r>
      <w:r w:rsidR="00936D73" w:rsidRPr="00936D73">
        <w:rPr>
          <w:rFonts w:ascii="Arial" w:hAnsi="Arial" w:cs="Arial"/>
          <w:szCs w:val="24"/>
        </w:rPr>
        <w:t>(PC 2017d, pp. 145–146, 2022c)</w:t>
      </w:r>
      <w:r>
        <w:t>, progress across most jurisdictions has been slow, partly due to a lack of knowledge sharing across states, each of which has its own, distinct statutory planning frameworks, lexicons and professions.</w:t>
      </w:r>
    </w:p>
    <w:p w14:paraId="0DBEA241" w14:textId="3CF06063" w:rsidR="003A0ECF" w:rsidRDefault="003A0ECF" w:rsidP="003A0ECF">
      <w:pPr>
        <w:pStyle w:val="BodyText"/>
      </w:pPr>
      <w:r>
        <w:t xml:space="preserve">Public transport fare setting in most jurisdictions suffers from policy inertia </w:t>
      </w:r>
      <w:r w:rsidRPr="00434BEC">
        <w:rPr>
          <w:rFonts w:ascii="Arial" w:hAnsi="Arial" w:cs="Arial"/>
          <w:szCs w:val="24"/>
        </w:rPr>
        <w:t>(PC 2021c, p. 24)</w:t>
      </w:r>
      <w:r>
        <w:t xml:space="preserve">. Fare structures are often based on historical settings without much review. Real fare levels have fallen in some jurisdictions and remain stagnant in others despite rising costs </w:t>
      </w:r>
      <w:r w:rsidRPr="004E2792">
        <w:rPr>
          <w:rFonts w:ascii="Arial" w:hAnsi="Arial" w:cs="Arial"/>
          <w:szCs w:val="24"/>
        </w:rPr>
        <w:t>(PC 2021c, p. 17)</w:t>
      </w:r>
      <w:r>
        <w:t xml:space="preserve">. Most jurisdictions use simple and ad hoc approaches to setting fares and subsidies that do not systematically address equity or efficiency goals. Independent fare regulators can help overcome these issues. A superior approach to pricing developed by the </w:t>
      </w:r>
      <w:r w:rsidRPr="003E6447">
        <w:t xml:space="preserve">Independent Pricing and Regulatory Tribunal </w:t>
      </w:r>
      <w:r>
        <w:t xml:space="preserve">has been operational in New South Wales for some years </w:t>
      </w:r>
      <w:r w:rsidRPr="004E2792">
        <w:rPr>
          <w:rFonts w:ascii="Arial" w:hAnsi="Arial" w:cs="Arial"/>
          <w:szCs w:val="24"/>
        </w:rPr>
        <w:t>(PC 2021c, p. 18)</w:t>
      </w:r>
      <w:r>
        <w:t>, while Infrastructure Victoria has undertaken considerable research on pricing reforms (</w:t>
      </w:r>
      <w:r w:rsidR="0003199E">
        <w:t xml:space="preserve">Infrastructure Victoria, </w:t>
      </w:r>
      <w:r>
        <w:t>sub. 10</w:t>
      </w:r>
      <w:r w:rsidR="0003199E">
        <w:t>, p.1</w:t>
      </w:r>
      <w:r>
        <w:t>), though this is not yet reflected in policy. No other jurisdictions have moved to more sophisticated approaches.</w:t>
      </w:r>
    </w:p>
    <w:p w14:paraId="656350EE" w14:textId="08773E4C" w:rsidR="003A0ECF" w:rsidRPr="00806E40" w:rsidRDefault="003A0ECF" w:rsidP="003A0ECF">
      <w:pPr>
        <w:pStyle w:val="BodyText"/>
        <w:rPr>
          <w:spacing w:val="-2"/>
        </w:rPr>
      </w:pPr>
      <w:r w:rsidRPr="00806E40">
        <w:rPr>
          <w:spacing w:val="-2"/>
        </w:rPr>
        <w:t>Procurement of public infrastructure like roads, bridges, hospitals, and prisons has often preserved out</w:t>
      </w:r>
      <w:r w:rsidRPr="00806E40">
        <w:rPr>
          <w:spacing w:val="-2"/>
        </w:rPr>
        <w:noBreakHyphen/>
        <w:t>of</w:t>
      </w:r>
      <w:r w:rsidRPr="00806E40">
        <w:rPr>
          <w:spacing w:val="-2"/>
        </w:rPr>
        <w:noBreakHyphen/>
        <w:t xml:space="preserve">date approaches that have constrained collaboration and innovation and missed opportunities for deferring upgrades and replacements. For example, it has been estimated that 37 per cent of requests for proposals in public infrastructure projects suffer from unclear project objectives </w:t>
      </w:r>
      <w:r w:rsidRPr="00806E40">
        <w:rPr>
          <w:rFonts w:cs="Arial"/>
          <w:spacing w:val="-2"/>
          <w:szCs w:val="24"/>
        </w:rPr>
        <w:t>(Deloitte Access Economics 2015, p. ii)</w:t>
      </w:r>
      <w:r w:rsidRPr="00806E40">
        <w:rPr>
          <w:spacing w:val="-2"/>
        </w:rPr>
        <w:t>. Some 45 per cent of professional service</w:t>
      </w:r>
      <w:r w:rsidR="00930DA5">
        <w:rPr>
          <w:spacing w:val="-2"/>
        </w:rPr>
        <w:t>s</w:t>
      </w:r>
      <w:r w:rsidRPr="00806E40">
        <w:rPr>
          <w:spacing w:val="-2"/>
        </w:rPr>
        <w:t xml:space="preserve"> firms commissioned by the public sector for infrastructure projects say their clients were unresponsive to innovative suggestions during tender processes (</w:t>
      </w:r>
      <w:r w:rsidR="00A679AD" w:rsidRPr="00806E40">
        <w:rPr>
          <w:spacing w:val="-2"/>
        </w:rPr>
        <w:t xml:space="preserve">ibid </w:t>
      </w:r>
      <w:r w:rsidRPr="00806E40">
        <w:rPr>
          <w:spacing w:val="-2"/>
        </w:rPr>
        <w:t>p. vi).</w:t>
      </w:r>
    </w:p>
    <w:p w14:paraId="2E24B8F1" w14:textId="35494A9A" w:rsidR="003A0ECF" w:rsidRDefault="003A0ECF" w:rsidP="003A0ECF">
      <w:pPr>
        <w:pStyle w:val="BodyText"/>
      </w:pPr>
      <w:r>
        <w:t>For their part, current key users and constructors are pessimistic about government and industry’s uptake of best practice procurement approaches. Roads Australia (sub. 25, pp. 3</w:t>
      </w:r>
      <w:r w:rsidR="000565F7">
        <w:t>–</w:t>
      </w:r>
      <w:r>
        <w:t>4) argued that the state and territory pipeline for new infrastructure has been overly ambitious given that governments and industry struggle with ‘outdated, inflexible commercial frameworks’, notwithstanding superior options. The Civil Contractors Federation considered that adoption of best practice in government procurement had been weakened by the loss of in</w:t>
      </w:r>
      <w:r>
        <w:noBreakHyphen/>
        <w:t xml:space="preserve">house technical capability in procurement agencies (sub. 38, p. 3). This highlights that one of the key determinants of adoption of best practice are the skills of government agencies. Moreover, </w:t>
      </w:r>
      <w:r w:rsidRPr="0025519E">
        <w:t xml:space="preserve">all states are undertaking </w:t>
      </w:r>
      <w:r>
        <w:t xml:space="preserve">large complex </w:t>
      </w:r>
      <w:r w:rsidRPr="0025519E">
        <w:t xml:space="preserve">projects </w:t>
      </w:r>
      <w:r>
        <w:t>with major exposure to risks of cost blowouts, design flaws, delay and uncertain patronage</w:t>
      </w:r>
      <w:r w:rsidRPr="0025519E">
        <w:t xml:space="preserve">, but without (it seems) </w:t>
      </w:r>
      <w:r>
        <w:t xml:space="preserve">sufficient </w:t>
      </w:r>
      <w:r w:rsidRPr="0025519E">
        <w:t>knowledge sharing between them</w:t>
      </w:r>
      <w:r>
        <w:t xml:space="preserve"> about the contractual and other ways these risks may be mitigated</w:t>
      </w:r>
      <w:r w:rsidRPr="0025519E">
        <w:t>.</w:t>
      </w:r>
    </w:p>
    <w:p w14:paraId="51D7C067" w14:textId="77777777" w:rsidR="003A0ECF" w:rsidRDefault="003A0ECF" w:rsidP="003A0ECF">
      <w:pPr>
        <w:pStyle w:val="BodyText"/>
      </w:pPr>
      <w:r>
        <w:t>The use of data collected by governments is now flourishing because of its advantages in developing evidence</w:t>
      </w:r>
      <w:r>
        <w:noBreakHyphen/>
        <w:t>based policy, accountability, benchmarking evidence, customisation of services, and apps for citizens, among other things. But diffusion of best practice development and use of datasets has varied in its pace. The lead time to develop and release datasets has often been protracted and many opportunities remain un</w:t>
      </w:r>
      <w:r>
        <w:noBreakHyphen/>
        <w:t xml:space="preserve"> or under</w:t>
      </w:r>
      <w:r>
        <w:noBreakHyphen/>
        <w:t>exploited despite proven processes and technology for safeguarding privacy, cybersecurity and appropriate use. For example:</w:t>
      </w:r>
    </w:p>
    <w:p w14:paraId="5CFD1ADD" w14:textId="6CD4C0D3" w:rsidR="003A0ECF" w:rsidRPr="0012382F" w:rsidRDefault="00F820DF" w:rsidP="001A1DD7">
      <w:pPr>
        <w:pStyle w:val="ListBullet"/>
      </w:pPr>
      <w:r>
        <w:t>n</w:t>
      </w:r>
      <w:r w:rsidR="003A0ECF" w:rsidRPr="0012382F">
        <w:t>otwithstanding the large fiscal and social costs of the criminal justice system, and the potential to make better</w:t>
      </w:r>
      <w:r w:rsidR="003A0ECF" w:rsidRPr="0012382F">
        <w:noBreakHyphen/>
        <w:t xml:space="preserve">informed decisions to reduce these, the information to gauge its functioning has been scattered and poor (PC 2021a, p. 99). The Australian Bureau of Statistics (ABS) is shortly going to remedy this with the release of data that follows the prisoner through the justice system and then into the community </w:t>
      </w:r>
    </w:p>
    <w:p w14:paraId="74FC7C41" w14:textId="1B973ADC" w:rsidR="003A0ECF" w:rsidRPr="006962EC" w:rsidRDefault="00F820DF" w:rsidP="001A1DD7">
      <w:pPr>
        <w:pStyle w:val="ListBullet"/>
        <w:rPr>
          <w:spacing w:val="-4"/>
        </w:rPr>
      </w:pPr>
      <w:r w:rsidRPr="006962EC">
        <w:rPr>
          <w:spacing w:val="-4"/>
        </w:rPr>
        <w:t>a</w:t>
      </w:r>
      <w:r w:rsidR="003A0ECF" w:rsidRPr="006962EC">
        <w:rPr>
          <w:spacing w:val="-4"/>
        </w:rPr>
        <w:t>greement by jurisdictions to create a unique student identifier has stalled (PC 2022d). This is despite its potential to significantly enhance information about student performance and assist in more effective schooling.</w:t>
      </w:r>
    </w:p>
    <w:p w14:paraId="1537C001" w14:textId="258092F4" w:rsidR="003A0ECF" w:rsidRDefault="003A0ECF" w:rsidP="003A0ECF">
      <w:pPr>
        <w:pStyle w:val="BodyText"/>
      </w:pPr>
      <w:r w:rsidRPr="00740BDC">
        <w:t>The broader constraints (and opportunities) associated with data availability are highlighted in the Commission</w:t>
      </w:r>
      <w:r>
        <w:t>’s</w:t>
      </w:r>
      <w:r w:rsidRPr="00740BDC">
        <w:t xml:space="preserve"> report </w:t>
      </w:r>
      <w:r w:rsidR="00C95B0B">
        <w:t xml:space="preserve">on </w:t>
      </w:r>
      <w:r w:rsidR="00C95B0B" w:rsidRPr="00C95B0B">
        <w:rPr>
          <w:i/>
          <w:iCs/>
        </w:rPr>
        <w:t>Australia’s data</w:t>
      </w:r>
      <w:r w:rsidRPr="00C95B0B">
        <w:rPr>
          <w:i/>
        </w:rPr>
        <w:t xml:space="preserve"> and </w:t>
      </w:r>
      <w:r w:rsidR="00C95B0B" w:rsidRPr="00C95B0B">
        <w:rPr>
          <w:i/>
          <w:iCs/>
        </w:rPr>
        <w:t>digital dividend</w:t>
      </w:r>
      <w:r>
        <w:t xml:space="preserve"> </w:t>
      </w:r>
      <w:r w:rsidRPr="00AF3C44">
        <w:rPr>
          <w:rFonts w:ascii="Arial" w:hAnsi="Arial" w:cs="Arial"/>
          <w:szCs w:val="24"/>
        </w:rPr>
        <w:t>(PC 2022a)</w:t>
      </w:r>
      <w:r w:rsidRPr="00740BDC">
        <w:t>.</w:t>
      </w:r>
    </w:p>
    <w:p w14:paraId="16CD998B" w14:textId="4F641DA9" w:rsidR="003A0ECF" w:rsidRDefault="003A0ECF" w:rsidP="003A0ECF">
      <w:pPr>
        <w:pStyle w:val="BodyText"/>
      </w:pPr>
      <w:r>
        <w:lastRenderedPageBreak/>
        <w:t xml:space="preserve">There are also often significant variations in the performance of the basic functions of government as revealed by the benchmarking results from the regular </w:t>
      </w:r>
      <w:r w:rsidRPr="00243265">
        <w:rPr>
          <w:i/>
          <w:iCs/>
        </w:rPr>
        <w:t>Report on Government Services</w:t>
      </w:r>
      <w:r>
        <w:t xml:space="preserve"> (with figure 3.</w:t>
      </w:r>
      <w:r w:rsidR="00376EBF">
        <w:t>2</w:t>
      </w:r>
      <w:r>
        <w:t xml:space="preserve"> showing a diverse variety of metrics). These variations may sometimes reflect funding priorities, but many of them suggest that some jurisdictions are better at managing aspects of their services than others, which offers the scope for the adoption of better practice. Notably, variations can sometimes be small — as in patient satisfaction with ambulance services — while others, like the cost of coroner’s courts, show extraordinary differences. The variations within jurisdictions will be much greater than those shown here, so the chart will underestimate the scope for the diffusion of best practice.</w:t>
      </w:r>
    </w:p>
    <w:p w14:paraId="68881F4B" w14:textId="77777777" w:rsidR="003A0ECF" w:rsidRPr="00146382" w:rsidRDefault="003A0ECF" w:rsidP="003A0ECF">
      <w:pPr>
        <w:pStyle w:val="FigureTableHeading"/>
      </w:pPr>
      <w:r>
        <w:t>Figure 3.2</w:t>
      </w:r>
      <w:r>
        <w:rPr>
          <w:noProof/>
        </w:rPr>
        <w:t xml:space="preserve"> </w:t>
      </w:r>
      <w:r>
        <w:t xml:space="preserve">– Performance in public services often vary markedly even across </w:t>
      </w:r>
      <w:proofErr w:type="spellStart"/>
      <w:r>
        <w:t>jurisdictions</w:t>
      </w:r>
      <w:r w:rsidRPr="00066CF5">
        <w:rPr>
          <w:vertAlign w:val="superscript"/>
        </w:rPr>
        <w:t>a</w:t>
      </w:r>
      <w:proofErr w:type="spellEnd"/>
    </w:p>
    <w:tbl>
      <w:tblPr>
        <w:tblStyle w:val="Blank"/>
        <w:tblW w:w="5000" w:type="pct"/>
        <w:tblLook w:val="04A0" w:firstRow="1" w:lastRow="0" w:firstColumn="1" w:lastColumn="0" w:noHBand="0" w:noVBand="1"/>
      </w:tblPr>
      <w:tblGrid>
        <w:gridCol w:w="3214"/>
        <w:gridCol w:w="3213"/>
        <w:gridCol w:w="3211"/>
      </w:tblGrid>
      <w:tr w:rsidR="003A0ECF" w:rsidRPr="00916D59" w14:paraId="7C36396B" w14:textId="77777777" w:rsidTr="001B1765">
        <w:tc>
          <w:tcPr>
            <w:tcW w:w="1667" w:type="pct"/>
          </w:tcPr>
          <w:p w14:paraId="49256A1F" w14:textId="77777777" w:rsidR="003A0ECF" w:rsidRPr="007F48A7" w:rsidRDefault="003A0ECF" w:rsidP="00620B8A">
            <w:pPr>
              <w:pStyle w:val="TableColumnHeading"/>
              <w:jc w:val="left"/>
              <w:rPr>
                <w:i w:val="0"/>
                <w:iCs/>
                <w:noProof/>
              </w:rPr>
            </w:pPr>
            <w:r w:rsidRPr="007F48A7">
              <w:rPr>
                <w:i w:val="0"/>
                <w:iCs/>
                <w:noProof/>
              </w:rPr>
              <w:t>Real net recurrent expenditure per finalisation, coroner’s court, 2020</w:t>
            </w:r>
            <w:r w:rsidRPr="007F48A7">
              <w:rPr>
                <w:i w:val="0"/>
                <w:iCs/>
                <w:noProof/>
              </w:rPr>
              <w:noBreakHyphen/>
              <w:t>21</w:t>
            </w:r>
          </w:p>
        </w:tc>
        <w:tc>
          <w:tcPr>
            <w:tcW w:w="1667" w:type="pct"/>
          </w:tcPr>
          <w:p w14:paraId="3B64F3FD" w14:textId="77777777" w:rsidR="003A0ECF" w:rsidRPr="007F48A7" w:rsidRDefault="003A0ECF" w:rsidP="00620B8A">
            <w:pPr>
              <w:pStyle w:val="TableColumnHeading"/>
              <w:jc w:val="left"/>
              <w:rPr>
                <w:i w:val="0"/>
                <w:iCs/>
                <w:noProof/>
              </w:rPr>
            </w:pPr>
            <w:r w:rsidRPr="007F48A7">
              <w:rPr>
                <w:i w:val="0"/>
                <w:iCs/>
                <w:noProof/>
              </w:rPr>
              <w:t>Proportion of public housing unoccupied at 30 June, average of 2018 and 2019</w:t>
            </w:r>
          </w:p>
        </w:tc>
        <w:tc>
          <w:tcPr>
            <w:tcW w:w="1666" w:type="pct"/>
          </w:tcPr>
          <w:p w14:paraId="2AF10AC0" w14:textId="77777777" w:rsidR="003A0ECF" w:rsidRPr="007F48A7" w:rsidRDefault="003A0ECF" w:rsidP="00620B8A">
            <w:pPr>
              <w:pStyle w:val="TableColumnHeading"/>
              <w:jc w:val="left"/>
              <w:rPr>
                <w:i w:val="0"/>
                <w:iCs/>
                <w:noProof/>
              </w:rPr>
            </w:pPr>
            <w:r w:rsidRPr="007F48A7">
              <w:rPr>
                <w:i w:val="0"/>
                <w:iCs/>
                <w:noProof/>
              </w:rPr>
              <w:t>Adverse events per 100 public hospital separations, average of 2017</w:t>
            </w:r>
            <w:r w:rsidRPr="007F48A7">
              <w:rPr>
                <w:i w:val="0"/>
                <w:iCs/>
                <w:noProof/>
              </w:rPr>
              <w:noBreakHyphen/>
              <w:t>18 and 2018</w:t>
            </w:r>
            <w:r w:rsidRPr="007F48A7">
              <w:rPr>
                <w:i w:val="0"/>
                <w:iCs/>
                <w:noProof/>
              </w:rPr>
              <w:noBreakHyphen/>
              <w:t>19</w:t>
            </w:r>
          </w:p>
        </w:tc>
      </w:tr>
      <w:tr w:rsidR="003A0ECF" w:rsidRPr="00916D59" w14:paraId="1F2E52A6" w14:textId="77777777" w:rsidTr="001B1765">
        <w:tc>
          <w:tcPr>
            <w:tcW w:w="1667" w:type="pct"/>
          </w:tcPr>
          <w:p w14:paraId="4745BDA0" w14:textId="77777777" w:rsidR="003A0ECF" w:rsidRPr="005E0E80" w:rsidRDefault="003A0ECF" w:rsidP="000F5E94">
            <w:pPr>
              <w:pStyle w:val="BodyText"/>
              <w:rPr>
                <w:noProof/>
              </w:rPr>
            </w:pPr>
            <w:r w:rsidRPr="00510BA2">
              <w:rPr>
                <w:noProof/>
              </w:rPr>
              <w:drawing>
                <wp:inline distT="0" distB="0" distL="0" distR="0" wp14:anchorId="2FF072B8" wp14:editId="7206F4AB">
                  <wp:extent cx="1981200" cy="1798320"/>
                  <wp:effectExtent l="0" t="0" r="0" b="0"/>
                  <wp:docPr id="58" name="Picture 58"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981200" cy="1798320"/>
                          </a:xfrm>
                          <a:prstGeom prst="rect">
                            <a:avLst/>
                          </a:prstGeom>
                          <a:noFill/>
                          <a:ln>
                            <a:noFill/>
                          </a:ln>
                        </pic:spPr>
                      </pic:pic>
                    </a:graphicData>
                  </a:graphic>
                </wp:inline>
              </w:drawing>
            </w:r>
          </w:p>
        </w:tc>
        <w:tc>
          <w:tcPr>
            <w:tcW w:w="1667" w:type="pct"/>
          </w:tcPr>
          <w:p w14:paraId="5988716D" w14:textId="77777777" w:rsidR="003A0ECF" w:rsidRPr="005E0E80" w:rsidRDefault="003A0ECF" w:rsidP="000F5E94">
            <w:pPr>
              <w:pStyle w:val="BodyText"/>
              <w:rPr>
                <w:noProof/>
              </w:rPr>
            </w:pPr>
            <w:r w:rsidRPr="00CA0B74">
              <w:rPr>
                <w:noProof/>
              </w:rPr>
              <w:drawing>
                <wp:inline distT="0" distB="0" distL="0" distR="0" wp14:anchorId="2CFD3E54" wp14:editId="67AC2ACB">
                  <wp:extent cx="1981200" cy="1798320"/>
                  <wp:effectExtent l="0" t="0" r="0" b="0"/>
                  <wp:docPr id="63" name="Picture 63"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981200" cy="1798320"/>
                          </a:xfrm>
                          <a:prstGeom prst="rect">
                            <a:avLst/>
                          </a:prstGeom>
                          <a:noFill/>
                          <a:ln>
                            <a:noFill/>
                          </a:ln>
                        </pic:spPr>
                      </pic:pic>
                    </a:graphicData>
                  </a:graphic>
                </wp:inline>
              </w:drawing>
            </w:r>
          </w:p>
        </w:tc>
        <w:tc>
          <w:tcPr>
            <w:tcW w:w="1666" w:type="pct"/>
          </w:tcPr>
          <w:p w14:paraId="62743551" w14:textId="77777777" w:rsidR="003A0ECF" w:rsidRPr="005E0E80" w:rsidRDefault="003A0ECF" w:rsidP="000F5E94">
            <w:pPr>
              <w:pStyle w:val="BodyText"/>
              <w:rPr>
                <w:noProof/>
              </w:rPr>
            </w:pPr>
            <w:r w:rsidRPr="00394A59">
              <w:rPr>
                <w:noProof/>
              </w:rPr>
              <w:drawing>
                <wp:inline distT="0" distB="0" distL="0" distR="0" wp14:anchorId="42B113F8" wp14:editId="40FFCC5C">
                  <wp:extent cx="1981200" cy="1798320"/>
                  <wp:effectExtent l="0" t="0" r="0" b="0"/>
                  <wp:docPr id="64" name="Picture 64"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81200" cy="1798320"/>
                          </a:xfrm>
                          <a:prstGeom prst="rect">
                            <a:avLst/>
                          </a:prstGeom>
                          <a:noFill/>
                          <a:ln>
                            <a:noFill/>
                          </a:ln>
                        </pic:spPr>
                      </pic:pic>
                    </a:graphicData>
                  </a:graphic>
                </wp:inline>
              </w:drawing>
            </w:r>
          </w:p>
        </w:tc>
      </w:tr>
      <w:tr w:rsidR="003A0ECF" w:rsidRPr="007F48A7" w14:paraId="05875496" w14:textId="77777777" w:rsidTr="001B1765">
        <w:tc>
          <w:tcPr>
            <w:tcW w:w="1667" w:type="pct"/>
          </w:tcPr>
          <w:p w14:paraId="4F256533" w14:textId="77777777" w:rsidR="003A0ECF" w:rsidRPr="007F48A7" w:rsidRDefault="003A0ECF" w:rsidP="00620B8A">
            <w:pPr>
              <w:pStyle w:val="TableColumnHeading"/>
              <w:jc w:val="left"/>
              <w:rPr>
                <w:i w:val="0"/>
                <w:iCs/>
                <w:noProof/>
              </w:rPr>
            </w:pPr>
            <w:r w:rsidRPr="007F48A7">
              <w:rPr>
                <w:i w:val="0"/>
                <w:iCs/>
                <w:noProof/>
              </w:rPr>
              <w:t>Closed (after exit) support periods for people experiencing homelessness with an individual case management plan where all goals were achieved, average 2017</w:t>
            </w:r>
            <w:r w:rsidRPr="007F48A7">
              <w:rPr>
                <w:i w:val="0"/>
                <w:iCs/>
                <w:noProof/>
              </w:rPr>
              <w:noBreakHyphen/>
              <w:t>18 and 2018</w:t>
            </w:r>
            <w:r w:rsidRPr="007F48A7">
              <w:rPr>
                <w:i w:val="0"/>
                <w:iCs/>
                <w:noProof/>
              </w:rPr>
              <w:noBreakHyphen/>
              <w:t>19</w:t>
            </w:r>
          </w:p>
        </w:tc>
        <w:tc>
          <w:tcPr>
            <w:tcW w:w="1667" w:type="pct"/>
          </w:tcPr>
          <w:p w14:paraId="68A82686" w14:textId="77777777" w:rsidR="003A0ECF" w:rsidRPr="007F48A7" w:rsidRDefault="003A0ECF" w:rsidP="00620B8A">
            <w:pPr>
              <w:pStyle w:val="TableColumnHeading"/>
              <w:jc w:val="left"/>
              <w:rPr>
                <w:i w:val="0"/>
                <w:iCs/>
                <w:noProof/>
              </w:rPr>
            </w:pPr>
            <w:r w:rsidRPr="007F48A7">
              <w:rPr>
                <w:i w:val="0"/>
                <w:iCs/>
                <w:noProof/>
              </w:rPr>
              <w:t xml:space="preserve">Patient experience of ambulances </w:t>
            </w:r>
            <w:r w:rsidRPr="007F48A7">
              <w:rPr>
                <w:i w:val="0"/>
                <w:iCs/>
                <w:noProof/>
              </w:rPr>
              <w:noBreakHyphen/>
              <w:t xml:space="preserve"> share very satisied/ satisfied, average 2017</w:t>
            </w:r>
            <w:r w:rsidRPr="007F48A7">
              <w:rPr>
                <w:i w:val="0"/>
                <w:iCs/>
                <w:noProof/>
              </w:rPr>
              <w:noBreakHyphen/>
              <w:t>18 and 2018</w:t>
            </w:r>
            <w:r w:rsidRPr="007F48A7">
              <w:rPr>
                <w:i w:val="0"/>
                <w:iCs/>
                <w:noProof/>
              </w:rPr>
              <w:noBreakHyphen/>
              <w:t>19</w:t>
            </w:r>
          </w:p>
        </w:tc>
        <w:tc>
          <w:tcPr>
            <w:tcW w:w="1666" w:type="pct"/>
          </w:tcPr>
          <w:p w14:paraId="15DACA15" w14:textId="77777777" w:rsidR="003A0ECF" w:rsidRPr="007F48A7" w:rsidRDefault="003A0ECF" w:rsidP="00620B8A">
            <w:pPr>
              <w:pStyle w:val="TableColumnHeading"/>
              <w:jc w:val="left"/>
              <w:rPr>
                <w:i w:val="0"/>
                <w:iCs/>
                <w:noProof/>
              </w:rPr>
            </w:pPr>
            <w:r w:rsidRPr="007F48A7">
              <w:rPr>
                <w:i w:val="0"/>
                <w:iCs/>
                <w:noProof/>
              </w:rPr>
              <w:t>Prisoner education and training (per cent of eligible prisoners), average 2017</w:t>
            </w:r>
            <w:r w:rsidRPr="007F48A7">
              <w:rPr>
                <w:i w:val="0"/>
                <w:iCs/>
                <w:noProof/>
              </w:rPr>
              <w:noBreakHyphen/>
              <w:t>18 and 2018</w:t>
            </w:r>
            <w:r w:rsidRPr="007F48A7">
              <w:rPr>
                <w:i w:val="0"/>
                <w:iCs/>
                <w:noProof/>
              </w:rPr>
              <w:noBreakHyphen/>
              <w:t>19</w:t>
            </w:r>
          </w:p>
        </w:tc>
      </w:tr>
      <w:tr w:rsidR="003A0ECF" w:rsidRPr="000E4767" w14:paraId="53017633" w14:textId="77777777" w:rsidTr="001B1765">
        <w:tc>
          <w:tcPr>
            <w:tcW w:w="1667" w:type="pct"/>
          </w:tcPr>
          <w:p w14:paraId="33C4A083" w14:textId="77777777" w:rsidR="003A0ECF" w:rsidRPr="000E4767" w:rsidRDefault="003A0ECF" w:rsidP="000F5E94">
            <w:pPr>
              <w:pStyle w:val="BodyText"/>
            </w:pPr>
            <w:r w:rsidRPr="000E4767">
              <w:rPr>
                <w:noProof/>
              </w:rPr>
              <w:drawing>
                <wp:inline distT="0" distB="0" distL="0" distR="0" wp14:anchorId="2B899F45" wp14:editId="7B24C4A4">
                  <wp:extent cx="1981200" cy="1798320"/>
                  <wp:effectExtent l="0" t="0" r="0" b="0"/>
                  <wp:docPr id="65" name="Picture 65"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981200" cy="1798320"/>
                          </a:xfrm>
                          <a:prstGeom prst="rect">
                            <a:avLst/>
                          </a:prstGeom>
                          <a:noFill/>
                          <a:ln>
                            <a:noFill/>
                          </a:ln>
                        </pic:spPr>
                      </pic:pic>
                    </a:graphicData>
                  </a:graphic>
                </wp:inline>
              </w:drawing>
            </w:r>
          </w:p>
        </w:tc>
        <w:tc>
          <w:tcPr>
            <w:tcW w:w="1667" w:type="pct"/>
          </w:tcPr>
          <w:p w14:paraId="194E86E7" w14:textId="77777777" w:rsidR="003A0ECF" w:rsidRPr="000E4767" w:rsidRDefault="003A0ECF" w:rsidP="000F5E94">
            <w:pPr>
              <w:pStyle w:val="BodyText"/>
            </w:pPr>
            <w:r w:rsidRPr="000E4767">
              <w:rPr>
                <w:noProof/>
              </w:rPr>
              <w:drawing>
                <wp:inline distT="0" distB="0" distL="0" distR="0" wp14:anchorId="49B7B04C" wp14:editId="1DA2250E">
                  <wp:extent cx="1981200" cy="1798320"/>
                  <wp:effectExtent l="0" t="0" r="0" b="0"/>
                  <wp:docPr id="66" name="Picture 66"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81200" cy="1798320"/>
                          </a:xfrm>
                          <a:prstGeom prst="rect">
                            <a:avLst/>
                          </a:prstGeom>
                          <a:noFill/>
                          <a:ln>
                            <a:noFill/>
                          </a:ln>
                        </pic:spPr>
                      </pic:pic>
                    </a:graphicData>
                  </a:graphic>
                </wp:inline>
              </w:drawing>
            </w:r>
          </w:p>
        </w:tc>
        <w:tc>
          <w:tcPr>
            <w:tcW w:w="1666" w:type="pct"/>
          </w:tcPr>
          <w:p w14:paraId="749A0011" w14:textId="77777777" w:rsidR="003A0ECF" w:rsidRPr="000E4767" w:rsidRDefault="003A0ECF" w:rsidP="000F5E94">
            <w:pPr>
              <w:pStyle w:val="BodyText"/>
            </w:pPr>
            <w:r w:rsidRPr="000E4767">
              <w:rPr>
                <w:noProof/>
              </w:rPr>
              <w:drawing>
                <wp:inline distT="0" distB="0" distL="0" distR="0" wp14:anchorId="5809DEA2" wp14:editId="3A7E000A">
                  <wp:extent cx="1981200" cy="1798320"/>
                  <wp:effectExtent l="0" t="0" r="0" b="0"/>
                  <wp:docPr id="67" name="Picture 67"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figure contains six charts, comparing the performance of each Australian state and territory against a series of performance measures for different areas of service delivery: the court system, public housing, public hospitals, homelessness support, ambulance services, and corrective services. Together, the charts show that performance varies across jurisdictions for each of these measures, often significantly."/>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981200" cy="1798320"/>
                          </a:xfrm>
                          <a:prstGeom prst="rect">
                            <a:avLst/>
                          </a:prstGeom>
                          <a:noFill/>
                          <a:ln>
                            <a:noFill/>
                          </a:ln>
                        </pic:spPr>
                      </pic:pic>
                    </a:graphicData>
                  </a:graphic>
                </wp:inline>
              </w:drawing>
            </w:r>
          </w:p>
        </w:tc>
      </w:tr>
    </w:tbl>
    <w:p w14:paraId="7A205D43" w14:textId="5CC7562D" w:rsidR="003A0ECF" w:rsidRDefault="003A0ECF" w:rsidP="003A0ECF">
      <w:pPr>
        <w:pStyle w:val="Note"/>
        <w:keepLines/>
      </w:pPr>
      <w:r w:rsidRPr="008463DA">
        <w:rPr>
          <w:b/>
        </w:rPr>
        <w:t>a.</w:t>
      </w:r>
      <w:r w:rsidR="008463DA">
        <w:rPr>
          <w:b/>
        </w:rPr>
        <w:t xml:space="preserve"> </w:t>
      </w:r>
      <w:r>
        <w:t>Pre</w:t>
      </w:r>
      <w:r>
        <w:noBreakHyphen/>
        <w:t>C</w:t>
      </w:r>
      <w:r w:rsidR="0077053F">
        <w:t>OVID</w:t>
      </w:r>
      <w:r w:rsidR="00CF77B1">
        <w:t>-19</w:t>
      </w:r>
      <w:r>
        <w:t xml:space="preserve"> values were used where measures were affected by COVID</w:t>
      </w:r>
      <w:r>
        <w:noBreakHyphen/>
        <w:t>19.</w:t>
      </w:r>
    </w:p>
    <w:p w14:paraId="46A6D245" w14:textId="5D3CCEE6" w:rsidR="003A0ECF" w:rsidRDefault="003A0ECF" w:rsidP="003A0ECF">
      <w:pPr>
        <w:pStyle w:val="Source"/>
      </w:pPr>
      <w:r w:rsidRPr="00696447">
        <w:t xml:space="preserve">Source: </w:t>
      </w:r>
      <w:r>
        <w:t xml:space="preserve">Productivity Commission, </w:t>
      </w:r>
      <w:r w:rsidR="00856E03">
        <w:t>v</w:t>
      </w:r>
      <w:r>
        <w:t xml:space="preserve">arious issues of the </w:t>
      </w:r>
      <w:r w:rsidRPr="00E94E0C">
        <w:t xml:space="preserve">annual </w:t>
      </w:r>
      <w:r w:rsidRPr="00856E03">
        <w:rPr>
          <w:i/>
          <w:iCs/>
        </w:rPr>
        <w:t>Report on Government Services</w:t>
      </w:r>
      <w:r w:rsidRPr="00696447">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34"/>
        <w:gridCol w:w="8894"/>
      </w:tblGrid>
      <w:tr w:rsidR="003A0ECF" w14:paraId="426E4350" w14:textId="77777777" w:rsidTr="00C426E9">
        <w:trPr>
          <w:trHeight w:val="765"/>
          <w:tblHeader/>
        </w:trPr>
        <w:tc>
          <w:tcPr>
            <w:tcW w:w="381" w:type="pct"/>
            <w:tcBorders>
              <w:bottom w:val="nil"/>
            </w:tcBorders>
            <w:tcMar>
              <w:bottom w:w="0" w:type="dxa"/>
            </w:tcMar>
            <w:vAlign w:val="center"/>
          </w:tcPr>
          <w:p w14:paraId="08DD6F85" w14:textId="77777777" w:rsidR="003A0ECF" w:rsidRDefault="003A0ECF" w:rsidP="00C426E9">
            <w:pPr>
              <w:pStyle w:val="NoSpacing"/>
              <w:keepLines/>
              <w:jc w:val="right"/>
            </w:pPr>
            <w:r w:rsidRPr="00A51374">
              <w:rPr>
                <w:noProof/>
              </w:rPr>
              <w:lastRenderedPageBreak/>
              <w:drawing>
                <wp:inline distT="0" distB="0" distL="0" distR="0" wp14:anchorId="057960EF" wp14:editId="1C885C96">
                  <wp:extent cx="288000" cy="288000"/>
                  <wp:effectExtent l="0" t="0" r="0" b="0"/>
                  <wp:docPr id="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19" w:type="pct"/>
            <w:tcBorders>
              <w:bottom w:val="nil"/>
            </w:tcBorders>
            <w:tcMar>
              <w:bottom w:w="0" w:type="dxa"/>
            </w:tcMar>
            <w:vAlign w:val="center"/>
          </w:tcPr>
          <w:p w14:paraId="320BFB9D" w14:textId="77777777" w:rsidR="003A0ECF" w:rsidRPr="00A4395A" w:rsidRDefault="003A0ECF" w:rsidP="00C426E9">
            <w:pPr>
              <w:pStyle w:val="TableHeading"/>
              <w:keepLines/>
              <w:spacing w:before="60" w:after="120"/>
              <w:contextualSpacing/>
              <w:rPr>
                <w:sz w:val="20"/>
              </w:rPr>
            </w:pPr>
            <w:r w:rsidRPr="00A4395A">
              <w:rPr>
                <w:sz w:val="20"/>
              </w:rPr>
              <w:t xml:space="preserve">Finding </w:t>
            </w:r>
            <w:r>
              <w:rPr>
                <w:sz w:val="20"/>
              </w:rPr>
              <w:t>3.3</w:t>
            </w:r>
          </w:p>
          <w:p w14:paraId="10C075A7" w14:textId="77777777" w:rsidR="003A0ECF" w:rsidRDefault="003A0ECF" w:rsidP="00C426E9">
            <w:pPr>
              <w:pStyle w:val="TableHeading"/>
              <w:keepLines/>
              <w:spacing w:before="60" w:after="120"/>
              <w:contextualSpacing/>
            </w:pPr>
            <w:r>
              <w:rPr>
                <w:sz w:val="20"/>
              </w:rPr>
              <w:t>But governments can be slow adopters of best practice</w:t>
            </w:r>
          </w:p>
        </w:tc>
      </w:tr>
      <w:tr w:rsidR="003A0ECF" w14:paraId="2DA16402" w14:textId="77777777" w:rsidTr="00C426E9">
        <w:tc>
          <w:tcPr>
            <w:tcW w:w="5000" w:type="pct"/>
            <w:gridSpan w:val="2"/>
            <w:tcBorders>
              <w:top w:val="nil"/>
              <w:bottom w:val="single" w:sz="4" w:space="0" w:color="66BCDB" w:themeColor="text2"/>
            </w:tcBorders>
          </w:tcPr>
          <w:p w14:paraId="1B191E05" w14:textId="0FCF0CD8" w:rsidR="003A0ECF" w:rsidRDefault="003A0ECF" w:rsidP="00C426E9">
            <w:pPr>
              <w:pStyle w:val="BodyText"/>
              <w:keepLines/>
            </w:pPr>
            <w:r>
              <w:t>I</w:t>
            </w:r>
            <w:r w:rsidRPr="00984881">
              <w:t xml:space="preserve">nnovation and the uptake of best practice is often sluggish, patchy and inconsistent across jurisdictions. Benchmarking of governments’ performance across multiple dimensions — school education, elective surgery waiting times, prisoner education, support services for people experiencing homelessness — suggest many have failed to </w:t>
            </w:r>
            <w:r>
              <w:t>draw on</w:t>
            </w:r>
            <w:r w:rsidRPr="00984881">
              <w:t xml:space="preserve"> the practices of the best.</w:t>
            </w:r>
          </w:p>
        </w:tc>
      </w:tr>
      <w:tr w:rsidR="003A0ECF" w14:paraId="77BA2E1F" w14:textId="77777777" w:rsidTr="00C426E9">
        <w:tc>
          <w:tcPr>
            <w:tcW w:w="5000" w:type="pct"/>
            <w:gridSpan w:val="2"/>
            <w:tcBorders>
              <w:top w:val="single" w:sz="4" w:space="0" w:color="66BCDB" w:themeColor="text2"/>
              <w:left w:val="nil"/>
              <w:bottom w:val="nil"/>
              <w:right w:val="nil"/>
            </w:tcBorders>
            <w:tcMar>
              <w:bottom w:w="0" w:type="dxa"/>
            </w:tcMar>
          </w:tcPr>
          <w:p w14:paraId="2386716D" w14:textId="77777777" w:rsidR="003A0ECF" w:rsidRDefault="003A0ECF" w:rsidP="00C426E9">
            <w:pPr>
              <w:pStyle w:val="NoSpacing"/>
              <w:spacing w:line="200" w:lineRule="atLeast"/>
            </w:pPr>
          </w:p>
        </w:tc>
      </w:tr>
    </w:tbl>
    <w:p w14:paraId="3C885F10" w14:textId="77777777" w:rsidR="003A0ECF" w:rsidRDefault="003A0ECF" w:rsidP="003A0ECF">
      <w:pPr>
        <w:pStyle w:val="Heading5"/>
      </w:pPr>
      <w:r>
        <w:t>Some slow diffusion may reflect the complexity of the innovations</w:t>
      </w:r>
    </w:p>
    <w:p w14:paraId="56B3AFC5" w14:textId="188DCFAE" w:rsidR="003A0ECF" w:rsidRDefault="003A0ECF" w:rsidP="003A0ECF">
      <w:pPr>
        <w:pStyle w:val="BodyText"/>
      </w:pPr>
      <w:r>
        <w:t>As noted in chapter 1, the gradual diffusion of innovative processes need not always be bad and can be justified by the speculative and contingent nature of their benefits. For example, coordinated care trials in healthcare — which aimed to get better outcomes for patients through a coordinated package of services — commenced in the late 1990s. The model had strong conceptual underpinnings, but results were varied. A succession of new trials of integrated care took place over the next 25 years, most recently in the large</w:t>
      </w:r>
      <w:r>
        <w:noBreakHyphen/>
        <w:t xml:space="preserve">scale trial of Health Care Homes (HCHs) — a model of integrated care that had proved successful in achieving better clinical outcomes and patient experiences in the United States </w:t>
      </w:r>
      <w:r w:rsidR="00936D73" w:rsidRPr="00936D73">
        <w:rPr>
          <w:rFonts w:ascii="Arial" w:hAnsi="Arial" w:cs="Arial"/>
          <w:szCs w:val="24"/>
        </w:rPr>
        <w:t>(PC 2017b, p. 111ff)</w:t>
      </w:r>
      <w:r>
        <w:t>. However, the evaluation of HCHs found that short</w:t>
      </w:r>
      <w:r>
        <w:noBreakHyphen/>
        <w:t xml:space="preserve">run clinical outcomes were no better than those of patients not enrolled in them </w:t>
      </w:r>
      <w:r w:rsidRPr="00440BAE">
        <w:rPr>
          <w:rFonts w:ascii="Arial" w:hAnsi="Arial" w:cs="Arial"/>
          <w:szCs w:val="24"/>
        </w:rPr>
        <w:t>(Pearse et al. 2022)</w:t>
      </w:r>
      <w:r>
        <w:t>.</w:t>
      </w:r>
    </w:p>
    <w:p w14:paraId="466AF2EE" w14:textId="77777777" w:rsidR="003A0ECF" w:rsidRDefault="003A0ECF" w:rsidP="003A0ECF">
      <w:pPr>
        <w:pStyle w:val="BodyText"/>
      </w:pPr>
      <w:r>
        <w:t>In part, the lacklustre results reflected the problem of scaling up a promising approach to large populations, and possibly the short period over which clinical assessments were made:</w:t>
      </w:r>
    </w:p>
    <w:p w14:paraId="0FF6708D" w14:textId="76C48587" w:rsidR="003A0ECF" w:rsidRDefault="003A0ECF" w:rsidP="003A0ECF">
      <w:pPr>
        <w:pStyle w:val="Quote"/>
      </w:pPr>
      <w:r>
        <w:t>A key issue for the HCH trial was that changes practices implemented during the trial lacked fidelity to the original aspirations for HCH as articulated by the PHCAG</w:t>
      </w:r>
      <w:r w:rsidR="00E01CA9">
        <w:t xml:space="preserve"> [</w:t>
      </w:r>
      <w:r w:rsidR="00AA438C">
        <w:t>Primary Health Care Advisory Group]</w:t>
      </w:r>
      <w:r>
        <w:t>. That is, while some practices introduced comprehensive changes to chronic disease management, others made few changes. Lack of change was mostly due to low levels of patient enrolment and/or relatively low levels of GP participation in HCH, resulting in insufficient scale to allow meaningful changes to be made. (</w:t>
      </w:r>
      <w:proofErr w:type="gramStart"/>
      <w:r>
        <w:t>ibid</w:t>
      </w:r>
      <w:proofErr w:type="gramEnd"/>
      <w:r>
        <w:t>, p. 22)</w:t>
      </w:r>
    </w:p>
    <w:p w14:paraId="7C488DC3" w14:textId="77777777" w:rsidR="003A0ECF" w:rsidRDefault="003A0ECF" w:rsidP="003A0ECF">
      <w:pPr>
        <w:pStyle w:val="BodyText"/>
      </w:pPr>
      <w:r>
        <w:t>Other models of integrated care, such as the Western Sydney Integrated Care Program, among others, have proved much more successful, so that a well</w:t>
      </w:r>
      <w:r>
        <w:noBreakHyphen/>
        <w:t>designed model continues to have strong appeal. The history of integrated care in its various incarnations suggests that diffusion was always going to be difficult.</w:t>
      </w:r>
    </w:p>
    <w:p w14:paraId="0673690E" w14:textId="77777777" w:rsidR="003A0ECF" w:rsidRDefault="003A0ECF" w:rsidP="003A0ECF">
      <w:pPr>
        <w:pStyle w:val="Heading2"/>
      </w:pPr>
      <w:bookmarkStart w:id="118" w:name="_Toc113969662"/>
      <w:r>
        <w:t>There are major obstacles to innovation and diffusion that need to be reformed or managed</w:t>
      </w:r>
      <w:bookmarkEnd w:id="118"/>
    </w:p>
    <w:p w14:paraId="1491F144" w14:textId="77777777" w:rsidR="003A0ECF" w:rsidRDefault="003A0ECF" w:rsidP="003A0ECF">
      <w:pPr>
        <w:pStyle w:val="Heading3"/>
      </w:pPr>
      <w:r>
        <w:t>There are some obstacles common to the public and private sector</w:t>
      </w:r>
    </w:p>
    <w:p w14:paraId="3DE17381" w14:textId="77777777" w:rsidR="003A0ECF" w:rsidRDefault="003A0ECF" w:rsidP="003A0ECF">
      <w:pPr>
        <w:pStyle w:val="BodyText"/>
      </w:pPr>
      <w:r>
        <w:t>The challenges for innovation and diffusion in the public sector share some features with the private sector.</w:t>
      </w:r>
    </w:p>
    <w:p w14:paraId="0D18DF61" w14:textId="32396E57" w:rsidR="003A0ECF" w:rsidRDefault="003A0ECF" w:rsidP="003A0ECF">
      <w:pPr>
        <w:pStyle w:val="BodyText"/>
      </w:pPr>
      <w:r>
        <w:t>Analogous to the business profile of Australia, which is characterised by many small firms, there are many relatively small providers or organisations that deliver government</w:t>
      </w:r>
      <w:r>
        <w:noBreakHyphen/>
        <w:t xml:space="preserve">funded services. These include GPs, schools, </w:t>
      </w:r>
      <w:proofErr w:type="spellStart"/>
      <w:r>
        <w:t>jobactive</w:t>
      </w:r>
      <w:proofErr w:type="spellEnd"/>
      <w:r>
        <w:t xml:space="preserve"> providers, aged care home support services, community centres, libraries and a host of other services that are geographically dispersed and therefore necessarily small or medium in size.</w:t>
      </w:r>
    </w:p>
    <w:p w14:paraId="0E3E329B" w14:textId="77777777" w:rsidR="003A0ECF" w:rsidRPr="007F48A7" w:rsidRDefault="003A0ECF" w:rsidP="003A0ECF">
      <w:pPr>
        <w:pStyle w:val="BodyText"/>
        <w:rPr>
          <w:spacing w:val="-4"/>
        </w:rPr>
      </w:pPr>
      <w:r w:rsidRPr="007F48A7">
        <w:rPr>
          <w:spacing w:val="-4"/>
        </w:rPr>
        <w:t>Even large organisations like hospitals, transport authorities, aged care facilities, universities, and prisons are spread across both urban and regional areas and have varying levels of government control and oversight.</w:t>
      </w:r>
    </w:p>
    <w:p w14:paraId="032817CA" w14:textId="77777777" w:rsidR="003A0ECF" w:rsidRDefault="003A0ECF" w:rsidP="003A0ECF">
      <w:r>
        <w:lastRenderedPageBreak/>
        <w:t>This means that there are large potential gains from experimentation and the sharing of successes and failures. However, communication across small providers is difficult as there is often a lack of visibility or forum for such discussions, no coordinating mechanism, and a lack of incentives to share past experiences.</w:t>
      </w:r>
    </w:p>
    <w:p w14:paraId="34254BB1" w14:textId="06E978CC" w:rsidR="003A0ECF" w:rsidRDefault="003A0ECF" w:rsidP="003A0ECF">
      <w:r>
        <w:t xml:space="preserve">Overall, having a large number of small providers allows for testing and incremental innovation but can also make diffusion and scaling of innovations more difficult </w:t>
      </w:r>
      <w:r w:rsidRPr="00EC1366">
        <w:rPr>
          <w:rFonts w:ascii="Arial" w:hAnsi="Arial" w:cs="Arial"/>
          <w:szCs w:val="24"/>
        </w:rPr>
        <w:t>(Albury 2005)</w:t>
      </w:r>
      <w:r>
        <w:t>. This is accentuated when ownership varies across government</w:t>
      </w:r>
      <w:r>
        <w:noBreakHyphen/>
        <w:t>funded services, with, for example, residential aged care provided by governments directly, by not</w:t>
      </w:r>
      <w:r>
        <w:noBreakHyphen/>
        <w:t>for</w:t>
      </w:r>
      <w:r>
        <w:noBreakHyphen/>
        <w:t>profit agencies and by private for</w:t>
      </w:r>
      <w:r>
        <w:noBreakHyphen/>
        <w:t>profit businesses. While ownership can affect the incentives to diffuse innovation, their different cultures and practices can also hinder diffusion (in the same way that cultures differ between family businesses, SMEs and large private sector corporations).</w:t>
      </w:r>
    </w:p>
    <w:p w14:paraId="15D59EB2" w14:textId="77777777" w:rsidR="003A0ECF" w:rsidRDefault="003A0ECF" w:rsidP="003A0ECF">
      <w:pPr>
        <w:pStyle w:val="BodyText"/>
      </w:pPr>
      <w:r>
        <w:t xml:space="preserve">The highly decentralised nature of many government services is only one aspect that affects the capacity for adoption. Some government services are more akin to large (a state transport authority) or franchised businesses (Centrelink offices). In these activities, there is the potential for speedier diffusion of innovation as their governance arrangements allow the head of the agency to </w:t>
      </w:r>
      <w:r w:rsidRPr="00273CF1">
        <w:rPr>
          <w:i/>
          <w:iCs/>
        </w:rPr>
        <w:t>require</w:t>
      </w:r>
      <w:r>
        <w:t xml:space="preserve"> the adoption of a new approach. On the other hand, large entities have big bureaucracies, and tend to be slow</w:t>
      </w:r>
      <w:r>
        <w:noBreakHyphen/>
        <w:t>moving, hierarchical and risk averse, which is inimical to some types of innovation and adoption.</w:t>
      </w:r>
    </w:p>
    <w:p w14:paraId="3F35D187" w14:textId="77777777" w:rsidR="003A0ECF" w:rsidRDefault="003A0ECF" w:rsidP="003A0ECF">
      <w:pPr>
        <w:pStyle w:val="Heading3"/>
      </w:pPr>
      <w:r>
        <w:t>There are also unique obstacles to innovation and diffusion</w:t>
      </w:r>
    </w:p>
    <w:p w14:paraId="0EB41119" w14:textId="4044B94B" w:rsidR="003A0ECF" w:rsidRDefault="003A0ECF" w:rsidP="003A0ECF">
      <w:pPr>
        <w:pStyle w:val="BodyText"/>
      </w:pPr>
      <w:r>
        <w:t>While there are commonalities, there are also major differences between the public and private sector that affect the capacity, methods and incentives for innovation and diffusion.</w:t>
      </w:r>
    </w:p>
    <w:p w14:paraId="2D009286" w14:textId="77777777" w:rsidR="003A0ECF" w:rsidRDefault="003A0ECF" w:rsidP="003A0ECF">
      <w:pPr>
        <w:pStyle w:val="Heading4"/>
      </w:pPr>
      <w:r>
        <w:t>Objectives vary and success is hard to measure or even define</w:t>
      </w:r>
    </w:p>
    <w:p w14:paraId="0A01D921" w14:textId="67BE63A9" w:rsidR="003A0ECF" w:rsidRDefault="003A0ECF" w:rsidP="003A0ECF">
      <w:pPr>
        <w:pStyle w:val="BodyText"/>
      </w:pPr>
      <w:r>
        <w:t>In the private sector, the goal is to maximise profits, which provides a transparent benchmark for the effectiveness of innovation. By the nature of governments’ remit, consensus about the public good, the best actions to promote it, the key priorities, and acceptable trade</w:t>
      </w:r>
      <w:r>
        <w:noBreakHyphen/>
        <w:t>offs varies across and within governments. In the public sector, the objective is to improve the public good with all the ambiguity that term entails, subject to the constraints imposed by the sometimes</w:t>
      </w:r>
      <w:r>
        <w:noBreakHyphen/>
        <w:t xml:space="preserve">conflicting interests of politicians, bureaucrats and lobbyists. One of the starkest examples of this is that </w:t>
      </w:r>
      <w:proofErr w:type="gramStart"/>
      <w:r>
        <w:t>billion dollar</w:t>
      </w:r>
      <w:proofErr w:type="gramEnd"/>
      <w:r>
        <w:t xml:space="preserve"> public infrastructure projects are more politically saleable than a combination of less conspicuous projects (like better road maintenance), even if the latter have greater net benefits than the former </w:t>
      </w:r>
      <w:r w:rsidRPr="00FF6B64">
        <w:rPr>
          <w:rFonts w:ascii="Arial" w:hAnsi="Arial" w:cs="Arial"/>
          <w:szCs w:val="24"/>
        </w:rPr>
        <w:t>(</w:t>
      </w:r>
      <w:proofErr w:type="spellStart"/>
      <w:r w:rsidRPr="00FF6B64">
        <w:rPr>
          <w:rFonts w:ascii="Arial" w:hAnsi="Arial" w:cs="Arial"/>
          <w:szCs w:val="24"/>
        </w:rPr>
        <w:t>Ergas</w:t>
      </w:r>
      <w:proofErr w:type="spellEnd"/>
      <w:r w:rsidRPr="00FF6B64">
        <w:rPr>
          <w:rFonts w:ascii="Arial" w:hAnsi="Arial" w:cs="Arial"/>
          <w:szCs w:val="24"/>
        </w:rPr>
        <w:t> 2014, p. 13)</w:t>
      </w:r>
      <w:r>
        <w:t>.</w:t>
      </w:r>
    </w:p>
    <w:p w14:paraId="03F36E2E" w14:textId="77777777" w:rsidR="003A0ECF" w:rsidRDefault="003A0ECF" w:rsidP="003A0ECF">
      <w:pPr>
        <w:pStyle w:val="Heading4"/>
      </w:pPr>
      <w:r>
        <w:t>Incentives are mixed</w:t>
      </w:r>
    </w:p>
    <w:p w14:paraId="2CD68E1D" w14:textId="77777777" w:rsidR="003A0ECF" w:rsidRPr="00655F69" w:rsidRDefault="003A0ECF" w:rsidP="003A0ECF">
      <w:pPr>
        <w:pStyle w:val="BodyText"/>
        <w:rPr>
          <w:spacing w:val="-4"/>
        </w:rPr>
      </w:pPr>
      <w:r w:rsidRPr="00655F69">
        <w:rPr>
          <w:spacing w:val="-4"/>
        </w:rPr>
        <w:t>This is further complicated by the reality that a federal system of government — for all its benefits — leads to (sometimes) overlapping roles and divergent goals, which can frustrate the diffusion of innovation. A private business could change its corporate structure in parallel circumstances, but different levels of government must negotiate — sometimes over protracted periods — to achieve reforms that improve the overall public good.</w:t>
      </w:r>
    </w:p>
    <w:p w14:paraId="3E16B93D" w14:textId="4D8CD201" w:rsidR="003A0ECF" w:rsidRDefault="003A0ECF" w:rsidP="003A0ECF">
      <w:pPr>
        <w:pStyle w:val="BodyText"/>
      </w:pPr>
      <w:r>
        <w:t>As an illustration of the complexities of federation, some of the deficiencies of the health system stem from the fact that the Australian Government funds and regulates primary healthcare, while state and territory governments are the managers and predominant funders of hospitals. A few exemptions aside, state</w:t>
      </w:r>
      <w:r w:rsidR="000565F7">
        <w:noBreakHyphen/>
      </w:r>
      <w:r>
        <w:t xml:space="preserve"> and territory</w:t>
      </w:r>
      <w:r>
        <w:noBreakHyphen/>
        <w:t xml:space="preserve">run local hospital networks have a limited capacity to commission services eligible for MBS payments (under section 19 of the </w:t>
      </w:r>
      <w:r w:rsidRPr="00F92AF4">
        <w:rPr>
          <w:i/>
          <w:iCs/>
        </w:rPr>
        <w:t>Health Insurance Act 1973 (C</w:t>
      </w:r>
      <w:r>
        <w:rPr>
          <w:i/>
          <w:iCs/>
        </w:rPr>
        <w:t>wl</w:t>
      </w:r>
      <w:r w:rsidRPr="00F92AF4">
        <w:rPr>
          <w:i/>
          <w:iCs/>
        </w:rPr>
        <w:t>th</w:t>
      </w:r>
      <w:r>
        <w:t>)). Moreover, while activity</w:t>
      </w:r>
      <w:r>
        <w:noBreakHyphen/>
        <w:t>based funding encourages efficiency by funding activities within hospitals, it provides no incentives for hospitals to make investments in out</w:t>
      </w:r>
      <w:r>
        <w:noBreakHyphen/>
        <w:t>of</w:t>
      </w:r>
      <w:r>
        <w:noBreakHyphen/>
        <w:t xml:space="preserve">hospital interventions that reduce those activities </w:t>
      </w:r>
      <w:r w:rsidR="00936D73" w:rsidRPr="00936D73">
        <w:rPr>
          <w:rFonts w:ascii="Arial" w:hAnsi="Arial" w:cs="Arial"/>
          <w:szCs w:val="24"/>
        </w:rPr>
        <w:t>(PC 2017d, p. 52)</w:t>
      </w:r>
      <w:r>
        <w:t xml:space="preserve">. Likewise, the Australian Government only captures a share of the dividends from investments in primary care that </w:t>
      </w:r>
      <w:r>
        <w:lastRenderedPageBreak/>
        <w:t>reduce long</w:t>
      </w:r>
      <w:r>
        <w:noBreakHyphen/>
        <w:t>run demand for hospital services and the staff and infrastructure underpinning those services.</w:t>
      </w:r>
      <w:r w:rsidRPr="00B72F6B">
        <w:rPr>
          <w:rStyle w:val="FootnoteReference"/>
        </w:rPr>
        <w:footnoteReference w:id="27"/>
      </w:r>
      <w:r>
        <w:t xml:space="preserve"> This weakens governments’ incentives for action. Even greater messiness ensues from the complex role of heavily government</w:t>
      </w:r>
      <w:r>
        <w:noBreakHyphen/>
        <w:t>subsidised and regulated private health insurance.</w:t>
      </w:r>
    </w:p>
    <w:p w14:paraId="08CD36AD" w14:textId="7BC930DB" w:rsidR="003A0ECF" w:rsidRDefault="003A0ECF" w:rsidP="003A0ECF">
      <w:pPr>
        <w:pStyle w:val="BodyText"/>
      </w:pPr>
      <w:r>
        <w:t xml:space="preserve">Housing policy suffers from some similar dilemmas given a mix of shared and competing roles by all levels of government, including funding deficiencies, </w:t>
      </w:r>
      <w:r w:rsidR="00740030">
        <w:t>which</w:t>
      </w:r>
      <w:r>
        <w:t xml:space="preserve"> suggest significant benefits from a genuinely coordinated approach </w:t>
      </w:r>
      <w:r w:rsidRPr="00FC0CDC">
        <w:rPr>
          <w:rFonts w:ascii="Arial" w:hAnsi="Arial" w:cs="Arial"/>
          <w:szCs w:val="24"/>
        </w:rPr>
        <w:t>(PC 2022c)</w:t>
      </w:r>
      <w:r>
        <w:t>.</w:t>
      </w:r>
    </w:p>
    <w:p w14:paraId="43B73256" w14:textId="77777777" w:rsidR="003A0ECF" w:rsidRDefault="003A0ECF" w:rsidP="003A0ECF">
      <w:pPr>
        <w:pStyle w:val="Heading4"/>
      </w:pPr>
      <w:r>
        <w:t>Universal supply to heterogenous groups means no one</w:t>
      </w:r>
      <w:r>
        <w:noBreakHyphen/>
        <w:t>size fits all</w:t>
      </w:r>
    </w:p>
    <w:p w14:paraId="6612DC84" w14:textId="2BE5A1F7" w:rsidR="003A0ECF" w:rsidRDefault="003A0ECF" w:rsidP="003A0ECF">
      <w:pPr>
        <w:pStyle w:val="BodyText"/>
      </w:pPr>
      <w:r>
        <w:t xml:space="preserve">A major challenge for many government services is that there is an </w:t>
      </w:r>
      <w:r w:rsidRPr="0093216D">
        <w:rPr>
          <w:i/>
          <w:iCs/>
        </w:rPr>
        <w:t>obligation</w:t>
      </w:r>
      <w:r>
        <w:t xml:space="preserve"> to supply them to disparate and geographically dispersed populations across all of Australia. The variety of locations and the heterogeneity of customers mean that services often must be tailored to meet local circumstances. Many National Agreements between the Australian Governments and States and Territories identify priority groups (such as people with a disability or Aboriginal and Torres Strait Islander </w:t>
      </w:r>
      <w:r w:rsidR="00B434A7">
        <w:t>people</w:t>
      </w:r>
      <w:r>
        <w:t>) to recognise their specific needs. Service delivery can be very different in regional versus urban locations, especially in thin markets. There are many highly</w:t>
      </w:r>
      <w:r>
        <w:noBreakHyphen/>
        <w:t>specific programs aimed at Closing the Gap. The consequence of the variety and specificity of citizens’ needs is that learning from one program or service delivery approach (diffusion) may not translate well to other contexts. Scaling up small successful programs can also be frustrated by the scarcity of highly skilled and motivated workers that underpin that success.</w:t>
      </w:r>
    </w:p>
    <w:p w14:paraId="7CA29488" w14:textId="74FA9F08" w:rsidR="003A0ECF" w:rsidRDefault="003A0ECF" w:rsidP="003A0ECF">
      <w:pPr>
        <w:pStyle w:val="Heading4"/>
      </w:pPr>
      <w:r>
        <w:t>Local monopolies abound and ca</w:t>
      </w:r>
      <w:r w:rsidR="000565F7">
        <w:t>nnot</w:t>
      </w:r>
      <w:r>
        <w:t xml:space="preserve"> go broke</w:t>
      </w:r>
    </w:p>
    <w:p w14:paraId="04292AC8" w14:textId="08E5C84B" w:rsidR="003A0ECF" w:rsidRDefault="003A0ECF" w:rsidP="003A0ECF">
      <w:pPr>
        <w:pStyle w:val="BodyText"/>
      </w:pPr>
      <w:r>
        <w:t>Many government</w:t>
      </w:r>
      <w:r>
        <w:noBreakHyphen/>
        <w:t>owned or funded services face little or no competition from rivals given they are the monopoly provider or meet the needs of different regions. For example, many state schools have restrictive arrangements for out</w:t>
      </w:r>
      <w:r>
        <w:noBreakHyphen/>
        <w:t>of</w:t>
      </w:r>
      <w:r>
        <w:noBreakHyphen/>
        <w:t>area enrolments, which limits parental choice to a local school. And unlike private (and even not</w:t>
      </w:r>
      <w:r>
        <w:noBreakHyphen/>
        <w:t>for</w:t>
      </w:r>
      <w:r>
        <w:noBreakHyphen/>
        <w:t>profit) businesses, there are relatively few exits and entries by government</w:t>
      </w:r>
      <w:r>
        <w:noBreakHyphen/>
        <w:t>owned service providers, nor much risk of them. This reduces the pressure for innovation and adoption of best practice. In some public services, there is no permitted competition (generally for good reasons) — as in policing, prisons, and the Australian Tax Office.</w:t>
      </w:r>
    </w:p>
    <w:p w14:paraId="3A5AFA6C" w14:textId="77777777" w:rsidR="003A0ECF" w:rsidRDefault="003A0ECF" w:rsidP="003A0ECF">
      <w:pPr>
        <w:pStyle w:val="Heading4"/>
      </w:pPr>
      <w:r>
        <w:t>Norms and regulations discourage innovation</w:t>
      </w:r>
    </w:p>
    <w:p w14:paraId="4F45CAD0" w14:textId="081F3936" w:rsidR="003A0ECF" w:rsidRPr="00655F69" w:rsidRDefault="003A0ECF" w:rsidP="003A0ECF">
      <w:pPr>
        <w:pStyle w:val="BodyText"/>
        <w:rPr>
          <w:spacing w:val="-4"/>
        </w:rPr>
      </w:pPr>
      <w:r w:rsidRPr="00655F69">
        <w:rPr>
          <w:spacing w:val="-4"/>
        </w:rPr>
        <w:t>Government services are often subject to higher levels of prescriptive regulation and have risk</w:t>
      </w:r>
      <w:r w:rsidRPr="00655F69">
        <w:rPr>
          <w:spacing w:val="-4"/>
        </w:rPr>
        <w:noBreakHyphen/>
        <w:t xml:space="preserve">averse norms </w:t>
      </w:r>
      <w:r w:rsidRPr="00655F69">
        <w:rPr>
          <w:rFonts w:cs="Arial"/>
          <w:spacing w:val="-4"/>
          <w:szCs w:val="24"/>
        </w:rPr>
        <w:t>(ANZSOG 2019)</w:t>
      </w:r>
      <w:r w:rsidRPr="00655F69">
        <w:rPr>
          <w:spacing w:val="-4"/>
        </w:rPr>
        <w:t>. These may be justified for safety, ethical or other reasons, but high levels of regulation and risk aversion can limit the scope to change deficient prescribed practices, require resources to meet regulatory reporting requirements and can reduce the capacity of lower managers to autonomously make changes.</w:t>
      </w:r>
    </w:p>
    <w:p w14:paraId="438275A3" w14:textId="30A0D5AC" w:rsidR="003A0ECF" w:rsidRPr="00655F69" w:rsidRDefault="003A0ECF" w:rsidP="003A0ECF">
      <w:pPr>
        <w:pStyle w:val="BodyText"/>
        <w:rPr>
          <w:spacing w:val="-4"/>
        </w:rPr>
      </w:pPr>
      <w:r w:rsidRPr="00655F69">
        <w:rPr>
          <w:spacing w:val="-4"/>
        </w:rPr>
        <w:t xml:space="preserve">Regulations eat time, and time is a scarce input into innovation and adoption. For example, teachers face high levels of administrative work reportedly due to government and school level bureaucracy, making up 8 per cent of a ‘typical’ working week </w:t>
      </w:r>
      <w:r w:rsidRPr="00655F69">
        <w:rPr>
          <w:rFonts w:cs="Arial"/>
          <w:spacing w:val="-4"/>
          <w:szCs w:val="24"/>
        </w:rPr>
        <w:t xml:space="preserve">(Hunter, </w:t>
      </w:r>
      <w:proofErr w:type="spellStart"/>
      <w:r w:rsidRPr="00655F69">
        <w:rPr>
          <w:rFonts w:cs="Arial"/>
          <w:spacing w:val="-4"/>
          <w:szCs w:val="24"/>
        </w:rPr>
        <w:t>Sonnemann</w:t>
      </w:r>
      <w:proofErr w:type="spellEnd"/>
      <w:r w:rsidRPr="00655F69">
        <w:rPr>
          <w:rFonts w:cs="Arial"/>
          <w:spacing w:val="-4"/>
          <w:szCs w:val="24"/>
        </w:rPr>
        <w:t xml:space="preserve"> and Joiner 2022)</w:t>
      </w:r>
      <w:r w:rsidRPr="00655F69">
        <w:rPr>
          <w:spacing w:val="-4"/>
        </w:rPr>
        <w:t>. This is time that could be spent on better lesson preparation and professional development — an issue examined further in the Skills report in this 5</w:t>
      </w:r>
      <w:r w:rsidRPr="00655F69">
        <w:rPr>
          <w:spacing w:val="-4"/>
        </w:rPr>
        <w:noBreakHyphen/>
        <w:t xml:space="preserve">yearly Productivity </w:t>
      </w:r>
      <w:r w:rsidR="007237ED" w:rsidRPr="00655F69">
        <w:rPr>
          <w:spacing w:val="-4"/>
        </w:rPr>
        <w:t>Inquiry</w:t>
      </w:r>
      <w:r w:rsidRPr="00655F69">
        <w:rPr>
          <w:spacing w:val="-4"/>
        </w:rPr>
        <w:t xml:space="preserve"> and in </w:t>
      </w:r>
      <w:r w:rsidR="00694BFC" w:rsidRPr="00655F69">
        <w:rPr>
          <w:spacing w:val="-4"/>
        </w:rPr>
        <w:t xml:space="preserve">the </w:t>
      </w:r>
      <w:r w:rsidRPr="00655F69">
        <w:rPr>
          <w:spacing w:val="-4"/>
        </w:rPr>
        <w:t>Commission’s concurrent review of the National School Reform Agreement.</w:t>
      </w:r>
    </w:p>
    <w:p w14:paraId="7EE7D384" w14:textId="77777777" w:rsidR="003A0ECF" w:rsidRPr="00655F69" w:rsidRDefault="003A0ECF" w:rsidP="003A0ECF">
      <w:pPr>
        <w:pStyle w:val="BodyText"/>
        <w:rPr>
          <w:spacing w:val="-4"/>
        </w:rPr>
      </w:pPr>
      <w:r w:rsidRPr="00655F69">
        <w:rPr>
          <w:spacing w:val="-4"/>
        </w:rPr>
        <w:t xml:space="preserve">Likewise, norms about the desirability and capacity for innovation (whether new altogether or new to the agency) vary across the public sector. In the Australian Public Service, all agencies participate in an annual census that includes questions about staff attitudes to innovation. While many staff believe one of their key roles is to </w:t>
      </w:r>
      <w:r w:rsidRPr="00655F69">
        <w:rPr>
          <w:spacing w:val="-4"/>
        </w:rPr>
        <w:lastRenderedPageBreak/>
        <w:t>innovate, far fewer believe this is rewarded and indeed, a minority believe that their agencies accept that failure is sometimes an inevitable feature of innovation or the adoption of new ideas (table 3.2). Other data show that there is considerable variability across agencies in their ratings of innovation and management.</w:t>
      </w:r>
    </w:p>
    <w:p w14:paraId="1EAA5EF9" w14:textId="77777777" w:rsidR="003A0ECF" w:rsidRDefault="003A0ECF" w:rsidP="003A0ECF">
      <w:pPr>
        <w:pStyle w:val="FigureTableHeading"/>
      </w:pPr>
      <w:r>
        <w:t>Table 3.2</w:t>
      </w:r>
      <w:r>
        <w:rPr>
          <w:noProof/>
        </w:rPr>
        <w:t xml:space="preserve"> – </w:t>
      </w:r>
      <w:r>
        <w:t>Attitudes to innovation in the Australian Public Service</w:t>
      </w:r>
    </w:p>
    <w:p w14:paraId="090A3F37" w14:textId="77777777" w:rsidR="003A0ECF" w:rsidRDefault="003A0ECF" w:rsidP="003A0ECF">
      <w:pPr>
        <w:pStyle w:val="FigureTableSubheading"/>
      </w:pPr>
      <w:r>
        <w:t>2020</w:t>
      </w:r>
      <w:r>
        <w:noBreakHyphen/>
        <w:t>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962"/>
        <w:gridCol w:w="1512"/>
        <w:gridCol w:w="1512"/>
        <w:gridCol w:w="1512"/>
      </w:tblGrid>
      <w:tr w:rsidR="00F140FF" w:rsidRPr="00030C67" w14:paraId="337484B2" w14:textId="77777777" w:rsidTr="00054A6E">
        <w:trPr>
          <w:trHeight w:val="370"/>
          <w:tblHeader/>
        </w:trPr>
        <w:tc>
          <w:tcPr>
            <w:tcW w:w="4962" w:type="dxa"/>
            <w:vMerge w:val="restart"/>
            <w:shd w:val="clear" w:color="000000" w:fill="auto"/>
            <w:vAlign w:val="bottom"/>
          </w:tcPr>
          <w:p w14:paraId="6927E2C4" w14:textId="77777777" w:rsidR="00F140FF" w:rsidRPr="00655F69" w:rsidRDefault="00F140FF" w:rsidP="00C426E9">
            <w:pPr>
              <w:pStyle w:val="TableColumnHeading"/>
              <w:jc w:val="left"/>
              <w:rPr>
                <w:b/>
                <w:bCs/>
                <w:i w:val="0"/>
                <w:iCs/>
                <w:color w:val="265A9A" w:themeColor="background2"/>
              </w:rPr>
            </w:pPr>
            <w:r w:rsidRPr="00655F69">
              <w:rPr>
                <w:b/>
                <w:bCs/>
                <w:i w:val="0"/>
                <w:iCs/>
                <w:color w:val="265A9A" w:themeColor="background2"/>
              </w:rPr>
              <w:t>Statement</w:t>
            </w:r>
          </w:p>
        </w:tc>
        <w:tc>
          <w:tcPr>
            <w:tcW w:w="1512" w:type="dxa"/>
            <w:tcBorders>
              <w:bottom w:val="single" w:sz="4" w:space="0" w:color="B3B3B3"/>
            </w:tcBorders>
            <w:shd w:val="clear" w:color="000000" w:fill="auto"/>
            <w:vAlign w:val="bottom"/>
          </w:tcPr>
          <w:p w14:paraId="3A33657A" w14:textId="77777777" w:rsidR="00F140FF" w:rsidRPr="00655F69" w:rsidRDefault="00F140FF" w:rsidP="00C426E9">
            <w:pPr>
              <w:pStyle w:val="TableColumnHeading"/>
              <w:rPr>
                <w:b/>
                <w:bCs/>
                <w:i w:val="0"/>
                <w:iCs/>
                <w:color w:val="265A9A" w:themeColor="background2"/>
              </w:rPr>
            </w:pPr>
            <w:r w:rsidRPr="00655F69">
              <w:rPr>
                <w:b/>
                <w:bCs/>
                <w:i w:val="0"/>
                <w:iCs/>
                <w:color w:val="265A9A" w:themeColor="background2"/>
              </w:rPr>
              <w:t>Positive</w:t>
            </w:r>
          </w:p>
        </w:tc>
        <w:tc>
          <w:tcPr>
            <w:tcW w:w="1512" w:type="dxa"/>
            <w:tcBorders>
              <w:bottom w:val="single" w:sz="4" w:space="0" w:color="B3B3B3"/>
            </w:tcBorders>
            <w:shd w:val="clear" w:color="000000" w:fill="auto"/>
          </w:tcPr>
          <w:p w14:paraId="60C8BEDA" w14:textId="77777777" w:rsidR="00F140FF" w:rsidRPr="00655F69" w:rsidRDefault="00F140FF" w:rsidP="00C426E9">
            <w:pPr>
              <w:pStyle w:val="TableColumnHeading"/>
              <w:rPr>
                <w:b/>
                <w:bCs/>
                <w:i w:val="0"/>
                <w:iCs/>
                <w:color w:val="265A9A" w:themeColor="background2"/>
              </w:rPr>
            </w:pPr>
            <w:r w:rsidRPr="00655F69">
              <w:rPr>
                <w:b/>
                <w:bCs/>
                <w:i w:val="0"/>
                <w:iCs/>
                <w:color w:val="265A9A" w:themeColor="background2"/>
              </w:rPr>
              <w:t>Neutral</w:t>
            </w:r>
          </w:p>
        </w:tc>
        <w:tc>
          <w:tcPr>
            <w:tcW w:w="1512" w:type="dxa"/>
            <w:tcBorders>
              <w:bottom w:val="single" w:sz="4" w:space="0" w:color="B3B3B3"/>
            </w:tcBorders>
            <w:shd w:val="clear" w:color="000000" w:fill="auto"/>
          </w:tcPr>
          <w:p w14:paraId="104EA09E" w14:textId="77777777" w:rsidR="00F140FF" w:rsidRPr="00655F69" w:rsidRDefault="00F140FF" w:rsidP="00C426E9">
            <w:pPr>
              <w:pStyle w:val="TableColumnHeading"/>
              <w:rPr>
                <w:b/>
                <w:bCs/>
                <w:i w:val="0"/>
                <w:iCs/>
                <w:color w:val="265A9A" w:themeColor="background2"/>
              </w:rPr>
            </w:pPr>
            <w:r w:rsidRPr="00655F69">
              <w:rPr>
                <w:b/>
                <w:bCs/>
                <w:i w:val="0"/>
                <w:iCs/>
                <w:color w:val="265A9A" w:themeColor="background2"/>
              </w:rPr>
              <w:t>Negative</w:t>
            </w:r>
          </w:p>
        </w:tc>
      </w:tr>
      <w:tr w:rsidR="00F140FF" w:rsidRPr="00F140FF" w14:paraId="737B189B" w14:textId="77777777" w:rsidTr="00C426E9">
        <w:trPr>
          <w:trHeight w:val="370"/>
          <w:tblHeader/>
        </w:trPr>
        <w:tc>
          <w:tcPr>
            <w:tcW w:w="4962" w:type="dxa"/>
            <w:vMerge/>
            <w:tcBorders>
              <w:bottom w:val="single" w:sz="4" w:space="0" w:color="B3B3B3"/>
            </w:tcBorders>
            <w:shd w:val="clear" w:color="000000" w:fill="auto"/>
            <w:vAlign w:val="bottom"/>
          </w:tcPr>
          <w:p w14:paraId="18137C74" w14:textId="77777777" w:rsidR="00F140FF" w:rsidRPr="00655F69" w:rsidRDefault="00F140FF" w:rsidP="00C426E9">
            <w:pPr>
              <w:pStyle w:val="TableColumnHeading"/>
              <w:jc w:val="left"/>
              <w:rPr>
                <w:b/>
                <w:bCs/>
                <w:i w:val="0"/>
                <w:iCs/>
                <w:color w:val="265A9A" w:themeColor="background2"/>
              </w:rPr>
            </w:pPr>
          </w:p>
        </w:tc>
        <w:tc>
          <w:tcPr>
            <w:tcW w:w="1512" w:type="dxa"/>
            <w:tcBorders>
              <w:bottom w:val="single" w:sz="4" w:space="0" w:color="B3B3B3"/>
            </w:tcBorders>
            <w:shd w:val="clear" w:color="000000" w:fill="auto"/>
            <w:vAlign w:val="bottom"/>
          </w:tcPr>
          <w:p w14:paraId="3E9A352C" w14:textId="77777777" w:rsidR="00F140FF" w:rsidRPr="00655F69" w:rsidRDefault="00F140FF" w:rsidP="00C426E9">
            <w:pPr>
              <w:pStyle w:val="TableColumnHeading"/>
              <w:rPr>
                <w:b/>
                <w:bCs/>
                <w:i w:val="0"/>
                <w:iCs/>
                <w:color w:val="265A9A" w:themeColor="background2"/>
              </w:rPr>
            </w:pPr>
            <w:r w:rsidRPr="00655F69">
              <w:rPr>
                <w:b/>
                <w:bCs/>
                <w:i w:val="0"/>
                <w:iCs/>
                <w:color w:val="265A9A" w:themeColor="background2"/>
              </w:rPr>
              <w:t>(%)</w:t>
            </w:r>
          </w:p>
        </w:tc>
        <w:tc>
          <w:tcPr>
            <w:tcW w:w="1512" w:type="dxa"/>
            <w:tcBorders>
              <w:bottom w:val="single" w:sz="4" w:space="0" w:color="B3B3B3"/>
            </w:tcBorders>
            <w:shd w:val="clear" w:color="000000" w:fill="auto"/>
          </w:tcPr>
          <w:p w14:paraId="3CF6BA51" w14:textId="77777777" w:rsidR="00F140FF" w:rsidRPr="00655F69" w:rsidRDefault="00F140FF" w:rsidP="00C426E9">
            <w:pPr>
              <w:pStyle w:val="TableColumnHeading"/>
              <w:rPr>
                <w:b/>
                <w:bCs/>
                <w:i w:val="0"/>
                <w:iCs/>
                <w:color w:val="265A9A" w:themeColor="background2"/>
              </w:rPr>
            </w:pPr>
            <w:r w:rsidRPr="00655F69">
              <w:rPr>
                <w:b/>
                <w:bCs/>
                <w:i w:val="0"/>
                <w:iCs/>
                <w:color w:val="265A9A" w:themeColor="background2"/>
              </w:rPr>
              <w:t>(%)</w:t>
            </w:r>
          </w:p>
        </w:tc>
        <w:tc>
          <w:tcPr>
            <w:tcW w:w="1512" w:type="dxa"/>
            <w:tcBorders>
              <w:bottom w:val="single" w:sz="4" w:space="0" w:color="B3B3B3"/>
            </w:tcBorders>
            <w:shd w:val="clear" w:color="000000" w:fill="auto"/>
          </w:tcPr>
          <w:p w14:paraId="60568D64" w14:textId="77777777" w:rsidR="00F140FF" w:rsidRPr="00655F69" w:rsidRDefault="00F140FF" w:rsidP="00C426E9">
            <w:pPr>
              <w:pStyle w:val="TableColumnHeading"/>
              <w:rPr>
                <w:b/>
                <w:bCs/>
                <w:i w:val="0"/>
                <w:iCs/>
                <w:color w:val="265A9A" w:themeColor="background2"/>
              </w:rPr>
            </w:pPr>
            <w:r w:rsidRPr="00655F69">
              <w:rPr>
                <w:b/>
                <w:bCs/>
                <w:i w:val="0"/>
                <w:iCs/>
                <w:color w:val="265A9A" w:themeColor="background2"/>
              </w:rPr>
              <w:t>(%)</w:t>
            </w:r>
          </w:p>
        </w:tc>
      </w:tr>
      <w:tr w:rsidR="003A0ECF" w:rsidRPr="00030C67" w14:paraId="01FB8207" w14:textId="77777777" w:rsidTr="000F3E91">
        <w:trPr>
          <w:trHeight w:val="370"/>
        </w:trPr>
        <w:tc>
          <w:tcPr>
            <w:tcW w:w="4962" w:type="dxa"/>
            <w:tcBorders>
              <w:top w:val="single" w:sz="4" w:space="0" w:color="B3B3B3"/>
              <w:bottom w:val="nil"/>
            </w:tcBorders>
            <w:shd w:val="clear" w:color="000000" w:fill="F2F2F2"/>
          </w:tcPr>
          <w:p w14:paraId="546BE5FF" w14:textId="77777777" w:rsidR="003A0ECF" w:rsidRPr="00655F69" w:rsidRDefault="003A0ECF" w:rsidP="00C426E9">
            <w:pPr>
              <w:pStyle w:val="TableHeading"/>
              <w:rPr>
                <w:b w:val="0"/>
                <w:bCs/>
                <w:color w:val="000000" w:themeColor="text1"/>
              </w:rPr>
            </w:pPr>
            <w:r w:rsidRPr="00655F69">
              <w:rPr>
                <w:b w:val="0"/>
                <w:bCs/>
                <w:color w:val="000000" w:themeColor="text1"/>
              </w:rPr>
              <w:t>I believe that one of my responsibilities is to continually look for new ways to improve the way we work</w:t>
            </w:r>
          </w:p>
        </w:tc>
        <w:tc>
          <w:tcPr>
            <w:tcW w:w="1512" w:type="dxa"/>
            <w:tcBorders>
              <w:top w:val="single" w:sz="4" w:space="0" w:color="B3B3B3"/>
              <w:bottom w:val="nil"/>
            </w:tcBorders>
            <w:shd w:val="clear" w:color="000000" w:fill="F2F2F2"/>
          </w:tcPr>
          <w:p w14:paraId="4A6352DC" w14:textId="77777777" w:rsidR="003A0ECF" w:rsidRPr="00030C67" w:rsidRDefault="003A0ECF" w:rsidP="00C426E9">
            <w:pPr>
              <w:pStyle w:val="TableBodyText"/>
              <w:rPr>
                <w:rFonts w:ascii="Arial (Body)" w:hAnsi="Arial (Body)"/>
                <w:color w:val="000000"/>
              </w:rPr>
            </w:pPr>
            <w:r w:rsidRPr="007F59D1">
              <w:t>93</w:t>
            </w:r>
          </w:p>
        </w:tc>
        <w:tc>
          <w:tcPr>
            <w:tcW w:w="1512" w:type="dxa"/>
            <w:tcBorders>
              <w:top w:val="single" w:sz="4" w:space="0" w:color="B3B3B3"/>
              <w:bottom w:val="nil"/>
            </w:tcBorders>
            <w:shd w:val="clear" w:color="000000" w:fill="F2F2F2"/>
          </w:tcPr>
          <w:p w14:paraId="5F6E98FD" w14:textId="77777777" w:rsidR="003A0ECF" w:rsidRDefault="003A0ECF" w:rsidP="00C426E9">
            <w:pPr>
              <w:pStyle w:val="TableBodyText"/>
              <w:rPr>
                <w:rFonts w:ascii="Arial (Body)" w:hAnsi="Arial (Body)"/>
                <w:color w:val="000000"/>
              </w:rPr>
            </w:pPr>
            <w:r w:rsidRPr="007F59D1">
              <w:t>5</w:t>
            </w:r>
          </w:p>
        </w:tc>
        <w:tc>
          <w:tcPr>
            <w:tcW w:w="1512" w:type="dxa"/>
            <w:tcBorders>
              <w:top w:val="single" w:sz="4" w:space="0" w:color="B3B3B3"/>
              <w:bottom w:val="nil"/>
            </w:tcBorders>
            <w:shd w:val="clear" w:color="000000" w:fill="F2F2F2"/>
          </w:tcPr>
          <w:p w14:paraId="30EFFE4C" w14:textId="77777777" w:rsidR="003A0ECF" w:rsidRDefault="003A0ECF" w:rsidP="00C426E9">
            <w:pPr>
              <w:pStyle w:val="TableBodyText"/>
              <w:rPr>
                <w:rFonts w:ascii="Arial (Body)" w:hAnsi="Arial (Body)"/>
                <w:color w:val="000000"/>
              </w:rPr>
            </w:pPr>
            <w:r w:rsidRPr="007F59D1">
              <w:t>2</w:t>
            </w:r>
          </w:p>
        </w:tc>
      </w:tr>
      <w:tr w:rsidR="003A0ECF" w:rsidRPr="00030C67" w14:paraId="51C11FAE" w14:textId="77777777" w:rsidTr="000F3E91">
        <w:trPr>
          <w:trHeight w:val="370"/>
        </w:trPr>
        <w:tc>
          <w:tcPr>
            <w:tcW w:w="4962" w:type="dxa"/>
            <w:tcBorders>
              <w:top w:val="nil"/>
              <w:bottom w:val="nil"/>
            </w:tcBorders>
            <w:shd w:val="clear" w:color="000000" w:fill="auto"/>
          </w:tcPr>
          <w:p w14:paraId="28B806E8" w14:textId="77777777" w:rsidR="003A0ECF" w:rsidRPr="00655F69" w:rsidRDefault="003A0ECF" w:rsidP="00C426E9">
            <w:pPr>
              <w:pStyle w:val="TableHeading"/>
              <w:rPr>
                <w:b w:val="0"/>
                <w:bCs/>
                <w:color w:val="000000" w:themeColor="text1"/>
              </w:rPr>
            </w:pPr>
            <w:r w:rsidRPr="00655F69">
              <w:rPr>
                <w:b w:val="0"/>
                <w:bCs/>
                <w:color w:val="000000" w:themeColor="text1"/>
              </w:rPr>
              <w:t>My immediate supervisor encourages me to come up with new or better ways of doing things</w:t>
            </w:r>
          </w:p>
        </w:tc>
        <w:tc>
          <w:tcPr>
            <w:tcW w:w="1512" w:type="dxa"/>
            <w:tcBorders>
              <w:top w:val="nil"/>
              <w:bottom w:val="nil"/>
            </w:tcBorders>
            <w:shd w:val="clear" w:color="000000" w:fill="auto"/>
          </w:tcPr>
          <w:p w14:paraId="36EDCD3F" w14:textId="77777777" w:rsidR="003A0ECF" w:rsidRPr="00030C67" w:rsidRDefault="003A0ECF" w:rsidP="00C426E9">
            <w:pPr>
              <w:pStyle w:val="TableBodyText"/>
              <w:rPr>
                <w:rFonts w:ascii="Arial (Body)" w:hAnsi="Arial (Body)"/>
                <w:color w:val="000000"/>
              </w:rPr>
            </w:pPr>
            <w:r w:rsidRPr="007F59D1">
              <w:t>82</w:t>
            </w:r>
          </w:p>
        </w:tc>
        <w:tc>
          <w:tcPr>
            <w:tcW w:w="1512" w:type="dxa"/>
            <w:tcBorders>
              <w:top w:val="nil"/>
              <w:bottom w:val="nil"/>
            </w:tcBorders>
            <w:shd w:val="clear" w:color="000000" w:fill="auto"/>
          </w:tcPr>
          <w:p w14:paraId="5BE7C7FF" w14:textId="77777777" w:rsidR="003A0ECF" w:rsidRDefault="003A0ECF" w:rsidP="00C426E9">
            <w:pPr>
              <w:pStyle w:val="TableBodyText"/>
              <w:rPr>
                <w:rFonts w:ascii="Arial (Body)" w:hAnsi="Arial (Body)"/>
                <w:color w:val="000000"/>
              </w:rPr>
            </w:pPr>
            <w:r w:rsidRPr="007F59D1">
              <w:t>13</w:t>
            </w:r>
          </w:p>
        </w:tc>
        <w:tc>
          <w:tcPr>
            <w:tcW w:w="1512" w:type="dxa"/>
            <w:tcBorders>
              <w:top w:val="nil"/>
              <w:bottom w:val="nil"/>
            </w:tcBorders>
            <w:shd w:val="clear" w:color="000000" w:fill="auto"/>
          </w:tcPr>
          <w:p w14:paraId="65F060DE" w14:textId="77777777" w:rsidR="003A0ECF" w:rsidRDefault="003A0ECF" w:rsidP="00C426E9">
            <w:pPr>
              <w:pStyle w:val="TableBodyText"/>
              <w:rPr>
                <w:rFonts w:ascii="Arial (Body)" w:hAnsi="Arial (Body)"/>
                <w:color w:val="000000"/>
              </w:rPr>
            </w:pPr>
            <w:r w:rsidRPr="007F59D1">
              <w:t>4</w:t>
            </w:r>
          </w:p>
        </w:tc>
      </w:tr>
      <w:tr w:rsidR="003A0ECF" w:rsidRPr="00030C67" w14:paraId="46D72248" w14:textId="77777777" w:rsidTr="000F3E91">
        <w:trPr>
          <w:trHeight w:val="370"/>
        </w:trPr>
        <w:tc>
          <w:tcPr>
            <w:tcW w:w="4962" w:type="dxa"/>
            <w:tcBorders>
              <w:top w:val="nil"/>
              <w:bottom w:val="nil"/>
            </w:tcBorders>
            <w:shd w:val="clear" w:color="000000" w:fill="F2F2F2"/>
          </w:tcPr>
          <w:p w14:paraId="78E939CA" w14:textId="77777777" w:rsidR="003A0ECF" w:rsidRPr="00655F69" w:rsidRDefault="003A0ECF" w:rsidP="00C426E9">
            <w:pPr>
              <w:pStyle w:val="TableHeading"/>
              <w:rPr>
                <w:b w:val="0"/>
                <w:bCs/>
                <w:color w:val="000000" w:themeColor="text1"/>
              </w:rPr>
            </w:pPr>
            <w:r w:rsidRPr="00655F69">
              <w:rPr>
                <w:b w:val="0"/>
                <w:bCs/>
                <w:color w:val="000000" w:themeColor="text1"/>
              </w:rPr>
              <w:t>People are recognised for coming up with new and innovative ways of working</w:t>
            </w:r>
          </w:p>
        </w:tc>
        <w:tc>
          <w:tcPr>
            <w:tcW w:w="1512" w:type="dxa"/>
            <w:tcBorders>
              <w:top w:val="nil"/>
              <w:bottom w:val="nil"/>
            </w:tcBorders>
            <w:shd w:val="clear" w:color="000000" w:fill="F2F2F2"/>
          </w:tcPr>
          <w:p w14:paraId="265AE396" w14:textId="77777777" w:rsidR="003A0ECF" w:rsidRPr="00030C67" w:rsidRDefault="003A0ECF" w:rsidP="00C426E9">
            <w:pPr>
              <w:pStyle w:val="TableBodyText"/>
              <w:rPr>
                <w:rFonts w:ascii="Arial (Body)" w:hAnsi="Arial (Body)"/>
                <w:color w:val="000000"/>
              </w:rPr>
            </w:pPr>
            <w:r w:rsidRPr="007F59D1">
              <w:t>67</w:t>
            </w:r>
          </w:p>
        </w:tc>
        <w:tc>
          <w:tcPr>
            <w:tcW w:w="1512" w:type="dxa"/>
            <w:tcBorders>
              <w:top w:val="nil"/>
              <w:bottom w:val="nil"/>
            </w:tcBorders>
            <w:shd w:val="clear" w:color="000000" w:fill="F2F2F2"/>
          </w:tcPr>
          <w:p w14:paraId="07D9A5DF" w14:textId="77777777" w:rsidR="003A0ECF" w:rsidRDefault="003A0ECF" w:rsidP="00C426E9">
            <w:pPr>
              <w:pStyle w:val="TableBodyText"/>
              <w:rPr>
                <w:rFonts w:ascii="Arial (Body)" w:hAnsi="Arial (Body)"/>
                <w:color w:val="000000"/>
              </w:rPr>
            </w:pPr>
            <w:r w:rsidRPr="007F59D1">
              <w:t>21</w:t>
            </w:r>
          </w:p>
        </w:tc>
        <w:tc>
          <w:tcPr>
            <w:tcW w:w="1512" w:type="dxa"/>
            <w:tcBorders>
              <w:top w:val="nil"/>
              <w:bottom w:val="nil"/>
            </w:tcBorders>
            <w:shd w:val="clear" w:color="000000" w:fill="F2F2F2"/>
          </w:tcPr>
          <w:p w14:paraId="43BD0E37" w14:textId="77777777" w:rsidR="003A0ECF" w:rsidRDefault="003A0ECF" w:rsidP="00C426E9">
            <w:pPr>
              <w:pStyle w:val="TableBodyText"/>
              <w:rPr>
                <w:rFonts w:ascii="Arial (Body)" w:hAnsi="Arial (Body)"/>
                <w:color w:val="000000"/>
              </w:rPr>
            </w:pPr>
            <w:r w:rsidRPr="007F59D1">
              <w:t>11</w:t>
            </w:r>
          </w:p>
        </w:tc>
      </w:tr>
      <w:tr w:rsidR="003A0ECF" w:rsidRPr="00030C67" w14:paraId="616F58E6" w14:textId="77777777" w:rsidTr="00C426E9">
        <w:trPr>
          <w:trHeight w:val="370"/>
        </w:trPr>
        <w:tc>
          <w:tcPr>
            <w:tcW w:w="4962" w:type="dxa"/>
            <w:tcBorders>
              <w:top w:val="nil"/>
              <w:bottom w:val="nil"/>
            </w:tcBorders>
            <w:shd w:val="clear" w:color="000000" w:fill="auto"/>
          </w:tcPr>
          <w:p w14:paraId="464AF6E1" w14:textId="77777777" w:rsidR="003A0ECF" w:rsidRPr="00655F69" w:rsidRDefault="003A0ECF" w:rsidP="00C426E9">
            <w:pPr>
              <w:pStyle w:val="TableHeading"/>
              <w:rPr>
                <w:b w:val="0"/>
                <w:bCs/>
                <w:color w:val="000000" w:themeColor="text1"/>
              </w:rPr>
            </w:pPr>
            <w:r w:rsidRPr="00655F69">
              <w:rPr>
                <w:b w:val="0"/>
                <w:bCs/>
                <w:color w:val="000000" w:themeColor="text1"/>
              </w:rPr>
              <w:t>My agency inspires me to come up with new or better ways of doing things</w:t>
            </w:r>
          </w:p>
        </w:tc>
        <w:tc>
          <w:tcPr>
            <w:tcW w:w="1512" w:type="dxa"/>
            <w:tcBorders>
              <w:top w:val="nil"/>
              <w:bottom w:val="nil"/>
            </w:tcBorders>
            <w:shd w:val="clear" w:color="000000" w:fill="auto"/>
          </w:tcPr>
          <w:p w14:paraId="44EDDD98" w14:textId="77777777" w:rsidR="003A0ECF" w:rsidRDefault="003A0ECF" w:rsidP="00C426E9">
            <w:pPr>
              <w:pStyle w:val="TableBodyText"/>
              <w:rPr>
                <w:rFonts w:ascii="Arial (Body)" w:hAnsi="Arial (Body)"/>
                <w:color w:val="000000"/>
              </w:rPr>
            </w:pPr>
            <w:r w:rsidRPr="007F59D1">
              <w:t>54</w:t>
            </w:r>
          </w:p>
        </w:tc>
        <w:tc>
          <w:tcPr>
            <w:tcW w:w="1512" w:type="dxa"/>
            <w:tcBorders>
              <w:top w:val="nil"/>
              <w:bottom w:val="nil"/>
            </w:tcBorders>
            <w:shd w:val="clear" w:color="000000" w:fill="auto"/>
          </w:tcPr>
          <w:p w14:paraId="745AF179" w14:textId="77777777" w:rsidR="003A0ECF" w:rsidRDefault="003A0ECF" w:rsidP="00C426E9">
            <w:pPr>
              <w:pStyle w:val="TableBodyText"/>
              <w:rPr>
                <w:rFonts w:ascii="Arial (Body)" w:hAnsi="Arial (Body)"/>
                <w:color w:val="000000"/>
              </w:rPr>
            </w:pPr>
            <w:r w:rsidRPr="007F59D1">
              <w:t>30</w:t>
            </w:r>
          </w:p>
        </w:tc>
        <w:tc>
          <w:tcPr>
            <w:tcW w:w="1512" w:type="dxa"/>
            <w:tcBorders>
              <w:top w:val="nil"/>
              <w:bottom w:val="nil"/>
            </w:tcBorders>
            <w:shd w:val="clear" w:color="000000" w:fill="auto"/>
          </w:tcPr>
          <w:p w14:paraId="5FEEA651" w14:textId="77777777" w:rsidR="003A0ECF" w:rsidRDefault="003A0ECF" w:rsidP="00C426E9">
            <w:pPr>
              <w:pStyle w:val="TableBodyText"/>
              <w:rPr>
                <w:rFonts w:ascii="Arial (Body)" w:hAnsi="Arial (Body)"/>
                <w:color w:val="000000"/>
              </w:rPr>
            </w:pPr>
            <w:r w:rsidRPr="007F59D1">
              <w:t>17</w:t>
            </w:r>
          </w:p>
        </w:tc>
      </w:tr>
      <w:tr w:rsidR="003A0ECF" w:rsidRPr="00030C67" w14:paraId="319623EE" w14:textId="77777777" w:rsidTr="00C426E9">
        <w:trPr>
          <w:trHeight w:val="370"/>
        </w:trPr>
        <w:tc>
          <w:tcPr>
            <w:tcW w:w="4962" w:type="dxa"/>
            <w:tcBorders>
              <w:bottom w:val="single" w:sz="4" w:space="0" w:color="B3B3B3"/>
            </w:tcBorders>
            <w:shd w:val="clear" w:color="000000" w:fill="F2F2F2"/>
          </w:tcPr>
          <w:p w14:paraId="07B269D7" w14:textId="77777777" w:rsidR="003A0ECF" w:rsidRPr="00655F69" w:rsidRDefault="003A0ECF" w:rsidP="00C426E9">
            <w:pPr>
              <w:pStyle w:val="TableHeading"/>
              <w:rPr>
                <w:b w:val="0"/>
                <w:bCs/>
                <w:color w:val="000000" w:themeColor="text1"/>
              </w:rPr>
            </w:pPr>
            <w:r w:rsidRPr="00655F69">
              <w:rPr>
                <w:b w:val="0"/>
                <w:bCs/>
                <w:color w:val="000000" w:themeColor="text1"/>
              </w:rPr>
              <w:t>My agency recognises and supports the notion that failure is a part of innovation</w:t>
            </w:r>
          </w:p>
        </w:tc>
        <w:tc>
          <w:tcPr>
            <w:tcW w:w="1512" w:type="dxa"/>
            <w:tcBorders>
              <w:bottom w:val="single" w:sz="4" w:space="0" w:color="B3B3B3"/>
            </w:tcBorders>
            <w:shd w:val="clear" w:color="000000" w:fill="F2F2F2"/>
          </w:tcPr>
          <w:p w14:paraId="6293215D" w14:textId="77777777" w:rsidR="003A0ECF" w:rsidRPr="00030C67" w:rsidRDefault="003A0ECF" w:rsidP="00C426E9">
            <w:pPr>
              <w:pStyle w:val="TableBodyText"/>
              <w:rPr>
                <w:rFonts w:ascii="Arial (Body)" w:hAnsi="Arial (Body)"/>
                <w:color w:val="000000"/>
              </w:rPr>
            </w:pPr>
            <w:r w:rsidRPr="007F59D1">
              <w:t>34</w:t>
            </w:r>
          </w:p>
        </w:tc>
        <w:tc>
          <w:tcPr>
            <w:tcW w:w="1512" w:type="dxa"/>
            <w:tcBorders>
              <w:bottom w:val="single" w:sz="4" w:space="0" w:color="B3B3B3"/>
            </w:tcBorders>
            <w:shd w:val="clear" w:color="000000" w:fill="F2F2F2"/>
          </w:tcPr>
          <w:p w14:paraId="4173D8D5" w14:textId="77777777" w:rsidR="003A0ECF" w:rsidRDefault="003A0ECF" w:rsidP="00C426E9">
            <w:pPr>
              <w:pStyle w:val="TableBodyText"/>
              <w:rPr>
                <w:rFonts w:ascii="Arial (Body)" w:hAnsi="Arial (Body)"/>
                <w:color w:val="000000"/>
              </w:rPr>
            </w:pPr>
            <w:r w:rsidRPr="007F59D1">
              <w:t>38</w:t>
            </w:r>
          </w:p>
        </w:tc>
        <w:tc>
          <w:tcPr>
            <w:tcW w:w="1512" w:type="dxa"/>
            <w:tcBorders>
              <w:bottom w:val="single" w:sz="4" w:space="0" w:color="B3B3B3"/>
            </w:tcBorders>
            <w:shd w:val="clear" w:color="000000" w:fill="F2F2F2"/>
          </w:tcPr>
          <w:p w14:paraId="14523A60" w14:textId="27906030" w:rsidR="003A0ECF" w:rsidRDefault="003A0ECF" w:rsidP="00C426E9">
            <w:pPr>
              <w:pStyle w:val="TableBodyText"/>
              <w:rPr>
                <w:rFonts w:ascii="Arial (Body)" w:hAnsi="Arial (Body)"/>
                <w:color w:val="000000"/>
              </w:rPr>
            </w:pPr>
            <w:r w:rsidRPr="007F59D1">
              <w:t>27</w:t>
            </w:r>
          </w:p>
        </w:tc>
      </w:tr>
    </w:tbl>
    <w:p w14:paraId="67ED3DFF" w14:textId="77777777" w:rsidR="003A0ECF" w:rsidRDefault="003A0ECF" w:rsidP="003A0ECF">
      <w:pPr>
        <w:pStyle w:val="Source"/>
      </w:pPr>
      <w:r w:rsidRPr="00696447">
        <w:t xml:space="preserve">Source: </w:t>
      </w:r>
      <w:r>
        <w:t xml:space="preserve">Australian Public Service Commission 2021, </w:t>
      </w:r>
      <w:r w:rsidRPr="00182ADA">
        <w:rPr>
          <w:i/>
          <w:iCs/>
        </w:rPr>
        <w:t>APSC Census Results</w:t>
      </w:r>
      <w:r>
        <w:t>, 2021.</w:t>
      </w:r>
    </w:p>
    <w:p w14:paraId="137045FE" w14:textId="0B5464CB" w:rsidR="003A0ECF" w:rsidRDefault="003A0ECF" w:rsidP="003A0ECF">
      <w:pPr>
        <w:pStyle w:val="BodyText"/>
      </w:pPr>
      <w:r>
        <w:t xml:space="preserve">Some of the largest barriers to workforce innovation in key areas of public service delivery, especially healthcare, include funding constraints, regulations, and </w:t>
      </w:r>
      <w:proofErr w:type="gramStart"/>
      <w:r>
        <w:t>long standing</w:t>
      </w:r>
      <w:proofErr w:type="gramEnd"/>
      <w:r>
        <w:t xml:space="preserve"> workplace practices and cultures </w:t>
      </w:r>
      <w:r w:rsidRPr="007206CE">
        <w:rPr>
          <w:rFonts w:ascii="Arial" w:hAnsi="Arial" w:cs="Arial"/>
          <w:szCs w:val="24"/>
        </w:rPr>
        <w:t>(Pharmacy Guild of Australia Sub 67, PC 2021b, p. 68)</w:t>
      </w:r>
      <w:r>
        <w:t>. Scope of practice restrictions can frustrate different care models and access to services. The Australia Healthcare &amp; Hospital Association observed:</w:t>
      </w:r>
    </w:p>
    <w:p w14:paraId="5539D965" w14:textId="74A6B7E4" w:rsidR="003A0ECF" w:rsidRDefault="003A0ECF" w:rsidP="003A0ECF">
      <w:pPr>
        <w:pStyle w:val="Quote"/>
      </w:pPr>
      <w:r>
        <w:t>With evidence that the current organisation of health professionals and their associated scope of practice is not suited to meeting the needs of the Australian health system [ … ] Without an overarching strategy to achieve an integrated, multidisciplinary health workforce that works to their top of scope, there will continue to be barriers in the redesign of models of care. Opportunities to develop new models of care with flexible use of the health workforce and innovative funding models should be leveraged. (AHHA, sub.</w:t>
      </w:r>
      <w:r w:rsidR="000565F7">
        <w:t> </w:t>
      </w:r>
      <w:r>
        <w:t>27, p.</w:t>
      </w:r>
      <w:r w:rsidR="000565F7">
        <w:t> </w:t>
      </w:r>
      <w:r>
        <w:t>2)</w:t>
      </w:r>
    </w:p>
    <w:p w14:paraId="2755D368" w14:textId="55BBFF25" w:rsidR="003A0ECF" w:rsidRDefault="003A0ECF" w:rsidP="003A0ECF">
      <w:pPr>
        <w:pStyle w:val="BodyText"/>
      </w:pPr>
      <w:r>
        <w:t xml:space="preserve">Increased use of electronic records, big data analysis and artificial intelligence offer scope for some human tasks to be performed by software, as in radiology, though any application requires regulatory approval </w:t>
      </w:r>
      <w:r w:rsidRPr="00B71788">
        <w:rPr>
          <w:rFonts w:ascii="Arial" w:hAnsi="Arial" w:cs="Arial"/>
          <w:szCs w:val="24"/>
        </w:rPr>
        <w:t>(van Leeuwen et al. 2021)</w:t>
      </w:r>
      <w:r>
        <w:t>. An emerging technology is model</w:t>
      </w:r>
      <w:r>
        <w:noBreakHyphen/>
        <w:t>informed precision dosing, which provides decision support to clinicians that takes account of the unique aspects of patients (age, co</w:t>
      </w:r>
      <w:r>
        <w:noBreakHyphen/>
        <w:t>morbidities, sex, ethnicity). But its widespread use in healthcare requires data from electronic health records (which governments typically maintain and develop), funding models, regulatory acceptance and changing norms:</w:t>
      </w:r>
    </w:p>
    <w:p w14:paraId="229BFCD9" w14:textId="3159E40C" w:rsidR="003A0ECF" w:rsidRPr="007F48A7" w:rsidRDefault="003A0ECF" w:rsidP="003A0ECF">
      <w:pPr>
        <w:pStyle w:val="Quote"/>
        <w:rPr>
          <w:spacing w:val="-4"/>
        </w:rPr>
      </w:pPr>
      <w:r w:rsidRPr="007F48A7">
        <w:rPr>
          <w:spacing w:val="-4"/>
        </w:rPr>
        <w:t>The challenge for Bayesian dosing moving forward is clinical acceptability. Indifference from the medical and healthcare community is understandable. Pharmacometrics is completely absent from medical school programs. Commercial providers rely largely on marketing to sell the concept. Until Bayesian dosing is accepted by the healthcare community as decision</w:t>
      </w:r>
      <w:r w:rsidRPr="007F48A7">
        <w:rPr>
          <w:spacing w:val="-4"/>
        </w:rPr>
        <w:noBreakHyphen/>
        <w:t xml:space="preserve">support tools for some drugs, until funders see the economic and clinical benefits, and until regulatory agencies clarify the status of these systems from a regulatory/legal perspective. </w:t>
      </w:r>
      <w:r w:rsidR="00973F06" w:rsidRPr="007F48A7">
        <w:rPr>
          <w:rFonts w:cs="Arial"/>
          <w:spacing w:val="-4"/>
          <w:szCs w:val="24"/>
        </w:rPr>
        <w:t>(</w:t>
      </w:r>
      <w:proofErr w:type="spellStart"/>
      <w:r w:rsidR="00973F06" w:rsidRPr="007F48A7">
        <w:rPr>
          <w:rFonts w:cs="Arial"/>
          <w:spacing w:val="-4"/>
          <w:szCs w:val="24"/>
        </w:rPr>
        <w:t>Darwich</w:t>
      </w:r>
      <w:proofErr w:type="spellEnd"/>
      <w:r w:rsidR="00973F06" w:rsidRPr="007F48A7">
        <w:rPr>
          <w:rFonts w:cs="Arial"/>
          <w:spacing w:val="-4"/>
          <w:szCs w:val="24"/>
        </w:rPr>
        <w:t xml:space="preserve"> et al. 2021, p. 231)</w:t>
      </w:r>
    </w:p>
    <w:p w14:paraId="553FCFEC" w14:textId="70CC9A51" w:rsidR="003A0ECF" w:rsidRDefault="003A0ECF" w:rsidP="003A0ECF">
      <w:pPr>
        <w:pStyle w:val="BodyText"/>
      </w:pPr>
      <w:r>
        <w:t>While still in its infancy, artificial intelligence and other data</w:t>
      </w:r>
      <w:r>
        <w:noBreakHyphen/>
        <w:t xml:space="preserve">intensive analytics have the advantage over people in that once a method has been developed and tested for accuracy, validity and safety, it can be </w:t>
      </w:r>
      <w:r>
        <w:lastRenderedPageBreak/>
        <w:t xml:space="preserve">diffused with 100 per cent fidelity. It addresses the difficulty of scaling up innovations that rely on highly motivated and skilled, but scarce, people. Australia has made some steps to implement predictive analytics in healthcare, but some evidence suggest it lags many countries, with only 55 per cent of health leaders claiming that they have already adopted this technology or are about to do so </w:t>
      </w:r>
      <w:r w:rsidRPr="0063377D">
        <w:rPr>
          <w:rFonts w:ascii="Arial" w:hAnsi="Arial" w:cs="Arial"/>
          <w:szCs w:val="24"/>
        </w:rPr>
        <w:t>(Philips 2022, p. 19)</w:t>
      </w:r>
      <w:r>
        <w:t>. The rate is 66 per cent in the United Sates and 92 per cent in Singapore.</w:t>
      </w:r>
    </w:p>
    <w:p w14:paraId="0C186854" w14:textId="77777777" w:rsidR="003A0ECF" w:rsidRDefault="003A0ECF" w:rsidP="003A0EC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A0ECF" w14:paraId="702B38A3" w14:textId="77777777" w:rsidTr="00C426E9">
        <w:trPr>
          <w:trHeight w:val="765"/>
          <w:tblHeader/>
        </w:trPr>
        <w:tc>
          <w:tcPr>
            <w:tcW w:w="366" w:type="pct"/>
            <w:tcBorders>
              <w:bottom w:val="nil"/>
            </w:tcBorders>
            <w:tcMar>
              <w:bottom w:w="0" w:type="dxa"/>
            </w:tcMar>
            <w:vAlign w:val="center"/>
          </w:tcPr>
          <w:p w14:paraId="1F671EF5" w14:textId="77777777" w:rsidR="003A0ECF" w:rsidRDefault="003A0ECF" w:rsidP="00C426E9">
            <w:pPr>
              <w:pStyle w:val="NoSpacing"/>
              <w:keepLines/>
              <w:jc w:val="right"/>
            </w:pPr>
            <w:r w:rsidRPr="00A51374">
              <w:rPr>
                <w:noProof/>
              </w:rPr>
              <w:drawing>
                <wp:inline distT="0" distB="0" distL="0" distR="0" wp14:anchorId="36549CF7" wp14:editId="67168B97">
                  <wp:extent cx="288000" cy="288000"/>
                  <wp:effectExtent l="0" t="0" r="0" b="0"/>
                  <wp:docPr id="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21B5892" w14:textId="77777777" w:rsidR="003A0ECF" w:rsidRPr="00A4395A" w:rsidRDefault="003A0ECF" w:rsidP="00C426E9">
            <w:pPr>
              <w:pStyle w:val="TableHeading"/>
              <w:keepLines/>
              <w:spacing w:before="60" w:after="120"/>
              <w:contextualSpacing/>
              <w:rPr>
                <w:sz w:val="20"/>
              </w:rPr>
            </w:pPr>
            <w:r w:rsidRPr="00A4395A">
              <w:rPr>
                <w:sz w:val="20"/>
              </w:rPr>
              <w:t xml:space="preserve">Finding </w:t>
            </w:r>
            <w:r>
              <w:rPr>
                <w:sz w:val="20"/>
              </w:rPr>
              <w:t>3.4</w:t>
            </w:r>
          </w:p>
          <w:p w14:paraId="7E21C263" w14:textId="77777777" w:rsidR="003A0ECF" w:rsidRDefault="003A0ECF" w:rsidP="00C426E9">
            <w:pPr>
              <w:pStyle w:val="TableHeading"/>
              <w:keepLines/>
              <w:spacing w:before="60" w:after="120"/>
              <w:contextualSpacing/>
            </w:pPr>
            <w:r>
              <w:rPr>
                <w:sz w:val="20"/>
              </w:rPr>
              <w:t>Structural flaws in government frustrate innovation and its diffusion</w:t>
            </w:r>
          </w:p>
        </w:tc>
      </w:tr>
      <w:tr w:rsidR="003A0ECF" w14:paraId="46C03BEA" w14:textId="77777777" w:rsidTr="00C426E9">
        <w:tc>
          <w:tcPr>
            <w:tcW w:w="5000" w:type="pct"/>
            <w:gridSpan w:val="2"/>
            <w:tcBorders>
              <w:top w:val="nil"/>
              <w:bottom w:val="single" w:sz="4" w:space="0" w:color="66BCDB" w:themeColor="text2"/>
            </w:tcBorders>
          </w:tcPr>
          <w:p w14:paraId="4528BBFA" w14:textId="77777777" w:rsidR="003A0ECF" w:rsidRDefault="003A0ECF" w:rsidP="00C426E9">
            <w:pPr>
              <w:pStyle w:val="BodyText"/>
              <w:keepLines/>
            </w:pPr>
            <w:r w:rsidRPr="00E5478E">
              <w:t>While slowness partly reflects divergent views about what amounts to best practice or innovation across different governments, there are also major structural flaws in government processes that frustrate innovation and diffusion. Uncoordinated actions of governments and agencies that share overlapping roles, siloed services, clashing funding incentives and risk averse cultural norms tend to work against experimentation. Few publicly operated services experience the risk that poor performance will lead to their closure, unlike businesses.</w:t>
            </w:r>
          </w:p>
        </w:tc>
      </w:tr>
      <w:tr w:rsidR="003A0ECF" w14:paraId="141C9F09" w14:textId="77777777" w:rsidTr="00C426E9">
        <w:tc>
          <w:tcPr>
            <w:tcW w:w="5000" w:type="pct"/>
            <w:gridSpan w:val="2"/>
            <w:tcBorders>
              <w:top w:val="single" w:sz="4" w:space="0" w:color="66BCDB" w:themeColor="text2"/>
              <w:left w:val="nil"/>
              <w:bottom w:val="nil"/>
              <w:right w:val="nil"/>
            </w:tcBorders>
            <w:tcMar>
              <w:bottom w:w="0" w:type="dxa"/>
            </w:tcMar>
          </w:tcPr>
          <w:p w14:paraId="57C74E88" w14:textId="77777777" w:rsidR="003A0ECF" w:rsidRDefault="003A0ECF" w:rsidP="00C426E9">
            <w:pPr>
              <w:pStyle w:val="NoSpacing"/>
              <w:spacing w:line="200" w:lineRule="atLeast"/>
            </w:pPr>
          </w:p>
        </w:tc>
      </w:tr>
    </w:tbl>
    <w:p w14:paraId="4A3CD7BA" w14:textId="77777777" w:rsidR="007D21E7" w:rsidRDefault="007D21E7" w:rsidP="007D21E7">
      <w:pPr>
        <w:pStyle w:val="NoSpacing"/>
      </w:pPr>
    </w:p>
    <w:tbl>
      <w:tblPr>
        <w:tblStyle w:val="TextTable-Grey"/>
        <w:tblW w:w="5000" w:type="pct"/>
        <w:tblLook w:val="04A0" w:firstRow="1" w:lastRow="0" w:firstColumn="1" w:lastColumn="0" w:noHBand="0" w:noVBand="1"/>
      </w:tblPr>
      <w:tblGrid>
        <w:gridCol w:w="713"/>
        <w:gridCol w:w="8925"/>
      </w:tblGrid>
      <w:tr w:rsidR="003A0ECF" w14:paraId="15FBEF24" w14:textId="77777777" w:rsidTr="00C426E9">
        <w:trPr>
          <w:tblHeader/>
        </w:trPr>
        <w:tc>
          <w:tcPr>
            <w:tcW w:w="713" w:type="dxa"/>
            <w:vAlign w:val="center"/>
          </w:tcPr>
          <w:p w14:paraId="290DD7C4" w14:textId="77777777" w:rsidR="003A0ECF" w:rsidRDefault="003A0ECF" w:rsidP="00C426E9">
            <w:pPr>
              <w:keepNext/>
              <w:keepLines/>
              <w:spacing w:after="0"/>
              <w:jc w:val="right"/>
            </w:pPr>
            <w:r w:rsidRPr="00A51374">
              <w:rPr>
                <w:noProof/>
              </w:rPr>
              <w:drawing>
                <wp:inline distT="0" distB="0" distL="0" distR="0" wp14:anchorId="66F61438" wp14:editId="0972858F">
                  <wp:extent cx="288000" cy="288000"/>
                  <wp:effectExtent l="0" t="0" r="0" b="0"/>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31B3639" w14:textId="77777777" w:rsidR="003A0ECF" w:rsidRPr="000B0B71" w:rsidRDefault="003A0ECF" w:rsidP="00C426E9">
            <w:pPr>
              <w:pStyle w:val="TableHeading"/>
              <w:keepNext/>
              <w:spacing w:before="180" w:after="120"/>
              <w:rPr>
                <w:sz w:val="20"/>
              </w:rPr>
            </w:pPr>
            <w:r w:rsidRPr="000B0B71">
              <w:rPr>
                <w:sz w:val="20"/>
              </w:rPr>
              <w:t xml:space="preserve">Information request </w:t>
            </w:r>
            <w:r>
              <w:rPr>
                <w:sz w:val="20"/>
              </w:rPr>
              <w:t>3.1</w:t>
            </w:r>
          </w:p>
        </w:tc>
      </w:tr>
      <w:tr w:rsidR="003A0ECF" w14:paraId="794583F7" w14:textId="77777777" w:rsidTr="00C426E9">
        <w:tc>
          <w:tcPr>
            <w:tcW w:w="9638" w:type="dxa"/>
            <w:gridSpan w:val="2"/>
            <w:tcMar>
              <w:top w:w="0" w:type="dxa"/>
            </w:tcMar>
          </w:tcPr>
          <w:p w14:paraId="7D120806" w14:textId="65CAD4FC" w:rsidR="003A0ECF" w:rsidRDefault="003A0ECF" w:rsidP="00C426E9">
            <w:pPr>
              <w:pStyle w:val="BodyText"/>
              <w:keepNext/>
              <w:keepLines/>
            </w:pPr>
            <w:r>
              <w:t>National agreements between the Australian and state and territory governments are partly shaped by the power imbalance arising from the greater capacity of the Australian Government to raise revenue. A preferred model might be to have more cooperative models where governments agree to coordinate the activities that are best managed by each level of government.</w:t>
            </w:r>
          </w:p>
          <w:p w14:paraId="37CAC71D" w14:textId="77777777" w:rsidR="003A0ECF" w:rsidRPr="008529A2" w:rsidRDefault="003A0ECF" w:rsidP="00C426E9">
            <w:pPr>
              <w:pStyle w:val="BodyText"/>
              <w:keepNext/>
              <w:keepLines/>
            </w:pPr>
            <w:r>
              <w:t>How could new models for cooperation between governments work and what role would national agreements, the National Cabinet, and the National Federation Reform Council play in such models?</w:t>
            </w:r>
          </w:p>
        </w:tc>
      </w:tr>
      <w:tr w:rsidR="003A0ECF" w14:paraId="2DC843C7" w14:textId="77777777" w:rsidTr="00C426E9">
        <w:tc>
          <w:tcPr>
            <w:tcW w:w="9638" w:type="dxa"/>
            <w:gridSpan w:val="2"/>
            <w:shd w:val="clear" w:color="auto" w:fill="auto"/>
            <w:tcMar>
              <w:top w:w="0" w:type="dxa"/>
              <w:bottom w:w="0" w:type="dxa"/>
            </w:tcMar>
          </w:tcPr>
          <w:p w14:paraId="7AE4922A" w14:textId="77777777" w:rsidR="003A0ECF" w:rsidRDefault="003A0ECF" w:rsidP="00C426E9">
            <w:pPr>
              <w:pStyle w:val="NoSpacing"/>
              <w:spacing w:line="200" w:lineRule="exact"/>
            </w:pPr>
          </w:p>
        </w:tc>
      </w:tr>
    </w:tbl>
    <w:p w14:paraId="76DD0022" w14:textId="77777777" w:rsidR="003A0ECF" w:rsidRDefault="003A0ECF" w:rsidP="003A0ECF">
      <w:pPr>
        <w:pStyle w:val="Heading2"/>
      </w:pPr>
      <w:bookmarkStart w:id="119" w:name="_Toc113969663"/>
      <w:r>
        <w:t>What is to be done?</w:t>
      </w:r>
      <w:bookmarkEnd w:id="119"/>
    </w:p>
    <w:p w14:paraId="175B0633" w14:textId="0C3DC909" w:rsidR="003A0ECF" w:rsidRDefault="003A0ECF" w:rsidP="003A0ECF">
      <w:pPr>
        <w:pStyle w:val="BodyText"/>
      </w:pPr>
      <w:r>
        <w:t xml:space="preserve">If government were like the ‘Circumlocution Office’ in Dicken’s </w:t>
      </w:r>
      <w:r w:rsidRPr="0048665E">
        <w:rPr>
          <w:i/>
          <w:iCs/>
        </w:rPr>
        <w:t xml:space="preserve">Little </w:t>
      </w:r>
      <w:proofErr w:type="spellStart"/>
      <w:r w:rsidRPr="0048665E">
        <w:rPr>
          <w:i/>
          <w:iCs/>
        </w:rPr>
        <w:t>Dorrit</w:t>
      </w:r>
      <w:proofErr w:type="spellEnd"/>
      <w:r>
        <w:t>, the answer would be not much.</w:t>
      </w:r>
    </w:p>
    <w:p w14:paraId="1A099118" w14:textId="3956083B" w:rsidR="003A0ECF" w:rsidRDefault="003A0ECF" w:rsidP="003A0ECF">
      <w:pPr>
        <w:pStyle w:val="Quote"/>
      </w:pPr>
      <w:r w:rsidRPr="00CE7D7A">
        <w:t>If another Gunpowder Plot had been discovered half an hour before the lighting of the match, nobody would have been justified in saving the parliament until there had been half a score of boards, half a bushel of minutes, several sacks of official memoranda, and a family</w:t>
      </w:r>
      <w:r>
        <w:noBreakHyphen/>
      </w:r>
      <w:r w:rsidRPr="00CE7D7A">
        <w:t>vault full of ungrammatical correspondence, on the part of the Circumlocution Office.</w:t>
      </w:r>
    </w:p>
    <w:p w14:paraId="7C1012E4" w14:textId="77777777" w:rsidR="003A0ECF" w:rsidRDefault="003A0ECF" w:rsidP="003A0ECF">
      <w:pPr>
        <w:pStyle w:val="BodyText"/>
      </w:pPr>
      <w:r>
        <w:t>While this unfair caricature captures some of the slowness of the public sector, governments and their agencies often innovate and adopt best practices. The challenge is to accelerate these.</w:t>
      </w:r>
    </w:p>
    <w:p w14:paraId="0FB1B87B" w14:textId="77777777" w:rsidR="003A0ECF" w:rsidRDefault="003A0ECF" w:rsidP="003A0ECF">
      <w:pPr>
        <w:pStyle w:val="BodyText"/>
      </w:pPr>
      <w:r>
        <w:t>Many of the ingredients for achieving this are well</w:t>
      </w:r>
      <w:r>
        <w:noBreakHyphen/>
        <w:t>known, but underexploited.</w:t>
      </w:r>
    </w:p>
    <w:p w14:paraId="2FFEFFB5" w14:textId="77777777" w:rsidR="003A0ECF" w:rsidRDefault="003A0ECF" w:rsidP="00522FBC">
      <w:pPr>
        <w:pStyle w:val="Heading3"/>
      </w:pPr>
      <w:r>
        <w:lastRenderedPageBreak/>
        <w:t>New funding and procurement models can be major drivers of diffusion and innovation</w:t>
      </w:r>
    </w:p>
    <w:p w14:paraId="64A47EFF" w14:textId="77777777" w:rsidR="003A0ECF" w:rsidRDefault="003A0ECF" w:rsidP="00522FBC">
      <w:pPr>
        <w:pStyle w:val="Heading4"/>
      </w:pPr>
      <w:r>
        <w:t>Overcoming funding models that undermine innovation and best practice</w:t>
      </w:r>
    </w:p>
    <w:p w14:paraId="15A8D7FA" w14:textId="3D469E0F" w:rsidR="003A0ECF" w:rsidRDefault="003A0ECF" w:rsidP="003A0ECF">
      <w:pPr>
        <w:pStyle w:val="BodyText"/>
      </w:pPr>
      <w:r>
        <w:t>Funding models should reward increases in the quality and efficiency of outputs and encourage cost reductions for government service bundles. The word ‘bundle’ is important because many existing government</w:t>
      </w:r>
      <w:r>
        <w:noBreakHyphen/>
        <w:t>funded services are unbundled (or siloed) and then provided or managed separately by different arms and levels of government.</w:t>
      </w:r>
    </w:p>
    <w:p w14:paraId="09725569" w14:textId="592A6CEE" w:rsidR="003A0ECF" w:rsidRDefault="003A0ECF" w:rsidP="003A0ECF">
      <w:pPr>
        <w:pStyle w:val="BodyText"/>
      </w:pPr>
      <w:r>
        <w:t>The prime example of such siloing is healthcare with its fractured funding and governance mechanisms. The customer is equally fractured by unbundled services. They are a customer of a pharmacist, a patient to a GP, an admission to a hospital and a case to an outpatient service — four different people through the eyes of the current system. It makes sense to re</w:t>
      </w:r>
      <w:r>
        <w:noBreakHyphen/>
        <w:t>assemble them into one human being and provide them integrated care at whatever point they touch the system.</w:t>
      </w:r>
    </w:p>
    <w:p w14:paraId="02434A7B" w14:textId="48F0436E" w:rsidR="003A0ECF" w:rsidRDefault="003A0ECF" w:rsidP="003A0ECF">
      <w:pPr>
        <w:pStyle w:val="BodyText"/>
      </w:pPr>
      <w:r>
        <w:t xml:space="preserve">Healthcare funding and oversight should be managed </w:t>
      </w:r>
      <w:r w:rsidRPr="008C1392">
        <w:rPr>
          <w:i/>
          <w:iCs/>
        </w:rPr>
        <w:t>as if</w:t>
      </w:r>
      <w:r>
        <w:t xml:space="preserve"> there was only one level of government holding responsibility for it, recognising that creating this single virtual agent requires re</w:t>
      </w:r>
      <w:r>
        <w:noBreakHyphen/>
        <w:t xml:space="preserve">configuration of existing government funding models and changes in regulations (such as the </w:t>
      </w:r>
      <w:r w:rsidRPr="00F92AF4">
        <w:rPr>
          <w:i/>
          <w:iCs/>
        </w:rPr>
        <w:t>Health Insurance Act 1973 (C</w:t>
      </w:r>
      <w:r>
        <w:rPr>
          <w:i/>
          <w:iCs/>
        </w:rPr>
        <w:t>wl</w:t>
      </w:r>
      <w:r w:rsidRPr="00F92AF4">
        <w:rPr>
          <w:i/>
          <w:iCs/>
        </w:rPr>
        <w:t>th</w:t>
      </w:r>
      <w:r>
        <w:t xml:space="preserve">)). Various capitation models, such as the Victorian </w:t>
      </w:r>
      <w:proofErr w:type="spellStart"/>
      <w:r>
        <w:t>HealthLinks</w:t>
      </w:r>
      <w:proofErr w:type="spellEnd"/>
      <w:r>
        <w:t xml:space="preserve"> program, are promising contenders for wider application for chronic disease management, as are bundling payment models for conditions (such as hip and knee replacements) that need predictable coordinated care spanning the whole health sector.</w:t>
      </w:r>
      <w:r w:rsidRPr="00E33348">
        <w:t xml:space="preserve"> </w:t>
      </w:r>
      <w:r>
        <w:t>The ideas of</w:t>
      </w:r>
      <w:r w:rsidRPr="00484239">
        <w:t xml:space="preserve"> </w:t>
      </w:r>
      <w:r>
        <w:t xml:space="preserve">the Consumers Health Forum of Australia </w:t>
      </w:r>
      <w:r w:rsidRPr="00281326">
        <w:rPr>
          <w:rFonts w:ascii="Arial" w:hAnsi="Arial" w:cs="Arial"/>
        </w:rPr>
        <w:t>(2020)</w:t>
      </w:r>
      <w:r>
        <w:t xml:space="preserve">, various reports from the Productivity Commission </w:t>
      </w:r>
      <w:r w:rsidR="00936D73" w:rsidRPr="00936D73">
        <w:rPr>
          <w:rFonts w:ascii="Arial" w:hAnsi="Arial" w:cs="Arial"/>
          <w:szCs w:val="24"/>
        </w:rPr>
        <w:t>(PC 2017d, 2020e)</w:t>
      </w:r>
      <w:r>
        <w:t xml:space="preserve">, the Grattan Institute </w:t>
      </w:r>
      <w:r w:rsidRPr="00465640">
        <w:rPr>
          <w:rFonts w:ascii="Arial" w:hAnsi="Arial" w:cs="Arial"/>
          <w:szCs w:val="24"/>
        </w:rPr>
        <w:t>(</w:t>
      </w:r>
      <w:proofErr w:type="spellStart"/>
      <w:r w:rsidRPr="00465640">
        <w:rPr>
          <w:rFonts w:ascii="Arial" w:hAnsi="Arial" w:cs="Arial"/>
          <w:szCs w:val="24"/>
        </w:rPr>
        <w:t>Breadon</w:t>
      </w:r>
      <w:proofErr w:type="spellEnd"/>
      <w:r w:rsidRPr="00465640">
        <w:rPr>
          <w:rFonts w:ascii="Arial" w:hAnsi="Arial" w:cs="Arial"/>
          <w:szCs w:val="24"/>
        </w:rPr>
        <w:t xml:space="preserve"> 2022; Duckett 2017, 2018b; </w:t>
      </w:r>
      <w:proofErr w:type="spellStart"/>
      <w:r w:rsidRPr="00465640">
        <w:rPr>
          <w:rFonts w:ascii="Arial" w:hAnsi="Arial" w:cs="Arial"/>
          <w:szCs w:val="24"/>
        </w:rPr>
        <w:t>Swerissen</w:t>
      </w:r>
      <w:proofErr w:type="spellEnd"/>
      <w:r w:rsidRPr="00465640">
        <w:rPr>
          <w:rFonts w:ascii="Arial" w:hAnsi="Arial" w:cs="Arial"/>
          <w:szCs w:val="24"/>
        </w:rPr>
        <w:t xml:space="preserve"> and Duckett 2018)</w:t>
      </w:r>
      <w:r>
        <w:t xml:space="preserve"> and others have set out reform directions that could apply at a greater scale, even if the details vary.</w:t>
      </w:r>
    </w:p>
    <w:p w14:paraId="6A8D0009" w14:textId="54517B99" w:rsidR="003A0ECF" w:rsidRDefault="003A0ECF" w:rsidP="003A0ECF">
      <w:pPr>
        <w:pStyle w:val="BodyText"/>
      </w:pPr>
      <w:r>
        <w:t>The institutional and funding models to support reform of hospital funding are much better developed than under the previous health agreement between the Australian Government and state and territory governments. Under the 2020 addendum to the National Health Reform Agreement, the Independent Hospital Pricing Authority (now the Independent Hospital and Aged Care Pricing Authority — IHACPA) has the capacity to reimburse hospitals for their participation in state</w:t>
      </w:r>
      <w:r>
        <w:noBreakHyphen/>
        <w:t>sponsored innovative fixed</w:t>
      </w:r>
      <w:r>
        <w:noBreakHyphen/>
        <w:t>term funding trials</w:t>
      </w:r>
      <w:r w:rsidRPr="00867ECC">
        <w:t xml:space="preserve"> </w:t>
      </w:r>
      <w:r w:rsidRPr="00B033B1">
        <w:rPr>
          <w:rFonts w:ascii="Arial" w:hAnsi="Arial" w:cs="Arial"/>
          <w:szCs w:val="24"/>
        </w:rPr>
        <w:t>(First Ministers 2020; IHPA 2022)</w:t>
      </w:r>
      <w:r>
        <w:t>. IHACPA will advise governments on any trial that might be nationally applied, yet there is no formal transition path to any Australia</w:t>
      </w:r>
      <w:r>
        <w:noBreakHyphen/>
        <w:t>wide systemic change to hospital funding.</w:t>
      </w:r>
    </w:p>
    <w:p w14:paraId="3E4751AF" w14:textId="0BCBE405" w:rsidR="003A0ECF" w:rsidRDefault="003A0ECF" w:rsidP="003A0ECF">
      <w:pPr>
        <w:pStyle w:val="BodyText"/>
      </w:pPr>
      <w:r>
        <w:t xml:space="preserve">The advantage of new funding models is not just that they bring to fruition ideas that have long been advanced and used overseas, but that they underpin the diffusion of other innovations. Were a hospital given appropriate incentives, there are hundreds of novel ways of preventing unnecessary, or shortening the duration of, hospitalisation that it could be motivated to introduce. Similarly, new funding models for improved primary care — even if not directly coordinated with hospitals — can better manage and prevent chronic disease, as shown in the case studies examined by the Productivity Commission </w:t>
      </w:r>
      <w:r w:rsidRPr="00741A94">
        <w:rPr>
          <w:rFonts w:ascii="Arial" w:hAnsi="Arial" w:cs="Arial"/>
          <w:szCs w:val="24"/>
        </w:rPr>
        <w:t>(PC 2021b)</w:t>
      </w:r>
      <w:r>
        <w:t>. The main problem is not a lack of appetite for changes in funding models, but the slow pace of scaling up promising initiatives. The rapidity of health system adaptations to the COVID</w:t>
      </w:r>
      <w:r>
        <w:noBreakHyphen/>
        <w:t>19 pandemic suggests that there should be scope for acceleration.</w:t>
      </w:r>
    </w:p>
    <w:p w14:paraId="51156D15" w14:textId="631DD799" w:rsidR="003A0ECF" w:rsidRDefault="003A0ECF" w:rsidP="003A0ECF">
      <w:pPr>
        <w:pStyle w:val="BodyText"/>
      </w:pPr>
      <w:r>
        <w:t>More broadly, funding contracts for community organisations delivering government</w:t>
      </w:r>
      <w:r>
        <w:noBreakHyphen/>
        <w:t>funded services are often too short (sometimes only 12 months) and with low certainty of renewal. This limits the capacity for community organisations to set up, develop their skills and processes, learn from experience, and invest in innovation. Re</w:t>
      </w:r>
      <w:r>
        <w:noBreakHyphen/>
        <w:t>tendering can also take up considerable resources and management time better spent on raising the performance and capability of the agency. While shorter</w:t>
      </w:r>
      <w:r>
        <w:noBreakHyphen/>
        <w:t xml:space="preserve">term contracts may seem to control risks, there are other ways of doing this without stifling innovation. In its assessment of various government </w:t>
      </w:r>
      <w:r>
        <w:lastRenderedPageBreak/>
        <w:t>services, the Productivity Commission concluded that contract durations should be longer than the usual default. The Commission recommended default contract lengths of a minimum of seven years for providers of</w:t>
      </w:r>
      <w:r w:rsidRPr="00104B2C">
        <w:t xml:space="preserve"> </w:t>
      </w:r>
      <w:r>
        <w:t>children and family services</w:t>
      </w:r>
      <w:r w:rsidRPr="00EC327B">
        <w:t xml:space="preserve"> </w:t>
      </w:r>
      <w:r>
        <w:t xml:space="preserve">in the Northern Territory </w:t>
      </w:r>
      <w:r w:rsidRPr="002429C8">
        <w:rPr>
          <w:rFonts w:ascii="Arial" w:hAnsi="Arial" w:cs="Arial"/>
          <w:szCs w:val="24"/>
        </w:rPr>
        <w:t>(PC 2020b, p. 37)</w:t>
      </w:r>
      <w:r>
        <w:t>, which replicates an earlier finding of seven years as a</w:t>
      </w:r>
      <w:r w:rsidR="00A37AAE">
        <w:t>n</w:t>
      </w:r>
      <w:r>
        <w:t xml:space="preserve"> appropriate contract length for human services generally </w:t>
      </w:r>
      <w:r w:rsidR="00936D73" w:rsidRPr="00936D73">
        <w:rPr>
          <w:rFonts w:ascii="Arial" w:hAnsi="Arial" w:cs="Arial"/>
          <w:szCs w:val="24"/>
        </w:rPr>
        <w:t>(PC 2017c, p. 24)</w:t>
      </w:r>
      <w:r>
        <w:t xml:space="preserve">. </w:t>
      </w:r>
    </w:p>
    <w:p w14:paraId="3E06958C" w14:textId="7B4D526D" w:rsidR="003A0ECF" w:rsidRDefault="003A0ECF" w:rsidP="003A0ECF">
      <w:pPr>
        <w:pStyle w:val="BodyText"/>
      </w:pPr>
      <w:r>
        <w:t xml:space="preserve">Contract terms set by governments can frustrate innovation and diffusion through excessive prescription </w:t>
      </w:r>
      <w:r w:rsidRPr="00683FE9">
        <w:rPr>
          <w:rFonts w:ascii="Arial" w:hAnsi="Arial" w:cs="Arial"/>
          <w:szCs w:val="24"/>
        </w:rPr>
        <w:t>(PC 2016b, p. 32)</w:t>
      </w:r>
      <w:r>
        <w:t xml:space="preserve"> and limit the capacity for user choice to encourage best practice and innovation among service providers. </w:t>
      </w:r>
    </w:p>
    <w:p w14:paraId="1DA3EA50" w14:textId="09BD214F" w:rsidR="003A0ECF" w:rsidRDefault="003A0ECF" w:rsidP="003A0ECF">
      <w:pPr>
        <w:pStyle w:val="BodyText"/>
      </w:pPr>
      <w:r>
        <w:t>Funding models for government services centred on consumer</w:t>
      </w:r>
      <w:r>
        <w:noBreakHyphen/>
        <w:t xml:space="preserve">directed control (as in the National Disability Insurance Scheme) underpin a different kind of diffusion and innovation — the capacity for consumers to engage imaginatively with mainstream providers. On the one hand, contract and funding arrangements can diffuse best practice among providers for </w:t>
      </w:r>
      <w:r w:rsidRPr="00D226BB">
        <w:rPr>
          <w:i/>
          <w:iCs/>
        </w:rPr>
        <w:t>that</w:t>
      </w:r>
      <w:r>
        <w:t xml:space="preserve"> model of service provision. But in many cases, best practice is to let the citizen decide how to arrange the services that meet their preferences, subject to an appropriate budget limit. An example of this from a previous Commission inquiry </w:t>
      </w:r>
      <w:r w:rsidRPr="00B31F66">
        <w:rPr>
          <w:rFonts w:ascii="Arial" w:hAnsi="Arial" w:cs="Arial"/>
          <w:szCs w:val="24"/>
        </w:rPr>
        <w:t>(PC 2011)</w:t>
      </w:r>
      <w:r>
        <w:t xml:space="preserve"> was of a young person with Down’s Syndrome who used to receive services from specialist disability providers, being picked up by a bus for people with disabilities and taken to activities that might or might not interest them. When given a budget for services, the person learned how to take public transport, to go the cinema</w:t>
      </w:r>
      <w:r w:rsidRPr="003962C2">
        <w:t xml:space="preserve"> </w:t>
      </w:r>
      <w:r>
        <w:t xml:space="preserve">and to buy her favourite meal from McDonalds, which she loved. Best practice was not the achievement of the most efficient allocation of resources </w:t>
      </w:r>
      <w:r w:rsidRPr="00495783">
        <w:rPr>
          <w:i/>
          <w:iCs/>
        </w:rPr>
        <w:t>within</w:t>
      </w:r>
      <w:r>
        <w:t xml:space="preserve"> an enterprise, but the meeting of the preferences of the person. Governments can much better diffuse this different way of organising resources in some of its other services.</w:t>
      </w:r>
    </w:p>
    <w:p w14:paraId="3460B95C" w14:textId="77777777" w:rsidR="003A0ECF" w:rsidRDefault="003A0ECF" w:rsidP="00894C72">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A0ECF" w14:paraId="2C882604" w14:textId="77777777" w:rsidTr="00C426E9">
        <w:trPr>
          <w:trHeight w:val="765"/>
          <w:tblHeader/>
        </w:trPr>
        <w:tc>
          <w:tcPr>
            <w:tcW w:w="366" w:type="pct"/>
            <w:tcBorders>
              <w:bottom w:val="nil"/>
            </w:tcBorders>
            <w:tcMar>
              <w:bottom w:w="0" w:type="dxa"/>
            </w:tcMar>
            <w:vAlign w:val="center"/>
          </w:tcPr>
          <w:p w14:paraId="7DB3BE08" w14:textId="77777777" w:rsidR="003A0ECF" w:rsidRDefault="003A0ECF" w:rsidP="00894C72">
            <w:pPr>
              <w:pStyle w:val="NoSpacing"/>
              <w:keepNext/>
              <w:keepLines/>
              <w:jc w:val="right"/>
            </w:pPr>
            <w:r w:rsidRPr="00A51374">
              <w:rPr>
                <w:noProof/>
              </w:rPr>
              <w:drawing>
                <wp:inline distT="0" distB="0" distL="0" distR="0" wp14:anchorId="097A70EE" wp14:editId="394B13DB">
                  <wp:extent cx="288000" cy="288000"/>
                  <wp:effectExtent l="0" t="0" r="0" b="0"/>
                  <wp:docPr id="7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8E4146" w14:textId="77777777" w:rsidR="003A0ECF" w:rsidRPr="00A4395A" w:rsidRDefault="003A0ECF" w:rsidP="00894C72">
            <w:pPr>
              <w:pStyle w:val="TableHeading"/>
              <w:keepNext/>
              <w:keepLines/>
              <w:spacing w:before="60" w:after="120"/>
              <w:contextualSpacing/>
              <w:rPr>
                <w:sz w:val="20"/>
              </w:rPr>
            </w:pPr>
            <w:r w:rsidRPr="00A4395A">
              <w:rPr>
                <w:sz w:val="20"/>
              </w:rPr>
              <w:t xml:space="preserve">Finding </w:t>
            </w:r>
            <w:r>
              <w:rPr>
                <w:sz w:val="20"/>
              </w:rPr>
              <w:t>3.5</w:t>
            </w:r>
          </w:p>
          <w:p w14:paraId="336B0AC0" w14:textId="77777777" w:rsidR="003A0ECF" w:rsidRDefault="003A0ECF" w:rsidP="00894C72">
            <w:pPr>
              <w:pStyle w:val="TableHeading"/>
              <w:keepNext/>
              <w:keepLines/>
              <w:spacing w:before="60" w:after="120"/>
              <w:contextualSpacing/>
            </w:pPr>
            <w:r>
              <w:rPr>
                <w:sz w:val="20"/>
              </w:rPr>
              <w:t>New funding models can encourage diffusion and best practice</w:t>
            </w:r>
          </w:p>
        </w:tc>
      </w:tr>
      <w:tr w:rsidR="003A0ECF" w14:paraId="6D22E40E" w14:textId="77777777" w:rsidTr="00C426E9">
        <w:tc>
          <w:tcPr>
            <w:tcW w:w="5000" w:type="pct"/>
            <w:gridSpan w:val="2"/>
            <w:tcBorders>
              <w:top w:val="nil"/>
              <w:bottom w:val="single" w:sz="4" w:space="0" w:color="66BCDB" w:themeColor="text2"/>
            </w:tcBorders>
          </w:tcPr>
          <w:p w14:paraId="7E273F1E" w14:textId="77777777" w:rsidR="003A0ECF" w:rsidRDefault="003A0ECF" w:rsidP="00894C72">
            <w:pPr>
              <w:pStyle w:val="BodyText"/>
              <w:keepNext/>
              <w:keepLines/>
            </w:pPr>
            <w:r>
              <w:t>Funding models for hospitals that reward them for preventing hospitalisations would lower costs in the costliest part of the healthcare system, but also encourage the development and diffusion of a wide range of primary health interventions aimed at preventing and managing chronic disease.</w:t>
            </w:r>
          </w:p>
          <w:p w14:paraId="42AD4FAB" w14:textId="77777777" w:rsidR="003A0ECF" w:rsidRDefault="003A0ECF" w:rsidP="00894C72">
            <w:pPr>
              <w:pStyle w:val="BodyText"/>
              <w:keepNext/>
              <w:keepLines/>
            </w:pPr>
            <w:r>
              <w:t>F</w:t>
            </w:r>
            <w:r w:rsidRPr="00F32672">
              <w:t xml:space="preserve">unding contracts for community organisations delivering government funded services are often too short </w:t>
            </w:r>
            <w:r>
              <w:t>and limit the capacity and incentives for such organisations to learn, innovate and copy best practice.</w:t>
            </w:r>
          </w:p>
          <w:p w14:paraId="0DD63102" w14:textId="77777777" w:rsidR="003A0ECF" w:rsidRDefault="003A0ECF" w:rsidP="00894C72">
            <w:pPr>
              <w:pStyle w:val="BodyText"/>
              <w:keepNext/>
              <w:keepLines/>
            </w:pPr>
            <w:r>
              <w:t>In some human services, such as disability care, giving the citizen control over a funding package stimulates more innovative solutions than alternative arrangements driven by government</w:t>
            </w:r>
            <w:r>
              <w:noBreakHyphen/>
              <w:t>funded or operated organisations.</w:t>
            </w:r>
          </w:p>
        </w:tc>
      </w:tr>
      <w:tr w:rsidR="003A0ECF" w14:paraId="3757376E" w14:textId="77777777" w:rsidTr="00C426E9">
        <w:tc>
          <w:tcPr>
            <w:tcW w:w="5000" w:type="pct"/>
            <w:gridSpan w:val="2"/>
            <w:tcBorders>
              <w:top w:val="single" w:sz="4" w:space="0" w:color="66BCDB" w:themeColor="text2"/>
              <w:left w:val="nil"/>
              <w:bottom w:val="nil"/>
              <w:right w:val="nil"/>
            </w:tcBorders>
            <w:tcMar>
              <w:bottom w:w="0" w:type="dxa"/>
            </w:tcMar>
          </w:tcPr>
          <w:p w14:paraId="6E93CE1E" w14:textId="77777777" w:rsidR="003A0ECF" w:rsidRDefault="003A0ECF" w:rsidP="00894C72">
            <w:pPr>
              <w:pStyle w:val="NoSpacing"/>
              <w:keepNext/>
              <w:keepLines/>
              <w:spacing w:line="200" w:lineRule="atLeast"/>
            </w:pPr>
          </w:p>
        </w:tc>
      </w:tr>
    </w:tbl>
    <w:p w14:paraId="27F64B68" w14:textId="77777777" w:rsidR="003A0ECF" w:rsidRDefault="003A0ECF" w:rsidP="00522FBC">
      <w:pPr>
        <w:pStyle w:val="Heading4"/>
      </w:pPr>
      <w:r>
        <w:t>Infrastructure and equipment procurement</w:t>
      </w:r>
    </w:p>
    <w:p w14:paraId="2EB7A375" w14:textId="0CD331FD" w:rsidR="003A0ECF" w:rsidRDefault="003A0ECF" w:rsidP="003A0ECF">
      <w:pPr>
        <w:pStyle w:val="BodyText"/>
      </w:pPr>
      <w:r>
        <w:t xml:space="preserve">Outside of human services, there are other ways in which government procurement could encourage best practice. Collaborative construction procurement models — as in the Level Crossing Removal project in Victoria — have wider potential in driving better quality and productivity outcomes in public infrastructure </w:t>
      </w:r>
      <w:r w:rsidRPr="00CB4E31">
        <w:rPr>
          <w:rFonts w:ascii="Arial" w:hAnsi="Arial" w:cs="Arial"/>
          <w:szCs w:val="24"/>
        </w:rPr>
        <w:t>(Australian Constructors association, sub. 73, p. 8; IA 2022)</w:t>
      </w:r>
      <w:r>
        <w:t xml:space="preserve">. This will require strengthening expertise in public sector procurement agencies, as well as greater understanding of alliance/collaborative contracting. </w:t>
      </w:r>
    </w:p>
    <w:p w14:paraId="56068EB4" w14:textId="5C5A9253" w:rsidR="003A0ECF" w:rsidRDefault="003A0ECF" w:rsidP="003A0ECF">
      <w:pPr>
        <w:pStyle w:val="BodyText"/>
      </w:pPr>
      <w:r>
        <w:t>In some instances, best practice procurement is not to procure at all because the dollars could be spent elsewhere on better outcomes for the public. The oft</w:t>
      </w:r>
      <w:r>
        <w:noBreakHyphen/>
        <w:t>repeated admonition to apply genuine, disinterested, rigorous cost</w:t>
      </w:r>
      <w:r>
        <w:noBreakHyphen/>
        <w:t>benefit analysis (CBA) of major projects suffers from its forgettability. Everyone says it</w:t>
      </w:r>
      <w:r w:rsidR="00BB2961">
        <w:t xml:space="preserve"> is</w:t>
      </w:r>
      <w:r>
        <w:t xml:space="preserve"> a good idea. All jurisdictions and many agencies have developed guides about how to do it. But compliance </w:t>
      </w:r>
      <w:r>
        <w:lastRenderedPageBreak/>
        <w:t>with best practice is piecemeal, and the outcomes of the analysis may not have any effect on project choice. The consequence is that big public infrastructure projects routinely suffer from optimism bias, with large cost blowouts costs and long completion delays.</w:t>
      </w:r>
    </w:p>
    <w:p w14:paraId="549D6901" w14:textId="1C86614E" w:rsidR="003A0ECF" w:rsidRDefault="003A0ECF" w:rsidP="003A0ECF">
      <w:pPr>
        <w:pStyle w:val="BodyText"/>
      </w:pPr>
      <w:r>
        <w:t xml:space="preserve">While harder to do, and probably more open to manipulation, CBA also has strong relevance to other government activities like defence, social programs, and healthcare. </w:t>
      </w:r>
      <w:proofErr w:type="spellStart"/>
      <w:r>
        <w:t>Dobes</w:t>
      </w:r>
      <w:proofErr w:type="spellEnd"/>
      <w:r>
        <w:t xml:space="preserve"> </w:t>
      </w:r>
      <w:r w:rsidRPr="0067181F">
        <w:rPr>
          <w:rFonts w:ascii="Arial" w:hAnsi="Arial" w:cs="Arial"/>
        </w:rPr>
        <w:t>(2008)</w:t>
      </w:r>
      <w:r>
        <w:t xml:space="preserve"> argued that the traditions and expertise of these areas of government predisposes them to use other tools for assessment, like cost effectiveness studies, which provides less guidance to governments about how to allocate finite budgets across projects that are very different in their nature. That assessment remains relevant. Notably, an assessment by the Productivity Commission of programs for Aboriginal and Torres Strait Islander</w:t>
      </w:r>
      <w:r w:rsidR="00B434A7">
        <w:t xml:space="preserve"> people</w:t>
      </w:r>
      <w:r>
        <w:t xml:space="preserve"> found CBA was rarely used </w:t>
      </w:r>
      <w:r w:rsidRPr="002429C8">
        <w:rPr>
          <w:rFonts w:ascii="Arial" w:hAnsi="Arial" w:cs="Arial"/>
          <w:szCs w:val="24"/>
        </w:rPr>
        <w:t>(PC 2020a)</w:t>
      </w:r>
      <w:r>
        <w:t xml:space="preserve">. But while billions seem to be on the pavement for the picking, a proven tool is neglected. </w:t>
      </w:r>
      <w:r w:rsidRPr="006F7AC3">
        <w:t>There is a strong need for practical solutions to this predicament.</w:t>
      </w:r>
    </w:p>
    <w:p w14:paraId="35D22E7F" w14:textId="77777777" w:rsidR="003A0ECF" w:rsidRDefault="003A0ECF" w:rsidP="003A0ECF">
      <w:pPr>
        <w:pStyle w:val="NoSpacing"/>
      </w:pPr>
    </w:p>
    <w:tbl>
      <w:tblPr>
        <w:tblStyle w:val="TextTable-Grey"/>
        <w:tblW w:w="5000" w:type="pct"/>
        <w:tblLook w:val="04A0" w:firstRow="1" w:lastRow="0" w:firstColumn="1" w:lastColumn="0" w:noHBand="0" w:noVBand="1"/>
      </w:tblPr>
      <w:tblGrid>
        <w:gridCol w:w="778"/>
        <w:gridCol w:w="8860"/>
      </w:tblGrid>
      <w:tr w:rsidR="003A0ECF" w14:paraId="432B6EC2" w14:textId="77777777" w:rsidTr="00C426E9">
        <w:trPr>
          <w:tblHeader/>
        </w:trPr>
        <w:tc>
          <w:tcPr>
            <w:tcW w:w="778" w:type="dxa"/>
            <w:vAlign w:val="center"/>
          </w:tcPr>
          <w:p w14:paraId="5B4E7D86" w14:textId="77777777" w:rsidR="003A0ECF" w:rsidRDefault="003A0ECF" w:rsidP="00C426E9">
            <w:pPr>
              <w:keepNext/>
              <w:keepLines/>
              <w:spacing w:after="0"/>
              <w:jc w:val="right"/>
            </w:pPr>
            <w:r w:rsidRPr="00A51374">
              <w:rPr>
                <w:noProof/>
              </w:rPr>
              <w:drawing>
                <wp:inline distT="0" distB="0" distL="0" distR="0" wp14:anchorId="104597A5" wp14:editId="58D75BAC">
                  <wp:extent cx="288000" cy="288000"/>
                  <wp:effectExtent l="0" t="0" r="0" b="0"/>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860" w:type="dxa"/>
            <w:vAlign w:val="center"/>
          </w:tcPr>
          <w:p w14:paraId="6D327124" w14:textId="77777777" w:rsidR="003A0ECF" w:rsidRPr="000B0B71" w:rsidRDefault="003A0ECF" w:rsidP="00C426E9">
            <w:pPr>
              <w:pStyle w:val="TableHeading"/>
              <w:keepNext/>
              <w:spacing w:before="180" w:after="120"/>
              <w:rPr>
                <w:sz w:val="20"/>
              </w:rPr>
            </w:pPr>
            <w:r w:rsidRPr="000B0B71">
              <w:rPr>
                <w:sz w:val="20"/>
              </w:rPr>
              <w:t xml:space="preserve">Information request </w:t>
            </w:r>
            <w:r>
              <w:rPr>
                <w:sz w:val="20"/>
              </w:rPr>
              <w:t>3.2</w:t>
            </w:r>
          </w:p>
        </w:tc>
      </w:tr>
      <w:tr w:rsidR="003A0ECF" w14:paraId="131AFE8C" w14:textId="77777777" w:rsidTr="00C426E9">
        <w:tc>
          <w:tcPr>
            <w:tcW w:w="9638" w:type="dxa"/>
            <w:gridSpan w:val="2"/>
            <w:tcMar>
              <w:top w:w="0" w:type="dxa"/>
            </w:tcMar>
          </w:tcPr>
          <w:p w14:paraId="7444EBE7" w14:textId="77777777" w:rsidR="003A0ECF" w:rsidRPr="008529A2" w:rsidRDefault="003A0ECF" w:rsidP="00C426E9">
            <w:pPr>
              <w:pStyle w:val="BodyText"/>
              <w:keepNext/>
              <w:keepLines/>
            </w:pPr>
            <w:r>
              <w:t>Nearly everyone agrees that significant government procurement decisions should be guided by rigorous cost</w:t>
            </w:r>
            <w:r>
              <w:noBreakHyphen/>
              <w:t xml:space="preserve">benefit analysis, yet projects with low net benefits still abound. What </w:t>
            </w:r>
            <w:r w:rsidRPr="000D5AA5">
              <w:rPr>
                <w:i/>
                <w:iCs/>
              </w:rPr>
              <w:t>realistic</w:t>
            </w:r>
            <w:r>
              <w:t xml:space="preserve"> mechanisms could better diffuse best</w:t>
            </w:r>
            <w:r>
              <w:noBreakHyphen/>
              <w:t>practice project evaluation?</w:t>
            </w:r>
          </w:p>
        </w:tc>
      </w:tr>
      <w:tr w:rsidR="003A0ECF" w14:paraId="6745C8E0" w14:textId="77777777" w:rsidTr="00C426E9">
        <w:tc>
          <w:tcPr>
            <w:tcW w:w="9638" w:type="dxa"/>
            <w:gridSpan w:val="2"/>
            <w:shd w:val="clear" w:color="auto" w:fill="auto"/>
            <w:tcMar>
              <w:top w:w="0" w:type="dxa"/>
              <w:bottom w:w="0" w:type="dxa"/>
            </w:tcMar>
          </w:tcPr>
          <w:p w14:paraId="0DA3FDA1" w14:textId="77777777" w:rsidR="003A0ECF" w:rsidRDefault="003A0ECF" w:rsidP="00C426E9">
            <w:pPr>
              <w:pStyle w:val="NoSpacing"/>
              <w:spacing w:line="200" w:lineRule="exact"/>
            </w:pPr>
          </w:p>
        </w:tc>
      </w:tr>
    </w:tbl>
    <w:p w14:paraId="7B382CD6" w14:textId="4B5539AE" w:rsidR="003A0ECF" w:rsidRDefault="003A0ECF" w:rsidP="003A0ECF">
      <w:pPr>
        <w:pStyle w:val="BodyText"/>
      </w:pPr>
      <w:r>
        <w:t xml:space="preserve">Defence procurement has long been a contentious issue, bedevilled by concerns about mixed and often inconsistent objectives (defence capability </w:t>
      </w:r>
      <w:r w:rsidRPr="00B4350E">
        <w:rPr>
          <w:i/>
          <w:iCs/>
        </w:rPr>
        <w:t>and</w:t>
      </w:r>
      <w:r>
        <w:t xml:space="preserve"> assistance to industry), cost overruns, technical failures, and the weighting given to Australian exceptionalism (‘we have unique needs’).</w:t>
      </w:r>
    </w:p>
    <w:p w14:paraId="351D0A6D" w14:textId="64FFC6F5" w:rsidR="003A0ECF" w:rsidRDefault="003A0ECF" w:rsidP="003A0ECF">
      <w:pPr>
        <w:pStyle w:val="BodyText"/>
      </w:pPr>
      <w:r>
        <w:t>Some problems arise from the extraordinary complexity of much defence equipment, systems, and software. Complex defence equipment and associated software involves sophisticated manufacturing, information technologies and a highly</w:t>
      </w:r>
      <w:r>
        <w:noBreakHyphen/>
        <w:t xml:space="preserve">skilled workforce. These are slow and risky to develop for bespoke and specialised capabilities. Such capabilities also require other specialised inputs, such as training systems, facilities, </w:t>
      </w:r>
      <w:r w:rsidR="00E201B8">
        <w:t xml:space="preserve">and </w:t>
      </w:r>
      <w:r>
        <w:t xml:space="preserve">documentation, and </w:t>
      </w:r>
      <w:r w:rsidR="00CD50B6">
        <w:t>involves</w:t>
      </w:r>
      <w:r>
        <w:t xml:space="preserve"> costs </w:t>
      </w:r>
      <w:r w:rsidR="00CD50B6">
        <w:t>to integrate</w:t>
      </w:r>
      <w:r>
        <w:t xml:space="preserve"> the new technology into existing ones </w:t>
      </w:r>
      <w:r w:rsidRPr="007C4297">
        <w:rPr>
          <w:rFonts w:ascii="Arial" w:hAnsi="Arial" w:cs="Arial"/>
          <w:szCs w:val="24"/>
        </w:rPr>
        <w:t>(Hellyer 2022)</w:t>
      </w:r>
      <w:r>
        <w:t>.</w:t>
      </w:r>
    </w:p>
    <w:p w14:paraId="3625B4AA" w14:textId="01B80BB9" w:rsidR="003A0ECF" w:rsidRDefault="003A0ECF" w:rsidP="003A0ECF">
      <w:pPr>
        <w:pStyle w:val="BodyText"/>
      </w:pPr>
      <w:r>
        <w:t xml:space="preserve">It is not feasible for Australia to develop expertise or domestic capabilities for all such equipment and software. Moreover, attempting to undertake multiple defence projects can slow down the production of any single one, which lowers productivity. It can also pay to wait if government plans to produce equipment already in production overseas, as there can be learning economies as global production ramps up </w:t>
      </w:r>
      <w:r w:rsidRPr="00564A1A">
        <w:rPr>
          <w:rFonts w:ascii="Arial" w:hAnsi="Arial" w:cs="Arial"/>
          <w:szCs w:val="24"/>
        </w:rPr>
        <w:t>(</w:t>
      </w:r>
      <w:proofErr w:type="spellStart"/>
      <w:r w:rsidRPr="00564A1A">
        <w:rPr>
          <w:rFonts w:ascii="Arial" w:hAnsi="Arial" w:cs="Arial"/>
          <w:szCs w:val="24"/>
        </w:rPr>
        <w:t>Markowski</w:t>
      </w:r>
      <w:proofErr w:type="spellEnd"/>
      <w:r w:rsidRPr="00564A1A">
        <w:rPr>
          <w:rFonts w:ascii="Arial" w:hAnsi="Arial" w:cs="Arial"/>
          <w:szCs w:val="24"/>
        </w:rPr>
        <w:t>, Hall and Wylie 2010, p. 91ff)</w:t>
      </w:r>
      <w:r>
        <w:t>. The early adoption of complex equipment may require adaptation to remedy design and production flaws that only become clear after commencement of production.</w:t>
      </w:r>
    </w:p>
    <w:p w14:paraId="5F90B905" w14:textId="0C526341" w:rsidR="003A0ECF" w:rsidRDefault="003A0ECF" w:rsidP="003A0ECF">
      <w:r>
        <w:t xml:space="preserve">Depending on the context, buying an already proven technology from overseas and not quickly, if ever, developing a domestic </w:t>
      </w:r>
      <w:r w:rsidRPr="003D57C8">
        <w:rPr>
          <w:i/>
          <w:iCs/>
        </w:rPr>
        <w:t>production</w:t>
      </w:r>
      <w:r>
        <w:t xml:space="preserve"> capability is likely to be optimal in many contexts. A sophisticated domestic capability to use and maintain equipment would still be required regardless of where it was sourced from but would involve lower costs than domestic production and assembly.</w:t>
      </w:r>
    </w:p>
    <w:p w14:paraId="4E16D7CC" w14:textId="5F580E26" w:rsidR="003A0ECF" w:rsidRDefault="003A0ECF" w:rsidP="003A0ECF">
      <w:pPr>
        <w:pStyle w:val="BodyText"/>
      </w:pPr>
      <w:r>
        <w:t xml:space="preserve">The Commission has catalogued instances of large defence procurement projects that involve effective rates of assistance for domestic production of up to 300 per cent </w:t>
      </w:r>
      <w:r w:rsidRPr="00561D61">
        <w:rPr>
          <w:rFonts w:ascii="Arial" w:hAnsi="Arial" w:cs="Arial"/>
          <w:szCs w:val="24"/>
        </w:rPr>
        <w:t>(PC 2019, p. 34)</w:t>
      </w:r>
      <w:r>
        <w:t xml:space="preserve">. This is an extraordinary rate in the context of the other industry assistance, which has dwindled to between zero and five per cent. The transparency that would normally apply for many other procurement activities is lower because of security concerns, though this does not justify the present level of opacity. The Australian National Audit Office, for </w:t>
      </w:r>
      <w:r>
        <w:lastRenderedPageBreak/>
        <w:t xml:space="preserve">example was prevented from publishing its conclusions on the effectiveness and value for money of the $2.2 billion acquisition of the </w:t>
      </w:r>
      <w:proofErr w:type="spellStart"/>
      <w:r>
        <w:t>Hawkei</w:t>
      </w:r>
      <w:proofErr w:type="spellEnd"/>
      <w:r>
        <w:t xml:space="preserve"> vehicle </w:t>
      </w:r>
      <w:r w:rsidR="00936D73" w:rsidRPr="00936D73">
        <w:rPr>
          <w:rFonts w:ascii="Arial" w:hAnsi="Arial" w:cs="Arial"/>
          <w:szCs w:val="24"/>
        </w:rPr>
        <w:t>(PC 2020i, p. 17)</w:t>
      </w:r>
      <w:r>
        <w:t>.</w:t>
      </w:r>
    </w:p>
    <w:p w14:paraId="5D6184ED" w14:textId="71E814A5" w:rsidR="003A0ECF" w:rsidRDefault="003A0ECF" w:rsidP="003A0ECF">
      <w:pPr>
        <w:pStyle w:val="BodyText"/>
      </w:pPr>
      <w:r>
        <w:t xml:space="preserve">The ambitious Collins class submarine program provides an example of what can go wrong and what might be done to shift the procurement mindset. At conception in 1982, the goal was to acquire 10 boats at $100 million each (1982). By December 1999, the cost of the fewer planned boats was $850 million each </w:t>
      </w:r>
      <w:r w:rsidRPr="00F44242">
        <w:rPr>
          <w:rFonts w:ascii="Arial" w:hAnsi="Arial" w:cs="Arial"/>
          <w:szCs w:val="24"/>
        </w:rPr>
        <w:t>(</w:t>
      </w:r>
      <w:proofErr w:type="spellStart"/>
      <w:r w:rsidRPr="00F44242">
        <w:rPr>
          <w:rFonts w:ascii="Arial" w:hAnsi="Arial" w:cs="Arial"/>
          <w:szCs w:val="24"/>
        </w:rPr>
        <w:t>Woolner</w:t>
      </w:r>
      <w:proofErr w:type="spellEnd"/>
      <w:r w:rsidRPr="00F44242">
        <w:rPr>
          <w:rFonts w:ascii="Arial" w:hAnsi="Arial" w:cs="Arial"/>
          <w:szCs w:val="24"/>
        </w:rPr>
        <w:t> 2001)</w:t>
      </w:r>
      <w:r>
        <w:t xml:space="preserve">. Of the five boats in the water in 1999, none were performing adequately </w:t>
      </w:r>
      <w:r w:rsidRPr="0086069D">
        <w:rPr>
          <w:rFonts w:ascii="Arial" w:hAnsi="Arial" w:cs="Arial"/>
          <w:szCs w:val="24"/>
        </w:rPr>
        <w:t>(McIntosh and Prescott 1999)</w:t>
      </w:r>
      <w:r>
        <w:t>. The problems stemmed not just from the inevitable difficulties in acquiring highly complex products, but from the unique design, the contracting model, the decision to build locally, and project oversight among many other things. Not all aspects of the Collins program were disastrous, but defence acquisitions are so costly to taxpayers and so important for effective defence, that the returns from getting closer to best practice procurement and management would be worth tens of billions of dollars. (Defence spending is anticipated to be about $270 billion over the next decade.)</w:t>
      </w:r>
    </w:p>
    <w:p w14:paraId="01354D72" w14:textId="77777777" w:rsidR="003A0ECF" w:rsidRDefault="003A0ECF" w:rsidP="003A0ECF">
      <w:pPr>
        <w:pStyle w:val="BodyText"/>
      </w:pPr>
      <w:r>
        <w:t>Defence procurement is ripe for deep and disinterested scrutiny of its processes. There are strong grounds for re</w:t>
      </w:r>
      <w:r>
        <w:noBreakHyphen/>
        <w:t>thinking defence procurement, drawing on advice from those outside defence. It does not need to be a review, and indeed it might be best prosecuted as an ongoing function.</w:t>
      </w:r>
    </w:p>
    <w:p w14:paraId="74E8BD9E" w14:textId="77777777" w:rsidR="003A0ECF" w:rsidRDefault="003A0ECF" w:rsidP="00AC48CE">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A0ECF" w14:paraId="11AF7EDD" w14:textId="77777777" w:rsidTr="00C426E9">
        <w:trPr>
          <w:trHeight w:val="765"/>
          <w:tblHeader/>
        </w:trPr>
        <w:tc>
          <w:tcPr>
            <w:tcW w:w="366" w:type="pct"/>
            <w:tcBorders>
              <w:bottom w:val="nil"/>
            </w:tcBorders>
            <w:tcMar>
              <w:bottom w:w="0" w:type="dxa"/>
            </w:tcMar>
            <w:vAlign w:val="center"/>
          </w:tcPr>
          <w:p w14:paraId="1FBF40E0" w14:textId="77777777" w:rsidR="003A0ECF" w:rsidRDefault="003A0ECF" w:rsidP="00AC48CE">
            <w:pPr>
              <w:pStyle w:val="NoSpacing"/>
              <w:keepNext/>
              <w:keepLines/>
              <w:jc w:val="right"/>
            </w:pPr>
            <w:r w:rsidRPr="00A51374">
              <w:rPr>
                <w:noProof/>
              </w:rPr>
              <w:drawing>
                <wp:inline distT="0" distB="0" distL="0" distR="0" wp14:anchorId="58E4C14E" wp14:editId="5AD8B5C9">
                  <wp:extent cx="288000" cy="288000"/>
                  <wp:effectExtent l="0" t="0" r="0" b="0"/>
                  <wp:docPr id="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2894BD" w14:textId="77777777" w:rsidR="003A0ECF" w:rsidRPr="00A4395A" w:rsidRDefault="003A0ECF" w:rsidP="00AC48CE">
            <w:pPr>
              <w:pStyle w:val="TableHeading"/>
              <w:keepNext/>
              <w:keepLines/>
              <w:spacing w:before="60" w:after="120"/>
              <w:contextualSpacing/>
              <w:rPr>
                <w:sz w:val="20"/>
              </w:rPr>
            </w:pPr>
            <w:r w:rsidRPr="00A4395A">
              <w:rPr>
                <w:sz w:val="20"/>
              </w:rPr>
              <w:t xml:space="preserve">Finding </w:t>
            </w:r>
            <w:r>
              <w:rPr>
                <w:sz w:val="20"/>
              </w:rPr>
              <w:t>3.6</w:t>
            </w:r>
          </w:p>
          <w:p w14:paraId="3ADED573" w14:textId="77777777" w:rsidR="003A0ECF" w:rsidRDefault="003A0ECF" w:rsidP="00AC48CE">
            <w:pPr>
              <w:pStyle w:val="TableHeading"/>
              <w:keepNext/>
              <w:keepLines/>
              <w:spacing w:before="60" w:after="120"/>
              <w:contextualSpacing/>
            </w:pPr>
            <w:r>
              <w:rPr>
                <w:sz w:val="20"/>
              </w:rPr>
              <w:t>Defence procurement has often had mixed goals, used imperfect processes that have led to cost</w:t>
            </w:r>
            <w:r>
              <w:rPr>
                <w:sz w:val="20"/>
              </w:rPr>
              <w:noBreakHyphen/>
              <w:t>overruns and failed to achieve the desired capabilities.</w:t>
            </w:r>
          </w:p>
        </w:tc>
      </w:tr>
      <w:tr w:rsidR="003A0ECF" w14:paraId="3B4ED4E7" w14:textId="77777777" w:rsidTr="00C426E9">
        <w:tc>
          <w:tcPr>
            <w:tcW w:w="5000" w:type="pct"/>
            <w:gridSpan w:val="2"/>
            <w:tcBorders>
              <w:top w:val="nil"/>
              <w:bottom w:val="single" w:sz="4" w:space="0" w:color="66BCDB" w:themeColor="text2"/>
            </w:tcBorders>
          </w:tcPr>
          <w:p w14:paraId="14A28ED9" w14:textId="77777777" w:rsidR="003A0ECF" w:rsidRPr="007A4576" w:rsidRDefault="003A0ECF" w:rsidP="00AC48CE">
            <w:pPr>
              <w:pStyle w:val="BodyText"/>
              <w:keepNext/>
              <w:keepLines/>
            </w:pPr>
            <w:r w:rsidRPr="00811C67">
              <w:t xml:space="preserve">Defence procurement has often had </w:t>
            </w:r>
            <w:r>
              <w:t xml:space="preserve">the </w:t>
            </w:r>
            <w:r w:rsidRPr="00811C67">
              <w:t>mixed goal</w:t>
            </w:r>
            <w:r>
              <w:t>s of achieving a defence capability and</w:t>
            </w:r>
            <w:r w:rsidRPr="00811C67">
              <w:t xml:space="preserve"> </w:t>
            </w:r>
            <w:r>
              <w:t>providing industry assistance. I</w:t>
            </w:r>
            <w:r w:rsidRPr="00811C67">
              <w:t>mperfect processes have led to cost</w:t>
            </w:r>
            <w:r>
              <w:noBreakHyphen/>
            </w:r>
            <w:r w:rsidRPr="00811C67">
              <w:t xml:space="preserve">overruns </w:t>
            </w:r>
            <w:r>
              <w:t xml:space="preserve">of billions of dollars </w:t>
            </w:r>
            <w:r w:rsidRPr="00811C67">
              <w:t>and failed to achieve the desired capabilities.</w:t>
            </w:r>
            <w:r>
              <w:t xml:space="preserve"> The productivity and efficiency benefits of better practices are large given the $270 billion of anticipated defence spending over the next decade.</w:t>
            </w:r>
          </w:p>
        </w:tc>
      </w:tr>
    </w:tbl>
    <w:p w14:paraId="53A514B7" w14:textId="77777777" w:rsidR="00AC48CE" w:rsidRDefault="00AC48CE" w:rsidP="00AC48CE">
      <w:pPr>
        <w:pStyle w:val="NoSpacing"/>
      </w:pPr>
    </w:p>
    <w:tbl>
      <w:tblPr>
        <w:tblStyle w:val="TextTable-Grey"/>
        <w:tblW w:w="5000" w:type="pct"/>
        <w:tblLook w:val="04A0" w:firstRow="1" w:lastRow="0" w:firstColumn="1" w:lastColumn="0" w:noHBand="0" w:noVBand="1"/>
      </w:tblPr>
      <w:tblGrid>
        <w:gridCol w:w="713"/>
        <w:gridCol w:w="8925"/>
      </w:tblGrid>
      <w:tr w:rsidR="003A0ECF" w14:paraId="50ABF7FB" w14:textId="77777777" w:rsidTr="00C426E9">
        <w:trPr>
          <w:tblHeader/>
        </w:trPr>
        <w:tc>
          <w:tcPr>
            <w:tcW w:w="713" w:type="dxa"/>
            <w:vAlign w:val="center"/>
          </w:tcPr>
          <w:p w14:paraId="713D8CFC" w14:textId="77777777" w:rsidR="003A0ECF" w:rsidRDefault="003A0ECF" w:rsidP="00C426E9">
            <w:pPr>
              <w:keepNext/>
              <w:keepLines/>
              <w:spacing w:after="0"/>
              <w:jc w:val="right"/>
            </w:pPr>
            <w:r w:rsidRPr="00A51374">
              <w:rPr>
                <w:noProof/>
              </w:rPr>
              <w:drawing>
                <wp:inline distT="0" distB="0" distL="0" distR="0" wp14:anchorId="46C2C1CD" wp14:editId="3891B0E3">
                  <wp:extent cx="288000" cy="288000"/>
                  <wp:effectExtent l="0" t="0" r="0" b="0"/>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1568EAA" w14:textId="77777777" w:rsidR="003A0ECF" w:rsidRPr="000B0B71" w:rsidRDefault="003A0ECF" w:rsidP="00C426E9">
            <w:pPr>
              <w:pStyle w:val="TableHeading"/>
              <w:keepNext/>
              <w:spacing w:before="180" w:after="120"/>
              <w:rPr>
                <w:sz w:val="20"/>
              </w:rPr>
            </w:pPr>
            <w:r w:rsidRPr="000B0B71">
              <w:rPr>
                <w:sz w:val="20"/>
              </w:rPr>
              <w:t xml:space="preserve">Information request </w:t>
            </w:r>
            <w:r>
              <w:rPr>
                <w:sz w:val="20"/>
              </w:rPr>
              <w:t>3.3</w:t>
            </w:r>
          </w:p>
        </w:tc>
      </w:tr>
      <w:tr w:rsidR="003A0ECF" w14:paraId="77EEFA53" w14:textId="77777777" w:rsidTr="00C426E9">
        <w:tc>
          <w:tcPr>
            <w:tcW w:w="9638" w:type="dxa"/>
            <w:gridSpan w:val="2"/>
            <w:tcMar>
              <w:top w:w="0" w:type="dxa"/>
            </w:tcMar>
          </w:tcPr>
          <w:p w14:paraId="70554B6C" w14:textId="77777777" w:rsidR="003A0ECF" w:rsidRDefault="003A0ECF" w:rsidP="00C426E9">
            <w:pPr>
              <w:pStyle w:val="BodyText"/>
              <w:keepNext/>
              <w:keepLines/>
            </w:pPr>
            <w:r>
              <w:t xml:space="preserve">What procurement processes would reduce the risks of cost and time overruns on major projects? </w:t>
            </w:r>
          </w:p>
          <w:p w14:paraId="133B5603" w14:textId="77777777" w:rsidR="003A0ECF" w:rsidRDefault="003A0ECF" w:rsidP="00C426E9">
            <w:pPr>
              <w:pStyle w:val="BodyText"/>
              <w:keepNext/>
              <w:keepLines/>
            </w:pPr>
            <w:r>
              <w:t>What institutional arrangements would provide rigorous disciplines on procurement?</w:t>
            </w:r>
          </w:p>
          <w:p w14:paraId="665F7A98" w14:textId="77777777" w:rsidR="003A0ECF" w:rsidRPr="008529A2" w:rsidRDefault="003A0ECF" w:rsidP="00C426E9">
            <w:pPr>
              <w:pStyle w:val="BodyText"/>
              <w:keepNext/>
              <w:keepLines/>
            </w:pPr>
            <w:r>
              <w:t>What disciplines could be used to separate old</w:t>
            </w:r>
            <w:r>
              <w:noBreakHyphen/>
              <w:t>style assistance to industries that do not have a credible comparative advantage in defence manufacturing from the need for some local capability to use and maintain complex defence equipment?</w:t>
            </w:r>
          </w:p>
        </w:tc>
      </w:tr>
      <w:tr w:rsidR="003A0ECF" w14:paraId="55C2961F" w14:textId="77777777" w:rsidTr="00C426E9">
        <w:tc>
          <w:tcPr>
            <w:tcW w:w="9638" w:type="dxa"/>
            <w:gridSpan w:val="2"/>
            <w:shd w:val="clear" w:color="auto" w:fill="auto"/>
            <w:tcMar>
              <w:top w:w="0" w:type="dxa"/>
              <w:bottom w:w="0" w:type="dxa"/>
            </w:tcMar>
          </w:tcPr>
          <w:p w14:paraId="26062B94" w14:textId="77777777" w:rsidR="003A0ECF" w:rsidRDefault="003A0ECF" w:rsidP="00C426E9">
            <w:pPr>
              <w:pStyle w:val="NoSpacing"/>
              <w:spacing w:line="200" w:lineRule="exact"/>
            </w:pPr>
          </w:p>
        </w:tc>
      </w:tr>
    </w:tbl>
    <w:p w14:paraId="2505F66F" w14:textId="77777777" w:rsidR="003A0ECF" w:rsidRDefault="003A0ECF" w:rsidP="003A0ECF">
      <w:pPr>
        <w:pStyle w:val="Heading4"/>
      </w:pPr>
      <w:r>
        <w:t>Data, benchmarking and accountability</w:t>
      </w:r>
    </w:p>
    <w:p w14:paraId="70CBCBA0" w14:textId="1085B88B" w:rsidR="003A0ECF" w:rsidRDefault="003A0ECF" w:rsidP="003A0ECF">
      <w:pPr>
        <w:pStyle w:val="BodyText"/>
      </w:pPr>
      <w:r>
        <w:t xml:space="preserve">Benchmarking can provide good incentives for public sector services to adopt best practice. Governments are already sophisticated at benchmarking their performance with reporting across many services (as in the Productivity Commission’s </w:t>
      </w:r>
      <w:r w:rsidRPr="001E5519">
        <w:rPr>
          <w:i/>
          <w:iCs/>
        </w:rPr>
        <w:t>Report on Government Services</w:t>
      </w:r>
      <w:r>
        <w:t xml:space="preserve">, local government reports, </w:t>
      </w:r>
      <w:proofErr w:type="spellStart"/>
      <w:r>
        <w:t>MySchools</w:t>
      </w:r>
      <w:proofErr w:type="spellEnd"/>
      <w:r>
        <w:t xml:space="preserve">, </w:t>
      </w:r>
      <w:proofErr w:type="spellStart"/>
      <w:r>
        <w:t>MyHospitals</w:t>
      </w:r>
      <w:proofErr w:type="spellEnd"/>
      <w:r>
        <w:t>, the Australian Atlas of Healthcare Variations, and publication of sentinel events in hospitals).</w:t>
      </w:r>
    </w:p>
    <w:p w14:paraId="554FA805" w14:textId="629A3E81" w:rsidR="003A0ECF" w:rsidRDefault="003A0ECF" w:rsidP="003A0ECF">
      <w:pPr>
        <w:pStyle w:val="BodyText"/>
      </w:pPr>
      <w:r>
        <w:t xml:space="preserve">New assessment instruments, such as Patient Reported Experience Measures (PREMs) and Patient Reported Outcome Measures (PROMs) have been developed to get better feedback on outcomes from </w:t>
      </w:r>
      <w:r>
        <w:lastRenderedPageBreak/>
        <w:t>patients and are in tune with the re</w:t>
      </w:r>
      <w:r>
        <w:noBreakHyphen/>
        <w:t>orientation of healthcare to a patient</w:t>
      </w:r>
      <w:r>
        <w:noBreakHyphen/>
        <w:t xml:space="preserve">centred model. </w:t>
      </w:r>
      <w:proofErr w:type="gramStart"/>
      <w:r>
        <w:t>At</w:t>
      </w:r>
      <w:proofErr w:type="gramEnd"/>
      <w:r>
        <w:t xml:space="preserve"> August 2022, there were 275 validated condition</w:t>
      </w:r>
      <w:r>
        <w:noBreakHyphen/>
        <w:t xml:space="preserve">specific PROMs </w:t>
      </w:r>
      <w:r w:rsidRPr="003C61E3">
        <w:rPr>
          <w:rFonts w:ascii="Arial" w:hAnsi="Arial" w:cs="Arial"/>
          <w:szCs w:val="24"/>
        </w:rPr>
        <w:t>(ACSQHC 2022)</w:t>
      </w:r>
      <w:r>
        <w:t>. The desirability of widening benchmarking to all significant government activities is clearcut.</w:t>
      </w:r>
    </w:p>
    <w:p w14:paraId="6BED9B0F" w14:textId="678EDA56" w:rsidR="003A0ECF" w:rsidRDefault="003A0ECF" w:rsidP="003A0ECF">
      <w:pPr>
        <w:pStyle w:val="BodyText"/>
      </w:pPr>
      <w:r>
        <w:t>There are pitfalls in benchmarking than can undermine its credibility, such as the risk that parties have incentives to manipulate embarrassing data. This occurred in the ACT when 11 700 records were found to have been falsified for the Canberra hospital over a three</w:t>
      </w:r>
      <w:r w:rsidR="00930DA5">
        <w:t>-</w:t>
      </w:r>
      <w:r>
        <w:t xml:space="preserve">year period </w:t>
      </w:r>
      <w:r w:rsidRPr="0002348D">
        <w:rPr>
          <w:rFonts w:ascii="Arial" w:hAnsi="Arial" w:cs="Arial"/>
          <w:szCs w:val="24"/>
        </w:rPr>
        <w:t>(ACTAO 2012, p. 11)</w:t>
      </w:r>
      <w:r>
        <w:t xml:space="preserve">. It has been alleged that some schools — wary of the reputational damage of poor NAPLAN results — discouraged some students from sitting the exam, though little evidence of the extent of the issue </w:t>
      </w:r>
      <w:r w:rsidRPr="006E6392">
        <w:rPr>
          <w:rFonts w:ascii="Arial" w:hAnsi="Arial" w:cs="Arial"/>
          <w:szCs w:val="24"/>
        </w:rPr>
        <w:t>(EERC 2014, p. 17; McGaw, Louden and Wyatt-Smith 2020, p. 78)</w:t>
      </w:r>
      <w:r>
        <w:t>. Audits and whistleblowing can help limit these risks, but so too can deeper analysis of data.</w:t>
      </w:r>
    </w:p>
    <w:p w14:paraId="15628716" w14:textId="4AE2EA41" w:rsidR="003A0ECF" w:rsidRDefault="003A0ECF" w:rsidP="003A0ECF">
      <w:pPr>
        <w:pStyle w:val="BodyText"/>
      </w:pPr>
      <w:r>
        <w:t>As data gathering and linking by governments increase, the scope for deeper analysis of why there are variations in the performance will grow and provide a stronger evidence base for scrutinising the performance of government</w:t>
      </w:r>
      <w:r>
        <w:noBreakHyphen/>
        <w:t xml:space="preserve">funded or operated organisations. For example, school performance depends on funding, student background and traits, </w:t>
      </w:r>
      <w:r w:rsidR="006E0FE7">
        <w:t xml:space="preserve">and </w:t>
      </w:r>
      <w:r>
        <w:t xml:space="preserve">teacher and leader quality among other things. Without controlling for such aspects, a school might appear to perform poorly despite being a high performer given the characteristics of its students. Evidence about what works in the classroom needs observation and data linked across students and schools. As discussed earlier and in the Commission’s interim assessment of the National School Reform Agreement </w:t>
      </w:r>
      <w:r w:rsidRPr="00E75657">
        <w:rPr>
          <w:rFonts w:ascii="Arial" w:hAnsi="Arial" w:cs="Arial"/>
          <w:szCs w:val="24"/>
        </w:rPr>
        <w:t>(PC 2022d)</w:t>
      </w:r>
      <w:r>
        <w:t xml:space="preserve">, extending the universal student identifier to school students nationwide would open up the capacity for richer understanding of the determinants of school and student performance. As discussed in this Inquiry’s companion interim report on digital technologies, </w:t>
      </w:r>
      <w:r w:rsidRPr="00462938">
        <w:rPr>
          <w:i/>
          <w:iCs/>
        </w:rPr>
        <w:t>Austra</w:t>
      </w:r>
      <w:r>
        <w:rPr>
          <w:i/>
          <w:iCs/>
        </w:rPr>
        <w:t>l</w:t>
      </w:r>
      <w:r w:rsidRPr="00462938">
        <w:rPr>
          <w:i/>
          <w:iCs/>
        </w:rPr>
        <w:t xml:space="preserve">ia’s </w:t>
      </w:r>
      <w:r w:rsidR="00A02B49">
        <w:rPr>
          <w:i/>
          <w:iCs/>
        </w:rPr>
        <w:t>d</w:t>
      </w:r>
      <w:r w:rsidRPr="00462938">
        <w:rPr>
          <w:i/>
          <w:iCs/>
        </w:rPr>
        <w:t xml:space="preserve">ata and </w:t>
      </w:r>
      <w:r w:rsidR="00A02B49">
        <w:rPr>
          <w:i/>
          <w:iCs/>
        </w:rPr>
        <w:t>d</w:t>
      </w:r>
      <w:r w:rsidRPr="00462938">
        <w:rPr>
          <w:i/>
          <w:iCs/>
        </w:rPr>
        <w:t xml:space="preserve">igital </w:t>
      </w:r>
      <w:r w:rsidR="00A02B49">
        <w:rPr>
          <w:i/>
          <w:iCs/>
        </w:rPr>
        <w:t>d</w:t>
      </w:r>
      <w:r w:rsidRPr="00462938">
        <w:rPr>
          <w:i/>
          <w:iCs/>
        </w:rPr>
        <w:t>ividend</w:t>
      </w:r>
      <w:r w:rsidRPr="00462938">
        <w:t xml:space="preserve"> </w:t>
      </w:r>
      <w:r w:rsidRPr="00465640">
        <w:rPr>
          <w:rFonts w:ascii="Arial" w:hAnsi="Arial" w:cs="Arial"/>
          <w:szCs w:val="24"/>
        </w:rPr>
        <w:t>(PC 2022a)</w:t>
      </w:r>
      <w:r w:rsidRPr="00462938">
        <w:t xml:space="preserve">, </w:t>
      </w:r>
      <w:r>
        <w:t>the ongoing creation and integration of government datasets will be a major source of value.</w:t>
      </w:r>
    </w:p>
    <w:p w14:paraId="7FE51B8C" w14:textId="27D69C59" w:rsidR="003A0ECF" w:rsidRDefault="003A0ECF" w:rsidP="003A0ECF">
      <w:pPr>
        <w:pStyle w:val="BodyText"/>
      </w:pPr>
      <w:r>
        <w:t>Accordingly, the next big and ambitious step for benchmarking data across all significant government services is to provide more like</w:t>
      </w:r>
      <w:r>
        <w:noBreakHyphen/>
        <w:t>with</w:t>
      </w:r>
      <w:r>
        <w:noBreakHyphen/>
        <w:t>like comparisons that enable a public service in any given area to grasp how far away they are from the frontier and why that is so. For example, the benchmarking comparisons of local government garbage collection costs in figure 3.1 would be enhanced if it controlled for the population of the area and its density.</w:t>
      </w:r>
    </w:p>
    <w:p w14:paraId="135ED1C8" w14:textId="77777777" w:rsidR="003A0ECF" w:rsidRDefault="003A0ECF" w:rsidP="003A0ECF">
      <w:pPr>
        <w:pStyle w:val="NoSpacing"/>
      </w:pPr>
    </w:p>
    <w:tbl>
      <w:tblPr>
        <w:tblStyle w:val="Texttable-Paleblue"/>
        <w:tblW w:w="5000" w:type="pct"/>
        <w:tblLook w:val="04A0" w:firstRow="1" w:lastRow="0" w:firstColumn="1" w:lastColumn="0" w:noHBand="0" w:noVBand="1"/>
      </w:tblPr>
      <w:tblGrid>
        <w:gridCol w:w="713"/>
        <w:gridCol w:w="8925"/>
      </w:tblGrid>
      <w:tr w:rsidR="003A0ECF" w14:paraId="0F52FD40" w14:textId="77777777" w:rsidTr="00C426E9">
        <w:trPr>
          <w:tblHeader/>
        </w:trPr>
        <w:tc>
          <w:tcPr>
            <w:tcW w:w="709" w:type="dxa"/>
            <w:tcMar>
              <w:top w:w="0" w:type="dxa"/>
              <w:bottom w:w="0" w:type="dxa"/>
            </w:tcMar>
            <w:vAlign w:val="center"/>
          </w:tcPr>
          <w:p w14:paraId="37A2AC51" w14:textId="77777777" w:rsidR="003A0ECF" w:rsidRDefault="003A0ECF" w:rsidP="00C426E9">
            <w:pPr>
              <w:keepLines/>
              <w:jc w:val="center"/>
            </w:pPr>
            <w:r w:rsidRPr="00A51374">
              <w:rPr>
                <w:noProof/>
              </w:rPr>
              <w:drawing>
                <wp:inline distT="0" distB="0" distL="0" distR="0" wp14:anchorId="483BBF05" wp14:editId="371BF264">
                  <wp:extent cx="288000" cy="288000"/>
                  <wp:effectExtent l="0" t="0" r="0" b="0"/>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6B95DEA" w14:textId="16D9E148" w:rsidR="003A0ECF" w:rsidRPr="00715040" w:rsidRDefault="003A0ECF" w:rsidP="00C426E9">
            <w:pPr>
              <w:pStyle w:val="TableHeading"/>
              <w:keepLines/>
              <w:spacing w:before="120" w:after="120"/>
              <w:contextualSpacing/>
              <w:rPr>
                <w:sz w:val="20"/>
              </w:rPr>
            </w:pPr>
            <w:r w:rsidRPr="00715040">
              <w:rPr>
                <w:sz w:val="20"/>
              </w:rPr>
              <w:t>Recommendation</w:t>
            </w:r>
            <w:r>
              <w:rPr>
                <w:sz w:val="20"/>
              </w:rPr>
              <w:t xml:space="preserve"> </w:t>
            </w:r>
            <w:r w:rsidR="00930DA5">
              <w:rPr>
                <w:sz w:val="20"/>
              </w:rPr>
              <w:t>d</w:t>
            </w:r>
            <w:r>
              <w:rPr>
                <w:sz w:val="20"/>
              </w:rPr>
              <w:t>irection</w:t>
            </w:r>
            <w:r w:rsidRPr="00715040">
              <w:rPr>
                <w:sz w:val="20"/>
              </w:rPr>
              <w:t xml:space="preserve"> </w:t>
            </w:r>
            <w:r>
              <w:rPr>
                <w:sz w:val="20"/>
              </w:rPr>
              <w:t>3.1</w:t>
            </w:r>
          </w:p>
          <w:p w14:paraId="4054C694" w14:textId="77777777" w:rsidR="003A0ECF" w:rsidRPr="00715040" w:rsidRDefault="003A0ECF" w:rsidP="00C426E9">
            <w:pPr>
              <w:pStyle w:val="TableHeading"/>
              <w:keepLines/>
              <w:spacing w:before="120" w:after="120"/>
              <w:contextualSpacing/>
              <w:rPr>
                <w:sz w:val="20"/>
              </w:rPr>
            </w:pPr>
            <w:r>
              <w:rPr>
                <w:sz w:val="20"/>
              </w:rPr>
              <w:t xml:space="preserve">Bring sophistication to benchmarking of government service delivery to drive diffusion of best practice </w:t>
            </w:r>
          </w:p>
        </w:tc>
      </w:tr>
      <w:tr w:rsidR="003A0ECF" w14:paraId="52FE036B" w14:textId="77777777" w:rsidTr="00C426E9">
        <w:tc>
          <w:tcPr>
            <w:tcW w:w="9583" w:type="dxa"/>
            <w:gridSpan w:val="2"/>
            <w:tcMar>
              <w:top w:w="0" w:type="dxa"/>
            </w:tcMar>
          </w:tcPr>
          <w:p w14:paraId="7DCA3FC9" w14:textId="77777777" w:rsidR="003A0ECF" w:rsidRPr="00767EAE" w:rsidRDefault="003A0ECF" w:rsidP="00C426E9">
            <w:pPr>
              <w:pStyle w:val="BodyText"/>
              <w:keepLines/>
            </w:pPr>
            <w:r>
              <w:t>All Australian governments should go beyond descriptive benchmarking of the comparative performance of the services they fund or supply to sophisticated analytics to identify why the differences arise and how, when not justified, they could be eliminated.</w:t>
            </w:r>
          </w:p>
        </w:tc>
      </w:tr>
      <w:tr w:rsidR="003A0ECF" w14:paraId="30D8DEC0" w14:textId="77777777" w:rsidTr="00C426E9">
        <w:tc>
          <w:tcPr>
            <w:tcW w:w="9583" w:type="dxa"/>
            <w:gridSpan w:val="2"/>
            <w:shd w:val="clear" w:color="auto" w:fill="auto"/>
            <w:tcMar>
              <w:top w:w="0" w:type="dxa"/>
              <w:bottom w:w="0" w:type="dxa"/>
            </w:tcMar>
          </w:tcPr>
          <w:p w14:paraId="75D61462" w14:textId="77777777" w:rsidR="003A0ECF" w:rsidRPr="007E0EA8" w:rsidRDefault="003A0ECF" w:rsidP="00C426E9">
            <w:pPr>
              <w:pStyle w:val="NoSpacing"/>
              <w:spacing w:line="200" w:lineRule="exact"/>
            </w:pPr>
          </w:p>
        </w:tc>
      </w:tr>
    </w:tbl>
    <w:p w14:paraId="0AE63C00" w14:textId="77777777" w:rsidR="003A0ECF" w:rsidRDefault="003A0ECF" w:rsidP="003A0ECF">
      <w:pPr>
        <w:pStyle w:val="Heading4"/>
      </w:pPr>
      <w:r>
        <w:t>Skills</w:t>
      </w:r>
    </w:p>
    <w:p w14:paraId="3D989415" w14:textId="501DA2B9" w:rsidR="003A0ECF" w:rsidRDefault="003A0ECF" w:rsidP="003A0ECF">
      <w:pPr>
        <w:pStyle w:val="BodyText"/>
      </w:pPr>
      <w:r>
        <w:t xml:space="preserve">The </w:t>
      </w:r>
      <w:proofErr w:type="spellStart"/>
      <w:r>
        <w:t>Thodey</w:t>
      </w:r>
      <w:proofErr w:type="spellEnd"/>
      <w:r>
        <w:t xml:space="preserve"> review </w:t>
      </w:r>
      <w:r w:rsidRPr="00D064E6">
        <w:rPr>
          <w:rFonts w:ascii="Arial" w:hAnsi="Arial" w:cs="Arial"/>
          <w:szCs w:val="24"/>
        </w:rPr>
        <w:t>(PM&amp;C 2019)</w:t>
      </w:r>
      <w:r>
        <w:t xml:space="preserve"> found many flaws in the Australian Public Sector in which skill and leadership deficiencies were predominant. (Some of these problems are manifest in the results shown in figure 3.2). Similar issues will affect public sector organisations across all levels of government and functions, especially considering economy</w:t>
      </w:r>
      <w:r>
        <w:noBreakHyphen/>
        <w:t xml:space="preserve">wide skill pressures. The vast numbers of people employed in the public sector — about 250 000 in the Commonwealth Government, 1.7 million in state and territory governments and 190 000 in local government </w:t>
      </w:r>
      <w:r w:rsidR="00936D73" w:rsidRPr="00936D73">
        <w:rPr>
          <w:rFonts w:ascii="Arial" w:hAnsi="Arial" w:cs="Arial"/>
          <w:szCs w:val="24"/>
        </w:rPr>
        <w:t>(ABS 2021c)</w:t>
      </w:r>
      <w:r>
        <w:t xml:space="preserve"> — means that there will be natural variation in </w:t>
      </w:r>
      <w:r>
        <w:lastRenderedPageBreak/>
        <w:t>people’s aptitudes. While overall performance can be raised, there are limits. Nor is it unambiguously beneficial to attract more of the ‘best and brightest’ into the public sector. They are also critical in the business and not</w:t>
      </w:r>
      <w:r>
        <w:noBreakHyphen/>
        <w:t>for</w:t>
      </w:r>
      <w:r>
        <w:noBreakHyphen/>
        <w:t xml:space="preserve">profit sectors. In teaching, for example, the appropriate aspiration may be to attract the </w:t>
      </w:r>
      <w:r w:rsidRPr="00817207">
        <w:rPr>
          <w:i/>
          <w:iCs/>
        </w:rPr>
        <w:t>good</w:t>
      </w:r>
      <w:r>
        <w:t xml:space="preserve"> (and those best suited to the role) and to better use pedagogy, coaching and software to maximise their effectiveness as teachers.</w:t>
      </w:r>
    </w:p>
    <w:p w14:paraId="2175B96E" w14:textId="77777777" w:rsidR="003A0ECF" w:rsidRDefault="003A0ECF" w:rsidP="003A0ECF">
      <w:pPr>
        <w:pStyle w:val="BodyText"/>
      </w:pPr>
      <w:r>
        <w:t xml:space="preserve">But one area where skills could readily be augmented without significant cost is through a reformed immigration system. As discussed in chapters 1 and 2, the movement of people between different organisations is an important conduit for transferring ideas. Antiquated security, citizenship and residency requirements are stifling innovation and diffusion of global best practice in public sector agencies. In particular, Australian citizenship is a usual requirement for permanent appointments to the Australian Public Service. </w:t>
      </w:r>
      <w:r w:rsidRPr="00AC43E1">
        <w:t>Across public service agencies, there are processes to gain exemptions, but they</w:t>
      </w:r>
      <w:r>
        <w:t xml:space="preserve"> are unduly bureaucratic.</w:t>
      </w:r>
    </w:p>
    <w:p w14:paraId="3C577599" w14:textId="77777777" w:rsidR="003A0ECF" w:rsidRDefault="003A0ECF" w:rsidP="003A0ECF">
      <w:pPr>
        <w:pStyle w:val="BodyText"/>
      </w:pPr>
      <w:r>
        <w:t xml:space="preserve">Lowering the transaction costs of attracting people outside Australia to be in the public sector would raise skill levels, but above all bring new ideas from countries with different models of public sector services. The proposal to widen and simplify Employer Nominated migration in the parallel Productivity Inquiry work on the business environment, is as apt for many public services as it is to the business sector. </w:t>
      </w:r>
    </w:p>
    <w:p w14:paraId="024730BF" w14:textId="77777777" w:rsidR="003A0ECF" w:rsidRDefault="003A0ECF" w:rsidP="003A0ECF">
      <w:pPr>
        <w:pStyle w:val="NoSpacing"/>
      </w:pPr>
    </w:p>
    <w:tbl>
      <w:tblPr>
        <w:tblStyle w:val="Texttable-Paleblue"/>
        <w:tblW w:w="5000" w:type="pct"/>
        <w:tblLook w:val="04A0" w:firstRow="1" w:lastRow="0" w:firstColumn="1" w:lastColumn="0" w:noHBand="0" w:noVBand="1"/>
      </w:tblPr>
      <w:tblGrid>
        <w:gridCol w:w="713"/>
        <w:gridCol w:w="8925"/>
      </w:tblGrid>
      <w:tr w:rsidR="003A0ECF" w14:paraId="63124BF1" w14:textId="77777777" w:rsidTr="00C426E9">
        <w:trPr>
          <w:tblHeader/>
        </w:trPr>
        <w:tc>
          <w:tcPr>
            <w:tcW w:w="709" w:type="dxa"/>
            <w:tcMar>
              <w:top w:w="0" w:type="dxa"/>
              <w:bottom w:w="0" w:type="dxa"/>
            </w:tcMar>
            <w:vAlign w:val="center"/>
          </w:tcPr>
          <w:p w14:paraId="0025D1C7" w14:textId="77777777" w:rsidR="003A0ECF" w:rsidRDefault="003A0ECF" w:rsidP="00C426E9">
            <w:pPr>
              <w:keepLines/>
              <w:jc w:val="center"/>
            </w:pPr>
            <w:r w:rsidRPr="00A51374">
              <w:rPr>
                <w:noProof/>
              </w:rPr>
              <w:drawing>
                <wp:inline distT="0" distB="0" distL="0" distR="0" wp14:anchorId="462EBC6C" wp14:editId="09FF49C3">
                  <wp:extent cx="288000" cy="288000"/>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5ED7039" w14:textId="0E389C3C" w:rsidR="003A0ECF" w:rsidRPr="00715040" w:rsidRDefault="003A0ECF" w:rsidP="00C426E9">
            <w:pPr>
              <w:pStyle w:val="TableHeading"/>
              <w:keepLines/>
              <w:spacing w:before="120" w:after="120"/>
              <w:contextualSpacing/>
              <w:rPr>
                <w:sz w:val="20"/>
              </w:rPr>
            </w:pPr>
            <w:r w:rsidRPr="00715040">
              <w:rPr>
                <w:sz w:val="20"/>
              </w:rPr>
              <w:t>Recommendation</w:t>
            </w:r>
            <w:r>
              <w:rPr>
                <w:sz w:val="20"/>
              </w:rPr>
              <w:t xml:space="preserve"> </w:t>
            </w:r>
            <w:r w:rsidR="00930DA5">
              <w:rPr>
                <w:sz w:val="20"/>
              </w:rPr>
              <w:t>d</w:t>
            </w:r>
            <w:r>
              <w:rPr>
                <w:sz w:val="20"/>
              </w:rPr>
              <w:t>irection</w:t>
            </w:r>
            <w:r w:rsidRPr="00715040">
              <w:rPr>
                <w:sz w:val="20"/>
              </w:rPr>
              <w:t xml:space="preserve"> </w:t>
            </w:r>
            <w:r>
              <w:rPr>
                <w:sz w:val="20"/>
              </w:rPr>
              <w:t>3.2</w:t>
            </w:r>
          </w:p>
          <w:p w14:paraId="40F71CA2" w14:textId="77777777" w:rsidR="003A0ECF" w:rsidRPr="00715040" w:rsidRDefault="003A0ECF" w:rsidP="00C426E9">
            <w:pPr>
              <w:pStyle w:val="TableHeading"/>
              <w:keepLines/>
              <w:spacing w:before="120" w:after="120"/>
              <w:contextualSpacing/>
              <w:rPr>
                <w:sz w:val="20"/>
              </w:rPr>
            </w:pPr>
            <w:r>
              <w:rPr>
                <w:sz w:val="20"/>
              </w:rPr>
              <w:t xml:space="preserve">Innovation and diffusion in the public sector are frustrated by excessive restrictions on hiring global talent </w:t>
            </w:r>
          </w:p>
        </w:tc>
      </w:tr>
      <w:tr w:rsidR="003A0ECF" w14:paraId="00204DF2" w14:textId="77777777" w:rsidTr="00C426E9">
        <w:tc>
          <w:tcPr>
            <w:tcW w:w="9583" w:type="dxa"/>
            <w:gridSpan w:val="2"/>
            <w:tcMar>
              <w:top w:w="0" w:type="dxa"/>
            </w:tcMar>
          </w:tcPr>
          <w:p w14:paraId="4FF83544" w14:textId="77777777" w:rsidR="003A0ECF" w:rsidRPr="00767EAE" w:rsidRDefault="003A0ECF" w:rsidP="00C426E9">
            <w:pPr>
              <w:pStyle w:val="BodyText"/>
              <w:keepLines/>
            </w:pPr>
            <w:r>
              <w:t xml:space="preserve">Australian governments should review the security and citizenship requirements and overly bureaucratic processes that limit the recruitment of people from outside Australia who bring innovative ideas and different ways to the public sector. </w:t>
            </w:r>
          </w:p>
        </w:tc>
      </w:tr>
      <w:tr w:rsidR="003A0ECF" w14:paraId="2377B884" w14:textId="77777777" w:rsidTr="00C426E9">
        <w:tc>
          <w:tcPr>
            <w:tcW w:w="9583" w:type="dxa"/>
            <w:gridSpan w:val="2"/>
            <w:shd w:val="clear" w:color="auto" w:fill="auto"/>
            <w:tcMar>
              <w:top w:w="0" w:type="dxa"/>
              <w:bottom w:w="0" w:type="dxa"/>
            </w:tcMar>
          </w:tcPr>
          <w:p w14:paraId="725AE107" w14:textId="77777777" w:rsidR="003A0ECF" w:rsidRPr="007E0EA8" w:rsidRDefault="003A0ECF" w:rsidP="00C426E9">
            <w:pPr>
              <w:pStyle w:val="NoSpacing"/>
              <w:spacing w:line="200" w:lineRule="exact"/>
            </w:pPr>
          </w:p>
        </w:tc>
      </w:tr>
    </w:tbl>
    <w:p w14:paraId="42EE6244" w14:textId="77777777" w:rsidR="003A0ECF" w:rsidRDefault="003A0ECF" w:rsidP="003A0ECF">
      <w:pPr>
        <w:pStyle w:val="Heading4"/>
      </w:pPr>
      <w:r>
        <w:t>Diffusion bodies with a charter for diffusion and innovation funds may help</w:t>
      </w:r>
    </w:p>
    <w:p w14:paraId="4E3C9B07" w14:textId="37FE0FAF" w:rsidR="003A0ECF" w:rsidRDefault="003A0ECF" w:rsidP="003A0ECF">
      <w:pPr>
        <w:pStyle w:val="BodyText"/>
      </w:pPr>
      <w:r>
        <w:t>Good ideas often languish because they are lost in the quagmire of other information, are poorly communicated, have not been validated, but above all, require costly changes to the recipient organisation. Those costs arise due to crowded agendas, time poverty, limitations in skills, incompatible software, resistant cultures, and lack of clarity about effective implementation. Moving people with the ideas into the recipient organisation is one avenue because they can gain trust and know the details about implementation. But this will rarely be an option if the innovation comes from one organisation</w:t>
      </w:r>
      <w:r w:rsidR="00E066D7">
        <w:t xml:space="preserve"> without adequate resourcing for this diffusion function</w:t>
      </w:r>
      <w:r>
        <w:t>, as was evident in many of the Commission’s case studies of innovative practices in managing and preventing chronic disease.</w:t>
      </w:r>
    </w:p>
    <w:p w14:paraId="06142A99" w14:textId="7CB41EDF" w:rsidR="003A0ECF" w:rsidRDefault="003A0ECF" w:rsidP="00AF505E">
      <w:pPr>
        <w:pStyle w:val="BodyText"/>
        <w:pageBreakBefore/>
      </w:pPr>
      <w:r>
        <w:lastRenderedPageBreak/>
        <w:t>There are several options to reduce these problems</w:t>
      </w:r>
      <w:r w:rsidR="00514292">
        <w:t>.</w:t>
      </w:r>
    </w:p>
    <w:p w14:paraId="4EB2D4E5" w14:textId="77777777" w:rsidR="003A0ECF" w:rsidRPr="004E14B3" w:rsidRDefault="003A0ECF" w:rsidP="001A1DD7">
      <w:pPr>
        <w:pStyle w:val="ListBullet"/>
      </w:pPr>
      <w:r w:rsidRPr="004E14B3">
        <w:t>Show how a potential recipient’s organisation is faring compared with similar organisations to motivate adoption (see Benchmarking above).</w:t>
      </w:r>
    </w:p>
    <w:p w14:paraId="3D9E4090" w14:textId="34802182" w:rsidR="003A0ECF" w:rsidRPr="004E14B3" w:rsidRDefault="003A0ECF" w:rsidP="001A1DD7">
      <w:pPr>
        <w:pStyle w:val="ListBullet"/>
      </w:pPr>
      <w:r w:rsidRPr="004E14B3">
        <w:t>Demonstrate concretely the value of a new way of doing something, supported by evaluation, and showing that scaling up of the idea is feasible. Just publishing evaluations is a good step. In the area of Indigenous program evaluation, the Commission found that of 509 Australian Programs from 2016</w:t>
      </w:r>
      <w:r w:rsidRPr="004E14B3">
        <w:noBreakHyphen/>
        <w:t>17 to 2019</w:t>
      </w:r>
      <w:r w:rsidRPr="004E14B3">
        <w:noBreakHyphen/>
        <w:t xml:space="preserve">20, only 44 per cent were public </w:t>
      </w:r>
      <w:r w:rsidR="00936D73" w:rsidRPr="00936D73">
        <w:rPr>
          <w:rFonts w:ascii="Arial" w:hAnsi="Arial" w:cs="Arial"/>
          <w:szCs w:val="24"/>
        </w:rPr>
        <w:t>(PC 2020d, p. 104)</w:t>
      </w:r>
      <w:r w:rsidRPr="004E14B3">
        <w:t>.</w:t>
      </w:r>
    </w:p>
    <w:p w14:paraId="7B1FB950" w14:textId="654BE44B" w:rsidR="003A0ECF" w:rsidRPr="0006002B" w:rsidRDefault="003A0ECF" w:rsidP="001A1DD7">
      <w:pPr>
        <w:pStyle w:val="ListBullet"/>
        <w:rPr>
          <w:spacing w:val="-4"/>
        </w:rPr>
      </w:pPr>
      <w:r w:rsidRPr="0006002B">
        <w:rPr>
          <w:spacing w:val="-4"/>
        </w:rPr>
        <w:t>Exploit the reputation of existing longstanding institutions with strong brand names that already act as repositories of best practice to be more active disseminators using the now established principles of implementation science. In healthcare, some obvious bodies are the Australian Commission on Safety and Quality in Health Care, the NSW Australian Institute of Health Innovation, and for funding trials, the Independent Hospital and Aged Care Pricing Authority. AERO will likely form that function in school education. CSIRO has explicit functions in this area already. The ANAO — while an audit body — also already plays a major role in ensuring good practice in public administration. There has been growth in so</w:t>
      </w:r>
      <w:r w:rsidRPr="0006002B">
        <w:rPr>
          <w:spacing w:val="-4"/>
        </w:rPr>
        <w:noBreakHyphen/>
        <w:t>called public sector innovation units in Australia (and globally) such as the South Australian Public Sector Innovation Lab. Most appear to be small and the extent of their influence is uncertain (Wells 2018). Dedicated research translation centres and collaborative ventures between university research agencies and service providers provide an additional diffusion mechanism. Some may need funding to perform these roles.</w:t>
      </w:r>
    </w:p>
    <w:p w14:paraId="0B152C93" w14:textId="703E5D5A" w:rsidR="003A0ECF" w:rsidRPr="004E14B3" w:rsidRDefault="003A0ECF" w:rsidP="001A1DD7">
      <w:pPr>
        <w:pStyle w:val="ListBullet"/>
      </w:pPr>
      <w:r w:rsidRPr="004E14B3">
        <w:t>Use existing networks. Regulators and service providers across jurisdictions often meet (for example, competition regulators, liquor and gambling licensing bodies, primary health networks). The norm — encouraged by government — should be consideration of adopting innovations developed in one organisation to another.</w:t>
      </w:r>
    </w:p>
    <w:p w14:paraId="465BB647" w14:textId="77777777" w:rsidR="003A0ECF" w:rsidRPr="004E14B3" w:rsidRDefault="003A0ECF" w:rsidP="001A1DD7">
      <w:pPr>
        <w:pStyle w:val="ListBullet"/>
      </w:pPr>
      <w:r w:rsidRPr="004E14B3">
        <w:t>Encourage open standards so that software compatibility problems reduce over time.</w:t>
      </w:r>
    </w:p>
    <w:p w14:paraId="476CA872" w14:textId="537B29CF" w:rsidR="003A0ECF" w:rsidRPr="004E14B3" w:rsidRDefault="003A0ECF" w:rsidP="001A1DD7">
      <w:pPr>
        <w:pStyle w:val="ListBullet"/>
      </w:pPr>
      <w:r w:rsidRPr="004E14B3">
        <w:t xml:space="preserve">Appoint dedicated diffusion champions to diffuse best practice and new technologies from around Australia (and global peers). These champions would generally be in the longstanding institutions </w:t>
      </w:r>
      <w:r w:rsidR="002630EA">
        <w:t xml:space="preserve">described </w:t>
      </w:r>
      <w:r w:rsidRPr="004E14B3">
        <w:t>above.</w:t>
      </w:r>
    </w:p>
    <w:p w14:paraId="2E86F169" w14:textId="77777777" w:rsidR="003A0ECF" w:rsidRDefault="003A0ECF" w:rsidP="003A0ECF">
      <w:pPr>
        <w:pStyle w:val="BodyText"/>
      </w:pPr>
      <w:r>
        <w:t>A challenge in some areas of the public sector is that there is no obvious body to act as a diffuser. In some instances, it may be worthwhile establishing a generic innovation fund that supports public sector innovation and then diffuse it. The Victorian Public Sector Innovation Fund is an example,</w:t>
      </w:r>
      <w:r w:rsidRPr="00231FDB">
        <w:t xml:space="preserve"> </w:t>
      </w:r>
      <w:r>
        <w:t>though its effectiveness is unknown. In its Mental Health Inquiry, the Commission proposed a Mental Health Innovation Fund to trial and evaluate innovative service delivery, system organisation and payment models (which so far, has not been implemented). Where there are material gaps, there may be grounds for similar bodies.</w:t>
      </w:r>
    </w:p>
    <w:p w14:paraId="09E81460" w14:textId="298C9584" w:rsidR="003A0ECF" w:rsidRDefault="003A0ECF" w:rsidP="003A0ECF">
      <w:pPr>
        <w:pStyle w:val="BodyText"/>
      </w:pPr>
      <w:r>
        <w:t>This is especially so where government</w:t>
      </w:r>
      <w:r>
        <w:noBreakHyphen/>
        <w:t>funded services are delivered by smaller and highly decentralised organisations (as in employment service providers, disability and childcare) that have little expertise in diffusion, few resources and little individual motivation to invest in activities whose returns are spread over the whole industry.</w:t>
      </w:r>
    </w:p>
    <w:p w14:paraId="27626870" w14:textId="0F6A19B2" w:rsidR="003A0ECF" w:rsidRDefault="003A0ECF" w:rsidP="003A0ECF">
      <w:pPr>
        <w:pStyle w:val="BodyText"/>
      </w:pPr>
      <w:r>
        <w:t xml:space="preserve">A hazard in some efforts to diffuse ideas is that they are based on loose networks with insufficient focus and funding to sustain them. The Public Sector Innovation Network had lofty goals for diffusing best practice methodologies and a place for developing networks between experts in the Australian Public Service. But it appears to have vanished </w:t>
      </w:r>
      <w:r w:rsidRPr="002220D6">
        <w:rPr>
          <w:rFonts w:ascii="Arial" w:hAnsi="Arial" w:cs="Arial"/>
          <w:szCs w:val="24"/>
        </w:rPr>
        <w:t>(DISR 2020)</w:t>
      </w:r>
      <w:r>
        <w:t xml:space="preserve">, though ghosts of its presence still linger on the web </w:t>
      </w:r>
      <w:r w:rsidRPr="002B7EB5">
        <w:rPr>
          <w:rFonts w:ascii="Arial" w:hAnsi="Arial" w:cs="Arial"/>
          <w:szCs w:val="24"/>
        </w:rPr>
        <w:t>(Australian Government 2022)</w:t>
      </w:r>
      <w:r>
        <w:t>. There may be grounds for encouraging new diffusion networks, but only if they are sufficiently focussed, involve practitioners in the relevant area, and have a clear goal of diffusion.</w:t>
      </w:r>
    </w:p>
    <w:p w14:paraId="059DB2FD" w14:textId="538CCA92" w:rsidR="003A0ECF" w:rsidRDefault="003A0ECF" w:rsidP="00AF505E">
      <w:pPr>
        <w:pStyle w:val="BodyText"/>
        <w:pageBreakBefore/>
      </w:pPr>
      <w:r>
        <w:lastRenderedPageBreak/>
        <w:t>In some instances — such as (virtual and physical) communities of practice — there are often strong enough incentives for participants to sustain the network and to share their knowledge because they obtain day</w:t>
      </w:r>
      <w:r>
        <w:noBreakHyphen/>
        <w:t>to</w:t>
      </w:r>
      <w:r>
        <w:noBreakHyphen/>
        <w:t xml:space="preserve">day benefits and share a direct interest in the knowledge being exchanged benefit </w:t>
      </w:r>
      <w:r w:rsidRPr="004B5C69">
        <w:rPr>
          <w:rFonts w:ascii="Arial" w:hAnsi="Arial" w:cs="Arial"/>
          <w:szCs w:val="24"/>
        </w:rPr>
        <w:t>(Mullan et al. 2022; Shaw et al. 2022)</w:t>
      </w:r>
      <w:r>
        <w:t>. But networks that lack those features and involve discretionary efforts by busy people across agencies and service providers rarely survive because the enthusiastic people move on or because urgent tasks displace longer</w:t>
      </w:r>
      <w:r>
        <w:noBreakHyphen/>
        <w:t>term goals.</w:t>
      </w:r>
    </w:p>
    <w:p w14:paraId="6013DDCE" w14:textId="77777777" w:rsidR="00260025" w:rsidRDefault="00260025" w:rsidP="00260025">
      <w:pPr>
        <w:pStyle w:val="NoSpacing"/>
      </w:pPr>
    </w:p>
    <w:tbl>
      <w:tblPr>
        <w:tblStyle w:val="TextTable-Grey"/>
        <w:tblW w:w="5000" w:type="pct"/>
        <w:tblLook w:val="04A0" w:firstRow="1" w:lastRow="0" w:firstColumn="1" w:lastColumn="0" w:noHBand="0" w:noVBand="1"/>
      </w:tblPr>
      <w:tblGrid>
        <w:gridCol w:w="713"/>
        <w:gridCol w:w="8925"/>
      </w:tblGrid>
      <w:tr w:rsidR="003A0ECF" w14:paraId="7C08D4BC" w14:textId="77777777" w:rsidTr="00C426E9">
        <w:trPr>
          <w:tblHeader/>
        </w:trPr>
        <w:tc>
          <w:tcPr>
            <w:tcW w:w="713" w:type="dxa"/>
            <w:vAlign w:val="center"/>
          </w:tcPr>
          <w:p w14:paraId="0DE8357B" w14:textId="77777777" w:rsidR="003A0ECF" w:rsidRDefault="003A0ECF" w:rsidP="00C426E9">
            <w:pPr>
              <w:keepNext/>
              <w:keepLines/>
              <w:spacing w:after="0"/>
              <w:jc w:val="right"/>
            </w:pPr>
            <w:r w:rsidRPr="00A51374">
              <w:rPr>
                <w:noProof/>
              </w:rPr>
              <w:drawing>
                <wp:inline distT="0" distB="0" distL="0" distR="0" wp14:anchorId="21BD7F1B" wp14:editId="7DC1EA4C">
                  <wp:extent cx="288000" cy="288000"/>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058718C" w14:textId="77777777" w:rsidR="003A0ECF" w:rsidRPr="000B0B71" w:rsidRDefault="003A0ECF" w:rsidP="00C426E9">
            <w:pPr>
              <w:pStyle w:val="TableHeading"/>
              <w:keepNext/>
              <w:spacing w:before="180" w:after="120"/>
              <w:rPr>
                <w:sz w:val="20"/>
              </w:rPr>
            </w:pPr>
            <w:r w:rsidRPr="000B0B71">
              <w:rPr>
                <w:sz w:val="20"/>
              </w:rPr>
              <w:t xml:space="preserve">Information request </w:t>
            </w:r>
            <w:r>
              <w:rPr>
                <w:sz w:val="20"/>
              </w:rPr>
              <w:t>3.4</w:t>
            </w:r>
          </w:p>
        </w:tc>
      </w:tr>
      <w:tr w:rsidR="003A0ECF" w14:paraId="62A728F6" w14:textId="77777777" w:rsidTr="00C426E9">
        <w:tc>
          <w:tcPr>
            <w:tcW w:w="9638" w:type="dxa"/>
            <w:gridSpan w:val="2"/>
            <w:tcMar>
              <w:top w:w="0" w:type="dxa"/>
            </w:tcMar>
          </w:tcPr>
          <w:p w14:paraId="79D61812" w14:textId="77777777" w:rsidR="003A0ECF" w:rsidRPr="0006002B" w:rsidRDefault="003A0ECF" w:rsidP="00C426E9">
            <w:pPr>
              <w:pStyle w:val="BodyText"/>
              <w:keepNext/>
              <w:keepLines/>
              <w:rPr>
                <w:spacing w:val="-2"/>
              </w:rPr>
            </w:pPr>
            <w:r w:rsidRPr="0006002B">
              <w:rPr>
                <w:spacing w:val="-2"/>
              </w:rPr>
              <w:t>While there are a range of existing institutions with expertise and an associated capacity to diffuse best practice, these cover only some services. Loose innovation networks do not appear to have been effective.</w:t>
            </w:r>
          </w:p>
          <w:p w14:paraId="25665A69" w14:textId="77777777" w:rsidR="003A0ECF" w:rsidRPr="008529A2" w:rsidRDefault="003A0ECF" w:rsidP="00C426E9">
            <w:pPr>
              <w:pStyle w:val="BodyText"/>
              <w:keepNext/>
              <w:keepLines/>
            </w:pPr>
            <w:r>
              <w:t>What institutional models could be used to better diffuse evidence</w:t>
            </w:r>
            <w:r>
              <w:noBreakHyphen/>
              <w:t>based best practice across all critical public sector services?</w:t>
            </w:r>
          </w:p>
        </w:tc>
      </w:tr>
      <w:tr w:rsidR="003A0ECF" w14:paraId="1675DF00" w14:textId="77777777" w:rsidTr="00C426E9">
        <w:tc>
          <w:tcPr>
            <w:tcW w:w="9638" w:type="dxa"/>
            <w:gridSpan w:val="2"/>
            <w:shd w:val="clear" w:color="auto" w:fill="auto"/>
            <w:tcMar>
              <w:top w:w="0" w:type="dxa"/>
              <w:bottom w:w="0" w:type="dxa"/>
            </w:tcMar>
          </w:tcPr>
          <w:p w14:paraId="41DB55C3" w14:textId="77777777" w:rsidR="003A0ECF" w:rsidRDefault="003A0ECF" w:rsidP="00C426E9">
            <w:pPr>
              <w:pStyle w:val="NoSpacing"/>
              <w:spacing w:line="200" w:lineRule="exact"/>
            </w:pPr>
          </w:p>
        </w:tc>
      </w:tr>
    </w:tbl>
    <w:p w14:paraId="42F8CF94" w14:textId="77777777" w:rsidR="003A0ECF" w:rsidRDefault="003A0ECF" w:rsidP="003A0ECF">
      <w:pPr>
        <w:pStyle w:val="Heading4"/>
      </w:pPr>
      <w:r>
        <w:t>Exploiting the special features of knowledge</w:t>
      </w:r>
    </w:p>
    <w:p w14:paraId="5E402CAB" w14:textId="5EB5E0CD" w:rsidR="003A0ECF" w:rsidRDefault="003A0ECF" w:rsidP="003A0ECF">
      <w:pPr>
        <w:pStyle w:val="BodyText"/>
      </w:pPr>
      <w:r>
        <w:t>Much knowledge is like a ‘free lunch’ hidden in a vault. By its nature, the consumption of knowledge by one person has no effect on the capacity of another person to consume it (knowledge is ‘non</w:t>
      </w:r>
      <w:r>
        <w:noBreakHyphen/>
        <w:t xml:space="preserve">rivalrous’). However, while some generators of knowledge cannot prevent others from copying it for free (for example, the </w:t>
      </w:r>
      <w:r w:rsidRPr="00F618A4">
        <w:rPr>
          <w:i/>
          <w:iCs/>
        </w:rPr>
        <w:t>idea</w:t>
      </w:r>
      <w:r>
        <w:t xml:space="preserve"> of a smartphone), in many instances, it is feasible to exclude use through contractual provisions like non</w:t>
      </w:r>
      <w:r>
        <w:noBreakHyphen/>
        <w:t>disclosure agreements and intellectual property regulations. Some such commercial protections can be justified to the extent that they allow a creator to benefit from, and thereby motivate, their inventiveness.</w:t>
      </w:r>
    </w:p>
    <w:p w14:paraId="5EFE7609" w14:textId="63227F7B" w:rsidR="003A0ECF" w:rsidRDefault="003A0ECF" w:rsidP="003A0ECF">
      <w:pPr>
        <w:pStyle w:val="BodyText"/>
      </w:pPr>
      <w:r>
        <w:t>However, such rights can be overly expansive and destructive to the diffusion of ideas. While some of the concerns relate to diffusion of knowledge that predominantly affects private businesses (like patents), others have a special significance to government</w:t>
      </w:r>
      <w:r>
        <w:noBreakHyphen/>
        <w:t>operated or funded activities (like education and social services) and best practice regulation (such as safety regulations).</w:t>
      </w:r>
    </w:p>
    <w:p w14:paraId="63030FE8" w14:textId="77777777" w:rsidR="003A0ECF" w:rsidRDefault="003A0ECF" w:rsidP="004E14B3">
      <w:pPr>
        <w:pStyle w:val="Heading5"/>
      </w:pPr>
      <w:r>
        <w:t>Access to publicly</w:t>
      </w:r>
      <w:r>
        <w:noBreakHyphen/>
        <w:t>funded research</w:t>
      </w:r>
    </w:p>
    <w:p w14:paraId="078632EB" w14:textId="5CEC0823" w:rsidR="003A0ECF" w:rsidRDefault="003A0ECF" w:rsidP="003A0ECF">
      <w:pPr>
        <w:pStyle w:val="BodyText"/>
      </w:pPr>
      <w:r>
        <w:t xml:space="preserve">Much of the academic literature funded by governments in Australia is refereed for free, but hidden behind paywalls by journal publishers, diminishing the free flow of ideas at the frontier </w:t>
      </w:r>
      <w:r w:rsidRPr="00F327CC">
        <w:rPr>
          <w:rFonts w:ascii="Arial" w:hAnsi="Arial" w:cs="Arial"/>
          <w:szCs w:val="24"/>
        </w:rPr>
        <w:t>(PC 2016a, pp. 465–471)</w:t>
      </w:r>
      <w:r>
        <w:t>. This hampers the diffusion (and further creation) of ideas to government</w:t>
      </w:r>
      <w:r>
        <w:noBreakHyphen/>
        <w:t>funded businesses like clinicians, and public sector organisations like universities, public hospitals, research agencies and many parts of the public services. While official evidence about the parties that use academic research is limited to the business sector, it suggests that industries with significant government funding are the most common users of this important source of ideas (table 3.3). There are alternative models for diffusion of academic research that avoid user charges, including author pays or requirements that publicly</w:t>
      </w:r>
      <w:r>
        <w:noBreakHyphen/>
        <w:t>funded research be freely available through open</w:t>
      </w:r>
      <w:r>
        <w:noBreakHyphen/>
        <w:t>source arrangements (as is the case for much medical research in the United States). The Commission’s inquiry into intellectual property sets out a model for this reform</w:t>
      </w:r>
      <w:r w:rsidR="0071114C">
        <w:t xml:space="preserve"> </w:t>
      </w:r>
      <w:r w:rsidR="00735BFD" w:rsidRPr="00735BFD">
        <w:rPr>
          <w:rFonts w:ascii="Arial" w:hAnsi="Arial" w:cs="Arial"/>
          <w:szCs w:val="24"/>
        </w:rPr>
        <w:t>(PC 2016a)</w:t>
      </w:r>
      <w:r>
        <w:t>.</w:t>
      </w:r>
    </w:p>
    <w:p w14:paraId="425C099C" w14:textId="77777777" w:rsidR="003A0ECF" w:rsidRDefault="003A0ECF" w:rsidP="00AF505E">
      <w:pPr>
        <w:pStyle w:val="FigureTableHeading"/>
        <w:keepLines/>
      </w:pPr>
      <w:r>
        <w:lastRenderedPageBreak/>
        <w:t>Table 3.3</w:t>
      </w:r>
      <w:r>
        <w:rPr>
          <w:noProof/>
        </w:rPr>
        <w:t xml:space="preserve"> – Select </w:t>
      </w:r>
      <w:r>
        <w:t xml:space="preserve">sources of ideas for the Health Care and Social Assistance Industry </w:t>
      </w:r>
    </w:p>
    <w:p w14:paraId="5FE96DE7" w14:textId="77777777" w:rsidR="003A0ECF" w:rsidRDefault="003A0ECF" w:rsidP="00AF505E">
      <w:pPr>
        <w:pStyle w:val="Note"/>
        <w:keepNext/>
        <w:keepLines/>
      </w:pPr>
      <w:r>
        <w:t>Two years ending 30 June 2021</w:t>
      </w:r>
      <w:r w:rsidRPr="004A1067">
        <w:rPr>
          <w:rFonts w:asciiTheme="majorHAnsi" w:hAnsiTheme="majorHAnsi"/>
          <w:iCs/>
          <w:color w:val="000000" w:themeColor="text1"/>
          <w:sz w:val="20"/>
          <w:szCs w:val="18"/>
          <w:vertAlign w:val="superscript"/>
        </w:rPr>
        <w:t>a</w:t>
      </w:r>
    </w:p>
    <w:tbl>
      <w:tblPr>
        <w:tblW w:w="935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1936"/>
        <w:gridCol w:w="1796"/>
        <w:gridCol w:w="1796"/>
      </w:tblGrid>
      <w:tr w:rsidR="003A0ECF" w:rsidRPr="00030C67" w14:paraId="1A58AA24" w14:textId="77777777" w:rsidTr="0051004E">
        <w:trPr>
          <w:tblHeader/>
        </w:trPr>
        <w:tc>
          <w:tcPr>
            <w:tcW w:w="3828" w:type="dxa"/>
            <w:tcBorders>
              <w:bottom w:val="single" w:sz="4" w:space="0" w:color="B3B3B3"/>
            </w:tcBorders>
            <w:shd w:val="clear" w:color="000000" w:fill="auto"/>
            <w:vAlign w:val="bottom"/>
          </w:tcPr>
          <w:p w14:paraId="192A14A8" w14:textId="77777777" w:rsidR="003A0ECF" w:rsidRPr="00030C67" w:rsidRDefault="003A0ECF" w:rsidP="0030620F">
            <w:pPr>
              <w:pStyle w:val="TableHeading"/>
              <w:keepNext/>
              <w:keepLines/>
              <w:rPr>
                <w:rFonts w:ascii="Arial (Body)" w:hAnsi="Arial (Body)"/>
                <w:color w:val="265A9A"/>
              </w:rPr>
            </w:pPr>
            <w:r>
              <w:t>S</w:t>
            </w:r>
            <w:r w:rsidRPr="00DF6C91">
              <w:t>ource</w:t>
            </w:r>
            <w:r>
              <w:t xml:space="preserve"> of idea/information</w:t>
            </w:r>
          </w:p>
        </w:tc>
        <w:tc>
          <w:tcPr>
            <w:tcW w:w="1936" w:type="dxa"/>
            <w:tcBorders>
              <w:bottom w:val="single" w:sz="4" w:space="0" w:color="B3B3B3"/>
            </w:tcBorders>
            <w:shd w:val="clear" w:color="000000" w:fill="auto"/>
            <w:vAlign w:val="bottom"/>
          </w:tcPr>
          <w:p w14:paraId="7E672D6C" w14:textId="77777777" w:rsidR="003A0ECF" w:rsidRPr="00DF6C91" w:rsidRDefault="003A0ECF" w:rsidP="0030620F">
            <w:pPr>
              <w:pStyle w:val="TableHeading"/>
              <w:keepNext/>
              <w:keepLines/>
              <w:ind w:right="113"/>
              <w:jc w:val="right"/>
            </w:pPr>
            <w:r>
              <w:t>Rank of source among 17 industries</w:t>
            </w:r>
          </w:p>
        </w:tc>
        <w:tc>
          <w:tcPr>
            <w:tcW w:w="1796" w:type="dxa"/>
            <w:tcBorders>
              <w:bottom w:val="single" w:sz="4" w:space="0" w:color="B3B3B3"/>
            </w:tcBorders>
            <w:shd w:val="clear" w:color="000000" w:fill="auto"/>
            <w:vAlign w:val="bottom"/>
          </w:tcPr>
          <w:p w14:paraId="57467182" w14:textId="6ED1C6E6" w:rsidR="003A0ECF" w:rsidRPr="00030C67" w:rsidRDefault="003A0ECF" w:rsidP="0030620F">
            <w:pPr>
              <w:pStyle w:val="TableHeading"/>
              <w:keepNext/>
              <w:keepLines/>
              <w:ind w:right="113"/>
              <w:jc w:val="right"/>
            </w:pPr>
            <w:r w:rsidRPr="00DF6C91">
              <w:t xml:space="preserve">Share of </w:t>
            </w:r>
            <w:r w:rsidR="0051004E">
              <w:br/>
            </w:r>
            <w:r w:rsidRPr="00DF6C91">
              <w:t xml:space="preserve">entities using </w:t>
            </w:r>
            <w:r w:rsidR="0051004E">
              <w:br/>
            </w:r>
            <w:r w:rsidRPr="00DF6C91">
              <w:t>this source</w:t>
            </w:r>
            <w:r>
              <w:t xml:space="preserve"> (%)</w:t>
            </w:r>
          </w:p>
        </w:tc>
        <w:tc>
          <w:tcPr>
            <w:tcW w:w="1796" w:type="dxa"/>
            <w:tcBorders>
              <w:bottom w:val="single" w:sz="4" w:space="0" w:color="B3B3B3"/>
            </w:tcBorders>
            <w:shd w:val="clear" w:color="000000" w:fill="auto"/>
            <w:vAlign w:val="bottom"/>
          </w:tcPr>
          <w:p w14:paraId="447D6A02" w14:textId="4700BF33" w:rsidR="003A0ECF" w:rsidRPr="00030C67" w:rsidRDefault="003A0ECF" w:rsidP="0030620F">
            <w:pPr>
              <w:pStyle w:val="TableHeading"/>
              <w:keepNext/>
              <w:keepLines/>
              <w:ind w:right="113"/>
              <w:jc w:val="right"/>
            </w:pPr>
            <w:r>
              <w:t xml:space="preserve">Relative use compared with </w:t>
            </w:r>
            <w:r w:rsidR="0051004E">
              <w:br/>
            </w:r>
            <w:r>
              <w:t>all industries</w:t>
            </w:r>
          </w:p>
        </w:tc>
      </w:tr>
      <w:tr w:rsidR="003A0ECF" w:rsidRPr="00030C67" w14:paraId="312BFC48" w14:textId="77777777" w:rsidTr="0051004E">
        <w:tc>
          <w:tcPr>
            <w:tcW w:w="3828" w:type="dxa"/>
            <w:tcBorders>
              <w:top w:val="single" w:sz="4" w:space="0" w:color="B3B3B3"/>
              <w:bottom w:val="nil"/>
            </w:tcBorders>
            <w:shd w:val="clear" w:color="000000" w:fill="F2F2F2"/>
          </w:tcPr>
          <w:p w14:paraId="5683F1A1" w14:textId="77777777" w:rsidR="003A0ECF" w:rsidRPr="005F02AE" w:rsidRDefault="003A0ECF" w:rsidP="00AF505E">
            <w:pPr>
              <w:pStyle w:val="TableHeading"/>
              <w:keepNext/>
              <w:keepLines/>
              <w:rPr>
                <w:b w:val="0"/>
                <w:bCs/>
                <w:color w:val="000000" w:themeColor="text1"/>
              </w:rPr>
            </w:pPr>
            <w:r w:rsidRPr="005F02AE">
              <w:rPr>
                <w:b w:val="0"/>
                <w:bCs/>
                <w:color w:val="000000" w:themeColor="text1"/>
              </w:rPr>
              <w:t>Academic conferences</w:t>
            </w:r>
          </w:p>
        </w:tc>
        <w:tc>
          <w:tcPr>
            <w:tcW w:w="1936" w:type="dxa"/>
            <w:tcBorders>
              <w:top w:val="single" w:sz="4" w:space="0" w:color="B3B3B3"/>
              <w:bottom w:val="nil"/>
            </w:tcBorders>
            <w:shd w:val="clear" w:color="000000" w:fill="F2F2F2"/>
          </w:tcPr>
          <w:p w14:paraId="1ED9A36E" w14:textId="77777777" w:rsidR="003A0ECF" w:rsidRPr="009763EE" w:rsidRDefault="003A0ECF" w:rsidP="007C1495">
            <w:pPr>
              <w:pStyle w:val="TableBody"/>
              <w:keepNext/>
              <w:keepLines/>
              <w:spacing w:before="45" w:after="45"/>
              <w:ind w:right="170"/>
              <w:jc w:val="right"/>
            </w:pPr>
            <w:r>
              <w:t>1</w:t>
            </w:r>
          </w:p>
        </w:tc>
        <w:tc>
          <w:tcPr>
            <w:tcW w:w="1796" w:type="dxa"/>
            <w:tcBorders>
              <w:top w:val="single" w:sz="4" w:space="0" w:color="B3B3B3"/>
              <w:bottom w:val="nil"/>
            </w:tcBorders>
            <w:shd w:val="clear" w:color="000000" w:fill="F2F2F2"/>
          </w:tcPr>
          <w:p w14:paraId="1E5F62B1" w14:textId="77777777" w:rsidR="003A0ECF" w:rsidRPr="00030C67" w:rsidRDefault="003A0ECF" w:rsidP="007C1495">
            <w:pPr>
              <w:pStyle w:val="TableBody"/>
              <w:keepNext/>
              <w:keepLines/>
              <w:spacing w:before="45" w:after="45"/>
              <w:ind w:right="170"/>
              <w:jc w:val="right"/>
              <w:rPr>
                <w:rFonts w:ascii="Arial (Body)" w:hAnsi="Arial (Body)"/>
                <w:color w:val="000000"/>
              </w:rPr>
            </w:pPr>
            <w:r w:rsidRPr="009763EE">
              <w:t>1</w:t>
            </w:r>
            <w:r>
              <w:t>1</w:t>
            </w:r>
            <w:r w:rsidRPr="009763EE">
              <w:t>.</w:t>
            </w:r>
            <w:r>
              <w:t>7</w:t>
            </w:r>
          </w:p>
        </w:tc>
        <w:tc>
          <w:tcPr>
            <w:tcW w:w="1796" w:type="dxa"/>
            <w:tcBorders>
              <w:top w:val="single" w:sz="4" w:space="0" w:color="B3B3B3"/>
              <w:bottom w:val="nil"/>
            </w:tcBorders>
            <w:shd w:val="clear" w:color="000000" w:fill="F2F2F2"/>
          </w:tcPr>
          <w:p w14:paraId="4C59EED3" w14:textId="77777777" w:rsidR="003A0ECF" w:rsidRPr="00030C67" w:rsidRDefault="003A0ECF" w:rsidP="007C1495">
            <w:pPr>
              <w:pStyle w:val="TableBody"/>
              <w:keepNext/>
              <w:keepLines/>
              <w:spacing w:before="45" w:after="45"/>
              <w:ind w:right="170"/>
              <w:jc w:val="right"/>
              <w:rPr>
                <w:rFonts w:ascii="Arial (Body)" w:hAnsi="Arial (Body)"/>
                <w:color w:val="000000"/>
              </w:rPr>
            </w:pPr>
            <w:r w:rsidRPr="00F53626">
              <w:t>4.3</w:t>
            </w:r>
          </w:p>
        </w:tc>
      </w:tr>
      <w:tr w:rsidR="003A0ECF" w:rsidRPr="00030C67" w14:paraId="3596C854" w14:textId="77777777" w:rsidTr="0051004E">
        <w:tc>
          <w:tcPr>
            <w:tcW w:w="3828" w:type="dxa"/>
            <w:tcBorders>
              <w:top w:val="nil"/>
              <w:bottom w:val="nil"/>
            </w:tcBorders>
            <w:shd w:val="clear" w:color="000000" w:fill="auto"/>
          </w:tcPr>
          <w:p w14:paraId="7F7A11A5" w14:textId="77777777" w:rsidR="003A0ECF" w:rsidRPr="005F02AE" w:rsidRDefault="003A0ECF" w:rsidP="00AF505E">
            <w:pPr>
              <w:pStyle w:val="TableHeading"/>
              <w:keepNext/>
              <w:keepLines/>
              <w:rPr>
                <w:b w:val="0"/>
                <w:bCs/>
                <w:color w:val="000000" w:themeColor="text1"/>
              </w:rPr>
            </w:pPr>
            <w:r w:rsidRPr="005F02AE">
              <w:rPr>
                <w:b w:val="0"/>
                <w:bCs/>
                <w:color w:val="000000" w:themeColor="text1"/>
              </w:rPr>
              <w:t>Universities or other higher education institutions total</w:t>
            </w:r>
          </w:p>
        </w:tc>
        <w:tc>
          <w:tcPr>
            <w:tcW w:w="1936" w:type="dxa"/>
            <w:tcBorders>
              <w:top w:val="nil"/>
              <w:bottom w:val="nil"/>
            </w:tcBorders>
            <w:shd w:val="clear" w:color="000000" w:fill="auto"/>
          </w:tcPr>
          <w:p w14:paraId="0903EFB0" w14:textId="77777777" w:rsidR="003A0ECF" w:rsidRPr="009763EE" w:rsidRDefault="003A0ECF" w:rsidP="007C1495">
            <w:pPr>
              <w:pStyle w:val="TableBody"/>
              <w:keepNext/>
              <w:keepLines/>
              <w:spacing w:before="45" w:after="45"/>
              <w:ind w:right="170"/>
              <w:jc w:val="right"/>
            </w:pPr>
            <w:r>
              <w:t>1</w:t>
            </w:r>
          </w:p>
        </w:tc>
        <w:tc>
          <w:tcPr>
            <w:tcW w:w="1796" w:type="dxa"/>
            <w:tcBorders>
              <w:top w:val="nil"/>
              <w:bottom w:val="nil"/>
            </w:tcBorders>
            <w:shd w:val="clear" w:color="000000" w:fill="auto"/>
          </w:tcPr>
          <w:p w14:paraId="770EF971" w14:textId="77777777" w:rsidR="003A0ECF" w:rsidRPr="003C5B95" w:rsidRDefault="003A0ECF" w:rsidP="007C1495">
            <w:pPr>
              <w:pStyle w:val="TableBody"/>
              <w:keepNext/>
              <w:keepLines/>
              <w:spacing w:before="45" w:after="45"/>
              <w:ind w:right="170"/>
              <w:jc w:val="right"/>
            </w:pPr>
            <w:r w:rsidRPr="009763EE">
              <w:t>1</w:t>
            </w:r>
            <w:r>
              <w:t>7</w:t>
            </w:r>
            <w:r w:rsidRPr="009763EE">
              <w:t>.</w:t>
            </w:r>
            <w:r>
              <w:t>8</w:t>
            </w:r>
          </w:p>
        </w:tc>
        <w:tc>
          <w:tcPr>
            <w:tcW w:w="1796" w:type="dxa"/>
            <w:tcBorders>
              <w:top w:val="nil"/>
              <w:bottom w:val="nil"/>
            </w:tcBorders>
            <w:shd w:val="clear" w:color="000000" w:fill="auto"/>
          </w:tcPr>
          <w:p w14:paraId="14846155" w14:textId="77777777" w:rsidR="003A0ECF" w:rsidRPr="00030C67" w:rsidRDefault="003A0ECF" w:rsidP="007C1495">
            <w:pPr>
              <w:pStyle w:val="TableBody"/>
              <w:keepNext/>
              <w:keepLines/>
              <w:spacing w:before="45" w:after="45"/>
              <w:ind w:right="170"/>
              <w:jc w:val="right"/>
              <w:rPr>
                <w:rFonts w:ascii="Arial (Body)" w:hAnsi="Arial (Body)"/>
                <w:color w:val="000000"/>
              </w:rPr>
            </w:pPr>
            <w:r w:rsidRPr="00F53626">
              <w:t>3.3</w:t>
            </w:r>
          </w:p>
        </w:tc>
      </w:tr>
      <w:tr w:rsidR="003A0ECF" w:rsidRPr="00030C67" w14:paraId="4E17C676" w14:textId="77777777" w:rsidTr="0051004E">
        <w:tc>
          <w:tcPr>
            <w:tcW w:w="3828" w:type="dxa"/>
            <w:tcBorders>
              <w:top w:val="nil"/>
              <w:bottom w:val="nil"/>
            </w:tcBorders>
            <w:shd w:val="clear" w:color="000000" w:fill="F2F2F2"/>
          </w:tcPr>
          <w:p w14:paraId="74901F2C" w14:textId="77777777" w:rsidR="003A0ECF" w:rsidRPr="005F02AE" w:rsidRDefault="003A0ECF" w:rsidP="00AF505E">
            <w:pPr>
              <w:pStyle w:val="TableHeading"/>
              <w:keepNext/>
              <w:keepLines/>
              <w:rPr>
                <w:b w:val="0"/>
                <w:bCs/>
                <w:color w:val="000000" w:themeColor="text1"/>
              </w:rPr>
            </w:pPr>
            <w:r w:rsidRPr="005F02AE">
              <w:rPr>
                <w:b w:val="0"/>
                <w:bCs/>
                <w:color w:val="000000" w:themeColor="text1"/>
              </w:rPr>
              <w:t>Journals, research papers and publications</w:t>
            </w:r>
          </w:p>
        </w:tc>
        <w:tc>
          <w:tcPr>
            <w:tcW w:w="1936" w:type="dxa"/>
            <w:tcBorders>
              <w:top w:val="nil"/>
              <w:bottom w:val="nil"/>
            </w:tcBorders>
            <w:shd w:val="clear" w:color="000000" w:fill="F2F2F2"/>
          </w:tcPr>
          <w:p w14:paraId="5808C0F6" w14:textId="77777777" w:rsidR="003A0ECF" w:rsidRPr="009763EE" w:rsidRDefault="003A0ECF" w:rsidP="007C1495">
            <w:pPr>
              <w:pStyle w:val="TableBody"/>
              <w:keepNext/>
              <w:keepLines/>
              <w:spacing w:before="45" w:after="45"/>
              <w:ind w:right="170"/>
              <w:jc w:val="right"/>
            </w:pPr>
            <w:r>
              <w:t>2</w:t>
            </w:r>
          </w:p>
        </w:tc>
        <w:tc>
          <w:tcPr>
            <w:tcW w:w="1796" w:type="dxa"/>
            <w:tcBorders>
              <w:top w:val="nil"/>
              <w:bottom w:val="nil"/>
            </w:tcBorders>
            <w:shd w:val="clear" w:color="000000" w:fill="F2F2F2"/>
          </w:tcPr>
          <w:p w14:paraId="62DF7F72" w14:textId="77777777" w:rsidR="003A0ECF" w:rsidRDefault="003A0ECF" w:rsidP="007C1495">
            <w:pPr>
              <w:pStyle w:val="TableBody"/>
              <w:keepNext/>
              <w:keepLines/>
              <w:spacing w:before="45" w:after="45"/>
              <w:ind w:right="170"/>
              <w:jc w:val="right"/>
              <w:rPr>
                <w:rFonts w:ascii="Arial (Body)" w:hAnsi="Arial (Body)"/>
                <w:color w:val="000000"/>
              </w:rPr>
            </w:pPr>
            <w:r>
              <w:t>11.0</w:t>
            </w:r>
          </w:p>
        </w:tc>
        <w:tc>
          <w:tcPr>
            <w:tcW w:w="1796" w:type="dxa"/>
            <w:tcBorders>
              <w:top w:val="nil"/>
              <w:bottom w:val="nil"/>
            </w:tcBorders>
            <w:shd w:val="clear" w:color="000000" w:fill="F2F2F2"/>
          </w:tcPr>
          <w:p w14:paraId="33292FB3" w14:textId="77777777" w:rsidR="003A0ECF" w:rsidRDefault="003A0ECF" w:rsidP="007C1495">
            <w:pPr>
              <w:pStyle w:val="TableBody"/>
              <w:keepNext/>
              <w:keepLines/>
              <w:spacing w:before="45" w:after="45"/>
              <w:ind w:right="170"/>
              <w:jc w:val="right"/>
              <w:rPr>
                <w:rFonts w:ascii="Arial (Body)" w:hAnsi="Arial (Body)"/>
                <w:color w:val="000000"/>
              </w:rPr>
            </w:pPr>
            <w:r w:rsidRPr="00F53626">
              <w:t>2.9</w:t>
            </w:r>
          </w:p>
        </w:tc>
      </w:tr>
      <w:tr w:rsidR="003A0ECF" w:rsidRPr="00030C67" w14:paraId="4603D971" w14:textId="77777777" w:rsidTr="0051004E">
        <w:tc>
          <w:tcPr>
            <w:tcW w:w="3828" w:type="dxa"/>
            <w:tcBorders>
              <w:bottom w:val="single" w:sz="4" w:space="0" w:color="B3B3B3"/>
            </w:tcBorders>
            <w:shd w:val="clear" w:color="auto" w:fill="auto"/>
          </w:tcPr>
          <w:p w14:paraId="01256DF2" w14:textId="77777777" w:rsidR="003A0ECF" w:rsidRPr="005F02AE" w:rsidRDefault="003A0ECF" w:rsidP="00AF505E">
            <w:pPr>
              <w:pStyle w:val="TableHeading"/>
              <w:keepNext/>
              <w:keepLines/>
              <w:rPr>
                <w:b w:val="0"/>
                <w:bCs/>
                <w:color w:val="000000" w:themeColor="text1"/>
              </w:rPr>
            </w:pPr>
            <w:r w:rsidRPr="005F02AE">
              <w:rPr>
                <w:b w:val="0"/>
                <w:bCs/>
                <w:color w:val="000000" w:themeColor="text1"/>
              </w:rPr>
              <w:t>Government agencies</w:t>
            </w:r>
          </w:p>
        </w:tc>
        <w:tc>
          <w:tcPr>
            <w:tcW w:w="1936" w:type="dxa"/>
            <w:tcBorders>
              <w:bottom w:val="single" w:sz="4" w:space="0" w:color="B3B3B3"/>
            </w:tcBorders>
          </w:tcPr>
          <w:p w14:paraId="13F77E8F" w14:textId="77777777" w:rsidR="003A0ECF" w:rsidRPr="00D86872" w:rsidRDefault="003A0ECF" w:rsidP="007C1495">
            <w:pPr>
              <w:pStyle w:val="TableBody"/>
              <w:keepNext/>
              <w:keepLines/>
              <w:spacing w:before="45" w:after="45"/>
              <w:ind w:right="170"/>
              <w:jc w:val="right"/>
            </w:pPr>
            <w:r>
              <w:t>2</w:t>
            </w:r>
          </w:p>
        </w:tc>
        <w:tc>
          <w:tcPr>
            <w:tcW w:w="1796" w:type="dxa"/>
            <w:tcBorders>
              <w:bottom w:val="single" w:sz="4" w:space="0" w:color="B3B3B3"/>
            </w:tcBorders>
            <w:shd w:val="clear" w:color="auto" w:fill="auto"/>
          </w:tcPr>
          <w:p w14:paraId="18BEFCC9" w14:textId="77777777" w:rsidR="003A0ECF" w:rsidRPr="00030C67" w:rsidRDefault="003A0ECF" w:rsidP="007C1495">
            <w:pPr>
              <w:pStyle w:val="TableBody"/>
              <w:keepNext/>
              <w:keepLines/>
              <w:spacing w:before="45" w:after="45"/>
              <w:ind w:right="170"/>
              <w:jc w:val="right"/>
              <w:rPr>
                <w:rFonts w:ascii="Arial (Body)" w:hAnsi="Arial (Body)"/>
                <w:color w:val="000000"/>
              </w:rPr>
            </w:pPr>
            <w:r w:rsidRPr="009763EE">
              <w:t>13.2</w:t>
            </w:r>
          </w:p>
        </w:tc>
        <w:tc>
          <w:tcPr>
            <w:tcW w:w="1796" w:type="dxa"/>
            <w:tcBorders>
              <w:bottom w:val="single" w:sz="4" w:space="0" w:color="B3B3B3"/>
            </w:tcBorders>
            <w:shd w:val="clear" w:color="auto" w:fill="auto"/>
          </w:tcPr>
          <w:p w14:paraId="71F458E9" w14:textId="77777777" w:rsidR="003A0ECF" w:rsidRPr="00030C67" w:rsidRDefault="003A0ECF" w:rsidP="007C1495">
            <w:pPr>
              <w:pStyle w:val="TableBody"/>
              <w:keepNext/>
              <w:keepLines/>
              <w:spacing w:before="45" w:after="45"/>
              <w:ind w:right="170"/>
              <w:jc w:val="right"/>
              <w:rPr>
                <w:rFonts w:ascii="Arial (Body)" w:hAnsi="Arial (Body)"/>
                <w:color w:val="000000"/>
              </w:rPr>
            </w:pPr>
            <w:r w:rsidRPr="00F53626">
              <w:t>2.4</w:t>
            </w:r>
          </w:p>
        </w:tc>
      </w:tr>
    </w:tbl>
    <w:p w14:paraId="1CB9B0C6" w14:textId="77777777" w:rsidR="003A0ECF" w:rsidRDefault="003A0ECF" w:rsidP="003A0ECF">
      <w:pPr>
        <w:pStyle w:val="Note"/>
      </w:pPr>
      <w:r w:rsidRPr="00C36914">
        <w:rPr>
          <w:b/>
          <w:bCs/>
        </w:rPr>
        <w:t>a.</w:t>
      </w:r>
      <w:r w:rsidRPr="00C36914">
        <w:t xml:space="preserve"> </w:t>
      </w:r>
      <w:r>
        <w:t xml:space="preserve">The </w:t>
      </w:r>
      <w:r w:rsidRPr="008027FA">
        <w:t xml:space="preserve">Health Care and Social Assistance </w:t>
      </w:r>
      <w:r>
        <w:t>industry includes a mix of private and not</w:t>
      </w:r>
      <w:r>
        <w:noBreakHyphen/>
        <w:t>for</w:t>
      </w:r>
      <w:r>
        <w:noBreakHyphen/>
        <w:t>profit organisations that are highly regulated by governments and that depend significantly on their funding, such as GPs, aged care, and disability facilities. The table relates to the sources of knowledge that are either directly sourced from the academic literature or where the sources of ideas are themselves likely to depend on access to that literature. For example, among the 17 industry divisions covered by the ABS Business Characteristics Survey, the number two user of ideas from journal, research papers and publications was the Health Care and Social Assistance Industry, with about one in five entities in this industry sourcing ideas from the academic literature, which is a usage rate 2.9 times higher than the all</w:t>
      </w:r>
      <w:r>
        <w:noBreakHyphen/>
        <w:t>industries total. The relevant ABS survey excludes public sector enterprises (like public hospitals, universities, the public service and public research institutions) that would have a relatively high level of use academic literature. Accordingly, the table will underestimate the importance of the academic literature to public sector functions.</w:t>
      </w:r>
    </w:p>
    <w:p w14:paraId="1ABF64EA" w14:textId="1596C916" w:rsidR="003A0ECF" w:rsidRDefault="003A0ECF" w:rsidP="003A0ECF">
      <w:pPr>
        <w:pStyle w:val="Source"/>
      </w:pPr>
      <w:r w:rsidRPr="00696447">
        <w:t xml:space="preserve">Source: </w:t>
      </w:r>
      <w:r>
        <w:t xml:space="preserve">ABS </w:t>
      </w:r>
      <w:r w:rsidR="00CF64E8">
        <w:t>(</w:t>
      </w:r>
      <w:r w:rsidR="00CF64E8">
        <w:rPr>
          <w:i/>
          <w:iCs/>
        </w:rPr>
        <w:t>Characteristics of Australian Business</w:t>
      </w:r>
      <w:r w:rsidR="00CF64E8">
        <w:t xml:space="preserve">, </w:t>
      </w:r>
      <w:r w:rsidR="00CF64E8" w:rsidRPr="007508DF">
        <w:rPr>
          <w:i/>
          <w:iCs/>
        </w:rPr>
        <w:t>2020</w:t>
      </w:r>
      <w:r w:rsidR="00CF64E8">
        <w:rPr>
          <w:i/>
          <w:iCs/>
        </w:rPr>
        <w:noBreakHyphen/>
      </w:r>
      <w:r w:rsidR="00CF64E8" w:rsidRPr="007508DF">
        <w:rPr>
          <w:i/>
          <w:iCs/>
        </w:rPr>
        <w:t>21 financial year</w:t>
      </w:r>
      <w:r w:rsidR="00CF64E8">
        <w:t>, Cat. no. 8158.0)</w:t>
      </w:r>
      <w:r w:rsidRPr="00696447">
        <w:t>.</w:t>
      </w:r>
    </w:p>
    <w:p w14:paraId="3B8F1556" w14:textId="77777777" w:rsidR="003A0ECF" w:rsidRDefault="003A0ECF" w:rsidP="004E14B3">
      <w:pPr>
        <w:pStyle w:val="Heading5"/>
      </w:pPr>
      <w:r>
        <w:t>Fair use</w:t>
      </w:r>
    </w:p>
    <w:p w14:paraId="7B326426" w14:textId="7DF18715" w:rsidR="003A0ECF" w:rsidRDefault="003A0ECF" w:rsidP="003A0ECF">
      <w:pPr>
        <w:pStyle w:val="BodyText"/>
      </w:pPr>
      <w:r>
        <w:t xml:space="preserve">Australia also has weak fair use provisions compared with countries like the United States, again potentially stymieing knowledge diffusion in activities run or funded by government — universities, schools, libraries — as well as businesses </w:t>
      </w:r>
      <w:r w:rsidRPr="002C5EC1">
        <w:rPr>
          <w:rFonts w:ascii="Arial" w:hAnsi="Arial" w:cs="Arial"/>
          <w:szCs w:val="24"/>
        </w:rPr>
        <w:t>(PC 2016a, pp. 165–198)</w:t>
      </w:r>
      <w:r>
        <w:t>. There are strong grounds to re</w:t>
      </w:r>
      <w:r>
        <w:noBreakHyphen/>
        <w:t>visit fair use provisions.</w:t>
      </w:r>
    </w:p>
    <w:p w14:paraId="5738F2D3" w14:textId="77777777" w:rsidR="003A0ECF" w:rsidRDefault="003A0ECF" w:rsidP="004E14B3">
      <w:pPr>
        <w:pStyle w:val="Heading5"/>
      </w:pPr>
      <w:r>
        <w:t>Standards</w:t>
      </w:r>
    </w:p>
    <w:p w14:paraId="3EC86D95" w14:textId="609060E4" w:rsidR="003A0ECF" w:rsidRDefault="003A0ECF" w:rsidP="003A0ECF">
      <w:pPr>
        <w:pStyle w:val="BodyText"/>
      </w:pPr>
      <w:r>
        <w:t xml:space="preserve">Standards are widely seen as a major formal mechanism for the codification and diffusion of practical knowledge </w:t>
      </w:r>
      <w:r w:rsidRPr="00CA42EF">
        <w:rPr>
          <w:rFonts w:ascii="Arial" w:hAnsi="Arial" w:cs="Arial"/>
          <w:szCs w:val="24"/>
        </w:rPr>
        <w:t xml:space="preserve">(Blind, Ramel and </w:t>
      </w:r>
      <w:proofErr w:type="spellStart"/>
      <w:r w:rsidRPr="00CA42EF">
        <w:rPr>
          <w:rFonts w:ascii="Arial" w:hAnsi="Arial" w:cs="Arial"/>
          <w:szCs w:val="24"/>
        </w:rPr>
        <w:t>Rochell</w:t>
      </w:r>
      <w:proofErr w:type="spellEnd"/>
      <w:r w:rsidRPr="00CA42EF">
        <w:rPr>
          <w:rFonts w:ascii="Arial" w:hAnsi="Arial" w:cs="Arial"/>
          <w:szCs w:val="24"/>
        </w:rPr>
        <w:t> 2022; CIE 2006)</w:t>
      </w:r>
      <w:r>
        <w:t>. Such standards are not just relevant to for</w:t>
      </w:r>
      <w:r>
        <w:noBreakHyphen/>
        <w:t>profit businesses, with many relating to government</w:t>
      </w:r>
      <w:r>
        <w:noBreakHyphen/>
        <w:t>owned and funded organisations (like child, disability and aged care, community organisations) and regulation (such as safety and data rights).</w:t>
      </w:r>
    </w:p>
    <w:p w14:paraId="2A20BA4F" w14:textId="6592F2A1" w:rsidR="003A0ECF" w:rsidRDefault="003A0ECF" w:rsidP="003A0ECF">
      <w:pPr>
        <w:pStyle w:val="BodyText"/>
      </w:pPr>
      <w:r>
        <w:t>Standards are a perfect example of a non</w:t>
      </w:r>
      <w:r>
        <w:noBreakHyphen/>
        <w:t>rivalrous good with high public benefits. Recognising this, some standards are open, as in geospatial data. Many other standards are not. For example, IWA 18 016 is a ‘framework for integrated community</w:t>
      </w:r>
      <w:r>
        <w:noBreakHyphen/>
        <w:t>based life</w:t>
      </w:r>
      <w:r>
        <w:noBreakHyphen/>
        <w:t xml:space="preserve">long health and care services in aged societies’ and downloading this from the Standards Australia store costs $260.06. In Australia development of such standards by </w:t>
      </w:r>
      <w:r w:rsidRPr="00C965A6">
        <w:t>a not</w:t>
      </w:r>
      <w:r>
        <w:noBreakHyphen/>
      </w:r>
      <w:r w:rsidRPr="00C965A6">
        <w:t>for</w:t>
      </w:r>
      <w:r>
        <w:noBreakHyphen/>
      </w:r>
      <w:r w:rsidRPr="00C965A6">
        <w:t>profit entity</w:t>
      </w:r>
      <w:r>
        <w:t>, Standards Australia, relies on the voluntary engagement of technical committees comprising government, business, community, academic and consumer participants.</w:t>
      </w:r>
    </w:p>
    <w:p w14:paraId="44981F9F" w14:textId="16A27867" w:rsidR="003A0ECF" w:rsidRDefault="003A0ECF" w:rsidP="003A0ECF">
      <w:pPr>
        <w:pStyle w:val="BodyText"/>
      </w:pPr>
      <w:r>
        <w:t xml:space="preserve">Despite the public benefits of standards, they are not free to many users, or if so, the ways in which free access can be obtained may not be obvious. This can entail significant costs for activities where many and changing standards apply. For example, the </w:t>
      </w:r>
      <w:r w:rsidRPr="009F3226">
        <w:t>Australian Competition and Consumer Commission</w:t>
      </w:r>
      <w:r>
        <w:t xml:space="preserve"> (ACCC) observed that the National Construction Code references over 100 standards that a building and construction business would be required to purchase to understand their legal obligations. It drew a link between the barriers to compliance arising from the costs of access to standards and the major safety incidents that arose from the use of non</w:t>
      </w:r>
      <w:r>
        <w:noBreakHyphen/>
        <w:t xml:space="preserve">conforming combustible aluminium cladding </w:t>
      </w:r>
      <w:r w:rsidRPr="00552CA5">
        <w:rPr>
          <w:rFonts w:ascii="Arial" w:hAnsi="Arial" w:cs="Arial"/>
          <w:szCs w:val="24"/>
        </w:rPr>
        <w:t>(ACCC 2019, p. 3)</w:t>
      </w:r>
      <w:r>
        <w:t>.</w:t>
      </w:r>
    </w:p>
    <w:p w14:paraId="1B01F613" w14:textId="417747A0" w:rsidR="003A0ECF" w:rsidRDefault="003A0ECF" w:rsidP="003A0ECF">
      <w:pPr>
        <w:pStyle w:val="BodyText"/>
      </w:pPr>
      <w:r>
        <w:lastRenderedPageBreak/>
        <w:t>Some standards are mandated in legislation, and some are voluntary. Pricing for the mandated standards risks non</w:t>
      </w:r>
      <w:r>
        <w:noBreakHyphen/>
        <w:t>compliance, while pricing for voluntary ones limits the efficient diffusion of knowledge. The arrangements for licensing and paying for Australian standards has been controversial for many years. In the main, this reflected the pricing strategies of a private business that was given exclusive distribution rights for the standards by Standard Australia in the early 2000s. That right ceased in late 2018, but many standards are still sold by Standards Australia to meet its costs. The ACCC has put forward the view that standards required by legislation should be available at zero charge, while many organisations formally petitioned Parliament in 2022 to abolish any fees. In principle, the case has merit, but free provision would require funding by the Australian Government (and potentially industry associations).</w:t>
      </w:r>
    </w:p>
    <w:p w14:paraId="467FCB8C" w14:textId="77777777" w:rsidR="004E14B3" w:rsidRDefault="004E14B3" w:rsidP="004E14B3">
      <w:pPr>
        <w:pStyle w:val="NoSpacing"/>
      </w:pPr>
    </w:p>
    <w:tbl>
      <w:tblPr>
        <w:tblStyle w:val="Texttable-Paleblue"/>
        <w:tblW w:w="5000" w:type="pct"/>
        <w:tblLook w:val="04A0" w:firstRow="1" w:lastRow="0" w:firstColumn="1" w:lastColumn="0" w:noHBand="0" w:noVBand="1"/>
      </w:tblPr>
      <w:tblGrid>
        <w:gridCol w:w="713"/>
        <w:gridCol w:w="8925"/>
      </w:tblGrid>
      <w:tr w:rsidR="003A0ECF" w14:paraId="28D51C70" w14:textId="77777777" w:rsidTr="00C426E9">
        <w:trPr>
          <w:tblHeader/>
        </w:trPr>
        <w:tc>
          <w:tcPr>
            <w:tcW w:w="713" w:type="dxa"/>
            <w:tcMar>
              <w:top w:w="0" w:type="dxa"/>
              <w:bottom w:w="0" w:type="dxa"/>
            </w:tcMar>
            <w:vAlign w:val="center"/>
          </w:tcPr>
          <w:p w14:paraId="3549EC2D" w14:textId="77777777" w:rsidR="003A0ECF" w:rsidRDefault="003A0ECF" w:rsidP="00C426E9">
            <w:pPr>
              <w:keepLines/>
              <w:jc w:val="center"/>
            </w:pPr>
            <w:r w:rsidRPr="00A51374">
              <w:rPr>
                <w:noProof/>
              </w:rPr>
              <w:drawing>
                <wp:inline distT="0" distB="0" distL="0" distR="0" wp14:anchorId="13466E5B" wp14:editId="10045F92">
                  <wp:extent cx="288000" cy="288000"/>
                  <wp:effectExtent l="0" t="0" r="0" b="0"/>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FF659CE" w14:textId="61C37AD4" w:rsidR="003A0ECF" w:rsidRPr="00715040" w:rsidRDefault="003A0ECF" w:rsidP="00C426E9">
            <w:pPr>
              <w:pStyle w:val="TableHeading"/>
              <w:keepLines/>
              <w:spacing w:before="120" w:after="120"/>
              <w:contextualSpacing/>
              <w:rPr>
                <w:sz w:val="20"/>
              </w:rPr>
            </w:pPr>
            <w:r w:rsidRPr="00715040">
              <w:rPr>
                <w:sz w:val="20"/>
              </w:rPr>
              <w:t>Recommendation</w:t>
            </w:r>
            <w:r>
              <w:rPr>
                <w:sz w:val="20"/>
              </w:rPr>
              <w:t xml:space="preserve"> </w:t>
            </w:r>
            <w:r w:rsidR="00BB6831">
              <w:rPr>
                <w:sz w:val="20"/>
              </w:rPr>
              <w:t>d</w:t>
            </w:r>
            <w:r>
              <w:rPr>
                <w:sz w:val="20"/>
              </w:rPr>
              <w:t>irection</w:t>
            </w:r>
            <w:r w:rsidRPr="00715040">
              <w:rPr>
                <w:sz w:val="20"/>
              </w:rPr>
              <w:t xml:space="preserve"> </w:t>
            </w:r>
            <w:r>
              <w:rPr>
                <w:sz w:val="20"/>
              </w:rPr>
              <w:t>3.3</w:t>
            </w:r>
          </w:p>
          <w:p w14:paraId="58E01D69" w14:textId="77777777" w:rsidR="003A0ECF" w:rsidRPr="00715040" w:rsidRDefault="003A0ECF" w:rsidP="00C426E9">
            <w:pPr>
              <w:pStyle w:val="TableHeading"/>
              <w:keepLines/>
              <w:spacing w:before="120" w:after="120"/>
              <w:contextualSpacing/>
              <w:rPr>
                <w:sz w:val="20"/>
              </w:rPr>
            </w:pPr>
            <w:r>
              <w:rPr>
                <w:sz w:val="20"/>
              </w:rPr>
              <w:t>Ideas that have large public good value should not be behind paywalls</w:t>
            </w:r>
          </w:p>
        </w:tc>
      </w:tr>
      <w:tr w:rsidR="003A0ECF" w14:paraId="1B1DD17C" w14:textId="77777777" w:rsidTr="00C426E9">
        <w:tc>
          <w:tcPr>
            <w:tcW w:w="9638" w:type="dxa"/>
            <w:gridSpan w:val="2"/>
            <w:tcMar>
              <w:top w:w="0" w:type="dxa"/>
            </w:tcMar>
          </w:tcPr>
          <w:p w14:paraId="12B0BF9E" w14:textId="77777777" w:rsidR="003A0ECF" w:rsidRDefault="003A0ECF" w:rsidP="00C426E9">
            <w:pPr>
              <w:pStyle w:val="BodyText"/>
              <w:keepLines/>
            </w:pPr>
            <w:r>
              <w:t>The Australian Government should:</w:t>
            </w:r>
          </w:p>
          <w:p w14:paraId="21B3DC74" w14:textId="77777777" w:rsidR="003A0ECF" w:rsidRDefault="003A0ECF" w:rsidP="001A1DD7">
            <w:pPr>
              <w:pStyle w:val="ListBullet"/>
            </w:pPr>
            <w:r>
              <w:t>look at new funding models for Standards Australia to reduce or eliminate the pricing of standards that have high public good value</w:t>
            </w:r>
          </w:p>
          <w:p w14:paraId="0C1D0FA2" w14:textId="77777777" w:rsidR="003A0ECF" w:rsidRDefault="003A0ECF" w:rsidP="001A1DD7">
            <w:pPr>
              <w:pStyle w:val="ListBullet"/>
            </w:pPr>
            <w:r>
              <w:t>require open</w:t>
            </w:r>
            <w:r>
              <w:noBreakHyphen/>
              <w:t>source publication of research principally funded by governments in line with recommendations in the Productivity Commission’s inquiry into intellectual property</w:t>
            </w:r>
          </w:p>
          <w:p w14:paraId="51ED63E3" w14:textId="77777777" w:rsidR="003A0ECF" w:rsidRPr="009974D9" w:rsidRDefault="003A0ECF" w:rsidP="001A1DD7">
            <w:pPr>
              <w:pStyle w:val="ListBullet"/>
              <w:rPr>
                <w:spacing w:val="-4"/>
              </w:rPr>
            </w:pPr>
            <w:r w:rsidRPr="009974D9">
              <w:rPr>
                <w:spacing w:val="-4"/>
              </w:rPr>
              <w:t>reform fair</w:t>
            </w:r>
            <w:r w:rsidRPr="009974D9">
              <w:rPr>
                <w:spacing w:val="-4"/>
              </w:rPr>
              <w:noBreakHyphen/>
              <w:t>use provisions in intellectual property regulations to adopt a principles</w:t>
            </w:r>
            <w:r w:rsidRPr="009974D9">
              <w:rPr>
                <w:spacing w:val="-4"/>
              </w:rPr>
              <w:noBreakHyphen/>
              <w:t xml:space="preserve">based fair use exception. </w:t>
            </w:r>
          </w:p>
        </w:tc>
      </w:tr>
      <w:tr w:rsidR="003A0ECF" w14:paraId="59E684B1" w14:textId="77777777" w:rsidTr="00C426E9">
        <w:tc>
          <w:tcPr>
            <w:tcW w:w="9638" w:type="dxa"/>
            <w:gridSpan w:val="2"/>
            <w:shd w:val="clear" w:color="auto" w:fill="auto"/>
            <w:tcMar>
              <w:top w:w="0" w:type="dxa"/>
              <w:bottom w:w="0" w:type="dxa"/>
            </w:tcMar>
          </w:tcPr>
          <w:p w14:paraId="61FA499A" w14:textId="77777777" w:rsidR="003A0ECF" w:rsidRPr="007E0EA8" w:rsidRDefault="003A0ECF" w:rsidP="00C426E9">
            <w:pPr>
              <w:pStyle w:val="NoSpacing"/>
              <w:spacing w:line="200" w:lineRule="exact"/>
            </w:pPr>
          </w:p>
        </w:tc>
      </w:tr>
    </w:tbl>
    <w:p w14:paraId="7C2CEE9A" w14:textId="77777777" w:rsidR="004E14B3" w:rsidRDefault="004E14B3" w:rsidP="00AF6B4B">
      <w:pPr>
        <w:pStyle w:val="BodyText"/>
        <w:rPr>
          <w:noProof/>
        </w:rPr>
        <w:sectPr w:rsidR="004E14B3" w:rsidSect="00A469A1">
          <w:headerReference w:type="default" r:id="rId78"/>
          <w:type w:val="oddPage"/>
          <w:pgSz w:w="11906" w:h="16838" w:code="9"/>
          <w:pgMar w:top="1134" w:right="1134" w:bottom="1134" w:left="1134" w:header="794" w:footer="510" w:gutter="0"/>
          <w:cols w:space="708"/>
          <w:docGrid w:linePitch="360"/>
        </w:sectPr>
      </w:pPr>
    </w:p>
    <w:p w14:paraId="4664A4B5" w14:textId="7E1C2593" w:rsidR="007C1495" w:rsidRDefault="004E14B3" w:rsidP="007C1495">
      <w:pPr>
        <w:pStyle w:val="Heading1-nobackground"/>
        <w:sectPr w:rsidR="007C1495" w:rsidSect="000B61A6">
          <w:type w:val="oddPage"/>
          <w:pgSz w:w="11906" w:h="16838" w:code="9"/>
          <w:pgMar w:top="1134" w:right="1134" w:bottom="1134" w:left="1134" w:header="794" w:footer="510" w:gutter="0"/>
          <w:cols w:num="2" w:space="708"/>
          <w:docGrid w:linePitch="360"/>
        </w:sectPr>
      </w:pPr>
      <w:bookmarkStart w:id="120" w:name="_Toc113969664"/>
      <w:r>
        <w:rPr>
          <w:noProof/>
        </w:rPr>
        <w:lastRenderedPageBreak/>
        <w:t>References</w:t>
      </w:r>
      <w:bookmarkEnd w:id="120"/>
    </w:p>
    <w:p w14:paraId="24A9F730" w14:textId="3BDAC2A2" w:rsidR="005407D4" w:rsidRPr="005407D4" w:rsidRDefault="005407D4" w:rsidP="000B61A6">
      <w:pPr>
        <w:pStyle w:val="Reference"/>
      </w:pPr>
      <w:r w:rsidRPr="005407D4">
        <w:t xml:space="preserve">ABARES 2022, </w:t>
      </w:r>
      <w:r w:rsidRPr="005407D4">
        <w:rPr>
          <w:i/>
          <w:iCs/>
        </w:rPr>
        <w:t>Farm Data Portal</w:t>
      </w:r>
      <w:r w:rsidRPr="005407D4">
        <w:t>, www.agriculture.gov.au/</w:t>
      </w:r>
      <w:r w:rsidR="00B3288E">
        <w:br/>
      </w:r>
      <w:proofErr w:type="spellStart"/>
      <w:r w:rsidRPr="005407D4">
        <w:t>abares</w:t>
      </w:r>
      <w:proofErr w:type="spellEnd"/>
      <w:r w:rsidRPr="005407D4">
        <w:t>/data/farm-data-portal (accessed 23 August 2022).</w:t>
      </w:r>
    </w:p>
    <w:p w14:paraId="277CC288" w14:textId="4B5C2900" w:rsidR="005407D4" w:rsidRPr="005407D4" w:rsidRDefault="005407D4" w:rsidP="000B61A6">
      <w:pPr>
        <w:pStyle w:val="Reference"/>
      </w:pPr>
      <w:r w:rsidRPr="005407D4">
        <w:t xml:space="preserve">ABS (Australian Bureau of Statistics) 2017, </w:t>
      </w:r>
      <w:r w:rsidRPr="005407D4">
        <w:rPr>
          <w:i/>
          <w:iCs/>
        </w:rPr>
        <w:t>Management and Organisational Capabilities of Australian Business, 2015-16 financial year</w:t>
      </w:r>
      <w:r w:rsidRPr="005407D4">
        <w:t xml:space="preserve">, </w:t>
      </w:r>
      <w:r w:rsidR="00B85CF4" w:rsidRPr="00B85CF4">
        <w:t>https://www.abs.gov.au/statistics/economy</w:t>
      </w:r>
      <w:r w:rsidR="00B85CF4">
        <w:br/>
      </w:r>
      <w:r w:rsidRPr="005407D4">
        <w:t>/business-indicators/management-and-organisational-capabilities-australian-business/latest-release (accessed 4 August 2022).</w:t>
      </w:r>
    </w:p>
    <w:p w14:paraId="783FA9EE" w14:textId="043E5136" w:rsidR="005407D4" w:rsidRPr="005407D4" w:rsidRDefault="00BF1239" w:rsidP="000B61A6">
      <w:pPr>
        <w:pStyle w:val="Reference"/>
      </w:pPr>
      <w:r>
        <w:t>—— </w:t>
      </w:r>
      <w:r w:rsidR="005407D4" w:rsidRPr="005407D4">
        <w:t xml:space="preserve">2021a, </w:t>
      </w:r>
      <w:r w:rsidR="005407D4" w:rsidRPr="005407D4">
        <w:rPr>
          <w:i/>
          <w:iCs/>
        </w:rPr>
        <w:t>Australian System of National Accounts, 2020-21 financial year</w:t>
      </w:r>
      <w:r w:rsidR="005407D4" w:rsidRPr="005407D4">
        <w:t>, Cat. no. 5204.0.</w:t>
      </w:r>
    </w:p>
    <w:p w14:paraId="3D66F716" w14:textId="443F0963" w:rsidR="005407D4" w:rsidRPr="005407D4" w:rsidRDefault="00BF1239" w:rsidP="000B61A6">
      <w:pPr>
        <w:pStyle w:val="Reference"/>
      </w:pPr>
      <w:r>
        <w:t>—— </w:t>
      </w:r>
      <w:r w:rsidR="005407D4" w:rsidRPr="005407D4">
        <w:t xml:space="preserve">2021b, </w:t>
      </w:r>
      <w:r w:rsidR="005407D4" w:rsidRPr="005407D4">
        <w:rPr>
          <w:i/>
          <w:iCs/>
        </w:rPr>
        <w:t>Characteristics of Australian Business, 2019-20</w:t>
      </w:r>
      <w:r w:rsidR="005407D4" w:rsidRPr="005407D4">
        <w:t>, www.abs.gov.au/statistics/industry/technology-and-innovation/characteristics-australian-business/latest-release (accessed 22 June 2022).</w:t>
      </w:r>
    </w:p>
    <w:p w14:paraId="3221E8ED" w14:textId="11B1A657" w:rsidR="005407D4" w:rsidRPr="005407D4" w:rsidRDefault="005407D4" w:rsidP="000B61A6">
      <w:pPr>
        <w:pStyle w:val="Reference"/>
      </w:pPr>
      <w:r w:rsidRPr="005407D4">
        <w:t>——</w:t>
      </w:r>
      <w:r w:rsidR="00BF1239">
        <w:t> </w:t>
      </w:r>
      <w:r w:rsidRPr="005407D4">
        <w:t xml:space="preserve">2021c, </w:t>
      </w:r>
      <w:r w:rsidRPr="005407D4">
        <w:rPr>
          <w:i/>
          <w:iCs/>
        </w:rPr>
        <w:t>Employment and Earnings, Public Sector, Australia, 2020-21</w:t>
      </w:r>
      <w:r w:rsidRPr="005407D4">
        <w:t>, Cat. no. 6248.0, Canberra, ACT.</w:t>
      </w:r>
    </w:p>
    <w:p w14:paraId="59F18F15" w14:textId="568F1709" w:rsidR="005407D4" w:rsidRPr="005407D4" w:rsidRDefault="00BF1239" w:rsidP="000B61A6">
      <w:pPr>
        <w:pStyle w:val="Reference"/>
      </w:pPr>
      <w:r>
        <w:t>—— </w:t>
      </w:r>
      <w:r w:rsidR="005407D4" w:rsidRPr="005407D4">
        <w:t xml:space="preserve">2021d, </w:t>
      </w:r>
      <w:r w:rsidR="005407D4" w:rsidRPr="005407D4">
        <w:rPr>
          <w:i/>
          <w:iCs/>
        </w:rPr>
        <w:t>Research and Experimental Development, Businesses, Australia, 2019-20</w:t>
      </w:r>
      <w:r w:rsidR="005407D4" w:rsidRPr="005407D4">
        <w:t>, Cat. no. 8104.0, Canberra.</w:t>
      </w:r>
    </w:p>
    <w:p w14:paraId="230B014E" w14:textId="2127A013" w:rsidR="005407D4" w:rsidRPr="005407D4" w:rsidRDefault="00BF1239" w:rsidP="000B61A6">
      <w:pPr>
        <w:pStyle w:val="Reference"/>
      </w:pPr>
      <w:r>
        <w:t>—— </w:t>
      </w:r>
      <w:r w:rsidR="005407D4" w:rsidRPr="005407D4">
        <w:t xml:space="preserve">2022a, </w:t>
      </w:r>
      <w:r w:rsidR="005407D4" w:rsidRPr="005407D4">
        <w:rPr>
          <w:i/>
          <w:iCs/>
        </w:rPr>
        <w:t>Characteristics of Australian Business, 2020-21</w:t>
      </w:r>
      <w:r w:rsidR="005407D4" w:rsidRPr="005407D4">
        <w:t>, Cat. no. 8158, Canberra.</w:t>
      </w:r>
    </w:p>
    <w:p w14:paraId="783DDDA8" w14:textId="58508CC9" w:rsidR="005407D4" w:rsidRPr="005407D4" w:rsidRDefault="00BF1239" w:rsidP="000B61A6">
      <w:pPr>
        <w:pStyle w:val="Reference"/>
      </w:pPr>
      <w:r>
        <w:t>—— </w:t>
      </w:r>
      <w:r w:rsidR="005407D4" w:rsidRPr="005407D4">
        <w:t xml:space="preserve">2022b, </w:t>
      </w:r>
      <w:r w:rsidR="005407D4" w:rsidRPr="005407D4">
        <w:rPr>
          <w:i/>
          <w:iCs/>
        </w:rPr>
        <w:t>Government Finance Statistics, Australia, 2020-21</w:t>
      </w:r>
      <w:r w:rsidR="005407D4" w:rsidRPr="005407D4">
        <w:t>, Cat. no. 5512, Canberra.</w:t>
      </w:r>
    </w:p>
    <w:p w14:paraId="786D6B71" w14:textId="4157E43F" w:rsidR="005407D4" w:rsidRPr="005407D4" w:rsidRDefault="00BF1239" w:rsidP="000B61A6">
      <w:pPr>
        <w:pStyle w:val="Reference"/>
      </w:pPr>
      <w:r>
        <w:t>—— </w:t>
      </w:r>
      <w:r w:rsidR="005407D4" w:rsidRPr="005407D4">
        <w:t xml:space="preserve">2022c, </w:t>
      </w:r>
      <w:r w:rsidR="005407D4" w:rsidRPr="005407D4">
        <w:rPr>
          <w:i/>
          <w:iCs/>
        </w:rPr>
        <w:t>Innovation in Australian Business, 2020-21 financial year</w:t>
      </w:r>
      <w:r w:rsidR="005407D4" w:rsidRPr="005407D4">
        <w:t>, www.abs.gov.au/statistics/industry/technology-and-innovation/innovation-australian-business/latest-release (accessed 5 August 2022).</w:t>
      </w:r>
    </w:p>
    <w:p w14:paraId="18BFC02B" w14:textId="68C88B45" w:rsidR="005407D4" w:rsidRPr="005407D4" w:rsidRDefault="00BF1239" w:rsidP="000B61A6">
      <w:pPr>
        <w:pStyle w:val="Reference"/>
      </w:pPr>
      <w:r>
        <w:t>—— </w:t>
      </w:r>
      <w:r w:rsidR="005407D4" w:rsidRPr="005407D4">
        <w:t xml:space="preserve">2022d, </w:t>
      </w:r>
      <w:r w:rsidR="005407D4" w:rsidRPr="005407D4">
        <w:rPr>
          <w:i/>
          <w:iCs/>
        </w:rPr>
        <w:t>Labour Force, Australia, Detailed</w:t>
      </w:r>
      <w:r w:rsidR="005407D4" w:rsidRPr="005407D4">
        <w:t>, Cat. no. 6291.0.55.001, Canberra.</w:t>
      </w:r>
    </w:p>
    <w:p w14:paraId="0F3BFDAD" w14:textId="6EA793BE" w:rsidR="005407D4" w:rsidRPr="005407D4" w:rsidRDefault="00BF1239" w:rsidP="000B61A6">
      <w:pPr>
        <w:pStyle w:val="Reference"/>
      </w:pPr>
      <w:r>
        <w:t>—— </w:t>
      </w:r>
      <w:r w:rsidR="005407D4" w:rsidRPr="005407D4">
        <w:t xml:space="preserve">2022e, </w:t>
      </w:r>
      <w:r w:rsidR="005407D4" w:rsidRPr="005407D4">
        <w:rPr>
          <w:i/>
          <w:iCs/>
        </w:rPr>
        <w:t>Research and Experimental Development, Government and Private Non-Profit Organisations, Australia, 2020-21</w:t>
      </w:r>
      <w:r w:rsidR="005407D4" w:rsidRPr="005407D4">
        <w:t>, Cat. no. 8109.0, Canberra, ACT.</w:t>
      </w:r>
    </w:p>
    <w:p w14:paraId="0B7F9757" w14:textId="63DC1116" w:rsidR="005407D4" w:rsidRPr="005407D4" w:rsidRDefault="005407D4" w:rsidP="000B61A6">
      <w:pPr>
        <w:pStyle w:val="Reference"/>
      </w:pPr>
      <w:r w:rsidRPr="005407D4">
        <w:t>——</w:t>
      </w:r>
      <w:r w:rsidR="00BF1239">
        <w:t> </w:t>
      </w:r>
      <w:r w:rsidRPr="005407D4">
        <w:t xml:space="preserve">2022f, </w:t>
      </w:r>
      <w:r w:rsidRPr="005407D4">
        <w:rPr>
          <w:i/>
          <w:iCs/>
        </w:rPr>
        <w:t>Work-Related Training and Adult Learning, Australia, 2020-21 financial year</w:t>
      </w:r>
      <w:r w:rsidRPr="005407D4">
        <w:t>, Cat. no 4234.0, ABS, Canberra, www.abs.gov.au/statistics/people/education/work-related-training-and-adult-learning-australia/latest-release (accessed 16 August 2022).</w:t>
      </w:r>
    </w:p>
    <w:p w14:paraId="38DD8EA4" w14:textId="2FD41E41" w:rsidR="005407D4" w:rsidRPr="005407D4" w:rsidRDefault="005407D4" w:rsidP="000B61A6">
      <w:pPr>
        <w:pStyle w:val="Reference"/>
      </w:pPr>
      <w:r w:rsidRPr="005407D4">
        <w:t xml:space="preserve">ACCC (Australian Competition and Consumer Commission) 2019, </w:t>
      </w:r>
      <w:r w:rsidRPr="005407D4">
        <w:rPr>
          <w:i/>
          <w:iCs/>
        </w:rPr>
        <w:t>ACCC submission to Standards Australia’s Discussion paper on the Distribution and Licensing Policy Framework</w:t>
      </w:r>
      <w:r w:rsidRPr="005407D4">
        <w:t>, 21</w:t>
      </w:r>
      <w:r w:rsidR="009335BA">
        <w:t> </w:t>
      </w:r>
      <w:r w:rsidRPr="005407D4">
        <w:t>August, Canberra.</w:t>
      </w:r>
    </w:p>
    <w:p w14:paraId="26B5FF99" w14:textId="77777777" w:rsidR="005407D4" w:rsidRPr="005407D4" w:rsidRDefault="005407D4" w:rsidP="000B61A6">
      <w:pPr>
        <w:pStyle w:val="Reference"/>
      </w:pPr>
      <w:r w:rsidRPr="005407D4">
        <w:t xml:space="preserve">ACSQHC (Australian Commission on Safety and Quality in Healthcare) 2019, </w:t>
      </w:r>
      <w:r w:rsidRPr="005407D4">
        <w:rPr>
          <w:i/>
          <w:iCs/>
        </w:rPr>
        <w:t>The state of patient safety and quality in Australian hospitals 2019</w:t>
      </w:r>
      <w:r w:rsidRPr="005407D4">
        <w:t>, Sydney.</w:t>
      </w:r>
    </w:p>
    <w:p w14:paraId="2F1B5824" w14:textId="76105224" w:rsidR="005407D4" w:rsidRPr="005407D4" w:rsidRDefault="005407D4" w:rsidP="000B61A6">
      <w:pPr>
        <w:pStyle w:val="Reference"/>
      </w:pPr>
      <w:r w:rsidRPr="005407D4">
        <w:t>——</w:t>
      </w:r>
      <w:r w:rsidR="00BF1239">
        <w:t> </w:t>
      </w:r>
      <w:r w:rsidRPr="005407D4">
        <w:t xml:space="preserve">2021a, </w:t>
      </w:r>
      <w:r w:rsidRPr="005407D4">
        <w:rPr>
          <w:i/>
          <w:iCs/>
        </w:rPr>
        <w:t>AURA 2021: Fourth Australian report on antimicrobial use and resistance in human health</w:t>
      </w:r>
      <w:r w:rsidRPr="005407D4">
        <w:t>, Sydney.</w:t>
      </w:r>
    </w:p>
    <w:p w14:paraId="47112276" w14:textId="18A31464" w:rsidR="005407D4" w:rsidRPr="005407D4" w:rsidRDefault="005407D4" w:rsidP="000B61A6">
      <w:pPr>
        <w:pStyle w:val="Reference"/>
      </w:pPr>
      <w:r w:rsidRPr="005407D4">
        <w:t>——</w:t>
      </w:r>
      <w:r w:rsidR="00BF1239">
        <w:t> </w:t>
      </w:r>
      <w:r w:rsidRPr="005407D4">
        <w:t xml:space="preserve">2021b, </w:t>
      </w:r>
      <w:r w:rsidRPr="005407D4">
        <w:rPr>
          <w:i/>
          <w:iCs/>
        </w:rPr>
        <w:t>The fourth atlas of healthcare variation 2021 - National summary</w:t>
      </w:r>
      <w:r w:rsidRPr="005407D4">
        <w:t>.</w:t>
      </w:r>
    </w:p>
    <w:p w14:paraId="7763EA59" w14:textId="3801E7BA" w:rsidR="005407D4" w:rsidRPr="005407D4" w:rsidRDefault="005407D4" w:rsidP="000B61A6">
      <w:pPr>
        <w:pStyle w:val="Reference"/>
      </w:pPr>
      <w:r w:rsidRPr="005407D4">
        <w:t>——</w:t>
      </w:r>
      <w:r w:rsidR="00BF1239">
        <w:t> </w:t>
      </w:r>
      <w:r w:rsidRPr="005407D4">
        <w:t xml:space="preserve">2022, </w:t>
      </w:r>
      <w:r w:rsidRPr="005407D4">
        <w:rPr>
          <w:i/>
          <w:iCs/>
        </w:rPr>
        <w:t>Condition specific PROMs</w:t>
      </w:r>
      <w:r w:rsidRPr="005407D4">
        <w:t>, www.safetyandquality.gov.au/our-work/indicators-measurement-and-reporting/patient-reported-outcomes/proms-lists/condition-specific-proms (accessed 8 September 2022).</w:t>
      </w:r>
    </w:p>
    <w:p w14:paraId="4F223E3C" w14:textId="77777777" w:rsidR="005407D4" w:rsidRPr="005407D4" w:rsidRDefault="005407D4" w:rsidP="000B61A6">
      <w:pPr>
        <w:pStyle w:val="Reference"/>
      </w:pPr>
      <w:r w:rsidRPr="005407D4">
        <w:t xml:space="preserve">ACTAO (ACT Auditor-General’s Office) 2012, </w:t>
      </w:r>
      <w:r w:rsidRPr="005407D4">
        <w:rPr>
          <w:i/>
          <w:iCs/>
        </w:rPr>
        <w:t>Emergency Department Performance Information</w:t>
      </w:r>
      <w:r w:rsidRPr="005407D4">
        <w:t>, Performance Audit Report, Report No. 6 / 2012, Canberra.</w:t>
      </w:r>
    </w:p>
    <w:p w14:paraId="6FBA5ED5" w14:textId="7F2FFBA2" w:rsidR="005407D4" w:rsidRPr="005407D4" w:rsidRDefault="005407D4" w:rsidP="000B61A6">
      <w:pPr>
        <w:pStyle w:val="Reference"/>
      </w:pPr>
      <w:r w:rsidRPr="005407D4">
        <w:t xml:space="preserve">AFSA (Australian Financial Security Authority) 2022, </w:t>
      </w:r>
      <w:r w:rsidRPr="005407D4">
        <w:rPr>
          <w:i/>
          <w:iCs/>
        </w:rPr>
        <w:t>Quarterly Personal Insolvency Statistics, Time Series</w:t>
      </w:r>
      <w:r w:rsidRPr="005407D4">
        <w:t>, www.afsa.gov.au/</w:t>
      </w:r>
      <w:r w:rsidR="00FD4771">
        <w:br/>
      </w:r>
      <w:r w:rsidRPr="005407D4">
        <w:t>statistics/quarterly-personal-insolvency-time-series (accessed 8 August 2022).</w:t>
      </w:r>
    </w:p>
    <w:p w14:paraId="5BD505D1" w14:textId="77777777" w:rsidR="005407D4" w:rsidRPr="005407D4" w:rsidRDefault="005407D4" w:rsidP="000B61A6">
      <w:pPr>
        <w:pStyle w:val="Reference"/>
      </w:pPr>
      <w:r w:rsidRPr="005407D4">
        <w:t xml:space="preserve">Agarwal, R., Bajada, C., Brown, P., Moran, I. and Balaguer, A. 2019, </w:t>
      </w:r>
      <w:r w:rsidRPr="005407D4">
        <w:rPr>
          <w:i/>
          <w:iCs/>
        </w:rPr>
        <w:t>Development of Management Capability Scores</w:t>
      </w:r>
      <w:r w:rsidRPr="005407D4">
        <w:t>, Research Paper 10/2019, Department of Industry, Innovation and Science, p. 67.</w:t>
      </w:r>
    </w:p>
    <w:p w14:paraId="164D0742" w14:textId="77777777" w:rsidR="005407D4" w:rsidRPr="005407D4" w:rsidRDefault="005407D4" w:rsidP="000B61A6">
      <w:pPr>
        <w:pStyle w:val="Reference"/>
      </w:pPr>
      <w:r w:rsidRPr="005407D4">
        <w:t xml:space="preserve">——, Brown, P.J., Green, R., Randhawa, K. and Tan, H. 2014, ‘Management practices of Australian manufacturing firms: why are some firms more innovative?’, </w:t>
      </w:r>
      <w:r w:rsidRPr="005407D4">
        <w:rPr>
          <w:i/>
          <w:iCs/>
        </w:rPr>
        <w:t>International Journal of Production Research</w:t>
      </w:r>
      <w:r w:rsidRPr="005407D4">
        <w:t>, vol. 52, no. 21, pp. 6496–6517.</w:t>
      </w:r>
    </w:p>
    <w:p w14:paraId="241C2AC5" w14:textId="77777777" w:rsidR="005407D4" w:rsidRPr="005407D4" w:rsidRDefault="005407D4" w:rsidP="000B61A6">
      <w:pPr>
        <w:pStyle w:val="Reference"/>
      </w:pPr>
      <w:r w:rsidRPr="005407D4">
        <w:t xml:space="preserve">Aghion, P., Bloom, N., Blundell, R., Griffith, R. and Howitt, P. 2005, </w:t>
      </w:r>
      <w:r w:rsidRPr="005407D4">
        <w:rPr>
          <w:i/>
          <w:iCs/>
        </w:rPr>
        <w:t>Competition and Innovation: An Inverted-U Relationship</w:t>
      </w:r>
      <w:r w:rsidRPr="005407D4">
        <w:t>, NBER Working Papers (9269)., 1 May, National Bureau of Economic Research.</w:t>
      </w:r>
    </w:p>
    <w:p w14:paraId="67A19F75" w14:textId="77777777" w:rsidR="005407D4" w:rsidRPr="005407D4" w:rsidRDefault="005407D4" w:rsidP="000B61A6">
      <w:pPr>
        <w:pStyle w:val="Reference"/>
      </w:pPr>
      <w:r w:rsidRPr="005407D4">
        <w:t xml:space="preserve">Albury, D. 2005, ‘Fostering Innovation in Public Services’, </w:t>
      </w:r>
      <w:r w:rsidRPr="005407D4">
        <w:rPr>
          <w:i/>
          <w:iCs/>
        </w:rPr>
        <w:t>Public Money &amp; Management</w:t>
      </w:r>
      <w:r w:rsidRPr="005407D4">
        <w:t>, vol. 25, no. 1, pp. 51–56.</w:t>
      </w:r>
    </w:p>
    <w:p w14:paraId="3E6F27D1" w14:textId="77777777" w:rsidR="005407D4" w:rsidRPr="005407D4" w:rsidRDefault="005407D4" w:rsidP="000B61A6">
      <w:pPr>
        <w:pStyle w:val="Reference"/>
      </w:pPr>
      <w:proofErr w:type="spellStart"/>
      <w:r w:rsidRPr="005407D4">
        <w:t>Alesina</w:t>
      </w:r>
      <w:proofErr w:type="spellEnd"/>
      <w:r w:rsidRPr="005407D4">
        <w:t xml:space="preserve">, A., </w:t>
      </w:r>
      <w:proofErr w:type="spellStart"/>
      <w:r w:rsidRPr="005407D4">
        <w:t>Harnoss</w:t>
      </w:r>
      <w:proofErr w:type="spellEnd"/>
      <w:r w:rsidRPr="005407D4">
        <w:t xml:space="preserve">, J. and Rapoport, H. 2013, </w:t>
      </w:r>
      <w:r w:rsidRPr="005407D4">
        <w:rPr>
          <w:i/>
          <w:iCs/>
        </w:rPr>
        <w:t>Birthplace Diversity and Economic Prosperity</w:t>
      </w:r>
      <w:r w:rsidRPr="005407D4">
        <w:t>, NBER Working Paper 18699, National Bureau of Economic Research, Cambridge,  Massachusetts, p. 63.</w:t>
      </w:r>
    </w:p>
    <w:p w14:paraId="49574E5F" w14:textId="77777777" w:rsidR="005407D4" w:rsidRPr="005407D4" w:rsidRDefault="005407D4" w:rsidP="000B61A6">
      <w:pPr>
        <w:pStyle w:val="Reference"/>
      </w:pPr>
      <w:r w:rsidRPr="005407D4">
        <w:t xml:space="preserve">Alston, J.M., </w:t>
      </w:r>
      <w:proofErr w:type="spellStart"/>
      <w:r w:rsidRPr="005407D4">
        <w:t>Marra</w:t>
      </w:r>
      <w:proofErr w:type="spellEnd"/>
      <w:r w:rsidRPr="005407D4">
        <w:t xml:space="preserve">, M.C., </w:t>
      </w:r>
      <w:proofErr w:type="spellStart"/>
      <w:r w:rsidRPr="005407D4">
        <w:t>Pardey</w:t>
      </w:r>
      <w:proofErr w:type="spellEnd"/>
      <w:r w:rsidRPr="005407D4">
        <w:t>, P.G. and Wyatt, T.J. 2000, ‘Research returns redux: a meta</w:t>
      </w:r>
      <w:r w:rsidRPr="005407D4">
        <w:rPr>
          <w:rFonts w:ascii="Cambria Math" w:hAnsi="Cambria Math" w:cs="Cambria Math"/>
        </w:rPr>
        <w:t>‐</w:t>
      </w:r>
      <w:r w:rsidRPr="005407D4">
        <w:t xml:space="preserve">analysis of the returns to agricultural R&amp;D’, </w:t>
      </w:r>
      <w:r w:rsidRPr="005407D4">
        <w:rPr>
          <w:i/>
          <w:iCs/>
        </w:rPr>
        <w:t>Australian Journal of Agricultural and Resource Economics</w:t>
      </w:r>
      <w:r w:rsidRPr="005407D4">
        <w:t>, vol. 44, no. 2, pp. 185–215.</w:t>
      </w:r>
    </w:p>
    <w:p w14:paraId="35667D5C" w14:textId="77777777" w:rsidR="005407D4" w:rsidRPr="005407D4" w:rsidRDefault="005407D4" w:rsidP="000B61A6">
      <w:pPr>
        <w:pStyle w:val="Reference"/>
      </w:pPr>
      <w:r w:rsidRPr="005407D4">
        <w:t xml:space="preserve">AMGC (Advanced Manufacturing Growth Centre Limited) 2021, </w:t>
      </w:r>
      <w:r w:rsidRPr="005407D4">
        <w:rPr>
          <w:i/>
          <w:iCs/>
        </w:rPr>
        <w:t>Annual Report 2020-21</w:t>
      </w:r>
      <w:r w:rsidRPr="005407D4">
        <w:t>.</w:t>
      </w:r>
    </w:p>
    <w:p w14:paraId="37E40D03" w14:textId="77777777" w:rsidR="005407D4" w:rsidRPr="005407D4" w:rsidRDefault="005407D4" w:rsidP="000B61A6">
      <w:pPr>
        <w:pStyle w:val="Reference"/>
      </w:pPr>
      <w:r w:rsidRPr="005407D4">
        <w:t xml:space="preserve">Andrews, D., </w:t>
      </w:r>
      <w:proofErr w:type="spellStart"/>
      <w:r w:rsidRPr="005407D4">
        <w:t>Criscuolo</w:t>
      </w:r>
      <w:proofErr w:type="spellEnd"/>
      <w:r w:rsidRPr="005407D4">
        <w:t xml:space="preserve">, C. and Hansell, D. 2019, </w:t>
      </w:r>
      <w:r w:rsidRPr="005407D4">
        <w:rPr>
          <w:i/>
          <w:iCs/>
        </w:rPr>
        <w:t>The Best versus the Rest: Divergence across Firms during the Global Productivity Slowdown</w:t>
      </w:r>
      <w:r w:rsidRPr="005407D4">
        <w:t>, CEP Discussion Paper 1645, Centre for Economic Performance, LSE.</w:t>
      </w:r>
    </w:p>
    <w:p w14:paraId="42D3F6B8" w14:textId="77777777" w:rsidR="005407D4" w:rsidRPr="005407D4" w:rsidRDefault="005407D4" w:rsidP="000B61A6">
      <w:pPr>
        <w:pStyle w:val="Reference"/>
      </w:pPr>
      <w:r w:rsidRPr="005407D4">
        <w:t xml:space="preserve">——, </w:t>
      </w:r>
      <w:proofErr w:type="spellStart"/>
      <w:r w:rsidRPr="005407D4">
        <w:t>Hambur</w:t>
      </w:r>
      <w:proofErr w:type="spellEnd"/>
      <w:r w:rsidRPr="005407D4">
        <w:t xml:space="preserve">, J. and </w:t>
      </w:r>
      <w:proofErr w:type="spellStart"/>
      <w:r w:rsidRPr="005407D4">
        <w:t>Bahar</w:t>
      </w:r>
      <w:proofErr w:type="spellEnd"/>
      <w:r w:rsidRPr="005407D4">
        <w:t xml:space="preserve">, E. 2021, </w:t>
      </w:r>
      <w:r w:rsidRPr="005407D4">
        <w:rPr>
          <w:i/>
          <w:iCs/>
        </w:rPr>
        <w:t>The COVID-19 shock and productivity-enhancing reallocation in Australia: Real-time evidence from Single Touch Payroll</w:t>
      </w:r>
      <w:r w:rsidRPr="005407D4">
        <w:t>, OECD Economics Department Working Papers, No. 1677, OECD Publishing, Paris.</w:t>
      </w:r>
    </w:p>
    <w:p w14:paraId="58ACC762" w14:textId="77777777" w:rsidR="005407D4" w:rsidRPr="005407D4" w:rsidRDefault="005407D4" w:rsidP="000B61A6">
      <w:pPr>
        <w:pStyle w:val="Reference"/>
      </w:pPr>
      <w:r w:rsidRPr="005407D4">
        <w:t xml:space="preserve">——, ——, Hansell, D. and Wheeler, A. 2022, </w:t>
      </w:r>
      <w:r w:rsidRPr="005407D4">
        <w:rPr>
          <w:i/>
          <w:iCs/>
        </w:rPr>
        <w:t>Reaching for the stars: Australian firms and the global productivity frontier</w:t>
      </w:r>
      <w:r w:rsidRPr="005407D4">
        <w:t>, Treasury Working Paper 2022-01.</w:t>
      </w:r>
    </w:p>
    <w:p w14:paraId="7769F2EF" w14:textId="77777777" w:rsidR="005407D4" w:rsidRPr="005407D4" w:rsidRDefault="005407D4" w:rsidP="000B61A6">
      <w:pPr>
        <w:pStyle w:val="Reference"/>
      </w:pPr>
      <w:r w:rsidRPr="005407D4">
        <w:t xml:space="preserve">——, Nicoletti, G. and von </w:t>
      </w:r>
      <w:proofErr w:type="spellStart"/>
      <w:r w:rsidRPr="005407D4">
        <w:t>Rueden</w:t>
      </w:r>
      <w:proofErr w:type="spellEnd"/>
      <w:r w:rsidRPr="005407D4">
        <w:t xml:space="preserve">, C. 2020, ‘Digital technology diffusion: A matter of capabilities, incentives or both?’, </w:t>
      </w:r>
      <w:r w:rsidRPr="005407D4">
        <w:rPr>
          <w:i/>
          <w:iCs/>
        </w:rPr>
        <w:t>European Economic Review</w:t>
      </w:r>
      <w:r w:rsidRPr="005407D4">
        <w:t>, vol. 128, p. 103513.</w:t>
      </w:r>
    </w:p>
    <w:p w14:paraId="3699B017" w14:textId="77777777" w:rsidR="005407D4" w:rsidRPr="005407D4" w:rsidRDefault="005407D4" w:rsidP="000B61A6">
      <w:pPr>
        <w:pStyle w:val="Reference"/>
      </w:pPr>
      <w:r w:rsidRPr="005407D4">
        <w:t xml:space="preserve">Andrews, M., </w:t>
      </w:r>
      <w:proofErr w:type="spellStart"/>
      <w:r w:rsidRPr="005407D4">
        <w:t>Chatterji</w:t>
      </w:r>
      <w:proofErr w:type="spellEnd"/>
      <w:r w:rsidRPr="005407D4">
        <w:t xml:space="preserve">, A. and Stern, S. 2022, ‘Beyond 14 Characters’, </w:t>
      </w:r>
      <w:r w:rsidRPr="005407D4">
        <w:rPr>
          <w:i/>
          <w:iCs/>
        </w:rPr>
        <w:t>The Role of Innovation and Entrepreneurship in Economic Growth</w:t>
      </w:r>
      <w:r w:rsidRPr="005407D4">
        <w:t>, University of Chicago Press, Massachusetts.</w:t>
      </w:r>
    </w:p>
    <w:p w14:paraId="4105202C" w14:textId="77777777" w:rsidR="005407D4" w:rsidRPr="005407D4" w:rsidRDefault="005407D4" w:rsidP="000B61A6">
      <w:pPr>
        <w:pStyle w:val="Reference"/>
      </w:pPr>
      <w:r w:rsidRPr="005407D4">
        <w:t xml:space="preserve">ANZSOG (Australia and New Zealand School of Government) 2019, </w:t>
      </w:r>
      <w:r w:rsidRPr="005407D4">
        <w:rPr>
          <w:i/>
          <w:iCs/>
        </w:rPr>
        <w:t>Today’s Problems, Yesterday’s Toolkit</w:t>
      </w:r>
      <w:r w:rsidRPr="005407D4">
        <w:t>, Melbourne.</w:t>
      </w:r>
    </w:p>
    <w:p w14:paraId="7CB00C33" w14:textId="77777777" w:rsidR="005407D4" w:rsidRPr="005407D4" w:rsidRDefault="005407D4" w:rsidP="000B61A6">
      <w:pPr>
        <w:pStyle w:val="Reference"/>
      </w:pPr>
      <w:r w:rsidRPr="005407D4">
        <w:t xml:space="preserve">APRA (Australian Prudential Regulation Authority) 2022, </w:t>
      </w:r>
      <w:r w:rsidRPr="005407D4">
        <w:rPr>
          <w:i/>
          <w:iCs/>
        </w:rPr>
        <w:t>Revisions to the capital framework for authorised deposit-taking institutions | APRA</w:t>
      </w:r>
      <w:r w:rsidRPr="005407D4">
        <w:t>, https://www.apra.gov.au/revisions-to-capital-framework-for-authorised-deposit-taking-institutions (accessed 24 August 2022).</w:t>
      </w:r>
    </w:p>
    <w:p w14:paraId="08D10707" w14:textId="3C7415E5" w:rsidR="005407D4" w:rsidRPr="005407D4" w:rsidRDefault="005407D4" w:rsidP="000B61A6">
      <w:pPr>
        <w:pStyle w:val="Reference"/>
      </w:pPr>
      <w:r w:rsidRPr="005407D4">
        <w:lastRenderedPageBreak/>
        <w:t xml:space="preserve">ARC (Australian Research Council) 2018, </w:t>
      </w:r>
      <w:r w:rsidRPr="005407D4">
        <w:rPr>
          <w:i/>
          <w:iCs/>
        </w:rPr>
        <w:t>Linkage Program—supporting industry-research collaboration</w:t>
      </w:r>
      <w:r w:rsidRPr="005407D4">
        <w:t xml:space="preserve">, </w:t>
      </w:r>
      <w:r w:rsidR="00FD4F4F" w:rsidRPr="00FD4F4F">
        <w:t>www.arc.gov.au</w:t>
      </w:r>
      <w:r w:rsidR="00FD4F4F">
        <w:br/>
      </w:r>
      <w:r w:rsidRPr="005407D4">
        <w:t>/overview-arc-grant-opportunities/linkage-program-supporting-industry-research-collaboration (accessed 25 May 2022).</w:t>
      </w:r>
    </w:p>
    <w:p w14:paraId="56074CD1" w14:textId="77777777" w:rsidR="005407D4" w:rsidRPr="005407D4" w:rsidRDefault="005407D4" w:rsidP="000B61A6">
      <w:pPr>
        <w:pStyle w:val="Reference"/>
      </w:pPr>
      <w:r w:rsidRPr="005407D4">
        <w:t xml:space="preserve">van Ark, B., </w:t>
      </w:r>
      <w:proofErr w:type="spellStart"/>
      <w:r w:rsidRPr="005407D4">
        <w:t>O’Mahony</w:t>
      </w:r>
      <w:proofErr w:type="spellEnd"/>
      <w:r w:rsidRPr="005407D4">
        <w:t xml:space="preserve">, M. and Timmer, M.P. 2008, ‘The Productivity Gap between Europe and the United States: Trends and Causes’, </w:t>
      </w:r>
      <w:r w:rsidRPr="005407D4">
        <w:rPr>
          <w:i/>
          <w:iCs/>
        </w:rPr>
        <w:t>Journal of Economic Perspectives</w:t>
      </w:r>
      <w:r w:rsidRPr="005407D4">
        <w:t>, vol. 22, no. 1, pp. 25–44.</w:t>
      </w:r>
    </w:p>
    <w:p w14:paraId="711ACD62" w14:textId="77777777" w:rsidR="005407D4" w:rsidRPr="005407D4" w:rsidRDefault="005407D4" w:rsidP="000B61A6">
      <w:pPr>
        <w:pStyle w:val="Reference"/>
      </w:pPr>
      <w:r w:rsidRPr="005407D4">
        <w:t xml:space="preserve">ASBFEO (Australian Small Business and Family Enterprise Ombudsman) 2019, </w:t>
      </w:r>
      <w:r w:rsidRPr="005407D4">
        <w:rPr>
          <w:i/>
          <w:iCs/>
        </w:rPr>
        <w:t>Review of the R&amp;D Tax Incentive</w:t>
      </w:r>
      <w:r w:rsidRPr="005407D4">
        <w:t>.</w:t>
      </w:r>
    </w:p>
    <w:p w14:paraId="2C46122D" w14:textId="77777777" w:rsidR="005407D4" w:rsidRPr="005407D4" w:rsidRDefault="005407D4" w:rsidP="000B61A6">
      <w:pPr>
        <w:pStyle w:val="Reference"/>
      </w:pPr>
      <w:r w:rsidRPr="005407D4">
        <w:t xml:space="preserve">ASIC (Australian Securities and Investments Commission) 2022, </w:t>
      </w:r>
      <w:r w:rsidRPr="005407D4">
        <w:rPr>
          <w:i/>
          <w:iCs/>
        </w:rPr>
        <w:t>Insolvency statistics - Series 1 Companies entering external administration and controller appointments</w:t>
      </w:r>
      <w:r w:rsidRPr="005407D4">
        <w:t>.</w:t>
      </w:r>
    </w:p>
    <w:p w14:paraId="17341FA4" w14:textId="24CE0A0A" w:rsidR="005407D4" w:rsidRPr="001440B3" w:rsidRDefault="005407D4" w:rsidP="000B61A6">
      <w:pPr>
        <w:pStyle w:val="Reference"/>
        <w:rPr>
          <w:spacing w:val="-6"/>
        </w:rPr>
      </w:pPr>
      <w:r w:rsidRPr="001440B3">
        <w:rPr>
          <w:spacing w:val="-6"/>
        </w:rPr>
        <w:t xml:space="preserve">ATO (Australian Taxation Office) 2022, </w:t>
      </w:r>
      <w:r w:rsidRPr="001440B3">
        <w:rPr>
          <w:i/>
          <w:iCs/>
          <w:spacing w:val="-6"/>
        </w:rPr>
        <w:t>Small business benchmarks</w:t>
      </w:r>
      <w:r w:rsidRPr="001440B3">
        <w:rPr>
          <w:spacing w:val="-6"/>
        </w:rPr>
        <w:t>, Australian Taxation Office, www.ato.gov.au/</w:t>
      </w:r>
      <w:r w:rsidR="002A59A0" w:rsidRPr="001440B3">
        <w:rPr>
          <w:spacing w:val="-6"/>
        </w:rPr>
        <w:br/>
      </w:r>
      <w:r w:rsidRPr="001440B3">
        <w:rPr>
          <w:spacing w:val="-6"/>
        </w:rPr>
        <w:t>Business/Small-business-benchmarks/ (accessed 23 August 2022).</w:t>
      </w:r>
    </w:p>
    <w:p w14:paraId="45AEA182" w14:textId="77777777" w:rsidR="005407D4" w:rsidRPr="005407D4" w:rsidRDefault="005407D4" w:rsidP="000B61A6">
      <w:pPr>
        <w:pStyle w:val="Reference"/>
      </w:pPr>
      <w:proofErr w:type="spellStart"/>
      <w:r w:rsidRPr="005407D4">
        <w:t>Attrey</w:t>
      </w:r>
      <w:proofErr w:type="spellEnd"/>
      <w:r w:rsidRPr="005407D4">
        <w:t xml:space="preserve">, A., </w:t>
      </w:r>
      <w:proofErr w:type="spellStart"/>
      <w:r w:rsidRPr="005407D4">
        <w:t>Lesher</w:t>
      </w:r>
      <w:proofErr w:type="spellEnd"/>
      <w:r w:rsidRPr="005407D4">
        <w:t xml:space="preserve">, M. and Lomax, C. 2020, </w:t>
      </w:r>
      <w:r w:rsidRPr="005407D4">
        <w:rPr>
          <w:i/>
          <w:iCs/>
        </w:rPr>
        <w:t>The role of sandboxes in promoting flexibility and innovation in the digital age</w:t>
      </w:r>
      <w:r w:rsidRPr="005407D4">
        <w:t>, OECD Going Digital Toolkit Notes, No. 2, vol 2, 2, Going Digital Toolkit Notes, OECD Publishing, Paris.</w:t>
      </w:r>
    </w:p>
    <w:p w14:paraId="5776C447" w14:textId="071840A3" w:rsidR="005407D4" w:rsidRPr="005407D4" w:rsidRDefault="005407D4" w:rsidP="000B61A6">
      <w:pPr>
        <w:pStyle w:val="Reference"/>
      </w:pPr>
      <w:r w:rsidRPr="005407D4">
        <w:t xml:space="preserve">Austrade (Australian Trade and Investment Commission) 2021a, </w:t>
      </w:r>
      <w:r w:rsidRPr="005407D4">
        <w:rPr>
          <w:i/>
          <w:iCs/>
        </w:rPr>
        <w:t>Investor Updates</w:t>
      </w:r>
      <w:r w:rsidRPr="005407D4">
        <w:t>, www.austrade.gov.au/</w:t>
      </w:r>
      <w:r w:rsidR="002A59A0">
        <w:br/>
      </w:r>
      <w:r w:rsidRPr="005407D4">
        <w:t>international/invest/investor-updates/2021/australia-home-to-48-of-the-world-s-top-50-most-innovative-companies (accessed 5 August 2022).</w:t>
      </w:r>
    </w:p>
    <w:p w14:paraId="0254BFA6" w14:textId="787BFEE1" w:rsidR="005407D4" w:rsidRPr="005407D4" w:rsidRDefault="005407D4" w:rsidP="000B61A6">
      <w:pPr>
        <w:pStyle w:val="Reference"/>
      </w:pPr>
      <w:r w:rsidRPr="005407D4">
        <w:t>——</w:t>
      </w:r>
      <w:r w:rsidR="00BF1239">
        <w:t> </w:t>
      </w:r>
      <w:r w:rsidRPr="005407D4">
        <w:t xml:space="preserve">2021b, </w:t>
      </w:r>
      <w:r w:rsidRPr="005407D4">
        <w:rPr>
          <w:i/>
          <w:iCs/>
        </w:rPr>
        <w:t xml:space="preserve">IP Group invests in Australian electrolyser company </w:t>
      </w:r>
      <w:proofErr w:type="spellStart"/>
      <w:r w:rsidRPr="005407D4">
        <w:rPr>
          <w:i/>
          <w:iCs/>
        </w:rPr>
        <w:t>Hysata</w:t>
      </w:r>
      <w:proofErr w:type="spellEnd"/>
      <w:r w:rsidRPr="005407D4">
        <w:t>, www.austrade.gov.au/international/</w:t>
      </w:r>
      <w:r w:rsidR="006C031E">
        <w:br/>
      </w:r>
      <w:r w:rsidRPr="005407D4">
        <w:t>invest/investor-updates/2021/ip-group-invests-in-australian-electrolyser-company-hysata (accessed 5 August 2022).</w:t>
      </w:r>
    </w:p>
    <w:p w14:paraId="0848ED58" w14:textId="47EE06C8" w:rsidR="005407D4" w:rsidRPr="005407D4" w:rsidRDefault="005407D4" w:rsidP="000B61A6">
      <w:pPr>
        <w:pStyle w:val="Reference"/>
      </w:pPr>
      <w:r w:rsidRPr="005407D4">
        <w:t>——</w:t>
      </w:r>
      <w:r w:rsidR="00BF1239">
        <w:t> </w:t>
      </w:r>
      <w:r w:rsidRPr="005407D4">
        <w:t xml:space="preserve">2021c, </w:t>
      </w:r>
      <w:proofErr w:type="spellStart"/>
      <w:r w:rsidRPr="005407D4">
        <w:rPr>
          <w:i/>
          <w:iCs/>
        </w:rPr>
        <w:t>Neoen</w:t>
      </w:r>
      <w:proofErr w:type="spellEnd"/>
      <w:r w:rsidRPr="005407D4">
        <w:rPr>
          <w:i/>
          <w:iCs/>
        </w:rPr>
        <w:t xml:space="preserve"> sees a clean, bright future in Australia</w:t>
      </w:r>
      <w:r w:rsidRPr="005407D4">
        <w:t>, www.austrade.gov.au/news/success-stories/neoen-sees-a-clean-bright-future-in-australia (accessed 5 August 2022).</w:t>
      </w:r>
    </w:p>
    <w:p w14:paraId="70C5F89F" w14:textId="04728B12" w:rsidR="005407D4" w:rsidRPr="005407D4" w:rsidRDefault="005407D4" w:rsidP="000B61A6">
      <w:pPr>
        <w:pStyle w:val="Reference"/>
      </w:pPr>
      <w:r w:rsidRPr="005407D4">
        <w:t>——</w:t>
      </w:r>
      <w:r w:rsidR="00BF1239">
        <w:t> </w:t>
      </w:r>
      <w:r w:rsidRPr="005407D4">
        <w:t xml:space="preserve">2021d, </w:t>
      </w:r>
      <w:proofErr w:type="gramStart"/>
      <w:r w:rsidRPr="005407D4">
        <w:rPr>
          <w:i/>
          <w:iCs/>
        </w:rPr>
        <w:t>Who</w:t>
      </w:r>
      <w:proofErr w:type="gramEnd"/>
      <w:r w:rsidRPr="005407D4">
        <w:rPr>
          <w:i/>
          <w:iCs/>
        </w:rPr>
        <w:t xml:space="preserve"> invests in Australia? Analysing 2020’s $4 trillion record for foreign investment</w:t>
      </w:r>
      <w:r w:rsidRPr="005407D4">
        <w:t>, www.austrade.gov.au/</w:t>
      </w:r>
      <w:r w:rsidR="006C031E">
        <w:br/>
      </w:r>
      <w:r w:rsidRPr="005407D4">
        <w:t>news/economic-analysis/who-invests-in-australia-analysing-2020-s-4-trillion-record-for-foreign-investment (accessed 9 August 2022).</w:t>
      </w:r>
    </w:p>
    <w:p w14:paraId="75DFF0AC" w14:textId="77777777" w:rsidR="005407D4" w:rsidRPr="005407D4" w:rsidRDefault="005407D4" w:rsidP="000B61A6">
      <w:pPr>
        <w:pStyle w:val="Reference"/>
      </w:pPr>
      <w:r w:rsidRPr="005407D4">
        <w:t xml:space="preserve">Australian Centre for Business Growth 2018, </w:t>
      </w:r>
      <w:r w:rsidRPr="005407D4">
        <w:rPr>
          <w:i/>
          <w:iCs/>
        </w:rPr>
        <w:t>Lack of leadership &amp; planning leading cause of small business failure</w:t>
      </w:r>
      <w:r w:rsidRPr="005407D4">
        <w:t>, 20 November, Adelaide.</w:t>
      </w:r>
    </w:p>
    <w:p w14:paraId="2B20F065" w14:textId="12D83076" w:rsidR="005407D4" w:rsidRPr="005407D4" w:rsidRDefault="005407D4" w:rsidP="000B61A6">
      <w:pPr>
        <w:pStyle w:val="Reference"/>
      </w:pPr>
      <w:r w:rsidRPr="005407D4">
        <w:t xml:space="preserve">Australian Government 2022, </w:t>
      </w:r>
      <w:r w:rsidRPr="005407D4">
        <w:rPr>
          <w:i/>
          <w:iCs/>
        </w:rPr>
        <w:t>Policy Hub: Public Sector Innovation Network</w:t>
      </w:r>
      <w:r w:rsidRPr="005407D4">
        <w:t>, www.policyhub.gov.au/resources/public-sector-innovation-network (accessed 26 August 2022).</w:t>
      </w:r>
    </w:p>
    <w:p w14:paraId="29B31A8D" w14:textId="77777777" w:rsidR="005407D4" w:rsidRPr="005407D4" w:rsidRDefault="005407D4" w:rsidP="000B61A6">
      <w:pPr>
        <w:pStyle w:val="Reference"/>
      </w:pPr>
      <w:r w:rsidRPr="005407D4">
        <w:t xml:space="preserve">Bakhtiari, S. 2020, </w:t>
      </w:r>
      <w:r w:rsidRPr="005407D4">
        <w:rPr>
          <w:i/>
          <w:iCs/>
        </w:rPr>
        <w:t xml:space="preserve">Market Power and Entrepreneurship Change: </w:t>
      </w:r>
      <w:proofErr w:type="gramStart"/>
      <w:r w:rsidRPr="005407D4">
        <w:rPr>
          <w:i/>
          <w:iCs/>
        </w:rPr>
        <w:t>the</w:t>
      </w:r>
      <w:proofErr w:type="gramEnd"/>
      <w:r w:rsidRPr="005407D4">
        <w:rPr>
          <w:i/>
          <w:iCs/>
        </w:rPr>
        <w:t xml:space="preserve"> Case for Australia</w:t>
      </w:r>
      <w:r w:rsidRPr="005407D4">
        <w:t>, Research Paper 2/2020, Department of Industry, Science, Energy and Resources, Commonwealth of Australia.</w:t>
      </w:r>
    </w:p>
    <w:p w14:paraId="570E4E1D" w14:textId="77777777" w:rsidR="005407D4" w:rsidRPr="00A251E2" w:rsidRDefault="005407D4" w:rsidP="000B61A6">
      <w:pPr>
        <w:pStyle w:val="Reference"/>
        <w:rPr>
          <w:spacing w:val="-4"/>
        </w:rPr>
      </w:pPr>
      <w:r w:rsidRPr="00A251E2">
        <w:rPr>
          <w:spacing w:val="-4"/>
        </w:rPr>
        <w:t xml:space="preserve">—— and </w:t>
      </w:r>
      <w:proofErr w:type="spellStart"/>
      <w:r w:rsidRPr="00A251E2">
        <w:rPr>
          <w:spacing w:val="-4"/>
        </w:rPr>
        <w:t>Breunig</w:t>
      </w:r>
      <w:proofErr w:type="spellEnd"/>
      <w:r w:rsidRPr="00A251E2">
        <w:rPr>
          <w:spacing w:val="-4"/>
        </w:rPr>
        <w:t xml:space="preserve">, R. 2018, ‘The role of </w:t>
      </w:r>
      <w:proofErr w:type="spellStart"/>
      <w:r w:rsidRPr="00A251E2">
        <w:rPr>
          <w:spacing w:val="-4"/>
        </w:rPr>
        <w:t>spillovers</w:t>
      </w:r>
      <w:proofErr w:type="spellEnd"/>
      <w:r w:rsidRPr="00A251E2">
        <w:rPr>
          <w:spacing w:val="-4"/>
        </w:rPr>
        <w:t xml:space="preserve"> in research and development expenditure in Australian industries’, </w:t>
      </w:r>
      <w:r w:rsidRPr="00A251E2">
        <w:rPr>
          <w:i/>
          <w:iCs/>
          <w:spacing w:val="-4"/>
        </w:rPr>
        <w:t>Economics of Innovation and New Technology</w:t>
      </w:r>
      <w:r w:rsidRPr="00A251E2">
        <w:rPr>
          <w:spacing w:val="-4"/>
        </w:rPr>
        <w:t>, vol. 27, no. 1, pp. 14–38.</w:t>
      </w:r>
    </w:p>
    <w:p w14:paraId="5AD7A5E5" w14:textId="77777777" w:rsidR="005407D4" w:rsidRPr="001440B3" w:rsidRDefault="005407D4" w:rsidP="000B61A6">
      <w:pPr>
        <w:pStyle w:val="Reference"/>
        <w:rPr>
          <w:spacing w:val="-6"/>
        </w:rPr>
      </w:pPr>
      <w:r w:rsidRPr="001440B3">
        <w:rPr>
          <w:spacing w:val="-6"/>
        </w:rPr>
        <w:t xml:space="preserve">BCA (Business Council of Australia) 2010, </w:t>
      </w:r>
      <w:r w:rsidRPr="001440B3">
        <w:rPr>
          <w:i/>
          <w:iCs/>
          <w:spacing w:val="-6"/>
        </w:rPr>
        <w:t>Foreign Attraction: Building on Our Advantages through Foreign Investment</w:t>
      </w:r>
      <w:r w:rsidRPr="001440B3">
        <w:rPr>
          <w:spacing w:val="-6"/>
        </w:rPr>
        <w:t>, 20 April.</w:t>
      </w:r>
    </w:p>
    <w:p w14:paraId="1E042998" w14:textId="77777777" w:rsidR="005407D4" w:rsidRPr="005407D4" w:rsidRDefault="005407D4" w:rsidP="000B61A6">
      <w:pPr>
        <w:pStyle w:val="Reference"/>
      </w:pPr>
      <w:r w:rsidRPr="005407D4">
        <w:t xml:space="preserve">Benchmarking.com.au 2021, </w:t>
      </w:r>
      <w:r w:rsidRPr="005407D4">
        <w:rPr>
          <w:i/>
          <w:iCs/>
        </w:rPr>
        <w:t xml:space="preserve">Benchmarking Tools </w:t>
      </w:r>
      <w:proofErr w:type="gramStart"/>
      <w:r w:rsidRPr="005407D4">
        <w:rPr>
          <w:i/>
          <w:iCs/>
        </w:rPr>
        <w:t>For</w:t>
      </w:r>
      <w:proofErr w:type="gramEnd"/>
      <w:r w:rsidRPr="005407D4">
        <w:rPr>
          <w:i/>
          <w:iCs/>
        </w:rPr>
        <w:t xml:space="preserve"> Australian Businesses</w:t>
      </w:r>
      <w:r w:rsidRPr="005407D4">
        <w:t>, https://benchmarking.com.au/ (accessed 23 August 2022).</w:t>
      </w:r>
    </w:p>
    <w:p w14:paraId="20BC792C" w14:textId="77777777" w:rsidR="005407D4" w:rsidRPr="005407D4" w:rsidRDefault="005407D4" w:rsidP="000B61A6">
      <w:pPr>
        <w:pStyle w:val="Reference"/>
      </w:pPr>
      <w:proofErr w:type="spellStart"/>
      <w:r w:rsidRPr="005407D4">
        <w:t>Bergek</w:t>
      </w:r>
      <w:proofErr w:type="spellEnd"/>
      <w:r w:rsidRPr="005407D4">
        <w:t xml:space="preserve">, A. 2020, ‘Diffusion intermediaries: A taxonomy based on renewable electricity technology in Sweden’, </w:t>
      </w:r>
      <w:r w:rsidRPr="005407D4">
        <w:rPr>
          <w:i/>
          <w:iCs/>
        </w:rPr>
        <w:t>Environmental Innovation and Societal Transitions</w:t>
      </w:r>
      <w:r w:rsidRPr="005407D4">
        <w:t>, vol. 36, pp. 378–392.</w:t>
      </w:r>
    </w:p>
    <w:p w14:paraId="7981555D" w14:textId="77777777" w:rsidR="005407D4" w:rsidRPr="005407D4" w:rsidRDefault="005407D4" w:rsidP="000B61A6">
      <w:pPr>
        <w:pStyle w:val="Reference"/>
      </w:pPr>
      <w:proofErr w:type="spellStart"/>
      <w:r w:rsidRPr="005407D4">
        <w:t>Berlingieri</w:t>
      </w:r>
      <w:proofErr w:type="spellEnd"/>
      <w:r w:rsidRPr="005407D4">
        <w:t xml:space="preserve">, G., </w:t>
      </w:r>
      <w:proofErr w:type="spellStart"/>
      <w:r w:rsidRPr="005407D4">
        <w:t>Calligaris</w:t>
      </w:r>
      <w:proofErr w:type="spellEnd"/>
      <w:r w:rsidRPr="005407D4">
        <w:t xml:space="preserve">, S., </w:t>
      </w:r>
      <w:proofErr w:type="spellStart"/>
      <w:r w:rsidRPr="005407D4">
        <w:t>Criscuolo</w:t>
      </w:r>
      <w:proofErr w:type="spellEnd"/>
      <w:r w:rsidRPr="005407D4">
        <w:t xml:space="preserve">, C. and </w:t>
      </w:r>
      <w:proofErr w:type="spellStart"/>
      <w:r w:rsidRPr="005407D4">
        <w:t>Verlhac</w:t>
      </w:r>
      <w:proofErr w:type="spellEnd"/>
      <w:r w:rsidRPr="005407D4">
        <w:t xml:space="preserve">, R. 2020, </w:t>
      </w:r>
      <w:r w:rsidRPr="005407D4">
        <w:rPr>
          <w:i/>
          <w:iCs/>
        </w:rPr>
        <w:t xml:space="preserve">Laggard firms, technology diffusion and its structural and </w:t>
      </w:r>
      <w:r w:rsidRPr="005407D4">
        <w:rPr>
          <w:i/>
          <w:iCs/>
        </w:rPr>
        <w:t>policy determinants</w:t>
      </w:r>
      <w:r w:rsidRPr="005407D4">
        <w:t>, OECD Science, Technology and Industry Policy Papers, No. 86, OECD Publishing, Paris.</w:t>
      </w:r>
    </w:p>
    <w:p w14:paraId="71B4BC74" w14:textId="77777777" w:rsidR="005407D4" w:rsidRPr="005407D4" w:rsidRDefault="005407D4" w:rsidP="000B61A6">
      <w:pPr>
        <w:pStyle w:val="Reference"/>
      </w:pPr>
      <w:r w:rsidRPr="005407D4">
        <w:t xml:space="preserve">Blind, K., Ramel, F. and </w:t>
      </w:r>
      <w:proofErr w:type="spellStart"/>
      <w:r w:rsidRPr="005407D4">
        <w:t>Rochell</w:t>
      </w:r>
      <w:proofErr w:type="spellEnd"/>
      <w:r w:rsidRPr="005407D4">
        <w:t xml:space="preserve">, C. 2022, ‘The influence of standards and patents on long-term economic growth’, </w:t>
      </w:r>
      <w:r w:rsidRPr="005407D4">
        <w:rPr>
          <w:i/>
          <w:iCs/>
        </w:rPr>
        <w:t>The Journal of Technology Transfer</w:t>
      </w:r>
      <w:r w:rsidRPr="005407D4">
        <w:t>, vol. 47, no. 4, pp. 979–999.</w:t>
      </w:r>
    </w:p>
    <w:p w14:paraId="3DAEAF18" w14:textId="77777777" w:rsidR="005407D4" w:rsidRPr="005407D4" w:rsidRDefault="005407D4" w:rsidP="000B61A6">
      <w:pPr>
        <w:pStyle w:val="Reference"/>
      </w:pPr>
      <w:r w:rsidRPr="005407D4">
        <w:t xml:space="preserve">Bloch, H. and McDonald, J.T. 2001, ‘Import competition and </w:t>
      </w:r>
      <w:proofErr w:type="spellStart"/>
      <w:r w:rsidRPr="005407D4">
        <w:t>labor</w:t>
      </w:r>
      <w:proofErr w:type="spellEnd"/>
      <w:r w:rsidRPr="005407D4">
        <w:t xml:space="preserve"> productivity’, Springer, </w:t>
      </w:r>
      <w:r w:rsidRPr="005407D4">
        <w:rPr>
          <w:i/>
          <w:iCs/>
        </w:rPr>
        <w:t>Journal of Industry, Competition and Trade</w:t>
      </w:r>
      <w:r w:rsidRPr="005407D4">
        <w:t>, vol. 1, no. 3, pp. 301–319.</w:t>
      </w:r>
    </w:p>
    <w:p w14:paraId="717FF66B" w14:textId="77777777" w:rsidR="005407D4" w:rsidRPr="005407D4" w:rsidRDefault="005407D4" w:rsidP="000B61A6">
      <w:pPr>
        <w:pStyle w:val="Reference"/>
      </w:pPr>
      <w:r w:rsidRPr="005407D4">
        <w:t xml:space="preserve">Bloom, N., </w:t>
      </w:r>
      <w:proofErr w:type="spellStart"/>
      <w:r w:rsidRPr="005407D4">
        <w:t>Lemos</w:t>
      </w:r>
      <w:proofErr w:type="spellEnd"/>
      <w:r w:rsidRPr="005407D4">
        <w:t xml:space="preserve">, R., </w:t>
      </w:r>
      <w:proofErr w:type="spellStart"/>
      <w:r w:rsidRPr="005407D4">
        <w:t>Sadun</w:t>
      </w:r>
      <w:proofErr w:type="spellEnd"/>
      <w:r w:rsidRPr="005407D4">
        <w:t xml:space="preserve">, R., Scur, D. and Van Reenen, J. 2014, </w:t>
      </w:r>
      <w:r w:rsidRPr="005407D4">
        <w:rPr>
          <w:i/>
          <w:iCs/>
        </w:rPr>
        <w:t>The New Empirical Economics of Management</w:t>
      </w:r>
      <w:r w:rsidRPr="005407D4">
        <w:t>, NBER Working Paper 20102, National Bureau of Economic Research, Massachusetts, Cambridge.</w:t>
      </w:r>
    </w:p>
    <w:p w14:paraId="551D6ABE" w14:textId="0E122D26" w:rsidR="005407D4" w:rsidRPr="005407D4" w:rsidRDefault="005407D4" w:rsidP="000B61A6">
      <w:pPr>
        <w:pStyle w:val="Reference"/>
      </w:pPr>
      <w:r w:rsidRPr="005407D4">
        <w:t>——, ——, ——, —— and ——</w:t>
      </w:r>
      <w:r w:rsidR="00BF1239">
        <w:t> </w:t>
      </w:r>
      <w:r w:rsidRPr="005407D4">
        <w:t xml:space="preserve">2021, </w:t>
      </w:r>
      <w:r w:rsidRPr="005407D4">
        <w:rPr>
          <w:i/>
          <w:iCs/>
        </w:rPr>
        <w:t>World Management Survey - Manufacturing</w:t>
      </w:r>
      <w:r w:rsidRPr="005407D4">
        <w:t xml:space="preserve">, Harvard </w:t>
      </w:r>
      <w:proofErr w:type="spellStart"/>
      <w:r w:rsidRPr="005407D4">
        <w:t>Dataverse</w:t>
      </w:r>
      <w:proofErr w:type="spellEnd"/>
      <w:r w:rsidRPr="005407D4">
        <w:t>, dataverse.harvard.edu/dataset.xhtml?persistentId=doi:10.7910/DVN/OY6CBK (accessed 8 September 2022).</w:t>
      </w:r>
    </w:p>
    <w:p w14:paraId="6494EF3C" w14:textId="77777777" w:rsidR="005407D4" w:rsidRPr="005407D4" w:rsidRDefault="005407D4" w:rsidP="000B61A6">
      <w:pPr>
        <w:pStyle w:val="Reference"/>
      </w:pPr>
      <w:r w:rsidRPr="005407D4">
        <w:t xml:space="preserve">——, </w:t>
      </w:r>
      <w:proofErr w:type="spellStart"/>
      <w:r w:rsidRPr="005407D4">
        <w:t>Sadun</w:t>
      </w:r>
      <w:proofErr w:type="spellEnd"/>
      <w:r w:rsidRPr="005407D4">
        <w:t xml:space="preserve">, R. and Reenen, J.V. 2012, ‘Americans Do IT Better: US Multinationals and the Productivity Miracle’, </w:t>
      </w:r>
      <w:r w:rsidRPr="005407D4">
        <w:rPr>
          <w:i/>
          <w:iCs/>
        </w:rPr>
        <w:t>American Economic Review</w:t>
      </w:r>
      <w:r w:rsidRPr="005407D4">
        <w:t>, vol. 102, no. 1, pp. 167–201.</w:t>
      </w:r>
    </w:p>
    <w:p w14:paraId="40AAC66F" w14:textId="77777777" w:rsidR="005407D4" w:rsidRPr="005407D4" w:rsidRDefault="005407D4" w:rsidP="000B61A6">
      <w:pPr>
        <w:pStyle w:val="Reference"/>
      </w:pPr>
      <w:r w:rsidRPr="005407D4">
        <w:t xml:space="preserve">——, —— and Van Reenen, J. 2017, </w:t>
      </w:r>
      <w:r w:rsidRPr="005407D4">
        <w:rPr>
          <w:i/>
          <w:iCs/>
        </w:rPr>
        <w:t xml:space="preserve">Management as a </w:t>
      </w:r>
      <w:proofErr w:type="gramStart"/>
      <w:r w:rsidRPr="005407D4">
        <w:rPr>
          <w:i/>
          <w:iCs/>
        </w:rPr>
        <w:t>Technology?</w:t>
      </w:r>
      <w:r w:rsidRPr="005407D4">
        <w:t>,</w:t>
      </w:r>
      <w:proofErr w:type="gramEnd"/>
      <w:r w:rsidRPr="005407D4">
        <w:t xml:space="preserve"> NBER Working Paper 22327, National Bureau of Economic Research, Massachusetts, Cambridge.</w:t>
      </w:r>
    </w:p>
    <w:p w14:paraId="728B70E7" w14:textId="77777777" w:rsidR="005407D4" w:rsidRPr="005407D4" w:rsidRDefault="005407D4" w:rsidP="000B61A6">
      <w:pPr>
        <w:pStyle w:val="Reference"/>
      </w:pPr>
      <w:r w:rsidRPr="005407D4">
        <w:t xml:space="preserve">Bloom, N. and Van Reenen, J. 2007, ‘Measuring and Explaining Management Practices Across Firms and Countries’, </w:t>
      </w:r>
      <w:r w:rsidRPr="005407D4">
        <w:rPr>
          <w:i/>
          <w:iCs/>
        </w:rPr>
        <w:t>Quarterly Journal of Economics</w:t>
      </w:r>
      <w:r w:rsidRPr="005407D4">
        <w:t>, vol. 122, no. 4, pp. 1351–1408.</w:t>
      </w:r>
    </w:p>
    <w:p w14:paraId="6A77534A" w14:textId="77777777" w:rsidR="005407D4" w:rsidRPr="005407D4" w:rsidRDefault="005407D4" w:rsidP="000B61A6">
      <w:pPr>
        <w:pStyle w:val="Reference"/>
      </w:pPr>
      <w:r w:rsidRPr="005407D4">
        <w:t xml:space="preserve">Bloom, N., Van Reenen, J. and Williams, H. 2019, ‘A Toolkit of Policies to Promote  Innovation’, </w:t>
      </w:r>
      <w:r w:rsidRPr="005407D4">
        <w:rPr>
          <w:i/>
          <w:iCs/>
        </w:rPr>
        <w:t>Journal of Economic Perspectives</w:t>
      </w:r>
      <w:r w:rsidRPr="005407D4">
        <w:t>, vol. 33, no. 3, pp. 163–184.</w:t>
      </w:r>
    </w:p>
    <w:p w14:paraId="7EC32402" w14:textId="77777777" w:rsidR="005407D4" w:rsidRPr="005407D4" w:rsidRDefault="005407D4" w:rsidP="000B61A6">
      <w:pPr>
        <w:pStyle w:val="Reference"/>
      </w:pPr>
      <w:proofErr w:type="spellStart"/>
      <w:r w:rsidRPr="005407D4">
        <w:t>Bournakis</w:t>
      </w:r>
      <w:proofErr w:type="spellEnd"/>
      <w:r w:rsidRPr="005407D4">
        <w:t xml:space="preserve">, I., </w:t>
      </w:r>
      <w:proofErr w:type="spellStart"/>
      <w:r w:rsidRPr="005407D4">
        <w:t>Christopoulos</w:t>
      </w:r>
      <w:proofErr w:type="spellEnd"/>
      <w:r w:rsidRPr="005407D4">
        <w:t xml:space="preserve">, D. and Mallick, S. 2018, ‘Knowledge </w:t>
      </w:r>
      <w:proofErr w:type="spellStart"/>
      <w:r w:rsidRPr="005407D4">
        <w:t>spillovers</w:t>
      </w:r>
      <w:proofErr w:type="spellEnd"/>
      <w:r w:rsidRPr="005407D4">
        <w:t xml:space="preserve"> and output per worker: An industry-level analysis for OECD countries’, </w:t>
      </w:r>
      <w:r w:rsidRPr="005407D4">
        <w:rPr>
          <w:i/>
          <w:iCs/>
        </w:rPr>
        <w:t>Economic Inquiry</w:t>
      </w:r>
      <w:r w:rsidRPr="005407D4">
        <w:t>, vol. 56, no. 2, pp. 1028–1046.</w:t>
      </w:r>
    </w:p>
    <w:p w14:paraId="1F4950AC" w14:textId="77777777" w:rsidR="005407D4" w:rsidRPr="005407D4" w:rsidRDefault="005407D4" w:rsidP="000B61A6">
      <w:pPr>
        <w:pStyle w:val="Reference"/>
      </w:pPr>
      <w:r w:rsidRPr="005407D4">
        <w:t xml:space="preserve">Bowman, J. 2022, </w:t>
      </w:r>
      <w:r w:rsidRPr="005407D4">
        <w:rPr>
          <w:i/>
          <w:iCs/>
        </w:rPr>
        <w:t>Consequences of zombie businesses: Australia’s experience</w:t>
      </w:r>
      <w:r w:rsidRPr="005407D4">
        <w:t>, SSRN Scholarly Paper, 6 April, Australian National University, Canberra.</w:t>
      </w:r>
    </w:p>
    <w:p w14:paraId="5AA89858" w14:textId="3CDCC45E" w:rsidR="005407D4" w:rsidRPr="005407D4" w:rsidRDefault="005407D4" w:rsidP="000B61A6">
      <w:pPr>
        <w:pStyle w:val="Reference"/>
      </w:pPr>
      <w:proofErr w:type="spellStart"/>
      <w:r w:rsidRPr="005407D4">
        <w:t>Breadon</w:t>
      </w:r>
      <w:proofErr w:type="spellEnd"/>
      <w:r w:rsidRPr="005407D4">
        <w:t xml:space="preserve">, P. 2022, ‘Hospital funding deal sets a tight deadline for real reform, and the clock’s ticking’, </w:t>
      </w:r>
      <w:r w:rsidRPr="005407D4">
        <w:rPr>
          <w:i/>
          <w:iCs/>
        </w:rPr>
        <w:t>The Conversation</w:t>
      </w:r>
      <w:r w:rsidRPr="005407D4">
        <w:t xml:space="preserve">, 17 June, </w:t>
      </w:r>
      <w:r w:rsidR="00A847B1">
        <w:t>www.</w:t>
      </w:r>
      <w:r w:rsidRPr="005407D4">
        <w:t>theconversation.com/hospital-funding-deal-sets-a-tight-deadline-for-real-reform-and-the-clocks-ticking-185296 (accessed 7 September 2022).</w:t>
      </w:r>
    </w:p>
    <w:p w14:paraId="10E95B36" w14:textId="7C662914" w:rsidR="005407D4" w:rsidRPr="00116A72" w:rsidRDefault="005407D4" w:rsidP="000B61A6">
      <w:pPr>
        <w:pStyle w:val="Reference"/>
        <w:rPr>
          <w:spacing w:val="-4"/>
        </w:rPr>
      </w:pPr>
      <w:r w:rsidRPr="00116A72">
        <w:rPr>
          <w:spacing w:val="-4"/>
        </w:rPr>
        <w:t xml:space="preserve">Brookes, J. 2022, </w:t>
      </w:r>
      <w:r w:rsidRPr="00116A72">
        <w:rPr>
          <w:i/>
          <w:iCs/>
          <w:spacing w:val="-4"/>
        </w:rPr>
        <w:t>No lifeline for Industry Growth Centres</w:t>
      </w:r>
      <w:r w:rsidRPr="00116A72">
        <w:rPr>
          <w:spacing w:val="-4"/>
        </w:rPr>
        <w:t xml:space="preserve">, </w:t>
      </w:r>
      <w:r w:rsidRPr="00116A72">
        <w:rPr>
          <w:i/>
          <w:iCs/>
          <w:spacing w:val="-4"/>
        </w:rPr>
        <w:t>InnovationAus.com</w:t>
      </w:r>
      <w:r w:rsidRPr="00116A72">
        <w:rPr>
          <w:spacing w:val="-4"/>
        </w:rPr>
        <w:t>, 29 March, www.innovationaus.com/no-lifeline-for-industry-growth-centres/ (accessed 26 August 2022).</w:t>
      </w:r>
    </w:p>
    <w:p w14:paraId="635CE807" w14:textId="77777777" w:rsidR="005407D4" w:rsidRPr="005407D4" w:rsidRDefault="005407D4" w:rsidP="000B61A6">
      <w:pPr>
        <w:pStyle w:val="Reference"/>
      </w:pPr>
      <w:r w:rsidRPr="005407D4">
        <w:t xml:space="preserve">Bruno, A. 2020, </w:t>
      </w:r>
      <w:r w:rsidRPr="005407D4">
        <w:rPr>
          <w:i/>
          <w:iCs/>
        </w:rPr>
        <w:t>Business performance of Enterprise Connect participants</w:t>
      </w:r>
      <w:r w:rsidRPr="005407D4">
        <w:t>, Staff Research Paper 1/2019, Department of Industry, Science and Resources.</w:t>
      </w:r>
    </w:p>
    <w:p w14:paraId="7E3E4455" w14:textId="77777777" w:rsidR="005407D4" w:rsidRPr="005407D4" w:rsidRDefault="005407D4" w:rsidP="000B61A6">
      <w:pPr>
        <w:pStyle w:val="Reference"/>
      </w:pPr>
      <w:r w:rsidRPr="005407D4">
        <w:t xml:space="preserve">Business Tax Working Group 2011, </w:t>
      </w:r>
      <w:r w:rsidRPr="005407D4">
        <w:rPr>
          <w:i/>
          <w:iCs/>
        </w:rPr>
        <w:t>Interim report on the tax treatment of losses</w:t>
      </w:r>
      <w:r w:rsidRPr="005407D4">
        <w:t>, Commonwealth of Australia, Parkes, ACT.</w:t>
      </w:r>
    </w:p>
    <w:p w14:paraId="35D07162" w14:textId="77777777" w:rsidR="005407D4" w:rsidRPr="005407D4" w:rsidRDefault="005407D4" w:rsidP="000B61A6">
      <w:pPr>
        <w:pStyle w:val="Reference"/>
      </w:pPr>
      <w:r w:rsidRPr="005407D4">
        <w:t xml:space="preserve">business.gov.au 2022, </w:t>
      </w:r>
      <w:r w:rsidRPr="005407D4">
        <w:rPr>
          <w:i/>
          <w:iCs/>
        </w:rPr>
        <w:t>Entrepreneurs’ Programme</w:t>
      </w:r>
      <w:r w:rsidRPr="005407D4">
        <w:t>, umbrella program.</w:t>
      </w:r>
    </w:p>
    <w:p w14:paraId="189A83DC" w14:textId="77777777" w:rsidR="005407D4" w:rsidRPr="001440B3" w:rsidRDefault="005407D4" w:rsidP="000B61A6">
      <w:pPr>
        <w:pStyle w:val="Reference"/>
        <w:rPr>
          <w:spacing w:val="-6"/>
        </w:rPr>
      </w:pPr>
      <w:r w:rsidRPr="001440B3">
        <w:rPr>
          <w:spacing w:val="-6"/>
        </w:rPr>
        <w:t xml:space="preserve">Cale, J., </w:t>
      </w:r>
      <w:proofErr w:type="spellStart"/>
      <w:r w:rsidRPr="001440B3">
        <w:rPr>
          <w:spacing w:val="-6"/>
        </w:rPr>
        <w:t>Zmudzki</w:t>
      </w:r>
      <w:proofErr w:type="spellEnd"/>
      <w:r w:rsidRPr="001440B3">
        <w:rPr>
          <w:spacing w:val="-6"/>
        </w:rPr>
        <w:t xml:space="preserve">, F., </w:t>
      </w:r>
      <w:proofErr w:type="spellStart"/>
      <w:r w:rsidRPr="001440B3">
        <w:rPr>
          <w:spacing w:val="-6"/>
        </w:rPr>
        <w:t>Hilferty</w:t>
      </w:r>
      <w:proofErr w:type="spellEnd"/>
      <w:r w:rsidRPr="001440B3">
        <w:rPr>
          <w:spacing w:val="-6"/>
        </w:rPr>
        <w:t xml:space="preserve">, F., Lafferty, L., Whitten, T., Doyle, M. and Valentine, K. 2019, </w:t>
      </w:r>
      <w:r w:rsidRPr="001440B3">
        <w:rPr>
          <w:i/>
          <w:iCs/>
          <w:spacing w:val="-6"/>
        </w:rPr>
        <w:t>Evaluation of home detention in South Australia: Final report</w:t>
      </w:r>
      <w:r w:rsidRPr="001440B3">
        <w:rPr>
          <w:spacing w:val="-6"/>
        </w:rPr>
        <w:t>, UNSW, Sydney, NSW.</w:t>
      </w:r>
    </w:p>
    <w:p w14:paraId="7AC15ECB" w14:textId="77777777" w:rsidR="005407D4" w:rsidRPr="001440B3" w:rsidRDefault="005407D4" w:rsidP="000B61A6">
      <w:pPr>
        <w:pStyle w:val="Reference"/>
        <w:rPr>
          <w:spacing w:val="-6"/>
        </w:rPr>
      </w:pPr>
      <w:r w:rsidRPr="001440B3">
        <w:rPr>
          <w:spacing w:val="-6"/>
        </w:rPr>
        <w:t xml:space="preserve">Campbell, S., Nguyen, T., </w:t>
      </w:r>
      <w:proofErr w:type="spellStart"/>
      <w:r w:rsidRPr="001440B3">
        <w:rPr>
          <w:spacing w:val="-6"/>
        </w:rPr>
        <w:t>Sibelle</w:t>
      </w:r>
      <w:proofErr w:type="spellEnd"/>
      <w:r w:rsidRPr="001440B3">
        <w:rPr>
          <w:spacing w:val="-6"/>
        </w:rPr>
        <w:t xml:space="preserve">, A. and Soriano, F. 2019, </w:t>
      </w:r>
      <w:r w:rsidRPr="001440B3">
        <w:rPr>
          <w:i/>
          <w:iCs/>
          <w:spacing w:val="-6"/>
        </w:rPr>
        <w:t>Measuring Productivity Dispersion in Selected Australian Industries</w:t>
      </w:r>
      <w:r w:rsidRPr="001440B3">
        <w:rPr>
          <w:spacing w:val="-6"/>
        </w:rPr>
        <w:t>, Treasury–ABS Working Paper 2019-2, Australian Government.</w:t>
      </w:r>
    </w:p>
    <w:p w14:paraId="675E83B6" w14:textId="77777777" w:rsidR="005407D4" w:rsidRPr="001440B3" w:rsidRDefault="005407D4" w:rsidP="000B61A6">
      <w:pPr>
        <w:pStyle w:val="Reference"/>
        <w:rPr>
          <w:spacing w:val="-6"/>
        </w:rPr>
      </w:pPr>
      <w:r w:rsidRPr="001440B3">
        <w:rPr>
          <w:spacing w:val="-6"/>
        </w:rPr>
        <w:t xml:space="preserve">CHF (Consumers Health Forum of Australia) 2020, </w:t>
      </w:r>
      <w:r w:rsidRPr="001440B3">
        <w:rPr>
          <w:i/>
          <w:iCs/>
          <w:spacing w:val="-6"/>
        </w:rPr>
        <w:t>Consumer Commission Report: Making Health Better Together</w:t>
      </w:r>
      <w:r w:rsidRPr="001440B3">
        <w:rPr>
          <w:spacing w:val="-6"/>
        </w:rPr>
        <w:t>, Canberra.</w:t>
      </w:r>
    </w:p>
    <w:p w14:paraId="2FEFC199" w14:textId="77777777" w:rsidR="005407D4" w:rsidRPr="005407D4" w:rsidRDefault="005407D4" w:rsidP="000B61A6">
      <w:pPr>
        <w:pStyle w:val="Reference"/>
      </w:pPr>
      <w:r w:rsidRPr="005407D4">
        <w:t xml:space="preserve">Chung, G. 2022, </w:t>
      </w:r>
      <w:r w:rsidRPr="005407D4">
        <w:rPr>
          <w:i/>
          <w:iCs/>
        </w:rPr>
        <w:t>Building Google’s world-class Australian Research Hub</w:t>
      </w:r>
      <w:r w:rsidRPr="005407D4">
        <w:t>, https://blog.google/intl/en-au/company-</w:t>
      </w:r>
      <w:r w:rsidRPr="005407D4">
        <w:lastRenderedPageBreak/>
        <w:t>news/inside-google/building-googles-world-class-australian-research-hub/ (accessed 5 August 2022).</w:t>
      </w:r>
    </w:p>
    <w:p w14:paraId="1BE2D450" w14:textId="77777777" w:rsidR="005407D4" w:rsidRPr="005407D4" w:rsidRDefault="005407D4" w:rsidP="000B61A6">
      <w:pPr>
        <w:pStyle w:val="Reference"/>
      </w:pPr>
      <w:r w:rsidRPr="005407D4">
        <w:t xml:space="preserve">CIE (Centre for </w:t>
      </w:r>
      <w:proofErr w:type="spellStart"/>
      <w:r w:rsidRPr="005407D4">
        <w:t>Interantional</w:t>
      </w:r>
      <w:proofErr w:type="spellEnd"/>
      <w:r w:rsidRPr="005407D4">
        <w:t xml:space="preserve"> Economics) 2006, </w:t>
      </w:r>
      <w:r w:rsidRPr="005407D4">
        <w:rPr>
          <w:i/>
          <w:iCs/>
        </w:rPr>
        <w:t>Standards and the Economy</w:t>
      </w:r>
      <w:r w:rsidRPr="005407D4">
        <w:t>, Report prepared for Standards Australia, July, Canberra.</w:t>
      </w:r>
    </w:p>
    <w:p w14:paraId="67F7D0B6" w14:textId="77777777" w:rsidR="005407D4" w:rsidRPr="005407D4" w:rsidRDefault="005407D4" w:rsidP="000B61A6">
      <w:pPr>
        <w:pStyle w:val="Reference"/>
      </w:pPr>
      <w:proofErr w:type="spellStart"/>
      <w:r w:rsidRPr="005407D4">
        <w:t>Ciuriak</w:t>
      </w:r>
      <w:proofErr w:type="spellEnd"/>
      <w:r w:rsidRPr="005407D4">
        <w:t xml:space="preserve">, D. 2013, </w:t>
      </w:r>
      <w:r w:rsidRPr="005407D4">
        <w:rPr>
          <w:i/>
          <w:iCs/>
        </w:rPr>
        <w:t xml:space="preserve">Policy implications of heterogeneous </w:t>
      </w:r>
      <w:proofErr w:type="gramStart"/>
      <w:r w:rsidRPr="005407D4">
        <w:rPr>
          <w:i/>
          <w:iCs/>
        </w:rPr>
        <w:t>firms</w:t>
      </w:r>
      <w:proofErr w:type="gramEnd"/>
      <w:r w:rsidRPr="005407D4">
        <w:rPr>
          <w:i/>
          <w:iCs/>
        </w:rPr>
        <w:t xml:space="preserve"> trade theory</w:t>
      </w:r>
      <w:r w:rsidRPr="005407D4">
        <w:t xml:space="preserve">, CC Working Paper, </w:t>
      </w:r>
      <w:proofErr w:type="spellStart"/>
      <w:r w:rsidRPr="005407D4">
        <w:t>Ciuriak</w:t>
      </w:r>
      <w:proofErr w:type="spellEnd"/>
      <w:r w:rsidRPr="005407D4">
        <w:t xml:space="preserve"> Consulting, https://papers.ssrn.com/sol3/papers.cfm?abstract_id=1728065 (accessed 22 August 2022).</w:t>
      </w:r>
    </w:p>
    <w:p w14:paraId="290EB32E" w14:textId="77777777" w:rsidR="005407D4" w:rsidRPr="005407D4" w:rsidRDefault="005407D4" w:rsidP="000B61A6">
      <w:pPr>
        <w:pStyle w:val="Reference"/>
      </w:pPr>
      <w:r w:rsidRPr="005407D4">
        <w:t xml:space="preserve">Cohen, W.M. and Levinthal, D.A. 1989, ‘Innovation and Learning: The Two Faces of R&amp;D’, </w:t>
      </w:r>
      <w:r w:rsidRPr="005407D4">
        <w:rPr>
          <w:i/>
          <w:iCs/>
        </w:rPr>
        <w:t>Economic Journal</w:t>
      </w:r>
      <w:r w:rsidRPr="005407D4">
        <w:t>, vol. 99, no. 397, pp. 569–596.</w:t>
      </w:r>
    </w:p>
    <w:p w14:paraId="33FCB61E" w14:textId="7773951C" w:rsidR="005407D4" w:rsidRPr="005407D4" w:rsidRDefault="005407D4" w:rsidP="000B61A6">
      <w:pPr>
        <w:pStyle w:val="Reference"/>
      </w:pPr>
      <w:r w:rsidRPr="005407D4">
        <w:t>—— and ——</w:t>
      </w:r>
      <w:r w:rsidR="00BF1239">
        <w:t> </w:t>
      </w:r>
      <w:r w:rsidRPr="005407D4">
        <w:t xml:space="preserve">1990, ‘Absorptive Capacity: A New Perspective on Learning and Innovation’, </w:t>
      </w:r>
      <w:r w:rsidRPr="005407D4">
        <w:rPr>
          <w:i/>
          <w:iCs/>
        </w:rPr>
        <w:t>Administrative Science Quarterly</w:t>
      </w:r>
      <w:r w:rsidRPr="005407D4">
        <w:t>, vol. 35, no. 1, pp. 128–152.</w:t>
      </w:r>
    </w:p>
    <w:p w14:paraId="00E35E8A" w14:textId="77777777" w:rsidR="005407D4" w:rsidRPr="005407D4" w:rsidRDefault="005407D4" w:rsidP="000B61A6">
      <w:pPr>
        <w:pStyle w:val="Reference"/>
      </w:pPr>
      <w:r w:rsidRPr="005407D4">
        <w:t xml:space="preserve">Commonwealth of Australia 2021, </w:t>
      </w:r>
      <w:r w:rsidRPr="005407D4">
        <w:rPr>
          <w:i/>
          <w:iCs/>
        </w:rPr>
        <w:t>2021 Intergenerational Report: Australia over the next 40 years</w:t>
      </w:r>
      <w:r w:rsidRPr="005407D4">
        <w:t>.</w:t>
      </w:r>
    </w:p>
    <w:p w14:paraId="2DAE8C1B" w14:textId="77777777" w:rsidR="005407D4" w:rsidRPr="005407D4" w:rsidRDefault="005407D4" w:rsidP="000B61A6">
      <w:pPr>
        <w:pStyle w:val="Reference"/>
      </w:pPr>
      <w:r w:rsidRPr="005407D4">
        <w:t xml:space="preserve">Connolly, E. and Bank, J. 2018, ‘Access to Small Business Finance | Bulletin – September Quarter 2018’, </w:t>
      </w:r>
      <w:r w:rsidRPr="005407D4">
        <w:rPr>
          <w:i/>
          <w:iCs/>
        </w:rPr>
        <w:t>Reserve Bank of Australia Bulletin</w:t>
      </w:r>
      <w:r w:rsidRPr="005407D4">
        <w:t>, September, pp. 1–14.</w:t>
      </w:r>
    </w:p>
    <w:p w14:paraId="1C41B596" w14:textId="77777777" w:rsidR="005407D4" w:rsidRPr="005407D4" w:rsidRDefault="005407D4" w:rsidP="000B61A6">
      <w:pPr>
        <w:pStyle w:val="Reference"/>
      </w:pPr>
      <w:r w:rsidRPr="005407D4">
        <w:t xml:space="preserve">Consult Australia 2018, </w:t>
      </w:r>
      <w:r w:rsidRPr="005407D4">
        <w:rPr>
          <w:i/>
          <w:iCs/>
        </w:rPr>
        <w:t>Model Client Policy: proposal for all government jurisdictions</w:t>
      </w:r>
      <w:r w:rsidRPr="005407D4">
        <w:t>.</w:t>
      </w:r>
    </w:p>
    <w:p w14:paraId="1FE00F4D" w14:textId="04DBE2C5" w:rsidR="005407D4" w:rsidRPr="005407D4" w:rsidRDefault="005407D4" w:rsidP="000B61A6">
      <w:pPr>
        <w:pStyle w:val="Reference"/>
      </w:pPr>
      <w:r w:rsidRPr="005407D4">
        <w:t xml:space="preserve">Crepon, B., </w:t>
      </w:r>
      <w:proofErr w:type="spellStart"/>
      <w:r w:rsidRPr="005407D4">
        <w:t>Duguet</w:t>
      </w:r>
      <w:proofErr w:type="spellEnd"/>
      <w:r w:rsidRPr="005407D4">
        <w:t xml:space="preserve">, E. and </w:t>
      </w:r>
      <w:proofErr w:type="spellStart"/>
      <w:r w:rsidRPr="005407D4">
        <w:t>Mairesse</w:t>
      </w:r>
      <w:proofErr w:type="spellEnd"/>
      <w:r w:rsidRPr="005407D4">
        <w:t xml:space="preserve">, J. 1998, </w:t>
      </w:r>
      <w:r w:rsidRPr="005407D4">
        <w:rPr>
          <w:i/>
          <w:iCs/>
        </w:rPr>
        <w:t>Research, Innovation, and Productivity: An Econometric Analysis at the Firm Level</w:t>
      </w:r>
      <w:r w:rsidRPr="005407D4">
        <w:t>, Working Paper, National Bureau of Economic Research, www.nber.org/papers/w6696 (accessed 12 September 2022).</w:t>
      </w:r>
    </w:p>
    <w:p w14:paraId="71B7C9F5" w14:textId="77777777" w:rsidR="005407D4" w:rsidRPr="005407D4" w:rsidRDefault="005407D4" w:rsidP="000B61A6">
      <w:pPr>
        <w:pStyle w:val="Reference"/>
      </w:pPr>
      <w:proofErr w:type="spellStart"/>
      <w:r w:rsidRPr="005407D4">
        <w:t>Criscuolo</w:t>
      </w:r>
      <w:proofErr w:type="spellEnd"/>
      <w:r w:rsidRPr="005407D4">
        <w:t xml:space="preserve">, C., Gal, P., </w:t>
      </w:r>
      <w:proofErr w:type="spellStart"/>
      <w:r w:rsidRPr="005407D4">
        <w:t>Leidecker</w:t>
      </w:r>
      <w:proofErr w:type="spellEnd"/>
      <w:r w:rsidRPr="005407D4">
        <w:t xml:space="preserve">, T. and Nicoletti, G. 2021, </w:t>
      </w:r>
      <w:r w:rsidRPr="005407D4">
        <w:rPr>
          <w:i/>
          <w:iCs/>
        </w:rPr>
        <w:t>The human side of productivity: Uncovering the role of skills and diversity for firm productivity</w:t>
      </w:r>
      <w:r w:rsidRPr="005407D4">
        <w:t>, OECD Productivity Working Papers, No. 29, OECD Publishing, Paris.</w:t>
      </w:r>
    </w:p>
    <w:p w14:paraId="32CBC16A" w14:textId="77777777" w:rsidR="005407D4" w:rsidRPr="005407D4" w:rsidRDefault="005407D4" w:rsidP="000B61A6">
      <w:pPr>
        <w:pStyle w:val="Reference"/>
      </w:pPr>
      <w:r w:rsidRPr="005407D4">
        <w:t xml:space="preserve">—— and </w:t>
      </w:r>
      <w:proofErr w:type="spellStart"/>
      <w:r w:rsidRPr="005407D4">
        <w:t>Timmis</w:t>
      </w:r>
      <w:proofErr w:type="spellEnd"/>
      <w:r w:rsidRPr="005407D4">
        <w:t xml:space="preserve">, J. 2017, ‘The relationship between global value chains and productivity’, </w:t>
      </w:r>
      <w:r w:rsidRPr="005407D4">
        <w:rPr>
          <w:i/>
          <w:iCs/>
        </w:rPr>
        <w:t>International Productivity Monitor</w:t>
      </w:r>
      <w:r w:rsidRPr="005407D4">
        <w:t>, vol. 32, pp. 61–83.</w:t>
      </w:r>
    </w:p>
    <w:p w14:paraId="4DC7D60D" w14:textId="029764BB" w:rsidR="005407D4" w:rsidRPr="005407D4" w:rsidRDefault="005407D4" w:rsidP="000B61A6">
      <w:pPr>
        <w:pStyle w:val="Reference"/>
      </w:pPr>
      <w:r w:rsidRPr="005407D4">
        <w:t xml:space="preserve">CSIRO 2019, </w:t>
      </w:r>
      <w:r w:rsidRPr="005407D4">
        <w:rPr>
          <w:i/>
          <w:iCs/>
        </w:rPr>
        <w:t>CSIRO’s ON program</w:t>
      </w:r>
      <w:r w:rsidRPr="005407D4">
        <w:t>, CSIRO, www.csiro.au/en/news/news-releases/2019/csiros-on-accelerator (accessed 2 September 2022).</w:t>
      </w:r>
    </w:p>
    <w:p w14:paraId="066B82B3" w14:textId="77777777" w:rsidR="005407D4" w:rsidRPr="005407D4" w:rsidRDefault="005407D4" w:rsidP="000B61A6">
      <w:pPr>
        <w:pStyle w:val="Reference"/>
      </w:pPr>
      <w:r w:rsidRPr="005407D4">
        <w:t xml:space="preserve">Dairy Australia 2022, </w:t>
      </w:r>
      <w:r w:rsidRPr="005407D4">
        <w:rPr>
          <w:i/>
          <w:iCs/>
        </w:rPr>
        <w:t>Dairy Farm Monitor Project</w:t>
      </w:r>
      <w:r w:rsidRPr="005407D4">
        <w:t>, https://www.dairyaustralia.com.au/industry-statistics/dairy-farm-monitor-project (accessed 23 August 2022).</w:t>
      </w:r>
    </w:p>
    <w:p w14:paraId="6581B590" w14:textId="77777777" w:rsidR="005407D4" w:rsidRPr="005407D4" w:rsidRDefault="005407D4" w:rsidP="000B61A6">
      <w:pPr>
        <w:pStyle w:val="Reference"/>
      </w:pPr>
      <w:proofErr w:type="spellStart"/>
      <w:r w:rsidRPr="005407D4">
        <w:t>Darwich</w:t>
      </w:r>
      <w:proofErr w:type="spellEnd"/>
      <w:r w:rsidRPr="005407D4">
        <w:t xml:space="preserve">, A.S., </w:t>
      </w:r>
      <w:proofErr w:type="spellStart"/>
      <w:r w:rsidRPr="005407D4">
        <w:t>Polasek</w:t>
      </w:r>
      <w:proofErr w:type="spellEnd"/>
      <w:r w:rsidRPr="005407D4">
        <w:t xml:space="preserve">, T.M., Aronson, J.K., </w:t>
      </w:r>
      <w:proofErr w:type="spellStart"/>
      <w:r w:rsidRPr="005407D4">
        <w:t>Ogungbenro</w:t>
      </w:r>
      <w:proofErr w:type="spellEnd"/>
      <w:r w:rsidRPr="005407D4">
        <w:t xml:space="preserve">, K., Wright, D.F.B., </w:t>
      </w:r>
      <w:proofErr w:type="spellStart"/>
      <w:r w:rsidRPr="005407D4">
        <w:t>Achour</w:t>
      </w:r>
      <w:proofErr w:type="spellEnd"/>
      <w:r w:rsidRPr="005407D4">
        <w:t xml:space="preserve">, B., </w:t>
      </w:r>
      <w:proofErr w:type="spellStart"/>
      <w:r w:rsidRPr="005407D4">
        <w:t>Reny</w:t>
      </w:r>
      <w:proofErr w:type="spellEnd"/>
      <w:r w:rsidRPr="005407D4">
        <w:t xml:space="preserve">, J.-L., </w:t>
      </w:r>
      <w:proofErr w:type="spellStart"/>
      <w:r w:rsidRPr="005407D4">
        <w:t>Daali</w:t>
      </w:r>
      <w:proofErr w:type="spellEnd"/>
      <w:r w:rsidRPr="005407D4">
        <w:t>, Y., Eiermann, B., Cook, J., Lesko, L., McLachlan, A.J. and Rostami-</w:t>
      </w:r>
      <w:proofErr w:type="spellStart"/>
      <w:r w:rsidRPr="005407D4">
        <w:t>Hodjegan</w:t>
      </w:r>
      <w:proofErr w:type="spellEnd"/>
      <w:r w:rsidRPr="005407D4">
        <w:t xml:space="preserve">, A. 2021, ‘Model-Informed Precision Dosing: Background, Requirements, Validation, Implementation, and Forward Trajectory of Individualizing Drug Therapy’, Annual Reviews Inc., </w:t>
      </w:r>
      <w:r w:rsidRPr="005407D4">
        <w:rPr>
          <w:i/>
          <w:iCs/>
        </w:rPr>
        <w:t>Annual Review of Pharmacology and Toxicology</w:t>
      </w:r>
      <w:r w:rsidRPr="005407D4">
        <w:t>, vol. 61, no. 36, pp. 225–245.</w:t>
      </w:r>
    </w:p>
    <w:p w14:paraId="3C1F396B" w14:textId="77777777" w:rsidR="005407D4" w:rsidRPr="005407D4" w:rsidRDefault="005407D4" w:rsidP="000B61A6">
      <w:pPr>
        <w:pStyle w:val="Reference"/>
      </w:pPr>
      <w:r w:rsidRPr="005407D4">
        <w:t xml:space="preserve">De </w:t>
      </w:r>
      <w:proofErr w:type="spellStart"/>
      <w:r w:rsidRPr="005407D4">
        <w:t>Propris</w:t>
      </w:r>
      <w:proofErr w:type="spellEnd"/>
      <w:r w:rsidRPr="005407D4">
        <w:t xml:space="preserve">, L. 2002, ‘Types of innovation and inter-firm co-operation’, </w:t>
      </w:r>
      <w:r w:rsidRPr="005407D4">
        <w:rPr>
          <w:i/>
          <w:iCs/>
        </w:rPr>
        <w:t>Entrepreneurship &amp; Regional Development</w:t>
      </w:r>
      <w:r w:rsidRPr="005407D4">
        <w:t>, vol. 14, no. 4, pp. 337–353.</w:t>
      </w:r>
    </w:p>
    <w:p w14:paraId="14EA8B20" w14:textId="77777777" w:rsidR="005407D4" w:rsidRPr="005407D4" w:rsidRDefault="005407D4" w:rsidP="000B61A6">
      <w:pPr>
        <w:pStyle w:val="Reference"/>
      </w:pPr>
      <w:r w:rsidRPr="005407D4">
        <w:t xml:space="preserve">Defence (Department of Defence) 2021, </w:t>
      </w:r>
      <w:r w:rsidRPr="005407D4">
        <w:rPr>
          <w:i/>
          <w:iCs/>
        </w:rPr>
        <w:t>Defence Industrial Capability Plan | Business &amp; Industry | Defence</w:t>
      </w:r>
      <w:r w:rsidRPr="005407D4">
        <w:t>, Website, https://www.defence.gov.au/business-industry/capability-plans/defence-industrial-capability-plan (accessed 8 September 2022).</w:t>
      </w:r>
    </w:p>
    <w:p w14:paraId="04E80885" w14:textId="77777777" w:rsidR="005407D4" w:rsidRPr="005407D4" w:rsidRDefault="005407D4" w:rsidP="000B61A6">
      <w:pPr>
        <w:pStyle w:val="Reference"/>
      </w:pPr>
      <w:r w:rsidRPr="005407D4">
        <w:t xml:space="preserve">Deloitte Access Economics 2015, </w:t>
      </w:r>
      <w:r w:rsidRPr="005407D4">
        <w:rPr>
          <w:i/>
          <w:iCs/>
        </w:rPr>
        <w:t>Economic benefits of better procurement practices</w:t>
      </w:r>
      <w:r w:rsidRPr="005407D4">
        <w:t>, Report for Consult Australia.</w:t>
      </w:r>
    </w:p>
    <w:p w14:paraId="549B8B24" w14:textId="000FB83D" w:rsidR="005407D4" w:rsidRPr="005407D4" w:rsidRDefault="005407D4" w:rsidP="000B61A6">
      <w:pPr>
        <w:pStyle w:val="Reference"/>
      </w:pPr>
      <w:r w:rsidRPr="005407D4">
        <w:t xml:space="preserve">Department of Industry, S. and R. 2018, </w:t>
      </w:r>
      <w:r w:rsidRPr="005407D4">
        <w:rPr>
          <w:i/>
          <w:iCs/>
        </w:rPr>
        <w:t>Statement of Principles for Australian Innovation Precincts</w:t>
      </w:r>
      <w:r w:rsidRPr="005407D4">
        <w:t xml:space="preserve">, Text, Department of Industry, Science and Resources, Department </w:t>
      </w:r>
      <w:r w:rsidRPr="005407D4">
        <w:t>of Industry, Science and Resources, www.industry.gov.au/</w:t>
      </w:r>
      <w:r w:rsidR="00A847B1">
        <w:br/>
      </w:r>
      <w:r w:rsidRPr="005407D4">
        <w:t>data-and-publications/statement-of-principles-for-australian-innovation-precincts (accessed 2 September 2022).</w:t>
      </w:r>
    </w:p>
    <w:p w14:paraId="6E35C016" w14:textId="77777777" w:rsidR="005407D4" w:rsidRPr="005407D4" w:rsidRDefault="005407D4" w:rsidP="000B61A6">
      <w:pPr>
        <w:pStyle w:val="Reference"/>
      </w:pPr>
      <w:r w:rsidRPr="005407D4">
        <w:t xml:space="preserve">Department of Jobs, Precincts and Regions 2018, </w:t>
      </w:r>
      <w:r w:rsidRPr="005407D4">
        <w:rPr>
          <w:i/>
          <w:iCs/>
        </w:rPr>
        <w:t>Victorian Innovation Hub launched</w:t>
      </w:r>
      <w:r w:rsidRPr="005407D4">
        <w:t>, text, https://djpr.vic.gov.au/about-us/news/victorian-innovation-hub-launched (accessed 2 September 2022).</w:t>
      </w:r>
    </w:p>
    <w:p w14:paraId="1F170E4B" w14:textId="32DAD85A" w:rsidR="005407D4" w:rsidRPr="005407D4" w:rsidRDefault="005407D4" w:rsidP="000B61A6">
      <w:pPr>
        <w:pStyle w:val="Reference"/>
      </w:pPr>
      <w:r w:rsidRPr="005407D4">
        <w:t xml:space="preserve">DESE (Department of Education, Skills and Employment) 2022a, </w:t>
      </w:r>
      <w:r w:rsidRPr="005407D4">
        <w:rPr>
          <w:i/>
          <w:iCs/>
        </w:rPr>
        <w:t>Higher Education Statistics, 2020 Section 2 All Students</w:t>
      </w:r>
      <w:r w:rsidRPr="005407D4">
        <w:t>, 14 February,</w:t>
      </w:r>
      <w:r w:rsidR="0017685E">
        <w:t xml:space="preserve"> </w:t>
      </w:r>
      <w:r w:rsidRPr="005407D4">
        <w:t>www.dese.gov.au/higher-education-statistics/resources/2020-section-2-all-students (accessed 9</w:t>
      </w:r>
      <w:r w:rsidR="0017685E">
        <w:t> </w:t>
      </w:r>
      <w:r w:rsidRPr="005407D4">
        <w:t>August 2022).</w:t>
      </w:r>
    </w:p>
    <w:p w14:paraId="528C284A" w14:textId="456AF3EF" w:rsidR="005407D4" w:rsidRPr="005407D4" w:rsidRDefault="005407D4" w:rsidP="000B61A6">
      <w:pPr>
        <w:pStyle w:val="Reference"/>
      </w:pPr>
      <w:r w:rsidRPr="005407D4">
        <w:t>——</w:t>
      </w:r>
      <w:r w:rsidR="00BF1239">
        <w:t> </w:t>
      </w:r>
      <w:r w:rsidRPr="005407D4">
        <w:t xml:space="preserve">2022b, </w:t>
      </w:r>
      <w:proofErr w:type="spellStart"/>
      <w:r w:rsidRPr="005407D4">
        <w:rPr>
          <w:i/>
          <w:iCs/>
        </w:rPr>
        <w:t>JobTrainer</w:t>
      </w:r>
      <w:proofErr w:type="spellEnd"/>
      <w:r w:rsidRPr="005407D4">
        <w:rPr>
          <w:i/>
          <w:iCs/>
        </w:rPr>
        <w:t xml:space="preserve"> Fund</w:t>
      </w:r>
      <w:r w:rsidRPr="005407D4">
        <w:t xml:space="preserve">, Text, </w:t>
      </w:r>
      <w:proofErr w:type="spellStart"/>
      <w:r w:rsidRPr="005407D4">
        <w:t>JobTrainer</w:t>
      </w:r>
      <w:proofErr w:type="spellEnd"/>
      <w:r w:rsidRPr="005407D4">
        <w:t xml:space="preserve"> Fund.</w:t>
      </w:r>
    </w:p>
    <w:p w14:paraId="65F27EF0" w14:textId="7A89603E" w:rsidR="005407D4" w:rsidRPr="005407D4" w:rsidRDefault="005407D4" w:rsidP="000B61A6">
      <w:pPr>
        <w:pStyle w:val="Reference"/>
      </w:pPr>
      <w:r w:rsidRPr="005407D4">
        <w:t>——</w:t>
      </w:r>
      <w:r w:rsidR="00BF1239">
        <w:t> </w:t>
      </w:r>
      <w:r w:rsidRPr="005407D4">
        <w:t xml:space="preserve">2022c, </w:t>
      </w:r>
      <w:r w:rsidRPr="005407D4">
        <w:rPr>
          <w:i/>
          <w:iCs/>
        </w:rPr>
        <w:t>Skills and Training Incentive</w:t>
      </w:r>
      <w:r w:rsidRPr="005407D4">
        <w:t>, Text, Skills and Training Incentive.</w:t>
      </w:r>
    </w:p>
    <w:p w14:paraId="22FCB826" w14:textId="026759D8" w:rsidR="005407D4" w:rsidRPr="005407D4" w:rsidRDefault="005407D4" w:rsidP="000B61A6">
      <w:pPr>
        <w:pStyle w:val="Reference"/>
      </w:pPr>
      <w:r w:rsidRPr="005407D4">
        <w:t>——</w:t>
      </w:r>
      <w:r w:rsidR="00BF1239">
        <w:t> </w:t>
      </w:r>
      <w:r w:rsidRPr="005407D4">
        <w:t xml:space="preserve">2022d, </w:t>
      </w:r>
      <w:r w:rsidRPr="005407D4">
        <w:rPr>
          <w:i/>
          <w:iCs/>
        </w:rPr>
        <w:t>University Research Commercialisation Action Plan</w:t>
      </w:r>
      <w:r w:rsidRPr="005407D4">
        <w:t>, Department of Education, Skills and Employment.</w:t>
      </w:r>
    </w:p>
    <w:p w14:paraId="5431400D" w14:textId="77777777" w:rsidR="005407D4" w:rsidRPr="005407D4" w:rsidRDefault="005407D4" w:rsidP="000B61A6">
      <w:pPr>
        <w:pStyle w:val="Reference"/>
      </w:pPr>
      <w:r w:rsidRPr="005407D4">
        <w:t xml:space="preserve">DIIS (Department of Industry, Innovation and Science) 2017, </w:t>
      </w:r>
      <w:r w:rsidRPr="005407D4">
        <w:rPr>
          <w:i/>
          <w:iCs/>
        </w:rPr>
        <w:t>Australian Innovation System Report 2017</w:t>
      </w:r>
      <w:r w:rsidRPr="005407D4">
        <w:t>, Office of the Chief Economist, Department of Industry, Innovation and Science, Canberra.</w:t>
      </w:r>
    </w:p>
    <w:p w14:paraId="0073200C" w14:textId="3EDF7DE4" w:rsidR="005407D4" w:rsidRPr="005407D4" w:rsidRDefault="005407D4" w:rsidP="000B61A6">
      <w:pPr>
        <w:pStyle w:val="Reference"/>
      </w:pPr>
      <w:r w:rsidRPr="005407D4">
        <w:t>——</w:t>
      </w:r>
      <w:r w:rsidR="00BF1239">
        <w:t> </w:t>
      </w:r>
      <w:r w:rsidRPr="005407D4">
        <w:t xml:space="preserve">2019a, </w:t>
      </w:r>
      <w:r w:rsidRPr="005407D4">
        <w:rPr>
          <w:i/>
          <w:iCs/>
        </w:rPr>
        <w:t>Industry Growth Centres Initiative: Progress and Impact</w:t>
      </w:r>
      <w:r w:rsidRPr="005407D4">
        <w:t>.</w:t>
      </w:r>
    </w:p>
    <w:p w14:paraId="5BA1205C" w14:textId="14E2D2D0" w:rsidR="005407D4" w:rsidRPr="005407D4" w:rsidRDefault="005407D4" w:rsidP="000B61A6">
      <w:pPr>
        <w:pStyle w:val="Reference"/>
      </w:pPr>
      <w:r w:rsidRPr="005407D4">
        <w:t>——</w:t>
      </w:r>
      <w:r w:rsidR="00BF1239">
        <w:t> </w:t>
      </w:r>
      <w:r w:rsidRPr="005407D4">
        <w:t xml:space="preserve">2019b, </w:t>
      </w:r>
      <w:r w:rsidRPr="005407D4">
        <w:rPr>
          <w:i/>
          <w:iCs/>
        </w:rPr>
        <w:t xml:space="preserve">Program Insights: What do we know </w:t>
      </w:r>
      <w:proofErr w:type="spellStart"/>
      <w:r w:rsidRPr="005407D4">
        <w:rPr>
          <w:i/>
          <w:iCs/>
        </w:rPr>
        <w:t>abou</w:t>
      </w:r>
      <w:proofErr w:type="spellEnd"/>
      <w:r w:rsidRPr="005407D4">
        <w:rPr>
          <w:i/>
          <w:iCs/>
        </w:rPr>
        <w:t xml:space="preserve"> government assistance for firms? 2019</w:t>
      </w:r>
      <w:r w:rsidRPr="005407D4">
        <w:t>, Office of the Chief Economist, Department of Industry, Innovation and Science, Canberra.</w:t>
      </w:r>
    </w:p>
    <w:p w14:paraId="4F634582" w14:textId="05000027" w:rsidR="005407D4" w:rsidRPr="005407D4" w:rsidRDefault="005407D4" w:rsidP="000B61A6">
      <w:pPr>
        <w:pStyle w:val="Reference"/>
      </w:pPr>
      <w:r w:rsidRPr="005407D4">
        <w:t xml:space="preserve">DISR (Department of Industry) 2020, </w:t>
      </w:r>
      <w:r w:rsidRPr="005407D4">
        <w:rPr>
          <w:i/>
          <w:iCs/>
        </w:rPr>
        <w:t>Use a model, if you know what we mean</w:t>
      </w:r>
      <w:r w:rsidRPr="005407D4">
        <w:t>, Department of Industry, Science and Resources, Department of Industry, Science and Resources, www.industry.gov.au/news/use-a-model-if-you-know-what-we-mean (accessed 26 August 2022).</w:t>
      </w:r>
    </w:p>
    <w:p w14:paraId="2E6E7A99" w14:textId="77777777" w:rsidR="005407D4" w:rsidRPr="005407D4" w:rsidRDefault="005407D4" w:rsidP="000B61A6">
      <w:pPr>
        <w:pStyle w:val="Reference"/>
      </w:pPr>
      <w:proofErr w:type="spellStart"/>
      <w:r w:rsidRPr="005407D4">
        <w:t>Dobes</w:t>
      </w:r>
      <w:proofErr w:type="spellEnd"/>
      <w:r w:rsidRPr="005407D4">
        <w:t xml:space="preserve">, L. 2008, </w:t>
      </w:r>
      <w:r w:rsidRPr="005407D4">
        <w:rPr>
          <w:i/>
          <w:iCs/>
        </w:rPr>
        <w:t>A Century of Australian Cost-Benefit Analysis</w:t>
      </w:r>
      <w:r w:rsidRPr="005407D4">
        <w:t>, WP 2008-01, Office of Best Practice Regulation, Department of Finance and Deregulation.</w:t>
      </w:r>
    </w:p>
    <w:p w14:paraId="5F620869" w14:textId="6C127DB5" w:rsidR="005407D4" w:rsidRPr="005407D4" w:rsidRDefault="005407D4" w:rsidP="000B61A6">
      <w:pPr>
        <w:pStyle w:val="Reference"/>
      </w:pPr>
      <w:r w:rsidRPr="005407D4">
        <w:t xml:space="preserve">DTI (Department for Trade and Investment) 2020, </w:t>
      </w:r>
      <w:r w:rsidRPr="005407D4">
        <w:rPr>
          <w:i/>
          <w:iCs/>
        </w:rPr>
        <w:t>Accenture establishes Adelaide Hub</w:t>
      </w:r>
      <w:r w:rsidRPr="005407D4">
        <w:t>, https://dti.sa.gov.au/articles/</w:t>
      </w:r>
      <w:r w:rsidR="0017685E">
        <w:br/>
      </w:r>
      <w:proofErr w:type="spellStart"/>
      <w:r w:rsidRPr="005407D4">
        <w:t>accenture</w:t>
      </w:r>
      <w:proofErr w:type="spellEnd"/>
      <w:r w:rsidRPr="005407D4">
        <w:t>-establishes-</w:t>
      </w:r>
      <w:proofErr w:type="spellStart"/>
      <w:r w:rsidRPr="005407D4">
        <w:t>adelaide</w:t>
      </w:r>
      <w:proofErr w:type="spellEnd"/>
      <w:r w:rsidRPr="005407D4">
        <w:t>-hub-south-</w:t>
      </w:r>
      <w:proofErr w:type="spellStart"/>
      <w:r w:rsidRPr="005407D4">
        <w:t>australia</w:t>
      </w:r>
      <w:proofErr w:type="spellEnd"/>
      <w:r w:rsidRPr="005407D4">
        <w:t xml:space="preserve"> (accessed 5 August 2022).</w:t>
      </w:r>
    </w:p>
    <w:p w14:paraId="4EE99343" w14:textId="77777777" w:rsidR="005407D4" w:rsidRPr="005407D4" w:rsidRDefault="005407D4" w:rsidP="000B61A6">
      <w:pPr>
        <w:pStyle w:val="Reference"/>
      </w:pPr>
      <w:r w:rsidRPr="005407D4">
        <w:t xml:space="preserve">Duckett, S. 2017, </w:t>
      </w:r>
      <w:r w:rsidRPr="005407D4">
        <w:rPr>
          <w:i/>
          <w:iCs/>
        </w:rPr>
        <w:t>Crisis, what crisis: health care funding in the future</w:t>
      </w:r>
      <w:r w:rsidRPr="005407D4">
        <w:t>, VCCC Forum presentation, July, July, Grattan Institute.</w:t>
      </w:r>
    </w:p>
    <w:p w14:paraId="71C3597D" w14:textId="77777777" w:rsidR="005407D4" w:rsidRPr="005407D4" w:rsidRDefault="005407D4" w:rsidP="000B61A6">
      <w:pPr>
        <w:pStyle w:val="Reference"/>
      </w:pPr>
      <w:r w:rsidRPr="005407D4">
        <w:t xml:space="preserve">Duckett, S. 2018a, ‘Expanding the breadth of Medicare: learning from Australia’, </w:t>
      </w:r>
      <w:r w:rsidRPr="005407D4">
        <w:rPr>
          <w:i/>
          <w:iCs/>
        </w:rPr>
        <w:t>Health Economics, Policy and Law</w:t>
      </w:r>
      <w:r w:rsidRPr="005407D4">
        <w:t>, vol. 13, no. 3–4, pp. 344–368.</w:t>
      </w:r>
    </w:p>
    <w:p w14:paraId="6E4CFCAE" w14:textId="77777777" w:rsidR="005407D4" w:rsidRPr="005407D4" w:rsidRDefault="005407D4" w:rsidP="000B61A6">
      <w:pPr>
        <w:pStyle w:val="Reference"/>
      </w:pPr>
      <w:r w:rsidRPr="005407D4">
        <w:t xml:space="preserve">Duckett, S. 2018b, </w:t>
      </w:r>
      <w:r w:rsidRPr="005407D4">
        <w:rPr>
          <w:i/>
          <w:iCs/>
        </w:rPr>
        <w:t>How the states can keep people out of hospital and still get their fair share of funding</w:t>
      </w:r>
      <w:r w:rsidRPr="005407D4">
        <w:t>, 29 November, Grattan Institute, Melbourne, https://grattan.edu.au/news/how-the-states-can-keep-people-out-of-hospital-and-still-get-their-fair-share-of-funding/ (accessed 7 September 2022).</w:t>
      </w:r>
    </w:p>
    <w:p w14:paraId="1A868B2F" w14:textId="77777777" w:rsidR="005407D4" w:rsidRPr="005407D4" w:rsidRDefault="005407D4" w:rsidP="000B61A6">
      <w:pPr>
        <w:pStyle w:val="Reference"/>
      </w:pPr>
      <w:r w:rsidRPr="005407D4">
        <w:t xml:space="preserve">Eastwood, K., </w:t>
      </w:r>
      <w:proofErr w:type="spellStart"/>
      <w:r w:rsidRPr="005407D4">
        <w:t>Morgans</w:t>
      </w:r>
      <w:proofErr w:type="spellEnd"/>
      <w:r w:rsidRPr="005407D4">
        <w:t xml:space="preserve">, A., Smith, K., Hodgkinson, A., Becker, G. and </w:t>
      </w:r>
      <w:proofErr w:type="spellStart"/>
      <w:r w:rsidRPr="005407D4">
        <w:t>Stoelwinder</w:t>
      </w:r>
      <w:proofErr w:type="spellEnd"/>
      <w:r w:rsidRPr="005407D4">
        <w:t xml:space="preserve">, J. 2015, ‘A novel approach for managing the growing demand for ambulance services by low-acuity patients’, </w:t>
      </w:r>
      <w:r w:rsidRPr="005407D4">
        <w:rPr>
          <w:i/>
          <w:iCs/>
        </w:rPr>
        <w:t>Australian Health Review</w:t>
      </w:r>
      <w:r w:rsidRPr="005407D4">
        <w:t>, vol. 40, no. 4, pp. 378–384.</w:t>
      </w:r>
    </w:p>
    <w:p w14:paraId="36965A2C" w14:textId="77777777" w:rsidR="005407D4" w:rsidRPr="005407D4" w:rsidRDefault="005407D4" w:rsidP="000B61A6">
      <w:pPr>
        <w:pStyle w:val="Reference"/>
      </w:pPr>
      <w:r w:rsidRPr="005407D4">
        <w:t xml:space="preserve">EERC (Education and Employment) 2014, </w:t>
      </w:r>
      <w:r w:rsidRPr="005407D4">
        <w:rPr>
          <w:i/>
          <w:iCs/>
        </w:rPr>
        <w:t>Effectiveness of the National Assessment Program – Literacy and Numeracy: Final Report</w:t>
      </w:r>
      <w:r w:rsidRPr="005407D4">
        <w:t>, The Australian Government Senate, Canberra.</w:t>
      </w:r>
    </w:p>
    <w:p w14:paraId="410E2A7E" w14:textId="77777777" w:rsidR="005407D4" w:rsidRPr="005407D4" w:rsidRDefault="005407D4" w:rsidP="000B61A6">
      <w:pPr>
        <w:pStyle w:val="Reference"/>
      </w:pPr>
      <w:proofErr w:type="spellStart"/>
      <w:r w:rsidRPr="005407D4">
        <w:t>Ergas</w:t>
      </w:r>
      <w:proofErr w:type="spellEnd"/>
      <w:r w:rsidRPr="005407D4">
        <w:t xml:space="preserve">, H. 2014, </w:t>
      </w:r>
      <w:r w:rsidRPr="005407D4">
        <w:rPr>
          <w:i/>
          <w:iCs/>
        </w:rPr>
        <w:t>Submission to the Productivity Commission Inquiry into Public Infrastructure</w:t>
      </w:r>
      <w:r w:rsidRPr="005407D4">
        <w:t>, Submission No. 87.</w:t>
      </w:r>
    </w:p>
    <w:p w14:paraId="5780FBD0" w14:textId="77777777" w:rsidR="005407D4" w:rsidRPr="005407D4" w:rsidRDefault="005407D4" w:rsidP="000B61A6">
      <w:pPr>
        <w:pStyle w:val="Reference"/>
      </w:pPr>
      <w:r w:rsidRPr="005407D4">
        <w:lastRenderedPageBreak/>
        <w:t xml:space="preserve">Eriksson, K.B. 2017, </w:t>
      </w:r>
      <w:r w:rsidRPr="005407D4">
        <w:rPr>
          <w:i/>
          <w:iCs/>
        </w:rPr>
        <w:t>Seeking innovation from the ground up</w:t>
      </w:r>
      <w:r w:rsidRPr="005407D4">
        <w:t>, PwC, https://www.pwc.com.au/digitalpulse/seeking-innovation-ground-up.html (accessed 23 August 2022).</w:t>
      </w:r>
    </w:p>
    <w:p w14:paraId="0A4944D0" w14:textId="77777777" w:rsidR="005407D4" w:rsidRPr="005407D4" w:rsidRDefault="005407D4" w:rsidP="000B61A6">
      <w:pPr>
        <w:pStyle w:val="Reference"/>
      </w:pPr>
      <w:r w:rsidRPr="005407D4">
        <w:t xml:space="preserve">Evans, D.K. and Yuan, F. 2022, ‘How Big Are Effect Sizes in International Education Studies?’, </w:t>
      </w:r>
      <w:r w:rsidRPr="005407D4">
        <w:rPr>
          <w:i/>
          <w:iCs/>
        </w:rPr>
        <w:t>Educational Evaluation and Policy Analysis</w:t>
      </w:r>
      <w:r w:rsidRPr="005407D4">
        <w:t>, vol. 44, no. 3, pp. 532–540.</w:t>
      </w:r>
    </w:p>
    <w:p w14:paraId="37E1A8C5" w14:textId="77777777" w:rsidR="005407D4" w:rsidRPr="005407D4" w:rsidRDefault="005407D4" w:rsidP="000B61A6">
      <w:pPr>
        <w:pStyle w:val="Reference"/>
      </w:pPr>
      <w:r w:rsidRPr="005407D4">
        <w:t xml:space="preserve">Fagerberg, J. 2018, ‘Innovation: A Guide to the Literature’, </w:t>
      </w:r>
      <w:r w:rsidRPr="005407D4">
        <w:rPr>
          <w:i/>
          <w:iCs/>
        </w:rPr>
        <w:t>Innovation, Economic Development and Policy</w:t>
      </w:r>
      <w:r w:rsidRPr="005407D4">
        <w:t>, Edward Elgar Publishing, pp. 3–28.</w:t>
      </w:r>
    </w:p>
    <w:p w14:paraId="671452CC" w14:textId="77777777" w:rsidR="005407D4" w:rsidRPr="005407D4" w:rsidRDefault="005407D4" w:rsidP="000B61A6">
      <w:pPr>
        <w:pStyle w:val="Reference"/>
      </w:pPr>
      <w:r w:rsidRPr="005407D4">
        <w:t xml:space="preserve">Ferris, B., Finkel, A. and Fraser, M.J. 2016, </w:t>
      </w:r>
      <w:r w:rsidRPr="005407D4">
        <w:rPr>
          <w:i/>
          <w:iCs/>
        </w:rPr>
        <w:t>Review of the R&amp;D Tax Incentive</w:t>
      </w:r>
      <w:r w:rsidRPr="005407D4">
        <w:t>, April 2016.</w:t>
      </w:r>
    </w:p>
    <w:p w14:paraId="11B95605" w14:textId="77777777" w:rsidR="005407D4" w:rsidRPr="005407D4" w:rsidRDefault="005407D4" w:rsidP="000B61A6">
      <w:pPr>
        <w:pStyle w:val="Reference"/>
      </w:pPr>
      <w:r w:rsidRPr="005407D4">
        <w:t xml:space="preserve">First Ministers 2020, </w:t>
      </w:r>
      <w:r w:rsidRPr="005407D4">
        <w:rPr>
          <w:i/>
          <w:iCs/>
        </w:rPr>
        <w:t>Addendum to National Health Reform Agreement 2020-2025</w:t>
      </w:r>
      <w:r w:rsidRPr="005407D4">
        <w:t>, May.</w:t>
      </w:r>
    </w:p>
    <w:p w14:paraId="0E25C59A" w14:textId="16B9931B" w:rsidR="005407D4" w:rsidRPr="005407D4" w:rsidRDefault="005407D4" w:rsidP="000B61A6">
      <w:pPr>
        <w:pStyle w:val="Reference"/>
      </w:pPr>
      <w:r w:rsidRPr="005407D4">
        <w:t xml:space="preserve">FMRC </w:t>
      </w:r>
      <w:proofErr w:type="spellStart"/>
      <w:r w:rsidRPr="005407D4">
        <w:t>nd</w:t>
      </w:r>
      <w:proofErr w:type="spellEnd"/>
      <w:r w:rsidRPr="005407D4">
        <w:t xml:space="preserve">, </w:t>
      </w:r>
      <w:r w:rsidRPr="005407D4">
        <w:rPr>
          <w:i/>
          <w:iCs/>
        </w:rPr>
        <w:t>Benchmarking</w:t>
      </w:r>
      <w:r w:rsidRPr="005407D4">
        <w:t>, FMRC, www.fmrc.com.au/</w:t>
      </w:r>
      <w:r w:rsidR="00C65A95">
        <w:br/>
      </w:r>
      <w:r w:rsidRPr="005407D4">
        <w:t>benchmarking/ (accessed 23 August 2022).</w:t>
      </w:r>
    </w:p>
    <w:p w14:paraId="5A1A58DF" w14:textId="77777777" w:rsidR="005407D4" w:rsidRPr="005407D4" w:rsidRDefault="005407D4" w:rsidP="000B61A6">
      <w:pPr>
        <w:pStyle w:val="Reference"/>
      </w:pPr>
      <w:r w:rsidRPr="005407D4">
        <w:t xml:space="preserve">Gahan, P., </w:t>
      </w:r>
      <w:proofErr w:type="spellStart"/>
      <w:r w:rsidRPr="005407D4">
        <w:t>Adamovic</w:t>
      </w:r>
      <w:proofErr w:type="spellEnd"/>
      <w:r w:rsidRPr="005407D4">
        <w:t xml:space="preserve">, M., </w:t>
      </w:r>
      <w:proofErr w:type="spellStart"/>
      <w:r w:rsidRPr="005407D4">
        <w:t>Bevitt</w:t>
      </w:r>
      <w:proofErr w:type="spellEnd"/>
      <w:r w:rsidRPr="005407D4">
        <w:t xml:space="preserve">, A., Harley, B., Healy, J., Olsen, J. and </w:t>
      </w:r>
      <w:proofErr w:type="spellStart"/>
      <w:r w:rsidRPr="005407D4">
        <w:t>Theilacker</w:t>
      </w:r>
      <w:proofErr w:type="spellEnd"/>
      <w:r w:rsidRPr="005407D4">
        <w:t xml:space="preserve">, M. 2016, </w:t>
      </w:r>
      <w:r w:rsidRPr="005407D4">
        <w:rPr>
          <w:i/>
          <w:iCs/>
        </w:rPr>
        <w:t xml:space="preserve">Leadership at Work: Do Australian leaders have what it </w:t>
      </w:r>
      <w:proofErr w:type="gramStart"/>
      <w:r w:rsidRPr="005407D4">
        <w:rPr>
          <w:i/>
          <w:iCs/>
        </w:rPr>
        <w:t>takes?</w:t>
      </w:r>
      <w:r w:rsidRPr="005407D4">
        <w:t>,</w:t>
      </w:r>
      <w:proofErr w:type="gramEnd"/>
      <w:r w:rsidRPr="005407D4">
        <w:t xml:space="preserve"> University of Melbourne, Melbourne.</w:t>
      </w:r>
    </w:p>
    <w:p w14:paraId="3FD03821" w14:textId="77777777" w:rsidR="005407D4" w:rsidRPr="005407D4" w:rsidRDefault="005407D4" w:rsidP="000B61A6">
      <w:pPr>
        <w:pStyle w:val="Reference"/>
      </w:pPr>
      <w:r w:rsidRPr="005407D4">
        <w:t xml:space="preserve">GE Digital 2022, </w:t>
      </w:r>
      <w:r w:rsidRPr="005407D4">
        <w:rPr>
          <w:i/>
          <w:iCs/>
        </w:rPr>
        <w:t>Aircraft Fuel Efficiency Monitor</w:t>
      </w:r>
      <w:r w:rsidRPr="005407D4">
        <w:t>, https://www.ge.com/digital/applications/flight-analytics/fuel-insight (accessed 23 August 2022).</w:t>
      </w:r>
    </w:p>
    <w:p w14:paraId="32063104" w14:textId="77777777" w:rsidR="005407D4" w:rsidRPr="005407D4" w:rsidRDefault="005407D4" w:rsidP="000B61A6">
      <w:pPr>
        <w:pStyle w:val="Reference"/>
      </w:pPr>
      <w:proofErr w:type="spellStart"/>
      <w:r w:rsidRPr="005407D4">
        <w:t>Geroski</w:t>
      </w:r>
      <w:proofErr w:type="spellEnd"/>
      <w:r w:rsidRPr="005407D4">
        <w:t xml:space="preserve">, P.A. 2000, ‘Models of technology diffusion’, </w:t>
      </w:r>
      <w:r w:rsidRPr="005407D4">
        <w:rPr>
          <w:i/>
          <w:iCs/>
        </w:rPr>
        <w:t>Research Policy</w:t>
      </w:r>
      <w:r w:rsidRPr="005407D4">
        <w:t>, vol. 29, no. 4–5, pp. 603–625.</w:t>
      </w:r>
    </w:p>
    <w:p w14:paraId="329336ED" w14:textId="77777777" w:rsidR="005407D4" w:rsidRPr="005407D4" w:rsidRDefault="005407D4" w:rsidP="000B61A6">
      <w:pPr>
        <w:pStyle w:val="Reference"/>
      </w:pPr>
      <w:proofErr w:type="spellStart"/>
      <w:r w:rsidRPr="005407D4">
        <w:t>Giorcelli</w:t>
      </w:r>
      <w:proofErr w:type="spellEnd"/>
      <w:r w:rsidRPr="005407D4">
        <w:t xml:space="preserve">, M. 2019, ‘The Long-Term Effects of Management and Technology Transfers’, </w:t>
      </w:r>
      <w:r w:rsidRPr="005407D4">
        <w:rPr>
          <w:i/>
          <w:iCs/>
        </w:rPr>
        <w:t>American Economic Review</w:t>
      </w:r>
      <w:r w:rsidRPr="005407D4">
        <w:t>, vol. 109, no. 1, pp. 121–152.</w:t>
      </w:r>
    </w:p>
    <w:p w14:paraId="54AEFF15" w14:textId="77777777" w:rsidR="005407D4" w:rsidRPr="005407D4" w:rsidRDefault="005407D4" w:rsidP="000B61A6">
      <w:pPr>
        <w:pStyle w:val="Reference"/>
      </w:pPr>
      <w:proofErr w:type="spellStart"/>
      <w:r w:rsidRPr="005407D4">
        <w:t>Gorg</w:t>
      </w:r>
      <w:proofErr w:type="spellEnd"/>
      <w:r w:rsidRPr="005407D4">
        <w:t xml:space="preserve">, H. and Greenaway, D. 2004, ‘Much ado about nothing? Do domestic firms really benefit from foreign direct investment?’, </w:t>
      </w:r>
      <w:r w:rsidRPr="005407D4">
        <w:rPr>
          <w:i/>
          <w:iCs/>
        </w:rPr>
        <w:t>The World Bank Research Observer</w:t>
      </w:r>
      <w:r w:rsidRPr="005407D4">
        <w:t>, vol. 19, no. 2, pp. 171–197.</w:t>
      </w:r>
    </w:p>
    <w:p w14:paraId="587CB26D" w14:textId="77777777" w:rsidR="005407D4" w:rsidRPr="005407D4" w:rsidRDefault="005407D4" w:rsidP="000B61A6">
      <w:pPr>
        <w:pStyle w:val="Reference"/>
      </w:pPr>
      <w:proofErr w:type="spellStart"/>
      <w:r w:rsidRPr="005407D4">
        <w:t>Greenblat</w:t>
      </w:r>
      <w:proofErr w:type="spellEnd"/>
      <w:r w:rsidRPr="005407D4">
        <w:t xml:space="preserve">, E. 2022, ‘Billionaire owner of Chobani yoghurt believes Australia can be a world leader in food’, </w:t>
      </w:r>
      <w:r w:rsidRPr="005407D4">
        <w:rPr>
          <w:i/>
          <w:iCs/>
        </w:rPr>
        <w:t>The Australian</w:t>
      </w:r>
      <w:r w:rsidRPr="005407D4">
        <w:t>, 24 May.</w:t>
      </w:r>
    </w:p>
    <w:p w14:paraId="42D5EBB8" w14:textId="77777777" w:rsidR="005407D4" w:rsidRPr="005407D4" w:rsidRDefault="005407D4" w:rsidP="000B61A6">
      <w:pPr>
        <w:pStyle w:val="Reference"/>
      </w:pPr>
      <w:r w:rsidRPr="005407D4">
        <w:t xml:space="preserve">Griffith, R., Redding, S. and Van Reenen, J. 2004, ‘Mapping the Two Faces of R&amp;D: Productivity Growth in a Panel of OECD Industries’, </w:t>
      </w:r>
      <w:r w:rsidRPr="005407D4">
        <w:rPr>
          <w:i/>
          <w:iCs/>
        </w:rPr>
        <w:t>Review of Economics and Statistics</w:t>
      </w:r>
      <w:r w:rsidRPr="005407D4">
        <w:t>, vol. 86, no. 4, pp. 883–895.</w:t>
      </w:r>
    </w:p>
    <w:p w14:paraId="23C0CFCE" w14:textId="77777777" w:rsidR="005407D4" w:rsidRPr="005407D4" w:rsidRDefault="005407D4" w:rsidP="000B61A6">
      <w:pPr>
        <w:pStyle w:val="Reference"/>
      </w:pPr>
      <w:r w:rsidRPr="005407D4">
        <w:t>Gruen, D. 2020, ‘Innovation and data’, presented at Australian Public Sector Innovation Show.</w:t>
      </w:r>
    </w:p>
    <w:p w14:paraId="36F0E322" w14:textId="5D1FDDED" w:rsidR="005407D4" w:rsidRPr="005407D4" w:rsidRDefault="005407D4" w:rsidP="000B61A6">
      <w:pPr>
        <w:pStyle w:val="Reference"/>
      </w:pPr>
      <w:r w:rsidRPr="005407D4">
        <w:t>——</w:t>
      </w:r>
      <w:r w:rsidR="00BF1239">
        <w:t> </w:t>
      </w:r>
      <w:r w:rsidRPr="005407D4">
        <w:t xml:space="preserve">2022, </w:t>
      </w:r>
      <w:r w:rsidRPr="005407D4">
        <w:rPr>
          <w:i/>
          <w:iCs/>
        </w:rPr>
        <w:t>Realising the potential of data in government</w:t>
      </w:r>
      <w:r w:rsidRPr="005407D4">
        <w:t>, Presentation to the Institute of Public Administration Australia (IPAA) ACT, 15 June, Australian Bureau of Statistics, Canberra, www.abs.gov.au/about/our-organisation/australian-statistician/speeches/realising-potential-data-government (accessed 4 September 2022).</w:t>
      </w:r>
    </w:p>
    <w:p w14:paraId="52466C43" w14:textId="77777777" w:rsidR="005407D4" w:rsidRPr="005407D4" w:rsidRDefault="005407D4" w:rsidP="000B61A6">
      <w:pPr>
        <w:pStyle w:val="Reference"/>
      </w:pPr>
      <w:r w:rsidRPr="005407D4">
        <w:t xml:space="preserve">Hall, B. 2004, </w:t>
      </w:r>
      <w:r w:rsidRPr="005407D4">
        <w:rPr>
          <w:i/>
          <w:iCs/>
        </w:rPr>
        <w:t>Innovation and Diffusion</w:t>
      </w:r>
      <w:r w:rsidRPr="005407D4">
        <w:t>, NBER Working Paper 10212, National Bureau of Economic Research, Massachusetts, Cambridge.</w:t>
      </w:r>
    </w:p>
    <w:p w14:paraId="72B4292B" w14:textId="69E0CD07" w:rsidR="005407D4" w:rsidRPr="005407D4" w:rsidRDefault="00BB6831" w:rsidP="000B61A6">
      <w:pPr>
        <w:pStyle w:val="Reference"/>
      </w:pPr>
      <w:r>
        <w:t>——</w:t>
      </w:r>
      <w:r w:rsidR="005407D4" w:rsidRPr="005407D4">
        <w:t xml:space="preserve"> 2011, </w:t>
      </w:r>
      <w:r w:rsidR="005407D4" w:rsidRPr="005407D4">
        <w:rPr>
          <w:i/>
          <w:iCs/>
        </w:rPr>
        <w:t>Innovation and Productivity</w:t>
      </w:r>
      <w:r w:rsidR="005407D4" w:rsidRPr="005407D4">
        <w:t>, NBER Working Paper 17178, National Bureau of Economic Research, Massachusetts, Cambridge.</w:t>
      </w:r>
    </w:p>
    <w:p w14:paraId="049C46DE" w14:textId="77777777" w:rsidR="005407D4" w:rsidRPr="005407D4" w:rsidRDefault="005407D4" w:rsidP="000B61A6">
      <w:pPr>
        <w:pStyle w:val="Reference"/>
      </w:pPr>
      <w:r w:rsidRPr="005407D4">
        <w:t xml:space="preserve">Heath Jeffery, R.C., Mukhtar, S.A., Lopez, D., Preen, D.B., McAllister, I.L., Mackey, D.A., </w:t>
      </w:r>
      <w:proofErr w:type="spellStart"/>
      <w:r w:rsidRPr="005407D4">
        <w:t>Morlet</w:t>
      </w:r>
      <w:proofErr w:type="spellEnd"/>
      <w:r w:rsidRPr="005407D4">
        <w:t xml:space="preserve">, N., Morgan, W.H. and Chen, F.K. 2021, ‘Incidence of Newly Registered Blindness from Age-Related Macular Degeneration in Australia over a 21-Year Period: 1996–2016’, </w:t>
      </w:r>
      <w:r w:rsidRPr="005407D4">
        <w:rPr>
          <w:i/>
          <w:iCs/>
        </w:rPr>
        <w:t>The Asia-Pacific Journal of Ophthalmology</w:t>
      </w:r>
      <w:r w:rsidRPr="005407D4">
        <w:t>, vol. 10, no. 5, pp. 442–449.</w:t>
      </w:r>
    </w:p>
    <w:p w14:paraId="7A576A04" w14:textId="77777777" w:rsidR="005407D4" w:rsidRPr="005407D4" w:rsidRDefault="005407D4" w:rsidP="000B61A6">
      <w:pPr>
        <w:pStyle w:val="Reference"/>
      </w:pPr>
      <w:r w:rsidRPr="005407D4">
        <w:t xml:space="preserve">Hellyer, M. 2022, </w:t>
      </w:r>
      <w:r w:rsidRPr="005407D4">
        <w:rPr>
          <w:i/>
          <w:iCs/>
        </w:rPr>
        <w:t>Understanding the price of military equipment</w:t>
      </w:r>
      <w:r w:rsidRPr="005407D4">
        <w:t xml:space="preserve">, May, Australian Strategic Policy Institute, </w:t>
      </w:r>
      <w:r w:rsidRPr="005407D4">
        <w:t>https://www.aspistrategist.org.au/understanding-the-price-of-military-equipment/ (accessed 27 August 2022).</w:t>
      </w:r>
    </w:p>
    <w:p w14:paraId="068B2493" w14:textId="77777777" w:rsidR="005407D4" w:rsidRPr="005407D4" w:rsidRDefault="005407D4" w:rsidP="000B61A6">
      <w:pPr>
        <w:pStyle w:val="Reference"/>
      </w:pPr>
      <w:r w:rsidRPr="005407D4">
        <w:t xml:space="preserve">Hemmings, P. and Park, T. 2017, </w:t>
      </w:r>
      <w:r w:rsidRPr="005407D4">
        <w:rPr>
          <w:i/>
          <w:iCs/>
        </w:rPr>
        <w:t>Creating good conditions for innovation-driven productivity gains in Australia</w:t>
      </w:r>
      <w:r w:rsidRPr="005407D4">
        <w:t>, OECD Economics Department Working Papers, No. 1390, OECD Publishing, Paris.</w:t>
      </w:r>
    </w:p>
    <w:p w14:paraId="2306DE77" w14:textId="77777777" w:rsidR="005407D4" w:rsidRPr="005407D4" w:rsidRDefault="005407D4" w:rsidP="000B61A6">
      <w:pPr>
        <w:pStyle w:val="Reference"/>
      </w:pPr>
      <w:r w:rsidRPr="005407D4">
        <w:t xml:space="preserve">Hiscock, H., Pelly, R., Hua, X., West, S., Tucker, D., Raymundo, C.-M., Dalziel, K., Hiscock, H., Pelly, R., Hua, X., West, S., Tucker, D., Raymundo, C.-M. and Dalziel, K. 2021, ‘Survey of paediatric telehealth benefits from the caregiver perspective’, CSIRO PUBLISHING, </w:t>
      </w:r>
      <w:r w:rsidRPr="005407D4">
        <w:rPr>
          <w:i/>
          <w:iCs/>
        </w:rPr>
        <w:t>Australian Health Review</w:t>
      </w:r>
      <w:r w:rsidRPr="005407D4">
        <w:t>, vol. 46, no. 2, pp. 197–203.</w:t>
      </w:r>
    </w:p>
    <w:p w14:paraId="59914482" w14:textId="684D3B30" w:rsidR="005407D4" w:rsidRPr="0027006D" w:rsidRDefault="005407D4" w:rsidP="000B61A6">
      <w:pPr>
        <w:pStyle w:val="Reference"/>
        <w:rPr>
          <w:spacing w:val="4"/>
        </w:rPr>
      </w:pPr>
      <w:r w:rsidRPr="0027006D">
        <w:rPr>
          <w:spacing w:val="4"/>
        </w:rPr>
        <w:t xml:space="preserve">Howard, J. 2022, </w:t>
      </w:r>
      <w:r w:rsidRPr="0027006D">
        <w:rPr>
          <w:i/>
          <w:iCs/>
          <w:spacing w:val="4"/>
        </w:rPr>
        <w:t>The promise was for more industry-focused PhDs. The reality is different</w:t>
      </w:r>
      <w:r w:rsidRPr="0027006D">
        <w:rPr>
          <w:spacing w:val="4"/>
        </w:rPr>
        <w:t xml:space="preserve">, </w:t>
      </w:r>
      <w:r w:rsidRPr="0027006D">
        <w:rPr>
          <w:i/>
          <w:iCs/>
          <w:spacing w:val="4"/>
        </w:rPr>
        <w:t>InnovationAus.com</w:t>
      </w:r>
      <w:r w:rsidRPr="0027006D">
        <w:rPr>
          <w:spacing w:val="4"/>
        </w:rPr>
        <w:t>, 25 February, www.innovationaus.com/the-promise-was-for-more-industry-focused-phds-the-reality-is-different/ (accessed 23 August 2022).</w:t>
      </w:r>
    </w:p>
    <w:p w14:paraId="34FE21CB" w14:textId="77777777" w:rsidR="005407D4" w:rsidRPr="005407D4" w:rsidRDefault="005407D4" w:rsidP="000B61A6">
      <w:pPr>
        <w:pStyle w:val="Reference"/>
      </w:pPr>
      <w:r w:rsidRPr="005407D4">
        <w:t xml:space="preserve">Hughes, A., </w:t>
      </w:r>
      <w:proofErr w:type="spellStart"/>
      <w:r w:rsidRPr="005407D4">
        <w:t>Kitson</w:t>
      </w:r>
      <w:proofErr w:type="spellEnd"/>
      <w:r w:rsidRPr="005407D4">
        <w:t xml:space="preserve">, M., Salter, A., </w:t>
      </w:r>
      <w:proofErr w:type="spellStart"/>
      <w:r w:rsidRPr="005407D4">
        <w:t>Angenendt</w:t>
      </w:r>
      <w:proofErr w:type="spellEnd"/>
      <w:r w:rsidRPr="005407D4">
        <w:t xml:space="preserve">, D. and Hughes, R. 2021, </w:t>
      </w:r>
      <w:r w:rsidRPr="005407D4">
        <w:rPr>
          <w:i/>
          <w:iCs/>
        </w:rPr>
        <w:t>The Changing State of Business-University Interactions in the UK 2005-2021</w:t>
      </w:r>
      <w:r w:rsidRPr="005407D4">
        <w:t>, National Centre for Universities and Business (NCUB), p. 120.</w:t>
      </w:r>
    </w:p>
    <w:p w14:paraId="1463382C" w14:textId="77777777" w:rsidR="005407D4" w:rsidRPr="005407D4" w:rsidRDefault="005407D4" w:rsidP="000B61A6">
      <w:pPr>
        <w:pStyle w:val="Reference"/>
      </w:pPr>
      <w:r w:rsidRPr="005407D4">
        <w:t xml:space="preserve">Hunter, J., </w:t>
      </w:r>
      <w:proofErr w:type="spellStart"/>
      <w:r w:rsidRPr="005407D4">
        <w:t>Sonnemann</w:t>
      </w:r>
      <w:proofErr w:type="spellEnd"/>
      <w:r w:rsidRPr="005407D4">
        <w:t xml:space="preserve">, J. and Joiner, R. 2022, </w:t>
      </w:r>
      <w:r w:rsidRPr="005407D4">
        <w:rPr>
          <w:i/>
          <w:iCs/>
        </w:rPr>
        <w:t>Making time for great teaching: How better government policy can help</w:t>
      </w:r>
      <w:r w:rsidRPr="005407D4">
        <w:t>, Grattan Institute.</w:t>
      </w:r>
    </w:p>
    <w:p w14:paraId="3D6EB824" w14:textId="77777777" w:rsidR="005407D4" w:rsidRPr="005407D4" w:rsidRDefault="005407D4" w:rsidP="000B61A6">
      <w:pPr>
        <w:pStyle w:val="Reference"/>
      </w:pPr>
      <w:r w:rsidRPr="005407D4">
        <w:t xml:space="preserve">Hutchings, O. 2021, </w:t>
      </w:r>
      <w:r w:rsidRPr="005407D4">
        <w:rPr>
          <w:i/>
          <w:iCs/>
        </w:rPr>
        <w:t>RPA Virtual Hospital, A perspective from Sydney, Australia</w:t>
      </w:r>
      <w:r w:rsidRPr="005407D4">
        <w:t>, Sydney.</w:t>
      </w:r>
    </w:p>
    <w:p w14:paraId="5B9B13D8" w14:textId="75E48C1B" w:rsidR="005407D4" w:rsidRPr="005407D4" w:rsidRDefault="005407D4" w:rsidP="000B61A6">
      <w:pPr>
        <w:pStyle w:val="Reference"/>
      </w:pPr>
      <w:r w:rsidRPr="005407D4">
        <w:t xml:space="preserve">IA (Infrastructure Australia) 2022, </w:t>
      </w:r>
      <w:r w:rsidRPr="005407D4">
        <w:rPr>
          <w:i/>
          <w:iCs/>
        </w:rPr>
        <w:t>Delivering Outcomes: A roadmap to improve infrastructure industry productivity and innovation</w:t>
      </w:r>
      <w:r w:rsidRPr="005407D4">
        <w:t>, March, Commonwealth of Australia, www.infrastructureaustralia.gov.au/sites/default/files/2022-03/IA%20Delivering%20Outcomes%20March%202022%20Final_1.pdf (accessed 13 May 2022).</w:t>
      </w:r>
    </w:p>
    <w:p w14:paraId="67552C58" w14:textId="77777777" w:rsidR="005407D4" w:rsidRPr="005407D4" w:rsidRDefault="005407D4" w:rsidP="000B61A6">
      <w:pPr>
        <w:pStyle w:val="Reference"/>
      </w:pPr>
      <w:r w:rsidRPr="005407D4">
        <w:t xml:space="preserve">IHPA (Independent Hospital Pricing Authority) 2022, </w:t>
      </w:r>
      <w:r w:rsidRPr="005407D4">
        <w:rPr>
          <w:i/>
          <w:iCs/>
        </w:rPr>
        <w:t>Consultation Paper on the Pricing Framework for Australian Public Hospital Services 2023–24</w:t>
      </w:r>
      <w:r w:rsidRPr="005407D4">
        <w:t>, June.</w:t>
      </w:r>
    </w:p>
    <w:p w14:paraId="499314DE" w14:textId="77777777" w:rsidR="005407D4" w:rsidRPr="005407D4" w:rsidRDefault="005407D4" w:rsidP="000B61A6">
      <w:pPr>
        <w:pStyle w:val="Reference"/>
      </w:pPr>
      <w:r w:rsidRPr="005407D4">
        <w:t xml:space="preserve">IMF (International Monetary Fund) 2021, ‘Australia: Selected Issues’, </w:t>
      </w:r>
      <w:r w:rsidRPr="005407D4">
        <w:rPr>
          <w:i/>
          <w:iCs/>
        </w:rPr>
        <w:t>IMF Staff Country Reports</w:t>
      </w:r>
      <w:r w:rsidRPr="005407D4">
        <w:t>, vol. 2021, no. 256.</w:t>
      </w:r>
    </w:p>
    <w:p w14:paraId="2A946DE1" w14:textId="4C56024B" w:rsidR="005407D4" w:rsidRPr="005407D4" w:rsidRDefault="005407D4" w:rsidP="000B61A6">
      <w:pPr>
        <w:pStyle w:val="Reference"/>
      </w:pPr>
      <w:r w:rsidRPr="005407D4">
        <w:t xml:space="preserve">Innovative Research Universities 2021, </w:t>
      </w:r>
      <w:r w:rsidRPr="005407D4">
        <w:rPr>
          <w:i/>
          <w:iCs/>
        </w:rPr>
        <w:t xml:space="preserve">IRU Response University Research </w:t>
      </w:r>
      <w:r w:rsidR="00BB6831" w:rsidRPr="005407D4">
        <w:rPr>
          <w:i/>
          <w:iCs/>
        </w:rPr>
        <w:t>Comm</w:t>
      </w:r>
      <w:r w:rsidR="00BB6831">
        <w:rPr>
          <w:i/>
          <w:iCs/>
        </w:rPr>
        <w:t>e</w:t>
      </w:r>
      <w:r w:rsidR="00BB6831" w:rsidRPr="005407D4">
        <w:rPr>
          <w:i/>
          <w:iCs/>
        </w:rPr>
        <w:t>rcialisation</w:t>
      </w:r>
      <w:r w:rsidRPr="005407D4">
        <w:rPr>
          <w:i/>
          <w:iCs/>
        </w:rPr>
        <w:t xml:space="preserve"> Action Plan</w:t>
      </w:r>
      <w:r w:rsidRPr="005407D4">
        <w:t>.</w:t>
      </w:r>
    </w:p>
    <w:p w14:paraId="1B48136D" w14:textId="77784C9B" w:rsidR="005407D4" w:rsidRPr="005407D4" w:rsidRDefault="005407D4" w:rsidP="000B61A6">
      <w:pPr>
        <w:pStyle w:val="Reference"/>
      </w:pPr>
      <w:r w:rsidRPr="005407D4">
        <w:t xml:space="preserve">Invest Victoria 2021, </w:t>
      </w:r>
      <w:r w:rsidRPr="005407D4">
        <w:rPr>
          <w:i/>
          <w:iCs/>
        </w:rPr>
        <w:t>Homage Case Study</w:t>
      </w:r>
      <w:r w:rsidRPr="005407D4">
        <w:t>, www.invest.vic.gov.au/resources/case-studies-search/case-studies/homage-case-study (accessed 5 August 2022).</w:t>
      </w:r>
    </w:p>
    <w:p w14:paraId="371E0966" w14:textId="4829DC1D" w:rsidR="005407D4" w:rsidRPr="005407D4" w:rsidRDefault="005407D4" w:rsidP="000B61A6">
      <w:pPr>
        <w:pStyle w:val="Reference"/>
      </w:pPr>
      <w:r w:rsidRPr="005407D4">
        <w:t>——</w:t>
      </w:r>
      <w:r w:rsidR="00BF1239">
        <w:t> </w:t>
      </w:r>
      <w:r w:rsidRPr="005407D4">
        <w:t xml:space="preserve">2022, </w:t>
      </w:r>
      <w:r w:rsidRPr="005407D4">
        <w:rPr>
          <w:i/>
          <w:iCs/>
        </w:rPr>
        <w:t>Melbourne Biomedical Precinct (Parkville)</w:t>
      </w:r>
      <w:r w:rsidRPr="005407D4">
        <w:t>, https://www.invest.vic.gov.au/opportunities/precincts/parkville-precinct (accessed 5 August 2022).</w:t>
      </w:r>
    </w:p>
    <w:p w14:paraId="165B6EDD" w14:textId="77777777" w:rsidR="005407D4" w:rsidRPr="005407D4" w:rsidRDefault="005407D4" w:rsidP="000B61A6">
      <w:pPr>
        <w:pStyle w:val="Reference"/>
      </w:pPr>
      <w:r w:rsidRPr="005407D4">
        <w:t xml:space="preserve">Investment NSW 2022, </w:t>
      </w:r>
      <w:r w:rsidRPr="005407D4">
        <w:rPr>
          <w:i/>
          <w:iCs/>
        </w:rPr>
        <w:t xml:space="preserve">Sydney </w:t>
      </w:r>
      <w:proofErr w:type="spellStart"/>
      <w:r w:rsidRPr="005407D4">
        <w:rPr>
          <w:i/>
          <w:iCs/>
        </w:rPr>
        <w:t>Startup</w:t>
      </w:r>
      <w:proofErr w:type="spellEnd"/>
      <w:r w:rsidRPr="005407D4">
        <w:rPr>
          <w:i/>
          <w:iCs/>
        </w:rPr>
        <w:t xml:space="preserve"> Hub</w:t>
      </w:r>
      <w:r w:rsidRPr="005407D4">
        <w:t>.</w:t>
      </w:r>
    </w:p>
    <w:p w14:paraId="4CB8E1D6" w14:textId="77777777" w:rsidR="005407D4" w:rsidRPr="005407D4" w:rsidRDefault="005407D4" w:rsidP="000B61A6">
      <w:pPr>
        <w:pStyle w:val="Reference"/>
      </w:pPr>
      <w:r w:rsidRPr="005407D4">
        <w:t xml:space="preserve">IPAA (Institute of Public Administration of Australia) 2020, </w:t>
      </w:r>
      <w:r w:rsidRPr="005407D4">
        <w:rPr>
          <w:i/>
          <w:iCs/>
        </w:rPr>
        <w:t>2020 Public Sector Innovation Award Winners</w:t>
      </w:r>
      <w:r w:rsidRPr="005407D4">
        <w:t>.</w:t>
      </w:r>
    </w:p>
    <w:p w14:paraId="6BBCA881" w14:textId="77777777" w:rsidR="005407D4" w:rsidRPr="005407D4" w:rsidRDefault="005407D4" w:rsidP="000B61A6">
      <w:pPr>
        <w:pStyle w:val="Reference"/>
      </w:pPr>
      <w:r w:rsidRPr="005407D4">
        <w:t xml:space="preserve">ISA (Innovation and Science Australia) 2016, </w:t>
      </w:r>
      <w:r w:rsidRPr="005407D4">
        <w:rPr>
          <w:i/>
          <w:iCs/>
        </w:rPr>
        <w:t>Performance Review of the Australian Innovation, Science and Research System 2016</w:t>
      </w:r>
      <w:r w:rsidRPr="005407D4">
        <w:t>, Commonwealth of Australia, Australia.</w:t>
      </w:r>
    </w:p>
    <w:p w14:paraId="3F994DEE" w14:textId="77777777" w:rsidR="005407D4" w:rsidRPr="005407D4" w:rsidRDefault="005407D4" w:rsidP="000B61A6">
      <w:pPr>
        <w:pStyle w:val="Reference"/>
      </w:pPr>
      <w:proofErr w:type="spellStart"/>
      <w:r w:rsidRPr="005407D4">
        <w:t>Janz</w:t>
      </w:r>
      <w:proofErr w:type="spellEnd"/>
      <w:r w:rsidRPr="005407D4">
        <w:t xml:space="preserve">, N., </w:t>
      </w:r>
      <w:proofErr w:type="spellStart"/>
      <w:r w:rsidRPr="005407D4">
        <w:t>Lööf</w:t>
      </w:r>
      <w:proofErr w:type="spellEnd"/>
      <w:r w:rsidRPr="005407D4">
        <w:t xml:space="preserve">, H. and Peters, B. 2004, </w:t>
      </w:r>
      <w:r w:rsidRPr="005407D4">
        <w:rPr>
          <w:i/>
          <w:iCs/>
        </w:rPr>
        <w:t xml:space="preserve">Firm Level Innovation and Productivity - Is there a Common Story Across </w:t>
      </w:r>
      <w:proofErr w:type="gramStart"/>
      <w:r w:rsidRPr="005407D4">
        <w:rPr>
          <w:i/>
          <w:iCs/>
        </w:rPr>
        <w:t>Countries?</w:t>
      </w:r>
      <w:r w:rsidRPr="005407D4">
        <w:t>,</w:t>
      </w:r>
      <w:proofErr w:type="gramEnd"/>
      <w:r w:rsidRPr="005407D4">
        <w:t xml:space="preserve"> </w:t>
      </w:r>
      <w:r w:rsidRPr="005407D4">
        <w:rPr>
          <w:i/>
          <w:iCs/>
        </w:rPr>
        <w:t>Working Paper Series in Economics and Institutions of Innovation</w:t>
      </w:r>
      <w:r w:rsidRPr="005407D4">
        <w:t>, 10 December, 24, Working Paper Series in Economics and Institutions of Innovation, Royal Institute of Technology, CESIS - Centre of Excellence for Science and Innovation Studies.</w:t>
      </w:r>
    </w:p>
    <w:p w14:paraId="774F810B" w14:textId="77777777" w:rsidR="005407D4" w:rsidRPr="005407D4" w:rsidRDefault="005407D4" w:rsidP="000B61A6">
      <w:pPr>
        <w:pStyle w:val="Reference"/>
      </w:pPr>
      <w:proofErr w:type="spellStart"/>
      <w:r w:rsidRPr="005407D4">
        <w:t>Javorcik</w:t>
      </w:r>
      <w:proofErr w:type="spellEnd"/>
      <w:r w:rsidRPr="005407D4">
        <w:t xml:space="preserve">, B.S. 2004, ‘Does foreign direct investment increase the productivity of domestic firms? In search of </w:t>
      </w:r>
      <w:proofErr w:type="spellStart"/>
      <w:r w:rsidRPr="005407D4">
        <w:t>spillovers</w:t>
      </w:r>
      <w:proofErr w:type="spellEnd"/>
      <w:r w:rsidRPr="005407D4">
        <w:t xml:space="preserve"> </w:t>
      </w:r>
      <w:r w:rsidRPr="005407D4">
        <w:lastRenderedPageBreak/>
        <w:t xml:space="preserve">through backward linkages’, </w:t>
      </w:r>
      <w:r w:rsidRPr="005407D4">
        <w:rPr>
          <w:i/>
          <w:iCs/>
        </w:rPr>
        <w:t>American Economic Review</w:t>
      </w:r>
      <w:r w:rsidRPr="005407D4">
        <w:t>, vol. 94, no. 3, pp. 605–627.</w:t>
      </w:r>
    </w:p>
    <w:p w14:paraId="40167E2E" w14:textId="77777777" w:rsidR="005407D4" w:rsidRPr="005407D4" w:rsidRDefault="005407D4" w:rsidP="000B61A6">
      <w:pPr>
        <w:pStyle w:val="Reference"/>
      </w:pPr>
      <w:r w:rsidRPr="005407D4">
        <w:t xml:space="preserve">—— and </w:t>
      </w:r>
      <w:proofErr w:type="spellStart"/>
      <w:r w:rsidRPr="005407D4">
        <w:t>Spatareanu</w:t>
      </w:r>
      <w:proofErr w:type="spellEnd"/>
      <w:r w:rsidRPr="005407D4">
        <w:t xml:space="preserve">, M. 2008, ‘To share or not to share: Does local participation matter for </w:t>
      </w:r>
      <w:proofErr w:type="spellStart"/>
      <w:r w:rsidRPr="005407D4">
        <w:t>spillovers</w:t>
      </w:r>
      <w:proofErr w:type="spellEnd"/>
      <w:r w:rsidRPr="005407D4">
        <w:t xml:space="preserve"> from foreign direct investment?’, </w:t>
      </w:r>
      <w:r w:rsidRPr="005407D4">
        <w:rPr>
          <w:i/>
          <w:iCs/>
        </w:rPr>
        <w:t>Journal of Development Economics</w:t>
      </w:r>
      <w:r w:rsidRPr="005407D4">
        <w:t>, vol. 85, no. 1–2, pp. 194–217.</w:t>
      </w:r>
    </w:p>
    <w:p w14:paraId="39F375DD" w14:textId="77777777" w:rsidR="005407D4" w:rsidRPr="005407D4" w:rsidRDefault="005407D4" w:rsidP="000B61A6">
      <w:pPr>
        <w:pStyle w:val="Reference"/>
      </w:pPr>
      <w:r w:rsidRPr="005407D4">
        <w:t xml:space="preserve">Keller, W. 2021, </w:t>
      </w:r>
      <w:r w:rsidRPr="005407D4">
        <w:rPr>
          <w:i/>
          <w:iCs/>
        </w:rPr>
        <w:t xml:space="preserve">Knowledge </w:t>
      </w:r>
      <w:proofErr w:type="spellStart"/>
      <w:r w:rsidRPr="005407D4">
        <w:rPr>
          <w:i/>
          <w:iCs/>
        </w:rPr>
        <w:t>spillovers</w:t>
      </w:r>
      <w:proofErr w:type="spellEnd"/>
      <w:r w:rsidRPr="005407D4">
        <w:rPr>
          <w:i/>
          <w:iCs/>
        </w:rPr>
        <w:t>, trade, and foreign direct investment</w:t>
      </w:r>
      <w:r w:rsidRPr="005407D4">
        <w:t>, NBER Working Paper 28739, National Bureau of Economic Research, Massachusetts, Cambridge.</w:t>
      </w:r>
    </w:p>
    <w:p w14:paraId="4BFD803E" w14:textId="77777777" w:rsidR="005407D4" w:rsidRPr="009D6718" w:rsidRDefault="005407D4" w:rsidP="000B61A6">
      <w:pPr>
        <w:pStyle w:val="Reference"/>
        <w:rPr>
          <w:spacing w:val="-4"/>
        </w:rPr>
      </w:pPr>
      <w:r w:rsidRPr="009D6718">
        <w:rPr>
          <w:spacing w:val="-4"/>
        </w:rPr>
        <w:t xml:space="preserve">Kido, Y., Muir, D., Nozaki, M., Wong, Y.C., Zhou, Y.S. and Hlatshwayo, S. 2020, </w:t>
      </w:r>
      <w:r w:rsidRPr="009D6718">
        <w:rPr>
          <w:i/>
          <w:iCs/>
          <w:spacing w:val="-4"/>
        </w:rPr>
        <w:t xml:space="preserve">Why has business investment slowed down in </w:t>
      </w:r>
      <w:proofErr w:type="gramStart"/>
      <w:r w:rsidRPr="009D6718">
        <w:rPr>
          <w:i/>
          <w:iCs/>
          <w:spacing w:val="-4"/>
        </w:rPr>
        <w:t>Australia?</w:t>
      </w:r>
      <w:r w:rsidRPr="009D6718">
        <w:rPr>
          <w:spacing w:val="-4"/>
        </w:rPr>
        <w:t>,</w:t>
      </w:r>
      <w:proofErr w:type="gramEnd"/>
      <w:r w:rsidRPr="009D6718">
        <w:rPr>
          <w:spacing w:val="-4"/>
        </w:rPr>
        <w:t xml:space="preserve"> IMF Staff Country Report No. 20/69, March.</w:t>
      </w:r>
    </w:p>
    <w:p w14:paraId="572DA603" w14:textId="77777777" w:rsidR="005407D4" w:rsidRPr="005407D4" w:rsidRDefault="005407D4" w:rsidP="000B61A6">
      <w:pPr>
        <w:pStyle w:val="Reference"/>
      </w:pPr>
      <w:proofErr w:type="spellStart"/>
      <w:r w:rsidRPr="005407D4">
        <w:t>Kiriyama</w:t>
      </w:r>
      <w:proofErr w:type="spellEnd"/>
      <w:r w:rsidRPr="005407D4">
        <w:t xml:space="preserve">, N. 2012, </w:t>
      </w:r>
      <w:r w:rsidRPr="005407D4">
        <w:rPr>
          <w:i/>
          <w:iCs/>
        </w:rPr>
        <w:t>Trade and Innovation: Synthesis Report</w:t>
      </w:r>
      <w:r w:rsidRPr="005407D4">
        <w:t>, OECD Trade Policy Papers, No. 135, OECD Publishing, Paris.</w:t>
      </w:r>
    </w:p>
    <w:p w14:paraId="0D46929E" w14:textId="77777777" w:rsidR="005407D4" w:rsidRPr="005407D4" w:rsidRDefault="005407D4" w:rsidP="000B61A6">
      <w:pPr>
        <w:pStyle w:val="Reference"/>
      </w:pPr>
      <w:r w:rsidRPr="005407D4">
        <w:t xml:space="preserve">Krugman, P. 1991, </w:t>
      </w:r>
      <w:r w:rsidRPr="005407D4">
        <w:rPr>
          <w:i/>
          <w:iCs/>
        </w:rPr>
        <w:t>Geography and Trade</w:t>
      </w:r>
      <w:r w:rsidRPr="005407D4">
        <w:t>, The MIT Press, Cambridge, MA.</w:t>
      </w:r>
    </w:p>
    <w:p w14:paraId="67735C7C" w14:textId="77777777" w:rsidR="005407D4" w:rsidRPr="005407D4" w:rsidRDefault="005407D4" w:rsidP="000B61A6">
      <w:pPr>
        <w:pStyle w:val="Reference"/>
      </w:pPr>
      <w:r w:rsidRPr="005407D4">
        <w:t xml:space="preserve">van Leeuwen, K.G., de </w:t>
      </w:r>
      <w:proofErr w:type="spellStart"/>
      <w:r w:rsidRPr="005407D4">
        <w:t>Rooij</w:t>
      </w:r>
      <w:proofErr w:type="spellEnd"/>
      <w:r w:rsidRPr="005407D4">
        <w:t xml:space="preserve">, M., </w:t>
      </w:r>
      <w:proofErr w:type="spellStart"/>
      <w:r w:rsidRPr="005407D4">
        <w:t>Schalekamp</w:t>
      </w:r>
      <w:proofErr w:type="spellEnd"/>
      <w:r w:rsidRPr="005407D4">
        <w:t xml:space="preserve">, S., van </w:t>
      </w:r>
      <w:proofErr w:type="spellStart"/>
      <w:r w:rsidRPr="005407D4">
        <w:t>Ginneken</w:t>
      </w:r>
      <w:proofErr w:type="spellEnd"/>
      <w:r w:rsidRPr="005407D4">
        <w:t xml:space="preserve">, B. and Rutten, M.J.C.M. 2021, ‘How does artificial intelligence in radiology improve efficiency and health outcomes?’, </w:t>
      </w:r>
      <w:proofErr w:type="spellStart"/>
      <w:r w:rsidRPr="005407D4">
        <w:rPr>
          <w:i/>
          <w:iCs/>
        </w:rPr>
        <w:t>Pediatric</w:t>
      </w:r>
      <w:proofErr w:type="spellEnd"/>
      <w:r w:rsidRPr="005407D4">
        <w:rPr>
          <w:i/>
          <w:iCs/>
        </w:rPr>
        <w:t xml:space="preserve"> Radiology</w:t>
      </w:r>
      <w:r w:rsidRPr="005407D4">
        <w:t>.</w:t>
      </w:r>
    </w:p>
    <w:p w14:paraId="4FAFFDE0" w14:textId="77777777" w:rsidR="005407D4" w:rsidRPr="005407D4" w:rsidRDefault="005407D4" w:rsidP="000B61A6">
      <w:pPr>
        <w:pStyle w:val="Reference"/>
      </w:pPr>
      <w:proofErr w:type="spellStart"/>
      <w:r w:rsidRPr="005407D4">
        <w:t>Lesher</w:t>
      </w:r>
      <w:proofErr w:type="spellEnd"/>
      <w:r w:rsidRPr="005407D4">
        <w:t xml:space="preserve"> and </w:t>
      </w:r>
      <w:proofErr w:type="spellStart"/>
      <w:r w:rsidRPr="005407D4">
        <w:t>Miroudot</w:t>
      </w:r>
      <w:proofErr w:type="spellEnd"/>
      <w:r w:rsidRPr="005407D4">
        <w:t xml:space="preserve">, S. 2008, </w:t>
      </w:r>
      <w:r w:rsidRPr="005407D4">
        <w:rPr>
          <w:i/>
          <w:iCs/>
        </w:rPr>
        <w:t xml:space="preserve">FDI </w:t>
      </w:r>
      <w:proofErr w:type="spellStart"/>
      <w:r w:rsidRPr="005407D4">
        <w:rPr>
          <w:i/>
          <w:iCs/>
        </w:rPr>
        <w:t>Spillovers</w:t>
      </w:r>
      <w:proofErr w:type="spellEnd"/>
      <w:r w:rsidRPr="005407D4">
        <w:rPr>
          <w:i/>
          <w:iCs/>
        </w:rPr>
        <w:t xml:space="preserve"> and their Interrelationships with Trade</w:t>
      </w:r>
      <w:r w:rsidRPr="005407D4">
        <w:t>, OECD Trade Policy Papers, No. 80, OECD Publishing, Paris.</w:t>
      </w:r>
    </w:p>
    <w:p w14:paraId="2DAB6BBE" w14:textId="77777777" w:rsidR="005407D4" w:rsidRPr="005407D4" w:rsidRDefault="005407D4" w:rsidP="000B61A6">
      <w:pPr>
        <w:pStyle w:val="Reference"/>
      </w:pPr>
      <w:r w:rsidRPr="005407D4">
        <w:t xml:space="preserve">Levine, R. 2005, ‘Finance and Growth: Theory and Evidence’, in Aghion, P. and </w:t>
      </w:r>
      <w:proofErr w:type="spellStart"/>
      <w:r w:rsidRPr="005407D4">
        <w:t>Durlauf</w:t>
      </w:r>
      <w:proofErr w:type="spellEnd"/>
      <w:r w:rsidRPr="005407D4">
        <w:t xml:space="preserve">, S. (eds), </w:t>
      </w:r>
      <w:r w:rsidRPr="005407D4">
        <w:rPr>
          <w:i/>
          <w:iCs/>
        </w:rPr>
        <w:t>The Handbook of Economic Growth</w:t>
      </w:r>
      <w:r w:rsidRPr="005407D4">
        <w:t>, vol 1, North-Holland: Elsevier, pp. 865–934.</w:t>
      </w:r>
    </w:p>
    <w:p w14:paraId="24512B0C" w14:textId="77777777" w:rsidR="005407D4" w:rsidRPr="005407D4" w:rsidRDefault="005407D4" w:rsidP="000B61A6">
      <w:pPr>
        <w:pStyle w:val="Reference"/>
      </w:pPr>
      <w:r w:rsidRPr="005407D4">
        <w:t xml:space="preserve">Lipscomb, C.A., </w:t>
      </w:r>
      <w:proofErr w:type="spellStart"/>
      <w:r w:rsidRPr="005407D4">
        <w:t>Youtie</w:t>
      </w:r>
      <w:proofErr w:type="spellEnd"/>
      <w:r w:rsidRPr="005407D4">
        <w:t xml:space="preserve">, J., Shapira, P., Arora, S. and Krause, A. 2018, ‘Evaluating the Impact of Manufacturing Extension Services on Establishment Performance’, </w:t>
      </w:r>
      <w:r w:rsidRPr="005407D4">
        <w:rPr>
          <w:i/>
          <w:iCs/>
        </w:rPr>
        <w:t>Economic Development Quarterly</w:t>
      </w:r>
      <w:r w:rsidRPr="005407D4">
        <w:t>, vol. 32, no. 1, pp. 29–43.</w:t>
      </w:r>
    </w:p>
    <w:p w14:paraId="58ED28B9" w14:textId="77777777" w:rsidR="005407D4" w:rsidRPr="005407D4" w:rsidRDefault="005407D4" w:rsidP="000B61A6">
      <w:pPr>
        <w:pStyle w:val="Reference"/>
      </w:pPr>
      <w:proofErr w:type="spellStart"/>
      <w:r w:rsidRPr="005407D4">
        <w:t>Lööf</w:t>
      </w:r>
      <w:proofErr w:type="spellEnd"/>
      <w:r w:rsidRPr="005407D4">
        <w:t xml:space="preserve">, H. and </w:t>
      </w:r>
      <w:proofErr w:type="spellStart"/>
      <w:r w:rsidRPr="005407D4">
        <w:t>Heshmati</w:t>
      </w:r>
      <w:proofErr w:type="spellEnd"/>
      <w:r w:rsidRPr="005407D4">
        <w:t xml:space="preserve">, A. 2006, ‘On the relationship between innovation and performance: A sensitivity analysis’, Taylor &amp; Francis Journals, </w:t>
      </w:r>
      <w:r w:rsidRPr="005407D4">
        <w:rPr>
          <w:i/>
          <w:iCs/>
        </w:rPr>
        <w:t>Economics of Innovation and New Technology</w:t>
      </w:r>
      <w:r w:rsidRPr="005407D4">
        <w:t>, vol. 15, no. 4–5, pp. 317–344.</w:t>
      </w:r>
    </w:p>
    <w:p w14:paraId="1D403858" w14:textId="77777777" w:rsidR="005407D4" w:rsidRPr="009D6718" w:rsidRDefault="005407D4" w:rsidP="000B61A6">
      <w:pPr>
        <w:pStyle w:val="Reference"/>
        <w:rPr>
          <w:spacing w:val="-4"/>
        </w:rPr>
      </w:pPr>
      <w:r w:rsidRPr="009D6718">
        <w:rPr>
          <w:spacing w:val="-4"/>
        </w:rPr>
        <w:t xml:space="preserve">Ma, S., </w:t>
      </w:r>
      <w:proofErr w:type="spellStart"/>
      <w:r w:rsidRPr="009D6718">
        <w:rPr>
          <w:spacing w:val="-4"/>
        </w:rPr>
        <w:t>Murfin</w:t>
      </w:r>
      <w:proofErr w:type="spellEnd"/>
      <w:r w:rsidRPr="009D6718">
        <w:rPr>
          <w:spacing w:val="-4"/>
        </w:rPr>
        <w:t xml:space="preserve">, J. and Pratt, R.D. 2021, ‘Young Firms, Old Capital’, </w:t>
      </w:r>
      <w:r w:rsidRPr="009D6718">
        <w:rPr>
          <w:i/>
          <w:iCs/>
          <w:spacing w:val="-4"/>
        </w:rPr>
        <w:t>Journal of Financial Economics</w:t>
      </w:r>
      <w:r w:rsidRPr="009D6718">
        <w:rPr>
          <w:spacing w:val="-4"/>
        </w:rPr>
        <w:t>, In Press Corrected Proof.</w:t>
      </w:r>
    </w:p>
    <w:p w14:paraId="43BE5A77" w14:textId="77777777" w:rsidR="005407D4" w:rsidRPr="005407D4" w:rsidRDefault="005407D4" w:rsidP="000B61A6">
      <w:pPr>
        <w:pStyle w:val="Reference"/>
      </w:pPr>
      <w:proofErr w:type="spellStart"/>
      <w:r w:rsidRPr="005407D4">
        <w:t>Madaleno</w:t>
      </w:r>
      <w:proofErr w:type="spellEnd"/>
      <w:r w:rsidRPr="005407D4">
        <w:t xml:space="preserve">, M., Nathan, M., Overman, H. and </w:t>
      </w:r>
      <w:proofErr w:type="spellStart"/>
      <w:r w:rsidRPr="005407D4">
        <w:t>Waights</w:t>
      </w:r>
      <w:proofErr w:type="spellEnd"/>
      <w:r w:rsidRPr="005407D4">
        <w:t xml:space="preserve">, S. 2022, ‘Incubators, accelerators and urban economic development’, </w:t>
      </w:r>
      <w:r w:rsidRPr="005407D4">
        <w:rPr>
          <w:i/>
          <w:iCs/>
        </w:rPr>
        <w:t>Urban Studies</w:t>
      </w:r>
      <w:r w:rsidRPr="005407D4">
        <w:t>, vol. 59, no. 2, pp. 281–300.</w:t>
      </w:r>
    </w:p>
    <w:p w14:paraId="78A1608B" w14:textId="77777777" w:rsidR="005407D4" w:rsidRPr="005407D4" w:rsidRDefault="005407D4" w:rsidP="000B61A6">
      <w:pPr>
        <w:pStyle w:val="Reference"/>
      </w:pPr>
      <w:r w:rsidRPr="005407D4">
        <w:t xml:space="preserve">Majeed, O. and </w:t>
      </w:r>
      <w:proofErr w:type="spellStart"/>
      <w:r w:rsidRPr="005407D4">
        <w:t>Breunig</w:t>
      </w:r>
      <w:proofErr w:type="spellEnd"/>
      <w:r w:rsidRPr="005407D4">
        <w:t xml:space="preserve">, R.V. 2021, </w:t>
      </w:r>
      <w:r w:rsidRPr="005407D4">
        <w:rPr>
          <w:i/>
          <w:iCs/>
        </w:rPr>
        <w:t>Determinants of innovation novelty: Evidence from Australian administrative data</w:t>
      </w:r>
      <w:r w:rsidRPr="005407D4">
        <w:t>, TTPI-Working Paper 15/2021.</w:t>
      </w:r>
    </w:p>
    <w:p w14:paraId="6201A21D" w14:textId="77777777" w:rsidR="005407D4" w:rsidRPr="005407D4" w:rsidRDefault="005407D4" w:rsidP="000B61A6">
      <w:pPr>
        <w:pStyle w:val="Reference"/>
      </w:pPr>
      <w:proofErr w:type="spellStart"/>
      <w:r w:rsidRPr="005407D4">
        <w:t>Markowski</w:t>
      </w:r>
      <w:proofErr w:type="spellEnd"/>
      <w:r w:rsidRPr="005407D4">
        <w:t xml:space="preserve">, S., Hall, P. and Wylie, R. 2010, </w:t>
      </w:r>
      <w:r w:rsidRPr="005407D4">
        <w:rPr>
          <w:i/>
          <w:iCs/>
        </w:rPr>
        <w:t>Defence Procurement and Industry Policy: A small country perspective</w:t>
      </w:r>
      <w:r w:rsidRPr="005407D4">
        <w:t>, Routledge, London.</w:t>
      </w:r>
    </w:p>
    <w:p w14:paraId="73B528D8" w14:textId="77777777" w:rsidR="005407D4" w:rsidRPr="005407D4" w:rsidRDefault="005407D4" w:rsidP="000B61A6">
      <w:pPr>
        <w:pStyle w:val="Reference"/>
      </w:pPr>
      <w:proofErr w:type="spellStart"/>
      <w:r w:rsidRPr="005407D4">
        <w:t>Matray</w:t>
      </w:r>
      <w:proofErr w:type="spellEnd"/>
      <w:r w:rsidRPr="005407D4">
        <w:t xml:space="preserve">, A. 2021, ‘The local innovation </w:t>
      </w:r>
      <w:proofErr w:type="spellStart"/>
      <w:r w:rsidRPr="005407D4">
        <w:t>spillovers</w:t>
      </w:r>
      <w:proofErr w:type="spellEnd"/>
      <w:r w:rsidRPr="005407D4">
        <w:t xml:space="preserve"> of listed firms’, </w:t>
      </w:r>
      <w:r w:rsidRPr="005407D4">
        <w:rPr>
          <w:i/>
          <w:iCs/>
        </w:rPr>
        <w:t>Journal of Financial Economics</w:t>
      </w:r>
      <w:r w:rsidRPr="005407D4">
        <w:t>, vol. 141, no. 2, pp. 395–412.</w:t>
      </w:r>
    </w:p>
    <w:p w14:paraId="07ECDF68" w14:textId="77777777" w:rsidR="005407D4" w:rsidRPr="005407D4" w:rsidRDefault="005407D4" w:rsidP="000B61A6">
      <w:pPr>
        <w:pStyle w:val="Reference"/>
      </w:pPr>
      <w:r w:rsidRPr="005407D4">
        <w:t xml:space="preserve">McGaw, B., Louden, W. and Wyatt-Smith, C. 2020, </w:t>
      </w:r>
      <w:r w:rsidRPr="005407D4">
        <w:rPr>
          <w:i/>
          <w:iCs/>
        </w:rPr>
        <w:t>NAPLAN Review Final Report</w:t>
      </w:r>
      <w:r w:rsidRPr="005407D4">
        <w:t>, August, Departments of Education from NSW, Queensland, Victoria and the ACT.</w:t>
      </w:r>
    </w:p>
    <w:p w14:paraId="254352DA" w14:textId="77777777" w:rsidR="005407D4" w:rsidRPr="005407D4" w:rsidRDefault="005407D4" w:rsidP="000B61A6">
      <w:pPr>
        <w:pStyle w:val="Reference"/>
      </w:pPr>
      <w:r w:rsidRPr="005407D4">
        <w:t xml:space="preserve">McIntosh, M. and Prescott, J. 1999, </w:t>
      </w:r>
      <w:r w:rsidRPr="005407D4">
        <w:rPr>
          <w:i/>
          <w:iCs/>
        </w:rPr>
        <w:t xml:space="preserve">Report to the Minister for Defence on the Collins Class Submarine and </w:t>
      </w:r>
      <w:proofErr w:type="spellStart"/>
      <w:r w:rsidRPr="005407D4">
        <w:rPr>
          <w:i/>
          <w:iCs/>
        </w:rPr>
        <w:t>Realted</w:t>
      </w:r>
      <w:proofErr w:type="spellEnd"/>
      <w:r w:rsidRPr="005407D4">
        <w:rPr>
          <w:i/>
          <w:iCs/>
        </w:rPr>
        <w:t xml:space="preserve"> Matters</w:t>
      </w:r>
      <w:r w:rsidRPr="005407D4">
        <w:t>, 20 June, Commonwealth of Australia.</w:t>
      </w:r>
    </w:p>
    <w:p w14:paraId="22CE4645" w14:textId="77777777" w:rsidR="005407D4" w:rsidRPr="005407D4" w:rsidRDefault="005407D4" w:rsidP="000B61A6">
      <w:pPr>
        <w:pStyle w:val="Reference"/>
      </w:pPr>
      <w:r w:rsidRPr="005407D4">
        <w:t xml:space="preserve">McKissack, A. and Xu, J. 2016, </w:t>
      </w:r>
      <w:r w:rsidRPr="005407D4">
        <w:rPr>
          <w:i/>
          <w:iCs/>
        </w:rPr>
        <w:t>Foreign investment into Australia</w:t>
      </w:r>
      <w:r w:rsidRPr="005407D4">
        <w:t>, 18 February, Treasury.</w:t>
      </w:r>
    </w:p>
    <w:p w14:paraId="5E6A8D12" w14:textId="77777777" w:rsidR="005407D4" w:rsidRPr="005407D4" w:rsidRDefault="005407D4" w:rsidP="000B61A6">
      <w:pPr>
        <w:pStyle w:val="Reference"/>
      </w:pPr>
      <w:r w:rsidRPr="005407D4">
        <w:t xml:space="preserve">McLeod, K., Fabling, R. and Marr, D.C. 2014, </w:t>
      </w:r>
      <w:r w:rsidRPr="005407D4">
        <w:rPr>
          <w:i/>
          <w:iCs/>
        </w:rPr>
        <w:t>Hiring New Ideas: International Migration and Firm Innovation in New Zealand</w:t>
      </w:r>
      <w:r w:rsidRPr="005407D4">
        <w:t>, Motu Working Paper No. 14-14.</w:t>
      </w:r>
    </w:p>
    <w:p w14:paraId="38B2DABC" w14:textId="77777777" w:rsidR="005407D4" w:rsidRPr="005407D4" w:rsidRDefault="005407D4" w:rsidP="000B61A6">
      <w:pPr>
        <w:pStyle w:val="Reference"/>
      </w:pPr>
      <w:r w:rsidRPr="005407D4">
        <w:t xml:space="preserve">McMillan, H., Murray, T., de Fontenay, C. and Lattimore, R. 2022, ‘Head in the Cloud: Firm performance and cloud </w:t>
      </w:r>
      <w:r w:rsidRPr="005407D4">
        <w:t>computing’, presented at Economic Implications of the Digital Economy Conference, Sydney NSW, Joint conference hosted by the Australian Bureau of Statistics and the Reserve Bank of Australia, March.</w:t>
      </w:r>
    </w:p>
    <w:p w14:paraId="407E270D" w14:textId="77777777" w:rsidR="005407D4" w:rsidRPr="009D6718" w:rsidRDefault="005407D4" w:rsidP="000B61A6">
      <w:pPr>
        <w:pStyle w:val="Reference"/>
        <w:rPr>
          <w:spacing w:val="-4"/>
        </w:rPr>
      </w:pPr>
      <w:r w:rsidRPr="009D6718">
        <w:rPr>
          <w:spacing w:val="-4"/>
        </w:rPr>
        <w:t xml:space="preserve">Medicare Benefit Schedule Review Taskforce 2020, </w:t>
      </w:r>
      <w:r w:rsidRPr="009D6718">
        <w:rPr>
          <w:i/>
          <w:iCs/>
          <w:spacing w:val="-4"/>
        </w:rPr>
        <w:t>An MBS for the 21st Century: Recommendations, Learnings and Ideas for the Future</w:t>
      </w:r>
      <w:r w:rsidRPr="009D6718">
        <w:rPr>
          <w:spacing w:val="-4"/>
        </w:rPr>
        <w:t>, Commonwealth of Australia (Department of Health).</w:t>
      </w:r>
    </w:p>
    <w:p w14:paraId="42AD05E0" w14:textId="77777777" w:rsidR="005407D4" w:rsidRPr="005407D4" w:rsidRDefault="005407D4" w:rsidP="000B61A6">
      <w:pPr>
        <w:pStyle w:val="Reference"/>
      </w:pPr>
      <w:r w:rsidRPr="005407D4">
        <w:t xml:space="preserve">Melitz, M.J. and Redding, S.J. 2021, </w:t>
      </w:r>
      <w:r w:rsidRPr="005407D4">
        <w:rPr>
          <w:i/>
          <w:iCs/>
        </w:rPr>
        <w:t>Trade and innovation</w:t>
      </w:r>
      <w:r w:rsidRPr="005407D4">
        <w:t>, NBER Working Paper 28945, National Bureau of Economic Research, Massachusetts, Cambridge.</w:t>
      </w:r>
    </w:p>
    <w:p w14:paraId="02C7284A" w14:textId="77777777" w:rsidR="005407D4" w:rsidRPr="009D6718" w:rsidRDefault="005407D4" w:rsidP="000B61A6">
      <w:pPr>
        <w:pStyle w:val="Reference"/>
        <w:rPr>
          <w:spacing w:val="-4"/>
        </w:rPr>
      </w:pPr>
      <w:r w:rsidRPr="009D6718">
        <w:rPr>
          <w:spacing w:val="-4"/>
        </w:rPr>
        <w:t xml:space="preserve">MHI (Mitsubishi Heavy Industries) 2020, </w:t>
      </w:r>
      <w:r w:rsidRPr="009D6718">
        <w:rPr>
          <w:i/>
          <w:iCs/>
          <w:spacing w:val="-4"/>
        </w:rPr>
        <w:t>MHI to Invest in Green Hydrogen &amp; Green Ammonia in South Australia</w:t>
      </w:r>
      <w:r w:rsidRPr="009D6718">
        <w:rPr>
          <w:spacing w:val="-4"/>
        </w:rPr>
        <w:t>, https://www.mhi.com/news/201126.html (accessed 5 August 2022).</w:t>
      </w:r>
    </w:p>
    <w:p w14:paraId="2D613E0E" w14:textId="77777777" w:rsidR="005407D4" w:rsidRPr="005407D4" w:rsidRDefault="005407D4" w:rsidP="000B61A6">
      <w:pPr>
        <w:pStyle w:val="Reference"/>
      </w:pPr>
      <w:r w:rsidRPr="005407D4">
        <w:t xml:space="preserve">Miller, D. 2021, </w:t>
      </w:r>
      <w:r w:rsidRPr="005407D4">
        <w:rPr>
          <w:i/>
          <w:iCs/>
        </w:rPr>
        <w:t xml:space="preserve">Effect sizes in education: Bigger is better </w:t>
      </w:r>
      <w:proofErr w:type="gramStart"/>
      <w:r w:rsidRPr="005407D4">
        <w:rPr>
          <w:i/>
          <w:iCs/>
        </w:rPr>
        <w:t>right?</w:t>
      </w:r>
      <w:r w:rsidRPr="005407D4">
        <w:t>,</w:t>
      </w:r>
      <w:proofErr w:type="gramEnd"/>
      <w:r w:rsidRPr="005407D4">
        <w:t xml:space="preserve"> https://evidenceforlearning.org.au/news/effect-sizes-in-education-bigger-is-better-right (accessed 20 August 2022).</w:t>
      </w:r>
    </w:p>
    <w:p w14:paraId="06966826" w14:textId="77777777" w:rsidR="005407D4" w:rsidRPr="005407D4" w:rsidRDefault="005407D4" w:rsidP="000B61A6">
      <w:pPr>
        <w:pStyle w:val="Reference"/>
      </w:pPr>
      <w:proofErr w:type="spellStart"/>
      <w:r w:rsidRPr="005407D4">
        <w:t>Minifie</w:t>
      </w:r>
      <w:proofErr w:type="spellEnd"/>
      <w:r w:rsidRPr="005407D4">
        <w:t xml:space="preserve">, J., Chisholm, C. and Percival, L. 2017, </w:t>
      </w:r>
      <w:r w:rsidRPr="005407D4">
        <w:rPr>
          <w:i/>
          <w:iCs/>
        </w:rPr>
        <w:t xml:space="preserve">Competition in Australia: Too little of a good </w:t>
      </w:r>
      <w:proofErr w:type="gramStart"/>
      <w:r w:rsidRPr="005407D4">
        <w:rPr>
          <w:i/>
          <w:iCs/>
        </w:rPr>
        <w:t>thing?</w:t>
      </w:r>
      <w:r w:rsidRPr="005407D4">
        <w:t>,</w:t>
      </w:r>
      <w:proofErr w:type="gramEnd"/>
      <w:r w:rsidRPr="005407D4">
        <w:t xml:space="preserve"> Grattan Institute.</w:t>
      </w:r>
    </w:p>
    <w:p w14:paraId="532621BE" w14:textId="77777777" w:rsidR="005407D4" w:rsidRPr="005407D4" w:rsidRDefault="005407D4" w:rsidP="000B61A6">
      <w:pPr>
        <w:pStyle w:val="Reference"/>
      </w:pPr>
      <w:r w:rsidRPr="005407D4">
        <w:t xml:space="preserve">Mistura, F. and </w:t>
      </w:r>
      <w:proofErr w:type="spellStart"/>
      <w:r w:rsidRPr="005407D4">
        <w:t>Roulet</w:t>
      </w:r>
      <w:proofErr w:type="spellEnd"/>
      <w:r w:rsidRPr="005407D4">
        <w:t xml:space="preserve">, C. 2019, </w:t>
      </w:r>
      <w:r w:rsidRPr="005407D4">
        <w:rPr>
          <w:i/>
          <w:iCs/>
        </w:rPr>
        <w:t xml:space="preserve">The determinants of Foreign Direct Investment: Do statutory restrictions </w:t>
      </w:r>
      <w:proofErr w:type="gramStart"/>
      <w:r w:rsidRPr="005407D4">
        <w:rPr>
          <w:i/>
          <w:iCs/>
        </w:rPr>
        <w:t>matter?</w:t>
      </w:r>
      <w:r w:rsidRPr="005407D4">
        <w:t>,</w:t>
      </w:r>
      <w:proofErr w:type="gramEnd"/>
      <w:r w:rsidRPr="005407D4">
        <w:t xml:space="preserve"> OECD Working Papers on International Investment, No. 2019/01, OECD Publishing, Paris.</w:t>
      </w:r>
    </w:p>
    <w:p w14:paraId="78E948BE" w14:textId="77777777" w:rsidR="005407D4" w:rsidRPr="005407D4" w:rsidRDefault="005407D4" w:rsidP="000B61A6">
      <w:pPr>
        <w:pStyle w:val="Reference"/>
      </w:pPr>
      <w:r w:rsidRPr="005407D4">
        <w:t xml:space="preserve">Moffatt, J.J. and </w:t>
      </w:r>
      <w:proofErr w:type="spellStart"/>
      <w:r w:rsidRPr="005407D4">
        <w:t>Eley</w:t>
      </w:r>
      <w:proofErr w:type="spellEnd"/>
      <w:r w:rsidRPr="005407D4">
        <w:t xml:space="preserve">, D.S. 2010, ‘The reported benefits of telehealth for rural Australians’, </w:t>
      </w:r>
      <w:r w:rsidRPr="005407D4">
        <w:rPr>
          <w:i/>
          <w:iCs/>
        </w:rPr>
        <w:t>Australian Health Review</w:t>
      </w:r>
      <w:r w:rsidRPr="005407D4">
        <w:t>, vol. 34, no. 3, pp. 276–281.</w:t>
      </w:r>
    </w:p>
    <w:p w14:paraId="28988F3F" w14:textId="77777777" w:rsidR="005407D4" w:rsidRPr="005407D4" w:rsidRDefault="005407D4" w:rsidP="000B61A6">
      <w:pPr>
        <w:pStyle w:val="Reference"/>
      </w:pPr>
      <w:r w:rsidRPr="005407D4">
        <w:t xml:space="preserve">Mohnen, P. and Hall, B.H. 2013, ‘Innovation and Productivity: An Update’, Springer Nature, </w:t>
      </w:r>
      <w:r w:rsidRPr="005407D4">
        <w:rPr>
          <w:i/>
          <w:iCs/>
        </w:rPr>
        <w:t>Eurasian Business Review</w:t>
      </w:r>
      <w:r w:rsidRPr="005407D4">
        <w:t>, vol. 3, no. 1, pp. 47–65.</w:t>
      </w:r>
    </w:p>
    <w:p w14:paraId="7FBC1EDA" w14:textId="77777777" w:rsidR="005407D4" w:rsidRPr="005407D4" w:rsidRDefault="005407D4" w:rsidP="000B61A6">
      <w:pPr>
        <w:pStyle w:val="Reference"/>
      </w:pPr>
      <w:r w:rsidRPr="005407D4">
        <w:t xml:space="preserve">Monash University 2022, </w:t>
      </w:r>
      <w:r w:rsidRPr="005407D4">
        <w:rPr>
          <w:i/>
          <w:iCs/>
        </w:rPr>
        <w:t>Paid Outside Work Procedure</w:t>
      </w:r>
      <w:r w:rsidRPr="005407D4">
        <w:t>.</w:t>
      </w:r>
    </w:p>
    <w:p w14:paraId="6EF88F86" w14:textId="77777777" w:rsidR="005407D4" w:rsidRPr="005407D4" w:rsidRDefault="005407D4" w:rsidP="000B61A6">
      <w:pPr>
        <w:pStyle w:val="Reference"/>
      </w:pPr>
      <w:r w:rsidRPr="005407D4">
        <w:t xml:space="preserve">Mullan, J., </w:t>
      </w:r>
      <w:proofErr w:type="spellStart"/>
      <w:r w:rsidRPr="005407D4">
        <w:t>Metusela</w:t>
      </w:r>
      <w:proofErr w:type="spellEnd"/>
      <w:r w:rsidRPr="005407D4">
        <w:t xml:space="preserve">, C., Guppy, M., Pond, D., </w:t>
      </w:r>
      <w:proofErr w:type="spellStart"/>
      <w:r w:rsidRPr="005407D4">
        <w:t>Ivers</w:t>
      </w:r>
      <w:proofErr w:type="spellEnd"/>
      <w:r w:rsidRPr="005407D4">
        <w:t xml:space="preserve">, R., Hoffman, R., Rhee, J., </w:t>
      </w:r>
      <w:proofErr w:type="spellStart"/>
      <w:r w:rsidRPr="005407D4">
        <w:t>Hespe</w:t>
      </w:r>
      <w:proofErr w:type="spellEnd"/>
      <w:r w:rsidRPr="005407D4">
        <w:t xml:space="preserve">, C.M., Davis, A., Barnett, S. and Bonney, A. 2022, ‘Development of a COVID-19 virtual community of practice in New South Wales: A qualitative study’, </w:t>
      </w:r>
      <w:r w:rsidRPr="005407D4">
        <w:rPr>
          <w:i/>
          <w:iCs/>
        </w:rPr>
        <w:t>Australian Journal of General Practice</w:t>
      </w:r>
      <w:r w:rsidRPr="005407D4">
        <w:t>, vol. 51, no. 4, pp. 263–269.</w:t>
      </w:r>
    </w:p>
    <w:p w14:paraId="50A6EB1C" w14:textId="77777777" w:rsidR="005407D4" w:rsidRPr="005407D4" w:rsidRDefault="005407D4" w:rsidP="000B61A6">
      <w:pPr>
        <w:pStyle w:val="Reference"/>
      </w:pPr>
      <w:r w:rsidRPr="005407D4">
        <w:t xml:space="preserve">MYOB 2022, </w:t>
      </w:r>
      <w:r w:rsidRPr="005407D4">
        <w:rPr>
          <w:i/>
          <w:iCs/>
        </w:rPr>
        <w:t>The Digital Disconnection Challenge</w:t>
      </w:r>
      <w:r w:rsidRPr="005407D4">
        <w:t>, June.</w:t>
      </w:r>
    </w:p>
    <w:p w14:paraId="2E966C83" w14:textId="77777777" w:rsidR="005407D4" w:rsidRPr="005407D4" w:rsidRDefault="005407D4" w:rsidP="000B61A6">
      <w:pPr>
        <w:pStyle w:val="Reference"/>
      </w:pPr>
      <w:r w:rsidRPr="005407D4">
        <w:t xml:space="preserve">Newman, C., Rand, J., Talbot, T. and Tarp, F. 2015, ‘Technology transfers, foreign investment and productivity </w:t>
      </w:r>
      <w:proofErr w:type="spellStart"/>
      <w:r w:rsidRPr="005407D4">
        <w:t>spillovers</w:t>
      </w:r>
      <w:proofErr w:type="spellEnd"/>
      <w:r w:rsidRPr="005407D4">
        <w:t xml:space="preserve">’, </w:t>
      </w:r>
      <w:r w:rsidRPr="005407D4">
        <w:rPr>
          <w:i/>
          <w:iCs/>
        </w:rPr>
        <w:t>European Economic Review</w:t>
      </w:r>
      <w:r w:rsidRPr="005407D4">
        <w:t>, vol. 76, pp. 168–187.</w:t>
      </w:r>
    </w:p>
    <w:p w14:paraId="5BCDA12C" w14:textId="77777777" w:rsidR="005407D4" w:rsidRPr="005407D4" w:rsidRDefault="005407D4" w:rsidP="000B61A6">
      <w:pPr>
        <w:pStyle w:val="Reference"/>
      </w:pPr>
      <w:proofErr w:type="spellStart"/>
      <w:r w:rsidRPr="005407D4">
        <w:t>Nooteboom</w:t>
      </w:r>
      <w:proofErr w:type="spellEnd"/>
      <w:r w:rsidRPr="005407D4">
        <w:t xml:space="preserve">, B. 1994, ‘Innovation and diffusion in small firms: Theory and evidence’, </w:t>
      </w:r>
      <w:r w:rsidRPr="005407D4">
        <w:rPr>
          <w:i/>
          <w:iCs/>
        </w:rPr>
        <w:t>Small Business Economics</w:t>
      </w:r>
      <w:r w:rsidRPr="005407D4">
        <w:t>, vol. 6, no. 5, pp. 327–347.</w:t>
      </w:r>
    </w:p>
    <w:p w14:paraId="7AAD0F0A" w14:textId="77777777" w:rsidR="005407D4" w:rsidRPr="005407D4" w:rsidRDefault="005407D4" w:rsidP="000B61A6">
      <w:pPr>
        <w:pStyle w:val="Reference"/>
      </w:pPr>
      <w:r w:rsidRPr="005407D4">
        <w:t xml:space="preserve">Nous Group 2019, </w:t>
      </w:r>
      <w:r w:rsidRPr="005407D4">
        <w:rPr>
          <w:i/>
          <w:iCs/>
        </w:rPr>
        <w:t>Performance Assessment of the Industry Growth Centres</w:t>
      </w:r>
      <w:r w:rsidRPr="005407D4">
        <w:t>, Report prepared for the Department of Industry, Innovation  and Science.</w:t>
      </w:r>
    </w:p>
    <w:p w14:paraId="5C26EEB6" w14:textId="77777777" w:rsidR="005407D4" w:rsidRPr="005407D4" w:rsidRDefault="005407D4" w:rsidP="000B61A6">
      <w:pPr>
        <w:pStyle w:val="Reference"/>
      </w:pPr>
      <w:r w:rsidRPr="005407D4">
        <w:t xml:space="preserve">OECD 2015a, </w:t>
      </w:r>
      <w:r w:rsidRPr="005407D4">
        <w:rPr>
          <w:i/>
          <w:iCs/>
        </w:rPr>
        <w:t>The Innovation Imperative: Contributing to Productivity, Growth and Well-Being</w:t>
      </w:r>
      <w:r w:rsidRPr="005407D4">
        <w:t>, OECD Publishing, Paris.</w:t>
      </w:r>
    </w:p>
    <w:p w14:paraId="5CA0B487" w14:textId="32F61034" w:rsidR="005407D4" w:rsidRPr="006B5A51" w:rsidRDefault="005407D4" w:rsidP="000B61A6">
      <w:pPr>
        <w:pStyle w:val="Reference"/>
        <w:rPr>
          <w:spacing w:val="-4"/>
        </w:rPr>
      </w:pPr>
      <w:r w:rsidRPr="006B5A51">
        <w:rPr>
          <w:spacing w:val="-4"/>
        </w:rPr>
        <w:t>——</w:t>
      </w:r>
      <w:r w:rsidR="00BF1239" w:rsidRPr="006B5A51">
        <w:rPr>
          <w:spacing w:val="-4"/>
        </w:rPr>
        <w:t> </w:t>
      </w:r>
      <w:r w:rsidRPr="006B5A51">
        <w:rPr>
          <w:spacing w:val="-4"/>
        </w:rPr>
        <w:t xml:space="preserve">2015b, </w:t>
      </w:r>
      <w:r w:rsidRPr="006B5A51">
        <w:rPr>
          <w:i/>
          <w:iCs/>
          <w:spacing w:val="-4"/>
        </w:rPr>
        <w:t>The Future of Productivity</w:t>
      </w:r>
      <w:r w:rsidRPr="006B5A51">
        <w:rPr>
          <w:spacing w:val="-4"/>
        </w:rPr>
        <w:t>, OECD Publishing, Paris.</w:t>
      </w:r>
    </w:p>
    <w:p w14:paraId="1C3A74EA" w14:textId="1B87E3B3" w:rsidR="005407D4" w:rsidRPr="005407D4" w:rsidRDefault="005407D4" w:rsidP="000B61A6">
      <w:pPr>
        <w:pStyle w:val="Reference"/>
      </w:pPr>
      <w:r w:rsidRPr="005407D4">
        <w:t>——</w:t>
      </w:r>
      <w:r w:rsidR="00BF1239">
        <w:t> </w:t>
      </w:r>
      <w:r w:rsidRPr="005407D4">
        <w:t xml:space="preserve">2017, </w:t>
      </w:r>
      <w:r w:rsidRPr="005407D4">
        <w:rPr>
          <w:i/>
          <w:iCs/>
        </w:rPr>
        <w:t>Tackling Wasteful Spending on Health</w:t>
      </w:r>
      <w:r w:rsidRPr="005407D4">
        <w:t>, OECD Publishing, Paris.</w:t>
      </w:r>
    </w:p>
    <w:p w14:paraId="09A3EEA2" w14:textId="25517C66" w:rsidR="005407D4" w:rsidRPr="005407D4" w:rsidRDefault="005407D4" w:rsidP="000B61A6">
      <w:pPr>
        <w:pStyle w:val="Reference"/>
      </w:pPr>
      <w:r w:rsidRPr="005407D4">
        <w:t>——</w:t>
      </w:r>
      <w:r w:rsidR="00BF1239">
        <w:t> </w:t>
      </w:r>
      <w:r w:rsidRPr="005407D4">
        <w:t xml:space="preserve">2018, </w:t>
      </w:r>
      <w:r w:rsidRPr="005407D4">
        <w:rPr>
          <w:i/>
          <w:iCs/>
        </w:rPr>
        <w:t>OECD 2018 Product Market Regulation Database</w:t>
      </w:r>
      <w:r w:rsidRPr="005407D4">
        <w:t>, OECD Publishing, Paris.</w:t>
      </w:r>
    </w:p>
    <w:p w14:paraId="7106641C" w14:textId="15BE5522" w:rsidR="005407D4" w:rsidRPr="005407D4" w:rsidRDefault="005407D4" w:rsidP="000B61A6">
      <w:pPr>
        <w:pStyle w:val="Reference"/>
      </w:pPr>
      <w:r w:rsidRPr="005407D4">
        <w:t>——</w:t>
      </w:r>
      <w:r w:rsidR="00BF1239">
        <w:t> </w:t>
      </w:r>
      <w:r w:rsidRPr="005407D4">
        <w:t xml:space="preserve">2019a, </w:t>
      </w:r>
      <w:r w:rsidRPr="005407D4">
        <w:rPr>
          <w:i/>
          <w:iCs/>
        </w:rPr>
        <w:t>Skills Matter: Additional Results from the Survey of Adult Skills</w:t>
      </w:r>
      <w:r w:rsidRPr="005407D4">
        <w:t>, OECD Publishing, Paris.</w:t>
      </w:r>
    </w:p>
    <w:p w14:paraId="1D3B8D45" w14:textId="173C0F96" w:rsidR="005407D4" w:rsidRPr="005407D4" w:rsidRDefault="005407D4" w:rsidP="000B61A6">
      <w:pPr>
        <w:pStyle w:val="Reference"/>
      </w:pPr>
      <w:r w:rsidRPr="005407D4">
        <w:t>——</w:t>
      </w:r>
      <w:r w:rsidR="00BF1239">
        <w:t> </w:t>
      </w:r>
      <w:r w:rsidRPr="005407D4">
        <w:t xml:space="preserve">2019b, </w:t>
      </w:r>
      <w:r w:rsidRPr="005407D4">
        <w:rPr>
          <w:i/>
          <w:iCs/>
        </w:rPr>
        <w:t>The Human Side of Productivity: Setting the Scene</w:t>
      </w:r>
      <w:r w:rsidRPr="005407D4">
        <w:t>, OECD Publishing, Paris.</w:t>
      </w:r>
    </w:p>
    <w:p w14:paraId="10A756BA" w14:textId="783DC09B" w:rsidR="005407D4" w:rsidRPr="005407D4" w:rsidRDefault="005407D4" w:rsidP="000B61A6">
      <w:pPr>
        <w:pStyle w:val="Reference"/>
      </w:pPr>
      <w:r w:rsidRPr="005407D4">
        <w:t>——</w:t>
      </w:r>
      <w:r w:rsidR="00BF1239">
        <w:t> </w:t>
      </w:r>
      <w:r w:rsidRPr="005407D4">
        <w:t xml:space="preserve">2019c, </w:t>
      </w:r>
      <w:r w:rsidRPr="005407D4">
        <w:rPr>
          <w:i/>
          <w:iCs/>
        </w:rPr>
        <w:t>University-Industry Collaboration: New Evidence and Policy Options</w:t>
      </w:r>
      <w:r w:rsidRPr="005407D4">
        <w:t>, OECD Publishing, Paris.</w:t>
      </w:r>
    </w:p>
    <w:p w14:paraId="7EB6DC0F" w14:textId="13D9EB1A" w:rsidR="005407D4" w:rsidRPr="005407D4" w:rsidRDefault="005407D4" w:rsidP="000B61A6">
      <w:pPr>
        <w:pStyle w:val="Reference"/>
      </w:pPr>
      <w:r w:rsidRPr="005407D4">
        <w:lastRenderedPageBreak/>
        <w:t>——</w:t>
      </w:r>
      <w:r w:rsidR="00BF1239">
        <w:t> </w:t>
      </w:r>
      <w:r w:rsidRPr="005407D4">
        <w:t xml:space="preserve">2020, </w:t>
      </w:r>
      <w:r w:rsidRPr="005407D4">
        <w:rPr>
          <w:i/>
          <w:iCs/>
        </w:rPr>
        <w:t>Business innovation statistics and indicators 2019</w:t>
      </w:r>
      <w:r w:rsidRPr="005407D4">
        <w:t>, OECD Publishing, Paris, https://www.oecd.org/sti/inno-stats.htm#indicators (accessed 31 August 2022).</w:t>
      </w:r>
    </w:p>
    <w:p w14:paraId="48251805" w14:textId="377946B7" w:rsidR="005407D4" w:rsidRPr="005407D4" w:rsidRDefault="005407D4" w:rsidP="000B61A6">
      <w:pPr>
        <w:pStyle w:val="Reference"/>
      </w:pPr>
      <w:r w:rsidRPr="005407D4">
        <w:t>——</w:t>
      </w:r>
      <w:r w:rsidR="00BF1239">
        <w:t> </w:t>
      </w:r>
      <w:r w:rsidRPr="005407D4">
        <w:t xml:space="preserve">2021, </w:t>
      </w:r>
      <w:r w:rsidRPr="005407D4">
        <w:rPr>
          <w:i/>
          <w:iCs/>
        </w:rPr>
        <w:t>OECD Economic Surveys: Australia 2021</w:t>
      </w:r>
      <w:r w:rsidRPr="005407D4">
        <w:t>, OECD Economic Surveys, OECD Publishing, Paris.</w:t>
      </w:r>
    </w:p>
    <w:p w14:paraId="5217594C" w14:textId="185B9B82" w:rsidR="005407D4" w:rsidRPr="005407D4" w:rsidRDefault="005407D4" w:rsidP="000B61A6">
      <w:pPr>
        <w:pStyle w:val="Reference"/>
      </w:pPr>
      <w:r w:rsidRPr="005407D4">
        <w:t>——</w:t>
      </w:r>
      <w:r w:rsidR="00BF1239">
        <w:t> </w:t>
      </w:r>
      <w:r w:rsidRPr="005407D4">
        <w:t xml:space="preserve">2022a, </w:t>
      </w:r>
      <w:r w:rsidRPr="005407D4">
        <w:rPr>
          <w:i/>
          <w:iCs/>
        </w:rPr>
        <w:t>Business enterprise R&amp;D expenditure by source of funds and number of persons employed (organisation size class)</w:t>
      </w:r>
      <w:r w:rsidRPr="005407D4">
        <w:t xml:space="preserve">, </w:t>
      </w:r>
      <w:r w:rsidR="00F37E40" w:rsidRPr="00F37E40">
        <w:t>https://stats.oecd.org/Index.aspx?DataSetCode</w:t>
      </w:r>
      <w:r w:rsidR="00F37E40">
        <w:br/>
      </w:r>
      <w:r w:rsidRPr="005407D4">
        <w:t>=BERD_SOF_SIZE (accessed 19 August 2022).</w:t>
      </w:r>
    </w:p>
    <w:p w14:paraId="64C99E83" w14:textId="1CE6ECAB" w:rsidR="005407D4" w:rsidRPr="005407D4" w:rsidRDefault="005407D4" w:rsidP="000B61A6">
      <w:pPr>
        <w:pStyle w:val="Reference"/>
      </w:pPr>
      <w:r w:rsidRPr="005407D4">
        <w:t>——</w:t>
      </w:r>
      <w:r w:rsidR="00BF1239">
        <w:t> </w:t>
      </w:r>
      <w:r w:rsidRPr="005407D4">
        <w:t xml:space="preserve">2022b, </w:t>
      </w:r>
      <w:r w:rsidRPr="005407D4">
        <w:rPr>
          <w:i/>
          <w:iCs/>
        </w:rPr>
        <w:t>Business innovation statistics and indicators 2021</w:t>
      </w:r>
      <w:r w:rsidRPr="005407D4">
        <w:t>, OECD Publishing, Paris.</w:t>
      </w:r>
    </w:p>
    <w:p w14:paraId="25D2E2A1" w14:textId="6DB8C68A" w:rsidR="005407D4" w:rsidRPr="005407D4" w:rsidRDefault="005407D4" w:rsidP="000B61A6">
      <w:pPr>
        <w:pStyle w:val="Reference"/>
      </w:pPr>
      <w:r w:rsidRPr="005407D4">
        <w:t>——</w:t>
      </w:r>
      <w:r w:rsidR="00BF1239">
        <w:t> </w:t>
      </w:r>
      <w:r w:rsidRPr="005407D4">
        <w:t xml:space="preserve">2022c, </w:t>
      </w:r>
      <w:r w:rsidRPr="005407D4">
        <w:rPr>
          <w:i/>
          <w:iCs/>
        </w:rPr>
        <w:t>OECD FDI Regulatory Restrictiveness Index</w:t>
      </w:r>
      <w:r w:rsidRPr="005407D4">
        <w:t>, https://stats.oecd.org/Index.aspx?datasetcode=FDIINDEX (accessed 22 August 2022).</w:t>
      </w:r>
    </w:p>
    <w:p w14:paraId="264D0891" w14:textId="77777777" w:rsidR="005407D4" w:rsidRPr="005407D4" w:rsidRDefault="005407D4" w:rsidP="000B61A6">
      <w:pPr>
        <w:pStyle w:val="Reference"/>
      </w:pPr>
      <w:r w:rsidRPr="005407D4">
        <w:t xml:space="preserve">OECD/Eurostat 2018, </w:t>
      </w:r>
      <w:r w:rsidRPr="005407D4">
        <w:rPr>
          <w:i/>
          <w:iCs/>
        </w:rPr>
        <w:t>Oslo Manual 2018: Guidelines for Collecting, Reporting and Using Data on Innovation,</w:t>
      </w:r>
      <w:r w:rsidRPr="005407D4">
        <w:t xml:space="preserve"> 4th </w:t>
      </w:r>
      <w:proofErr w:type="spellStart"/>
      <w:r w:rsidRPr="005407D4">
        <w:t>edn</w:t>
      </w:r>
      <w:proofErr w:type="spellEnd"/>
      <w:r w:rsidRPr="005407D4">
        <w:t>, The Measurement of Scientific, Technological and Innovation Activities, OECD Publishing, Paris/Eurostat, Luxembourg.</w:t>
      </w:r>
    </w:p>
    <w:p w14:paraId="744E607D" w14:textId="413605BE" w:rsidR="005407D4" w:rsidRPr="005407D4" w:rsidRDefault="005407D4" w:rsidP="000B61A6">
      <w:pPr>
        <w:pStyle w:val="Reference"/>
      </w:pPr>
      <w:r w:rsidRPr="005407D4">
        <w:t xml:space="preserve">Office for National Statistics 2022, </w:t>
      </w:r>
      <w:r w:rsidRPr="005407D4">
        <w:rPr>
          <w:i/>
          <w:iCs/>
        </w:rPr>
        <w:t xml:space="preserve">How productive is your </w:t>
      </w:r>
      <w:proofErr w:type="gramStart"/>
      <w:r w:rsidRPr="005407D4">
        <w:rPr>
          <w:i/>
          <w:iCs/>
        </w:rPr>
        <w:t>business?</w:t>
      </w:r>
      <w:r w:rsidRPr="005407D4">
        <w:t>,</w:t>
      </w:r>
      <w:proofErr w:type="gramEnd"/>
      <w:r w:rsidRPr="005407D4">
        <w:t xml:space="preserve"> www.ons.gov.uk/employmentandlabourmarket/</w:t>
      </w:r>
      <w:r w:rsidR="00C43FDE">
        <w:br/>
      </w:r>
      <w:r w:rsidRPr="005407D4">
        <w:t>peopleinwork/labourproductivity/articles/howproductiveisyourbusiness/2018-07-06 (accessed 23 August 2022).</w:t>
      </w:r>
    </w:p>
    <w:p w14:paraId="7DD895FD" w14:textId="77777777" w:rsidR="005407D4" w:rsidRPr="005407D4" w:rsidRDefault="005407D4" w:rsidP="000B61A6">
      <w:pPr>
        <w:pStyle w:val="Reference"/>
      </w:pPr>
      <w:r w:rsidRPr="005407D4">
        <w:t xml:space="preserve">O’Neill, P., </w:t>
      </w:r>
      <w:proofErr w:type="spellStart"/>
      <w:r w:rsidRPr="005407D4">
        <w:t>Sohal</w:t>
      </w:r>
      <w:proofErr w:type="spellEnd"/>
      <w:r w:rsidRPr="005407D4">
        <w:t xml:space="preserve">, A. and Teng, C.W. 2016, ‘Quality management approaches and their impact on firms׳ financial performance – An Australian study’, </w:t>
      </w:r>
      <w:r w:rsidRPr="005407D4">
        <w:rPr>
          <w:i/>
          <w:iCs/>
        </w:rPr>
        <w:t>International Journal of Production Economics</w:t>
      </w:r>
      <w:r w:rsidRPr="005407D4">
        <w:t>, vol. 171, pp. 381–393.</w:t>
      </w:r>
    </w:p>
    <w:p w14:paraId="6C4B9E6B" w14:textId="4E2F4F75" w:rsidR="005407D4" w:rsidRPr="005407D4" w:rsidRDefault="005407D4" w:rsidP="000B61A6">
      <w:pPr>
        <w:pStyle w:val="Reference"/>
      </w:pPr>
      <w:r w:rsidRPr="005407D4">
        <w:t>PC (Productivity Commission)</w:t>
      </w:r>
      <w:r w:rsidR="00BF1239">
        <w:t> </w:t>
      </w:r>
      <w:r w:rsidRPr="005407D4">
        <w:t xml:space="preserve">2007, </w:t>
      </w:r>
      <w:r w:rsidRPr="005407D4">
        <w:rPr>
          <w:i/>
          <w:iCs/>
        </w:rPr>
        <w:t>Public Support for Science &amp; Innovation</w:t>
      </w:r>
      <w:r w:rsidRPr="005407D4">
        <w:t>, Research Report, Canberra.</w:t>
      </w:r>
    </w:p>
    <w:p w14:paraId="2C094E68" w14:textId="63D181EA" w:rsidR="005407D4" w:rsidRPr="00345066" w:rsidRDefault="005407D4" w:rsidP="000B61A6">
      <w:pPr>
        <w:pStyle w:val="Reference"/>
        <w:rPr>
          <w:spacing w:val="-4"/>
        </w:rPr>
      </w:pPr>
      <w:r w:rsidRPr="00345066">
        <w:rPr>
          <w:spacing w:val="-4"/>
        </w:rPr>
        <w:t>——</w:t>
      </w:r>
      <w:r w:rsidR="00BF1239" w:rsidRPr="00345066">
        <w:rPr>
          <w:spacing w:val="-4"/>
        </w:rPr>
        <w:t> </w:t>
      </w:r>
      <w:r w:rsidRPr="00345066">
        <w:rPr>
          <w:spacing w:val="-4"/>
        </w:rPr>
        <w:t xml:space="preserve">2011, </w:t>
      </w:r>
      <w:r w:rsidRPr="00345066">
        <w:rPr>
          <w:i/>
          <w:iCs/>
          <w:spacing w:val="-4"/>
        </w:rPr>
        <w:t>Disability Care and Support</w:t>
      </w:r>
      <w:r w:rsidRPr="00345066">
        <w:rPr>
          <w:spacing w:val="-4"/>
        </w:rPr>
        <w:t>, Report no. 54, Canberra.</w:t>
      </w:r>
    </w:p>
    <w:p w14:paraId="7C11B608" w14:textId="670ED355" w:rsidR="005407D4" w:rsidRPr="005407D4" w:rsidRDefault="005407D4" w:rsidP="000B61A6">
      <w:pPr>
        <w:pStyle w:val="Reference"/>
      </w:pPr>
      <w:r w:rsidRPr="005407D4">
        <w:t>——</w:t>
      </w:r>
      <w:r w:rsidR="00BF1239">
        <w:t> </w:t>
      </w:r>
      <w:r w:rsidRPr="005407D4">
        <w:t xml:space="preserve">2016a, </w:t>
      </w:r>
      <w:r w:rsidRPr="005407D4">
        <w:rPr>
          <w:i/>
          <w:iCs/>
        </w:rPr>
        <w:t>Intellectual Property Arrangements</w:t>
      </w:r>
      <w:r w:rsidRPr="005407D4">
        <w:t>, Report no. 78, Canberra.</w:t>
      </w:r>
    </w:p>
    <w:p w14:paraId="4E815155" w14:textId="0CD1631A" w:rsidR="005407D4" w:rsidRPr="005407D4" w:rsidRDefault="005407D4" w:rsidP="000B61A6">
      <w:pPr>
        <w:pStyle w:val="Reference"/>
      </w:pPr>
      <w:r w:rsidRPr="005407D4">
        <w:t>——</w:t>
      </w:r>
      <w:r w:rsidR="00BF1239">
        <w:t> </w:t>
      </w:r>
      <w:r w:rsidRPr="005407D4">
        <w:t xml:space="preserve">2016b, </w:t>
      </w:r>
      <w:r w:rsidRPr="005407D4">
        <w:rPr>
          <w:i/>
          <w:iCs/>
        </w:rPr>
        <w:t>Introducing Competition and Informed User Choice into Human Services: Identifying Sectors for Reform</w:t>
      </w:r>
      <w:r w:rsidRPr="005407D4">
        <w:t>, Study Report, Canberra.</w:t>
      </w:r>
    </w:p>
    <w:p w14:paraId="521A109B" w14:textId="68DAF2B3" w:rsidR="005407D4" w:rsidRPr="005407D4" w:rsidRDefault="005407D4" w:rsidP="000B61A6">
      <w:pPr>
        <w:pStyle w:val="Reference"/>
      </w:pPr>
      <w:r w:rsidRPr="005407D4">
        <w:t>——</w:t>
      </w:r>
      <w:r w:rsidR="00BF1239">
        <w:t> </w:t>
      </w:r>
      <w:r w:rsidRPr="005407D4">
        <w:t xml:space="preserve">2016c, </w:t>
      </w:r>
      <w:r w:rsidRPr="005407D4">
        <w:rPr>
          <w:i/>
          <w:iCs/>
        </w:rPr>
        <w:t>Migrant Intake into Australia</w:t>
      </w:r>
      <w:r w:rsidRPr="005407D4">
        <w:t>, Inquiry Report No. 77, April, Canberra.</w:t>
      </w:r>
    </w:p>
    <w:p w14:paraId="4CFBE545" w14:textId="65B3F1A9" w:rsidR="005407D4" w:rsidRPr="005407D4" w:rsidRDefault="005407D4" w:rsidP="000B61A6">
      <w:pPr>
        <w:pStyle w:val="Reference"/>
      </w:pPr>
      <w:r w:rsidRPr="005407D4">
        <w:t>——</w:t>
      </w:r>
      <w:r w:rsidR="00BF1239">
        <w:t> </w:t>
      </w:r>
      <w:r w:rsidRPr="005407D4">
        <w:t xml:space="preserve">2016d, </w:t>
      </w:r>
      <w:r w:rsidRPr="005407D4">
        <w:rPr>
          <w:i/>
          <w:iCs/>
        </w:rPr>
        <w:t>National Education Evidence Base</w:t>
      </w:r>
      <w:r w:rsidRPr="005407D4">
        <w:t>, Report no. 80, Canberra.</w:t>
      </w:r>
    </w:p>
    <w:p w14:paraId="76977589" w14:textId="25FC9448" w:rsidR="005407D4" w:rsidRPr="005407D4" w:rsidRDefault="005407D4" w:rsidP="000B61A6">
      <w:pPr>
        <w:pStyle w:val="Reference"/>
      </w:pPr>
      <w:r w:rsidRPr="005407D4">
        <w:t>——</w:t>
      </w:r>
      <w:r w:rsidR="00BF1239">
        <w:t> </w:t>
      </w:r>
      <w:r w:rsidRPr="005407D4">
        <w:t xml:space="preserve">2017a, </w:t>
      </w:r>
      <w:r w:rsidRPr="005407D4">
        <w:rPr>
          <w:i/>
          <w:iCs/>
        </w:rPr>
        <w:t>An Overview of Innovation Policy</w:t>
      </w:r>
      <w:r w:rsidRPr="005407D4">
        <w:t xml:space="preserve">, Shifting the Dial: </w:t>
      </w:r>
      <w:proofErr w:type="gramStart"/>
      <w:r w:rsidRPr="005407D4">
        <w:t>5 year</w:t>
      </w:r>
      <w:proofErr w:type="gramEnd"/>
      <w:r w:rsidRPr="005407D4">
        <w:t xml:space="preserve"> Productivity Review, Supporting Paper no. 12.</w:t>
      </w:r>
    </w:p>
    <w:p w14:paraId="2B84F112" w14:textId="27FDB375" w:rsidR="005407D4" w:rsidRPr="005407D4" w:rsidRDefault="005407D4" w:rsidP="000B61A6">
      <w:pPr>
        <w:pStyle w:val="Reference"/>
      </w:pPr>
      <w:r w:rsidRPr="005407D4">
        <w:t>——</w:t>
      </w:r>
      <w:r w:rsidR="00BF1239">
        <w:t> </w:t>
      </w:r>
      <w:r w:rsidRPr="005407D4">
        <w:t xml:space="preserve">2017b, </w:t>
      </w:r>
      <w:r w:rsidRPr="005407D4">
        <w:rPr>
          <w:i/>
          <w:iCs/>
        </w:rPr>
        <w:t>Integrated Care: Shifting the Dial: 5 Year Productivity Review - Supporting Paper no. 5</w:t>
      </w:r>
      <w:r w:rsidRPr="005407D4">
        <w:t>, Report no. 84, Report no. 84, Canberra.</w:t>
      </w:r>
    </w:p>
    <w:p w14:paraId="26211363" w14:textId="33D51702" w:rsidR="005407D4" w:rsidRPr="005407D4" w:rsidRDefault="005407D4" w:rsidP="000B61A6">
      <w:pPr>
        <w:pStyle w:val="Reference"/>
      </w:pPr>
      <w:r w:rsidRPr="005407D4">
        <w:t>——</w:t>
      </w:r>
      <w:r w:rsidR="00BF1239">
        <w:t> </w:t>
      </w:r>
      <w:r w:rsidRPr="005407D4">
        <w:t xml:space="preserve">2017c, </w:t>
      </w:r>
      <w:r w:rsidRPr="005407D4">
        <w:rPr>
          <w:i/>
          <w:iCs/>
        </w:rPr>
        <w:t>Introducing Competition and Informed User Choice into Human Services: Reforms to Human Services</w:t>
      </w:r>
      <w:r w:rsidRPr="005407D4">
        <w:t>, Report no. 85, Canberra.</w:t>
      </w:r>
    </w:p>
    <w:p w14:paraId="5DF17A41" w14:textId="10C8DE7D" w:rsidR="005407D4" w:rsidRPr="005407D4" w:rsidRDefault="005407D4" w:rsidP="000B61A6">
      <w:pPr>
        <w:pStyle w:val="Reference"/>
      </w:pPr>
      <w:r w:rsidRPr="005407D4">
        <w:t>——</w:t>
      </w:r>
      <w:r w:rsidR="00BF1239">
        <w:t> </w:t>
      </w:r>
      <w:r w:rsidRPr="005407D4">
        <w:t xml:space="preserve">2017d, </w:t>
      </w:r>
      <w:r w:rsidRPr="005407D4">
        <w:rPr>
          <w:i/>
          <w:iCs/>
        </w:rPr>
        <w:t>Shifting the Dial: 5 Year Productivity Review</w:t>
      </w:r>
      <w:r w:rsidRPr="005407D4">
        <w:t>, Report no. 84, Canberra.</w:t>
      </w:r>
    </w:p>
    <w:p w14:paraId="13EBFFC9" w14:textId="3B565C77" w:rsidR="005407D4" w:rsidRPr="005407D4" w:rsidRDefault="005407D4" w:rsidP="000B61A6">
      <w:pPr>
        <w:pStyle w:val="Reference"/>
      </w:pPr>
      <w:r w:rsidRPr="005407D4">
        <w:t>——</w:t>
      </w:r>
      <w:r w:rsidR="00BF1239">
        <w:t> </w:t>
      </w:r>
      <w:r w:rsidRPr="005407D4">
        <w:t xml:space="preserve">2017e, </w:t>
      </w:r>
      <w:r w:rsidRPr="005407D4">
        <w:rPr>
          <w:i/>
          <w:iCs/>
        </w:rPr>
        <w:t>Transitioning Regional Economies</w:t>
      </w:r>
      <w:r w:rsidRPr="005407D4">
        <w:t>, Study Report, Canberra.</w:t>
      </w:r>
    </w:p>
    <w:p w14:paraId="5FC07246" w14:textId="7F765861" w:rsidR="005407D4" w:rsidRPr="005407D4" w:rsidRDefault="005407D4" w:rsidP="000B61A6">
      <w:pPr>
        <w:pStyle w:val="Reference"/>
      </w:pPr>
      <w:r w:rsidRPr="005407D4">
        <w:t>——</w:t>
      </w:r>
      <w:r w:rsidR="00BF1239">
        <w:t> </w:t>
      </w:r>
      <w:r w:rsidRPr="005407D4">
        <w:t xml:space="preserve">2018, </w:t>
      </w:r>
      <w:r w:rsidRPr="005407D4">
        <w:rPr>
          <w:i/>
          <w:iCs/>
        </w:rPr>
        <w:t>Competition in the Australian Financial System</w:t>
      </w:r>
      <w:r w:rsidRPr="005407D4">
        <w:t>, Report no. 89, Canberra.</w:t>
      </w:r>
    </w:p>
    <w:p w14:paraId="74ECC05E" w14:textId="27010AA9" w:rsidR="005407D4" w:rsidRPr="005407D4" w:rsidRDefault="005407D4" w:rsidP="000B61A6">
      <w:pPr>
        <w:pStyle w:val="Reference"/>
      </w:pPr>
      <w:r w:rsidRPr="005407D4">
        <w:t>——</w:t>
      </w:r>
      <w:r w:rsidR="00BF1239">
        <w:t> </w:t>
      </w:r>
      <w:r w:rsidRPr="005407D4">
        <w:t xml:space="preserve">2019, </w:t>
      </w:r>
      <w:r w:rsidRPr="005407D4">
        <w:rPr>
          <w:i/>
          <w:iCs/>
        </w:rPr>
        <w:t>Trade and Assistance Review 2017-18</w:t>
      </w:r>
      <w:r w:rsidRPr="005407D4">
        <w:t>, Annual Report Series.</w:t>
      </w:r>
    </w:p>
    <w:p w14:paraId="3789B544" w14:textId="77777777" w:rsidR="003A5028" w:rsidRDefault="003A5028" w:rsidP="000B61A6">
      <w:pPr>
        <w:pStyle w:val="Reference"/>
      </w:pPr>
      <w:r>
        <w:t>—— 2</w:t>
      </w:r>
      <w:r w:rsidRPr="005407D4">
        <w:t xml:space="preserve">020a, </w:t>
      </w:r>
      <w:r w:rsidRPr="005407D4">
        <w:rPr>
          <w:i/>
          <w:iCs/>
        </w:rPr>
        <w:t>Indigenous Evaluation Strategy - Background Paper</w:t>
      </w:r>
      <w:r w:rsidRPr="005407D4">
        <w:t>, Canberra</w:t>
      </w:r>
    </w:p>
    <w:p w14:paraId="399CC74A" w14:textId="08080A8F" w:rsidR="005407D4" w:rsidRPr="005407D4" w:rsidRDefault="003A5028" w:rsidP="000B61A6">
      <w:pPr>
        <w:pStyle w:val="Reference"/>
      </w:pPr>
      <w:r w:rsidRPr="005407D4">
        <w:t xml:space="preserve"> </w:t>
      </w:r>
      <w:r w:rsidR="005407D4" w:rsidRPr="005407D4">
        <w:t>——</w:t>
      </w:r>
      <w:r w:rsidR="00BF1239">
        <w:t> </w:t>
      </w:r>
      <w:r w:rsidR="005407D4" w:rsidRPr="005407D4">
        <w:t xml:space="preserve">2020b, </w:t>
      </w:r>
      <w:r w:rsidR="005407D4" w:rsidRPr="005407D4">
        <w:rPr>
          <w:i/>
          <w:iCs/>
        </w:rPr>
        <w:t>Expenditure on Children in the Northern Territory</w:t>
      </w:r>
      <w:r w:rsidR="005407D4" w:rsidRPr="005407D4">
        <w:t>, Study Report, Canberra.</w:t>
      </w:r>
    </w:p>
    <w:p w14:paraId="4E964683" w14:textId="01B75C2A" w:rsidR="005407D4" w:rsidRPr="005407D4" w:rsidRDefault="005407D4" w:rsidP="000B61A6">
      <w:pPr>
        <w:pStyle w:val="Reference"/>
      </w:pPr>
      <w:r w:rsidRPr="005407D4">
        <w:t>——</w:t>
      </w:r>
      <w:r w:rsidR="00BF1239">
        <w:t> </w:t>
      </w:r>
      <w:r w:rsidRPr="005407D4">
        <w:t xml:space="preserve">2020c, </w:t>
      </w:r>
      <w:r w:rsidRPr="005407D4">
        <w:rPr>
          <w:i/>
          <w:iCs/>
        </w:rPr>
        <w:t>Foreign Investment in Australia</w:t>
      </w:r>
      <w:r w:rsidRPr="005407D4">
        <w:t>, Commission Research Paper, Canberra.</w:t>
      </w:r>
    </w:p>
    <w:p w14:paraId="761BE741" w14:textId="1D33B0A8" w:rsidR="005407D4" w:rsidRPr="005407D4" w:rsidRDefault="005407D4" w:rsidP="000B61A6">
      <w:pPr>
        <w:pStyle w:val="Reference"/>
      </w:pPr>
      <w:r w:rsidRPr="005407D4">
        <w:t>——</w:t>
      </w:r>
      <w:r w:rsidR="00BF1239">
        <w:t> </w:t>
      </w:r>
      <w:r w:rsidRPr="005407D4">
        <w:t xml:space="preserve">2020d, </w:t>
      </w:r>
      <w:r w:rsidRPr="005407D4">
        <w:rPr>
          <w:i/>
          <w:iCs/>
        </w:rPr>
        <w:t>Indigenous Evaluation Strategy, Background Paper</w:t>
      </w:r>
      <w:r w:rsidRPr="005407D4">
        <w:t>, Canberra.</w:t>
      </w:r>
    </w:p>
    <w:p w14:paraId="27839663" w14:textId="00373F6B" w:rsidR="005407D4" w:rsidRPr="005407D4" w:rsidRDefault="005407D4" w:rsidP="000B61A6">
      <w:pPr>
        <w:pStyle w:val="Reference"/>
      </w:pPr>
      <w:r w:rsidRPr="005407D4">
        <w:t>——</w:t>
      </w:r>
      <w:r w:rsidR="00BF1239">
        <w:t> </w:t>
      </w:r>
      <w:r w:rsidRPr="005407D4">
        <w:t xml:space="preserve">2020e, </w:t>
      </w:r>
      <w:r w:rsidRPr="005407D4">
        <w:rPr>
          <w:i/>
          <w:iCs/>
        </w:rPr>
        <w:t>Mental Health</w:t>
      </w:r>
      <w:r w:rsidRPr="005407D4">
        <w:t>, Report no. 95, Canberra.</w:t>
      </w:r>
    </w:p>
    <w:p w14:paraId="7E2D0B7C" w14:textId="2B704C5F" w:rsidR="005407D4" w:rsidRPr="005407D4" w:rsidRDefault="005407D4" w:rsidP="000B61A6">
      <w:pPr>
        <w:pStyle w:val="Reference"/>
      </w:pPr>
      <w:r w:rsidRPr="005407D4">
        <w:t>——</w:t>
      </w:r>
      <w:r w:rsidR="00BF1239">
        <w:t> </w:t>
      </w:r>
      <w:r w:rsidRPr="005407D4">
        <w:t xml:space="preserve">2020f, </w:t>
      </w:r>
      <w:r w:rsidRPr="005407D4">
        <w:rPr>
          <w:i/>
          <w:iCs/>
        </w:rPr>
        <w:t>PC Productivity Insights: Australia’s long term productivity experience</w:t>
      </w:r>
      <w:r w:rsidRPr="005407D4">
        <w:t>, Canberra, November.</w:t>
      </w:r>
    </w:p>
    <w:p w14:paraId="211E84BE" w14:textId="30EFF332" w:rsidR="005407D4" w:rsidRPr="005407D4" w:rsidRDefault="005407D4" w:rsidP="000B61A6">
      <w:pPr>
        <w:pStyle w:val="Reference"/>
      </w:pPr>
      <w:r w:rsidRPr="005407D4">
        <w:t>——</w:t>
      </w:r>
      <w:r w:rsidR="00BF1239">
        <w:t> </w:t>
      </w:r>
      <w:r w:rsidRPr="005407D4">
        <w:t xml:space="preserve">2020g, </w:t>
      </w:r>
      <w:r w:rsidRPr="005407D4">
        <w:rPr>
          <w:i/>
          <w:iCs/>
        </w:rPr>
        <w:t xml:space="preserve">PC Productivity Insights: Can Australia be a productivity </w:t>
      </w:r>
      <w:proofErr w:type="gramStart"/>
      <w:r w:rsidRPr="005407D4">
        <w:rPr>
          <w:i/>
          <w:iCs/>
        </w:rPr>
        <w:t>leader?</w:t>
      </w:r>
      <w:r w:rsidRPr="005407D4">
        <w:t>,</w:t>
      </w:r>
      <w:proofErr w:type="gramEnd"/>
      <w:r w:rsidRPr="005407D4">
        <w:t xml:space="preserve"> Canberra, March.</w:t>
      </w:r>
    </w:p>
    <w:p w14:paraId="2AD727B2" w14:textId="54878F78" w:rsidR="005407D4" w:rsidRPr="005407D4" w:rsidRDefault="005407D4" w:rsidP="000B61A6">
      <w:pPr>
        <w:pStyle w:val="Reference"/>
      </w:pPr>
      <w:r w:rsidRPr="005407D4">
        <w:t>——</w:t>
      </w:r>
      <w:r w:rsidR="00BF1239">
        <w:t> </w:t>
      </w:r>
      <w:r w:rsidRPr="005407D4">
        <w:t xml:space="preserve">2020h, </w:t>
      </w:r>
      <w:r w:rsidRPr="005407D4">
        <w:rPr>
          <w:i/>
          <w:iCs/>
        </w:rPr>
        <w:t>Regulatory Technology</w:t>
      </w:r>
      <w:r w:rsidRPr="005407D4">
        <w:t>, Information Paper, Canberra.</w:t>
      </w:r>
    </w:p>
    <w:p w14:paraId="1B1A93C2" w14:textId="2CB7ACF8" w:rsidR="005407D4" w:rsidRPr="005407D4" w:rsidRDefault="005407D4" w:rsidP="000B61A6">
      <w:pPr>
        <w:pStyle w:val="Reference"/>
      </w:pPr>
      <w:r w:rsidRPr="005407D4">
        <w:t>——</w:t>
      </w:r>
      <w:r w:rsidR="00BF1239">
        <w:t> </w:t>
      </w:r>
      <w:r w:rsidRPr="005407D4">
        <w:t xml:space="preserve">2020i, </w:t>
      </w:r>
      <w:r w:rsidRPr="005407D4">
        <w:rPr>
          <w:i/>
          <w:iCs/>
        </w:rPr>
        <w:t>Trade and Assistance Review 2018-19</w:t>
      </w:r>
      <w:r w:rsidRPr="005407D4">
        <w:t>, Annual Report Series.</w:t>
      </w:r>
    </w:p>
    <w:p w14:paraId="65A346E0" w14:textId="7316C475" w:rsidR="005407D4" w:rsidRPr="005407D4" w:rsidRDefault="005407D4" w:rsidP="000B61A6">
      <w:pPr>
        <w:pStyle w:val="Reference"/>
      </w:pPr>
      <w:r w:rsidRPr="005407D4">
        <w:t>——</w:t>
      </w:r>
      <w:r w:rsidR="00BF1239">
        <w:t> </w:t>
      </w:r>
      <w:r w:rsidRPr="005407D4">
        <w:t xml:space="preserve">2021a, </w:t>
      </w:r>
      <w:r w:rsidRPr="005407D4">
        <w:rPr>
          <w:i/>
          <w:iCs/>
        </w:rPr>
        <w:t>Australia’s prison dilemma</w:t>
      </w:r>
      <w:r w:rsidRPr="005407D4">
        <w:t>, Research Paper, Canberra.</w:t>
      </w:r>
    </w:p>
    <w:p w14:paraId="43E2F191" w14:textId="65C0F4F7" w:rsidR="005407D4" w:rsidRPr="005407D4" w:rsidRDefault="005407D4" w:rsidP="000B61A6">
      <w:pPr>
        <w:pStyle w:val="Reference"/>
      </w:pPr>
      <w:r w:rsidRPr="005407D4">
        <w:t>——</w:t>
      </w:r>
      <w:r w:rsidR="00BF1239">
        <w:t> </w:t>
      </w:r>
      <w:r w:rsidRPr="005407D4">
        <w:t xml:space="preserve">2021b, </w:t>
      </w:r>
      <w:r w:rsidRPr="005407D4">
        <w:rPr>
          <w:i/>
          <w:iCs/>
        </w:rPr>
        <w:t>Innovations in Care for Chronic Health Conditions</w:t>
      </w:r>
      <w:r w:rsidRPr="005407D4">
        <w:t>, Productivity Reform Case Study, Canberra.</w:t>
      </w:r>
    </w:p>
    <w:p w14:paraId="745A1A9E" w14:textId="48276A69" w:rsidR="005407D4" w:rsidRPr="00345066" w:rsidRDefault="005407D4" w:rsidP="000B61A6">
      <w:pPr>
        <w:pStyle w:val="Reference"/>
        <w:rPr>
          <w:spacing w:val="-4"/>
        </w:rPr>
      </w:pPr>
      <w:r w:rsidRPr="00345066">
        <w:rPr>
          <w:spacing w:val="-4"/>
        </w:rPr>
        <w:t>——</w:t>
      </w:r>
      <w:r w:rsidR="00BF1239" w:rsidRPr="00345066">
        <w:rPr>
          <w:spacing w:val="-4"/>
        </w:rPr>
        <w:t> </w:t>
      </w:r>
      <w:r w:rsidRPr="00345066">
        <w:rPr>
          <w:spacing w:val="-4"/>
        </w:rPr>
        <w:t xml:space="preserve">2021c, </w:t>
      </w:r>
      <w:r w:rsidRPr="00345066">
        <w:rPr>
          <w:i/>
          <w:iCs/>
          <w:spacing w:val="-4"/>
        </w:rPr>
        <w:t>Public Transport Pricing</w:t>
      </w:r>
      <w:r w:rsidRPr="00345066">
        <w:rPr>
          <w:spacing w:val="-4"/>
        </w:rPr>
        <w:t>, Research paper, Canberra.</w:t>
      </w:r>
    </w:p>
    <w:p w14:paraId="3FBC2286" w14:textId="0682ABC5" w:rsidR="005407D4" w:rsidRPr="005407D4" w:rsidRDefault="005407D4" w:rsidP="000B61A6">
      <w:pPr>
        <w:pStyle w:val="Reference"/>
      </w:pPr>
      <w:r w:rsidRPr="005407D4">
        <w:t>——</w:t>
      </w:r>
      <w:r w:rsidR="00BF1239">
        <w:t> </w:t>
      </w:r>
      <w:r w:rsidRPr="005407D4">
        <w:t xml:space="preserve">2021d, </w:t>
      </w:r>
      <w:r w:rsidRPr="005407D4">
        <w:rPr>
          <w:i/>
          <w:iCs/>
        </w:rPr>
        <w:t>Small business access to finance: The evolving lending market</w:t>
      </w:r>
      <w:r w:rsidRPr="005407D4">
        <w:t>, Canberra.</w:t>
      </w:r>
    </w:p>
    <w:p w14:paraId="2F8543BA" w14:textId="66F1D855" w:rsidR="005407D4" w:rsidRPr="00BA66F3" w:rsidRDefault="005407D4" w:rsidP="000B61A6">
      <w:pPr>
        <w:pStyle w:val="Reference"/>
        <w:rPr>
          <w:spacing w:val="-4"/>
        </w:rPr>
      </w:pPr>
      <w:r w:rsidRPr="00BA66F3">
        <w:rPr>
          <w:spacing w:val="-4"/>
        </w:rPr>
        <w:t>——</w:t>
      </w:r>
      <w:r w:rsidR="00BF1239" w:rsidRPr="00BA66F3">
        <w:rPr>
          <w:spacing w:val="-4"/>
        </w:rPr>
        <w:t> </w:t>
      </w:r>
      <w:r w:rsidRPr="00BA66F3">
        <w:rPr>
          <w:spacing w:val="-4"/>
        </w:rPr>
        <w:t xml:space="preserve">2021e, </w:t>
      </w:r>
      <w:r w:rsidRPr="00BA66F3">
        <w:rPr>
          <w:i/>
          <w:iCs/>
          <w:spacing w:val="-4"/>
        </w:rPr>
        <w:t>Vulnerable Supply Chains</w:t>
      </w:r>
      <w:r w:rsidRPr="00BA66F3">
        <w:rPr>
          <w:spacing w:val="-4"/>
        </w:rPr>
        <w:t>, Study Report, Canberra.</w:t>
      </w:r>
    </w:p>
    <w:p w14:paraId="2683F044" w14:textId="49238E3B" w:rsidR="005407D4" w:rsidRPr="005407D4" w:rsidRDefault="005407D4" w:rsidP="000B61A6">
      <w:pPr>
        <w:pStyle w:val="Reference"/>
      </w:pPr>
      <w:r w:rsidRPr="005407D4">
        <w:t>——</w:t>
      </w:r>
      <w:r w:rsidR="00BF1239">
        <w:t> </w:t>
      </w:r>
      <w:r w:rsidRPr="005407D4">
        <w:t xml:space="preserve">2021f, </w:t>
      </w:r>
      <w:r w:rsidRPr="005407D4">
        <w:rPr>
          <w:i/>
          <w:iCs/>
        </w:rPr>
        <w:t>Working from home</w:t>
      </w:r>
      <w:r w:rsidRPr="005407D4">
        <w:t>, Commission Research Paper, Canberra.</w:t>
      </w:r>
    </w:p>
    <w:p w14:paraId="2EA5354C" w14:textId="47C00875" w:rsidR="005407D4" w:rsidRPr="005407D4" w:rsidRDefault="005407D4" w:rsidP="000B61A6">
      <w:pPr>
        <w:pStyle w:val="Reference"/>
      </w:pPr>
      <w:r w:rsidRPr="005407D4">
        <w:t>——</w:t>
      </w:r>
      <w:r w:rsidR="00BF1239">
        <w:t> </w:t>
      </w:r>
      <w:r w:rsidRPr="005407D4">
        <w:t xml:space="preserve">2022a, </w:t>
      </w:r>
      <w:r w:rsidRPr="005407D4">
        <w:rPr>
          <w:i/>
          <w:iCs/>
        </w:rPr>
        <w:t>5-year Productivity Inquiry: Australia’s data and digital dividend</w:t>
      </w:r>
      <w:r w:rsidRPr="005407D4">
        <w:t>, Interim Report, Canberra.</w:t>
      </w:r>
    </w:p>
    <w:p w14:paraId="12FA8139" w14:textId="0ADF6956" w:rsidR="005407D4" w:rsidRPr="005407D4" w:rsidRDefault="005407D4" w:rsidP="000B61A6">
      <w:pPr>
        <w:pStyle w:val="Reference"/>
      </w:pPr>
      <w:r w:rsidRPr="005407D4">
        <w:t>——</w:t>
      </w:r>
      <w:r w:rsidR="00BF1239">
        <w:t> </w:t>
      </w:r>
      <w:r w:rsidRPr="005407D4">
        <w:t xml:space="preserve">2022b, </w:t>
      </w:r>
      <w:r w:rsidRPr="005407D4">
        <w:rPr>
          <w:i/>
          <w:iCs/>
        </w:rPr>
        <w:t>5-year Productivity Inquiry: The Key to Prosperity</w:t>
      </w:r>
      <w:r w:rsidRPr="005407D4">
        <w:t>, Interim Report, Canberra.</w:t>
      </w:r>
    </w:p>
    <w:p w14:paraId="2F3C2EAA" w14:textId="0F02A667" w:rsidR="005407D4" w:rsidRPr="005407D4" w:rsidRDefault="005407D4" w:rsidP="000B61A6">
      <w:pPr>
        <w:pStyle w:val="Reference"/>
      </w:pPr>
      <w:r w:rsidRPr="005407D4">
        <w:t>——</w:t>
      </w:r>
      <w:r w:rsidR="00BF1239">
        <w:t> </w:t>
      </w:r>
      <w:r w:rsidRPr="005407D4">
        <w:t xml:space="preserve">2022c, </w:t>
      </w:r>
      <w:r w:rsidRPr="005407D4">
        <w:rPr>
          <w:i/>
          <w:iCs/>
        </w:rPr>
        <w:t>In need of repair: The National Housing and Homelessness Agreement</w:t>
      </w:r>
      <w:r w:rsidRPr="005407D4">
        <w:t>, Study Report, Canberra.</w:t>
      </w:r>
    </w:p>
    <w:p w14:paraId="32D70A1F" w14:textId="3732E897" w:rsidR="005407D4" w:rsidRPr="005407D4" w:rsidRDefault="005407D4" w:rsidP="000B61A6">
      <w:pPr>
        <w:pStyle w:val="Reference"/>
      </w:pPr>
      <w:r w:rsidRPr="005407D4">
        <w:t>——</w:t>
      </w:r>
      <w:r w:rsidR="00BF1239">
        <w:t> </w:t>
      </w:r>
      <w:r w:rsidRPr="005407D4">
        <w:t xml:space="preserve">2022d, </w:t>
      </w:r>
      <w:r w:rsidRPr="005407D4">
        <w:rPr>
          <w:i/>
          <w:iCs/>
        </w:rPr>
        <w:t>Review of the National School Reform Agreement</w:t>
      </w:r>
      <w:r w:rsidRPr="005407D4">
        <w:t>, Interim Report, Canberra.</w:t>
      </w:r>
    </w:p>
    <w:p w14:paraId="7EAC2358" w14:textId="77777777" w:rsidR="005407D4" w:rsidRPr="009D6718" w:rsidRDefault="005407D4" w:rsidP="000B61A6">
      <w:pPr>
        <w:pStyle w:val="Reference"/>
        <w:rPr>
          <w:spacing w:val="-4"/>
        </w:rPr>
      </w:pPr>
      <w:r w:rsidRPr="009D6718">
        <w:rPr>
          <w:spacing w:val="-4"/>
        </w:rPr>
        <w:t xml:space="preserve">Pearse, J., </w:t>
      </w:r>
      <w:proofErr w:type="spellStart"/>
      <w:r w:rsidRPr="009D6718">
        <w:rPr>
          <w:spacing w:val="-4"/>
        </w:rPr>
        <w:t>Mazevska</w:t>
      </w:r>
      <w:proofErr w:type="spellEnd"/>
      <w:r w:rsidRPr="009D6718">
        <w:rPr>
          <w:spacing w:val="-4"/>
        </w:rPr>
        <w:t xml:space="preserve">, D., McElduff, P., Stone, C., </w:t>
      </w:r>
      <w:proofErr w:type="spellStart"/>
      <w:r w:rsidRPr="009D6718">
        <w:rPr>
          <w:spacing w:val="-4"/>
        </w:rPr>
        <w:t>Tuccia</w:t>
      </w:r>
      <w:proofErr w:type="spellEnd"/>
      <w:r w:rsidRPr="009D6718">
        <w:rPr>
          <w:spacing w:val="-4"/>
        </w:rPr>
        <w:t xml:space="preserve">, J., Cho, O., Mitchell, S., McElduff, B., Tran, D., Falster, M., Pearson, S., </w:t>
      </w:r>
      <w:proofErr w:type="spellStart"/>
      <w:r w:rsidRPr="009D6718">
        <w:rPr>
          <w:spacing w:val="-4"/>
        </w:rPr>
        <w:t>Jorm</w:t>
      </w:r>
      <w:proofErr w:type="spellEnd"/>
      <w:r w:rsidRPr="009D6718">
        <w:rPr>
          <w:spacing w:val="-4"/>
        </w:rPr>
        <w:t xml:space="preserve">, L., Yu, S., </w:t>
      </w:r>
      <w:proofErr w:type="spellStart"/>
      <w:r w:rsidRPr="009D6718">
        <w:rPr>
          <w:spacing w:val="-4"/>
        </w:rPr>
        <w:t>Naghsh-Nejadm</w:t>
      </w:r>
      <w:proofErr w:type="spellEnd"/>
      <w:r w:rsidRPr="009D6718">
        <w:rPr>
          <w:spacing w:val="-4"/>
        </w:rPr>
        <w:t xml:space="preserve">, M., van Gool, K., Wright, M., Hall, J., Bower, M., Dunbar, J., </w:t>
      </w:r>
      <w:proofErr w:type="spellStart"/>
      <w:r w:rsidRPr="009D6718">
        <w:rPr>
          <w:spacing w:val="-4"/>
        </w:rPr>
        <w:t>Henryks</w:t>
      </w:r>
      <w:proofErr w:type="spellEnd"/>
      <w:r w:rsidRPr="009D6718">
        <w:rPr>
          <w:spacing w:val="-4"/>
        </w:rPr>
        <w:t xml:space="preserve">, J., Rosen, R. and Smyth, T. 2022, </w:t>
      </w:r>
      <w:r w:rsidRPr="009D6718">
        <w:rPr>
          <w:i/>
          <w:iCs/>
          <w:spacing w:val="-4"/>
        </w:rPr>
        <w:t>Health Care Homes trial final evaluation report, Volume 1: Summary report. Health Policy Analysis</w:t>
      </w:r>
      <w:r w:rsidRPr="009D6718">
        <w:rPr>
          <w:spacing w:val="-4"/>
        </w:rPr>
        <w:t>, July, Commissioned by the Australian Government of Health.</w:t>
      </w:r>
    </w:p>
    <w:p w14:paraId="2CD4F03D" w14:textId="77777777" w:rsidR="005407D4" w:rsidRPr="009D6718" w:rsidRDefault="005407D4" w:rsidP="000B61A6">
      <w:pPr>
        <w:pStyle w:val="Reference"/>
        <w:rPr>
          <w:spacing w:val="-4"/>
        </w:rPr>
      </w:pPr>
      <w:r w:rsidRPr="009D6718">
        <w:rPr>
          <w:spacing w:val="-4"/>
        </w:rPr>
        <w:t xml:space="preserve">Pellegrino, B. and Zingales, L. 2018, </w:t>
      </w:r>
      <w:r w:rsidRPr="009D6718">
        <w:rPr>
          <w:i/>
          <w:iCs/>
          <w:spacing w:val="-4"/>
        </w:rPr>
        <w:t>Diagnosing the Italian Disease</w:t>
      </w:r>
      <w:r w:rsidRPr="009D6718">
        <w:rPr>
          <w:spacing w:val="-4"/>
        </w:rPr>
        <w:t>, SSRN Scholarly Paper 3057451, 1 July, Rochester, NY.</w:t>
      </w:r>
    </w:p>
    <w:p w14:paraId="00112503" w14:textId="77777777" w:rsidR="005407D4" w:rsidRPr="005407D4" w:rsidRDefault="005407D4" w:rsidP="000B61A6">
      <w:pPr>
        <w:pStyle w:val="Reference"/>
      </w:pPr>
      <w:r w:rsidRPr="005407D4">
        <w:t xml:space="preserve">Philips 2022, </w:t>
      </w:r>
      <w:r w:rsidRPr="005407D4">
        <w:rPr>
          <w:i/>
          <w:iCs/>
        </w:rPr>
        <w:t>Future Health Index 2022: Healthcare hits reset: Priorities shift as healthcare leaders navigate a changed world</w:t>
      </w:r>
      <w:r w:rsidRPr="005407D4">
        <w:t>.</w:t>
      </w:r>
    </w:p>
    <w:p w14:paraId="2CC59731" w14:textId="77777777" w:rsidR="005407D4" w:rsidRPr="005407D4" w:rsidRDefault="005407D4" w:rsidP="000B61A6">
      <w:pPr>
        <w:pStyle w:val="Reference"/>
      </w:pPr>
      <w:r w:rsidRPr="005407D4">
        <w:t xml:space="preserve">PM&amp;C (Department of Prime Minister and Cabinet) 2019, </w:t>
      </w:r>
      <w:r w:rsidRPr="005407D4">
        <w:rPr>
          <w:i/>
          <w:iCs/>
        </w:rPr>
        <w:t>Our Public Service Our Future: Independent Review of the Australian Public Service</w:t>
      </w:r>
      <w:r w:rsidRPr="005407D4">
        <w:t>, Commonwealth of Australia.</w:t>
      </w:r>
    </w:p>
    <w:p w14:paraId="334607FF" w14:textId="77777777" w:rsidR="005407D4" w:rsidRPr="009D6718" w:rsidRDefault="005407D4" w:rsidP="000B61A6">
      <w:pPr>
        <w:pStyle w:val="Reference"/>
        <w:rPr>
          <w:spacing w:val="-4"/>
        </w:rPr>
      </w:pPr>
      <w:r w:rsidRPr="009D6718">
        <w:rPr>
          <w:spacing w:val="-4"/>
        </w:rPr>
        <w:t xml:space="preserve">PSIN (Public Sector Innovation Network) 2019, </w:t>
      </w:r>
      <w:r w:rsidRPr="009D6718">
        <w:rPr>
          <w:i/>
          <w:iCs/>
          <w:spacing w:val="-4"/>
        </w:rPr>
        <w:t>Australian Public Service Innovation Sampler 2018-19</w:t>
      </w:r>
      <w:r w:rsidRPr="009D6718">
        <w:rPr>
          <w:spacing w:val="-4"/>
        </w:rPr>
        <w:t>, Commonwealth of Australia.</w:t>
      </w:r>
    </w:p>
    <w:p w14:paraId="20AD96E8" w14:textId="77777777" w:rsidR="005407D4" w:rsidRPr="005407D4" w:rsidRDefault="005407D4" w:rsidP="000B61A6">
      <w:pPr>
        <w:pStyle w:val="Reference"/>
      </w:pPr>
      <w:r w:rsidRPr="005407D4">
        <w:t xml:space="preserve">RBA (Reserve Bank of Australia) 2020, </w:t>
      </w:r>
      <w:r w:rsidRPr="005407D4">
        <w:rPr>
          <w:i/>
          <w:iCs/>
        </w:rPr>
        <w:t>Financial Stability Review</w:t>
      </w:r>
      <w:r w:rsidRPr="005407D4">
        <w:t>, October, Sydney.</w:t>
      </w:r>
    </w:p>
    <w:p w14:paraId="3E8310E2" w14:textId="261610E3" w:rsidR="005407D4" w:rsidRPr="005407D4" w:rsidRDefault="005407D4" w:rsidP="000B61A6">
      <w:pPr>
        <w:pStyle w:val="Reference"/>
      </w:pPr>
      <w:r w:rsidRPr="005407D4">
        <w:t xml:space="preserve">Riley, J. 2022, </w:t>
      </w:r>
      <w:proofErr w:type="spellStart"/>
      <w:r w:rsidRPr="005407D4">
        <w:rPr>
          <w:i/>
          <w:iCs/>
        </w:rPr>
        <w:t>Labor</w:t>
      </w:r>
      <w:proofErr w:type="spellEnd"/>
      <w:r w:rsidRPr="005407D4">
        <w:rPr>
          <w:i/>
          <w:iCs/>
        </w:rPr>
        <w:t xml:space="preserve"> backs an extended run for Industry Growth Centres</w:t>
      </w:r>
      <w:r w:rsidRPr="005407D4">
        <w:t>, InnovationAus.com, www.innovationaus.com/</w:t>
      </w:r>
      <w:r w:rsidR="00F37E40">
        <w:br/>
      </w:r>
      <w:proofErr w:type="spellStart"/>
      <w:r w:rsidRPr="005407D4">
        <w:t>labor</w:t>
      </w:r>
      <w:proofErr w:type="spellEnd"/>
      <w:r w:rsidRPr="005407D4">
        <w:t>-backs-an-extended-run-for-industry-growth-centres/ (accessed 26 August 2022).</w:t>
      </w:r>
    </w:p>
    <w:p w14:paraId="452B7655" w14:textId="77777777" w:rsidR="005407D4" w:rsidRPr="005407D4" w:rsidRDefault="005407D4" w:rsidP="000B61A6">
      <w:pPr>
        <w:pStyle w:val="Reference"/>
      </w:pPr>
      <w:r w:rsidRPr="005407D4">
        <w:t xml:space="preserve">Roy, S. 2016, ‘Foreign direct investment and total factor productivity growth: does distance from technology frontier matter?’, </w:t>
      </w:r>
      <w:r w:rsidRPr="005407D4">
        <w:rPr>
          <w:i/>
          <w:iCs/>
        </w:rPr>
        <w:t>Global Business and Economics Review</w:t>
      </w:r>
      <w:r w:rsidRPr="005407D4">
        <w:t>, vol. 18, no. 2, pp. 151–176.</w:t>
      </w:r>
    </w:p>
    <w:p w14:paraId="2F67789E" w14:textId="77777777" w:rsidR="005407D4" w:rsidRPr="005407D4" w:rsidRDefault="005407D4" w:rsidP="000B61A6">
      <w:pPr>
        <w:pStyle w:val="Reference"/>
      </w:pPr>
      <w:r w:rsidRPr="005407D4">
        <w:t xml:space="preserve">Sagar, A.D. and Chandra, P. 2004, </w:t>
      </w:r>
      <w:r w:rsidRPr="005407D4">
        <w:rPr>
          <w:i/>
          <w:iCs/>
        </w:rPr>
        <w:t>Technological Change in the Indian Passenger Car Industry</w:t>
      </w:r>
      <w:r w:rsidRPr="005407D4">
        <w:t xml:space="preserve">, BCSIA Discussion Paper </w:t>
      </w:r>
      <w:r w:rsidRPr="005407D4">
        <w:lastRenderedPageBreak/>
        <w:t>2004-05, Energy  Technology Innovation Project, Kennedy School of Government, Harvard University, https://citeseerx.ist.psu.edu/viewdoc/download?doi=10.1.1.417.3258&amp;rep=rep1&amp;type=pdf (accessed 8 September 2022).</w:t>
      </w:r>
    </w:p>
    <w:p w14:paraId="2F8B01CB" w14:textId="77777777" w:rsidR="005407D4" w:rsidRPr="005407D4" w:rsidRDefault="005407D4" w:rsidP="000B61A6">
      <w:pPr>
        <w:pStyle w:val="Reference"/>
      </w:pPr>
      <w:r w:rsidRPr="005407D4">
        <w:t xml:space="preserve">Saia, A., Andrews, D. and </w:t>
      </w:r>
      <w:proofErr w:type="spellStart"/>
      <w:r w:rsidRPr="005407D4">
        <w:t>Albrizio</w:t>
      </w:r>
      <w:proofErr w:type="spellEnd"/>
      <w:r w:rsidRPr="005407D4">
        <w:t xml:space="preserve">, S. 2015, </w:t>
      </w:r>
      <w:r w:rsidRPr="005407D4">
        <w:rPr>
          <w:i/>
          <w:iCs/>
        </w:rPr>
        <w:t xml:space="preserve">Productivity </w:t>
      </w:r>
      <w:proofErr w:type="spellStart"/>
      <w:r w:rsidRPr="005407D4">
        <w:rPr>
          <w:i/>
          <w:iCs/>
        </w:rPr>
        <w:t>Spillovers</w:t>
      </w:r>
      <w:proofErr w:type="spellEnd"/>
      <w:r w:rsidRPr="005407D4">
        <w:rPr>
          <w:i/>
          <w:iCs/>
        </w:rPr>
        <w:t xml:space="preserve"> from the Global Frontier and Public Policy: Industry-Level Evidence</w:t>
      </w:r>
      <w:r w:rsidRPr="005407D4">
        <w:t>, OECD Economics Department Working Papers, No. 1238, OECD Publishing, Paris.</w:t>
      </w:r>
    </w:p>
    <w:p w14:paraId="02D08BA9" w14:textId="77777777" w:rsidR="005407D4" w:rsidRPr="009D6718" w:rsidRDefault="005407D4" w:rsidP="000B61A6">
      <w:pPr>
        <w:pStyle w:val="Reference"/>
        <w:rPr>
          <w:spacing w:val="-4"/>
        </w:rPr>
      </w:pPr>
      <w:r w:rsidRPr="009D6718">
        <w:rPr>
          <w:spacing w:val="-4"/>
        </w:rPr>
        <w:t xml:space="preserve">Sargent, J. 2019, </w:t>
      </w:r>
      <w:r w:rsidRPr="009D6718">
        <w:rPr>
          <w:i/>
          <w:iCs/>
          <w:spacing w:val="-4"/>
        </w:rPr>
        <w:t>The Manufacturing Extension Partnership  Program</w:t>
      </w:r>
      <w:r w:rsidRPr="009D6718">
        <w:rPr>
          <w:spacing w:val="-4"/>
        </w:rPr>
        <w:t>, CRS Report  R44308, Congressional Research Service.</w:t>
      </w:r>
    </w:p>
    <w:p w14:paraId="158A8DBE" w14:textId="77777777" w:rsidR="005407D4" w:rsidRPr="009D6718" w:rsidRDefault="005407D4" w:rsidP="000B61A6">
      <w:pPr>
        <w:pStyle w:val="Reference"/>
        <w:rPr>
          <w:spacing w:val="-4"/>
        </w:rPr>
      </w:pPr>
      <w:r w:rsidRPr="009D6718">
        <w:rPr>
          <w:spacing w:val="-4"/>
        </w:rPr>
        <w:t xml:space="preserve">Service NSW 2022, </w:t>
      </w:r>
      <w:r w:rsidRPr="009D6718">
        <w:rPr>
          <w:i/>
          <w:iCs/>
          <w:spacing w:val="-4"/>
        </w:rPr>
        <w:t>Personalised support</w:t>
      </w:r>
      <w:r w:rsidRPr="009D6718">
        <w:rPr>
          <w:spacing w:val="-4"/>
        </w:rPr>
        <w:t>, Personalised support.</w:t>
      </w:r>
    </w:p>
    <w:p w14:paraId="7F6C601A" w14:textId="77777777" w:rsidR="005407D4" w:rsidRPr="005407D4" w:rsidRDefault="005407D4" w:rsidP="000B61A6">
      <w:pPr>
        <w:pStyle w:val="Reference"/>
      </w:pPr>
      <w:r w:rsidRPr="005407D4">
        <w:t xml:space="preserve">Shaw, L., </w:t>
      </w:r>
      <w:proofErr w:type="spellStart"/>
      <w:r w:rsidRPr="005407D4">
        <w:t>Jazayeri</w:t>
      </w:r>
      <w:proofErr w:type="spellEnd"/>
      <w:r w:rsidRPr="005407D4">
        <w:t xml:space="preserve">, D., </w:t>
      </w:r>
      <w:proofErr w:type="spellStart"/>
      <w:r w:rsidRPr="005407D4">
        <w:t>Kiegaldie</w:t>
      </w:r>
      <w:proofErr w:type="spellEnd"/>
      <w:r w:rsidRPr="005407D4">
        <w:t xml:space="preserve">, D. and Morris, M.E. 2022, ‘Implementation of Virtual Communities of Practice in Healthcare to Improve Capability and Capacity: A 10-Year Scoping Review’, </w:t>
      </w:r>
      <w:r w:rsidRPr="005407D4">
        <w:rPr>
          <w:i/>
          <w:iCs/>
        </w:rPr>
        <w:t>International Journal of Environmental Research and Public Health</w:t>
      </w:r>
      <w:r w:rsidRPr="005407D4">
        <w:t>, vol. 19, no. 13, p. 7994.</w:t>
      </w:r>
    </w:p>
    <w:p w14:paraId="7BAFD17C" w14:textId="77777777" w:rsidR="005407D4" w:rsidRPr="005407D4" w:rsidRDefault="005407D4" w:rsidP="000B61A6">
      <w:pPr>
        <w:pStyle w:val="Reference"/>
      </w:pPr>
      <w:r w:rsidRPr="005407D4">
        <w:t xml:space="preserve">Shaw, M. and Wilson, A. 2021, </w:t>
      </w:r>
      <w:r w:rsidRPr="005407D4">
        <w:rPr>
          <w:i/>
          <w:iCs/>
        </w:rPr>
        <w:t>RPA Virtual Hospital: Proof of concept trial Evaluation Report, 2020–2021</w:t>
      </w:r>
      <w:r w:rsidRPr="005407D4">
        <w:t>, Sydney.</w:t>
      </w:r>
    </w:p>
    <w:p w14:paraId="23046E9F" w14:textId="77777777" w:rsidR="005407D4" w:rsidRPr="005407D4" w:rsidRDefault="005407D4" w:rsidP="000B61A6">
      <w:pPr>
        <w:pStyle w:val="Reference"/>
      </w:pPr>
      <w:r w:rsidRPr="005407D4">
        <w:t xml:space="preserve">Sheng, Y., Gray, E., Mullen, J. and Davidson, A. 2011, </w:t>
      </w:r>
      <w:r w:rsidRPr="005407D4">
        <w:rPr>
          <w:i/>
          <w:iCs/>
        </w:rPr>
        <w:t>Public investment in agricultural R&amp;D and extension: an analysis of the static and dynamic effects on Australian broadacre productivity</w:t>
      </w:r>
      <w:r w:rsidRPr="005407D4">
        <w:t>, Australian Bureau of Agricultural and Resource Economics and Sciences, Canberra, September.</w:t>
      </w:r>
    </w:p>
    <w:p w14:paraId="7C1484E0" w14:textId="77777777" w:rsidR="005407D4" w:rsidRPr="005407D4" w:rsidRDefault="005407D4" w:rsidP="000B61A6">
      <w:pPr>
        <w:pStyle w:val="Reference"/>
      </w:pPr>
      <w:r w:rsidRPr="005407D4">
        <w:t xml:space="preserve">Smith, B. 2021, </w:t>
      </w:r>
      <w:r w:rsidRPr="005407D4">
        <w:rPr>
          <w:i/>
          <w:iCs/>
        </w:rPr>
        <w:t>The Importance of Benchmarking for the Local Government Sector</w:t>
      </w:r>
      <w:r w:rsidRPr="005407D4">
        <w:t>, Local Government Professionals Australia, NSW, Sydney.</w:t>
      </w:r>
    </w:p>
    <w:p w14:paraId="3A3A91A4" w14:textId="77777777" w:rsidR="005407D4" w:rsidRPr="005407D4" w:rsidRDefault="005407D4" w:rsidP="000B61A6">
      <w:pPr>
        <w:pStyle w:val="Reference"/>
      </w:pPr>
      <w:r w:rsidRPr="005407D4">
        <w:t xml:space="preserve">Soriano, F. and </w:t>
      </w:r>
      <w:proofErr w:type="spellStart"/>
      <w:r w:rsidRPr="005407D4">
        <w:t>Abello</w:t>
      </w:r>
      <w:proofErr w:type="spellEnd"/>
      <w:r w:rsidRPr="005407D4">
        <w:t xml:space="preserve">, R. 2015, ‘Modelling the relationships between the use of STEM skills, collaboration, R and D, and innovation among Australian businesses’, </w:t>
      </w:r>
      <w:r w:rsidRPr="005407D4">
        <w:rPr>
          <w:i/>
          <w:iCs/>
        </w:rPr>
        <w:t>Australian Journal of Labour Economics</w:t>
      </w:r>
      <w:r w:rsidRPr="005407D4">
        <w:t>, vol. 18, no. 3, pp. 345–374.</w:t>
      </w:r>
    </w:p>
    <w:p w14:paraId="73F21B9D" w14:textId="77777777" w:rsidR="005407D4" w:rsidRPr="005407D4" w:rsidRDefault="005407D4" w:rsidP="000B61A6">
      <w:pPr>
        <w:pStyle w:val="Reference"/>
      </w:pPr>
      <w:r w:rsidRPr="005407D4">
        <w:t xml:space="preserve">Stats NZ 2022, </w:t>
      </w:r>
      <w:r w:rsidRPr="005407D4">
        <w:rPr>
          <w:i/>
          <w:iCs/>
        </w:rPr>
        <w:t xml:space="preserve">Business performance </w:t>
      </w:r>
      <w:proofErr w:type="spellStart"/>
      <w:r w:rsidRPr="005407D4">
        <w:rPr>
          <w:i/>
          <w:iCs/>
        </w:rPr>
        <w:t>benchmarker</w:t>
      </w:r>
      <w:proofErr w:type="spellEnd"/>
      <w:r w:rsidRPr="005407D4">
        <w:t>, https://www.stats.govt.nz/experimental/business-performance-benchmarker (accessed 24 August 2022).</w:t>
      </w:r>
    </w:p>
    <w:p w14:paraId="2A1A4A7A" w14:textId="77777777" w:rsidR="005407D4" w:rsidRPr="005407D4" w:rsidRDefault="005407D4" w:rsidP="000B61A6">
      <w:pPr>
        <w:pStyle w:val="Reference"/>
      </w:pPr>
      <w:r w:rsidRPr="005407D4">
        <w:t xml:space="preserve">Stoneman, P. and </w:t>
      </w:r>
      <w:proofErr w:type="spellStart"/>
      <w:r w:rsidRPr="005407D4">
        <w:t>Diederen</w:t>
      </w:r>
      <w:proofErr w:type="spellEnd"/>
      <w:r w:rsidRPr="005407D4">
        <w:t xml:space="preserve">, P. 1994, ‘Technology Diffusion and Public Policy’, </w:t>
      </w:r>
      <w:r w:rsidRPr="005407D4">
        <w:rPr>
          <w:i/>
          <w:iCs/>
        </w:rPr>
        <w:t>Economic Journal</w:t>
      </w:r>
      <w:r w:rsidRPr="005407D4">
        <w:t>, vol. 104, no. 425, pp. 918–930.</w:t>
      </w:r>
    </w:p>
    <w:p w14:paraId="4DA7E849" w14:textId="5181D0A5" w:rsidR="005407D4" w:rsidRPr="005407D4" w:rsidRDefault="005407D4" w:rsidP="000B61A6">
      <w:pPr>
        <w:pStyle w:val="Reference"/>
      </w:pPr>
      <w:proofErr w:type="spellStart"/>
      <w:r w:rsidRPr="005407D4">
        <w:t>Swerissen</w:t>
      </w:r>
      <w:proofErr w:type="spellEnd"/>
      <w:r w:rsidRPr="005407D4">
        <w:t xml:space="preserve">, H. and Duckett, S. 2018, </w:t>
      </w:r>
      <w:r w:rsidRPr="005407D4">
        <w:rPr>
          <w:i/>
          <w:iCs/>
        </w:rPr>
        <w:t>Mapping primary care in Australia</w:t>
      </w:r>
      <w:r w:rsidRPr="005407D4">
        <w:t>, Grattan Institute, Melbourne, https://grattan.edu.au/</w:t>
      </w:r>
      <w:r w:rsidR="00C224AF">
        <w:br/>
      </w:r>
      <w:r w:rsidRPr="005407D4">
        <w:t>report/mapping-primary-care-in-</w:t>
      </w:r>
      <w:proofErr w:type="spellStart"/>
      <w:r w:rsidRPr="005407D4">
        <w:t>australia</w:t>
      </w:r>
      <w:proofErr w:type="spellEnd"/>
      <w:r w:rsidRPr="005407D4">
        <w:t>/ (accessed 7</w:t>
      </w:r>
      <w:r w:rsidR="00C224AF">
        <w:t> </w:t>
      </w:r>
      <w:r w:rsidRPr="005407D4">
        <w:t>September 2022).</w:t>
      </w:r>
    </w:p>
    <w:p w14:paraId="3D871AAD" w14:textId="77777777" w:rsidR="005407D4" w:rsidRPr="005407D4" w:rsidRDefault="005407D4" w:rsidP="000B61A6">
      <w:pPr>
        <w:pStyle w:val="Reference"/>
      </w:pPr>
      <w:r w:rsidRPr="005407D4">
        <w:t xml:space="preserve">Terrill, M., </w:t>
      </w:r>
      <w:proofErr w:type="spellStart"/>
      <w:r w:rsidRPr="005407D4">
        <w:t>Burfurd</w:t>
      </w:r>
      <w:proofErr w:type="spellEnd"/>
      <w:r w:rsidRPr="005407D4">
        <w:t xml:space="preserve">, I. and Fox, L. 2022, </w:t>
      </w:r>
      <w:r w:rsidRPr="005407D4">
        <w:rPr>
          <w:i/>
          <w:iCs/>
        </w:rPr>
        <w:t>The Grattan truck plan: practical policies for cleaner freight</w:t>
      </w:r>
      <w:r w:rsidRPr="005407D4">
        <w:t>, Grattan Institute, p. 60, https://apo.org.au/sites/default/files/resource-files/2022-08/apo-nid319190.pdf (accessed 2 September 2022).</w:t>
      </w:r>
    </w:p>
    <w:p w14:paraId="031736BE" w14:textId="77777777" w:rsidR="005407D4" w:rsidRPr="005407D4" w:rsidRDefault="005407D4" w:rsidP="000B61A6">
      <w:pPr>
        <w:pStyle w:val="Reference"/>
      </w:pPr>
      <w:r w:rsidRPr="005407D4">
        <w:t xml:space="preserve">Thomson, R. and Webster, E. 2013, ‘Innovation and Productivity’, </w:t>
      </w:r>
      <w:r w:rsidRPr="005407D4">
        <w:rPr>
          <w:i/>
          <w:iCs/>
        </w:rPr>
        <w:t>Australian Economic Review</w:t>
      </w:r>
      <w:r w:rsidRPr="005407D4">
        <w:t>, vol. 46, no. 4, pp. 483–488.</w:t>
      </w:r>
    </w:p>
    <w:p w14:paraId="2C9BCCF9" w14:textId="77777777" w:rsidR="005407D4" w:rsidRPr="005407D4" w:rsidRDefault="005407D4" w:rsidP="000B61A6">
      <w:pPr>
        <w:pStyle w:val="Reference"/>
      </w:pPr>
      <w:r w:rsidRPr="005407D4">
        <w:t xml:space="preserve">Tran, M. and Haddock, R. 2021, </w:t>
      </w:r>
      <w:r w:rsidRPr="005407D4">
        <w:rPr>
          <w:i/>
          <w:iCs/>
        </w:rPr>
        <w:t>Towards a sustainable funding model for telehealth in Australia</w:t>
      </w:r>
      <w:r w:rsidRPr="005407D4">
        <w:t xml:space="preserve">, Issues brief 43, </w:t>
      </w:r>
      <w:proofErr w:type="spellStart"/>
      <w:r w:rsidRPr="005407D4">
        <w:t>Deeble</w:t>
      </w:r>
      <w:proofErr w:type="spellEnd"/>
      <w:r w:rsidRPr="005407D4">
        <w:t xml:space="preserve"> Institute for Health Policy Research.</w:t>
      </w:r>
    </w:p>
    <w:p w14:paraId="70133DE7" w14:textId="77777777" w:rsidR="005407D4" w:rsidRPr="005407D4" w:rsidRDefault="005407D4" w:rsidP="000B61A6">
      <w:pPr>
        <w:pStyle w:val="Reference"/>
      </w:pPr>
      <w:r w:rsidRPr="005407D4">
        <w:t xml:space="preserve">Treasury 2019, </w:t>
      </w:r>
      <w:r w:rsidRPr="005407D4">
        <w:rPr>
          <w:i/>
          <w:iCs/>
        </w:rPr>
        <w:t>Foreign Investment Policy in Australia — A Brief History and Recent Developments</w:t>
      </w:r>
      <w:r w:rsidRPr="005407D4">
        <w:t>.</w:t>
      </w:r>
    </w:p>
    <w:p w14:paraId="2D3AC8C5" w14:textId="77777777" w:rsidR="005407D4" w:rsidRPr="005407D4" w:rsidRDefault="005407D4" w:rsidP="000B61A6">
      <w:pPr>
        <w:pStyle w:val="Reference"/>
      </w:pPr>
      <w:proofErr w:type="spellStart"/>
      <w:r w:rsidRPr="005407D4">
        <w:t>Tuhin</w:t>
      </w:r>
      <w:proofErr w:type="spellEnd"/>
      <w:r w:rsidRPr="005407D4">
        <w:t xml:space="preserve">, R. 2016, </w:t>
      </w:r>
      <w:r w:rsidRPr="005407D4">
        <w:rPr>
          <w:i/>
          <w:iCs/>
        </w:rPr>
        <w:t>Modelling the relationship between innovation and exporting: Evidence from  Australian SMEs</w:t>
      </w:r>
      <w:r w:rsidRPr="005407D4">
        <w:t>, Office of the Chief Economist Research Paper 3/2016, Department of Industry, Innovation and Science.</w:t>
      </w:r>
    </w:p>
    <w:p w14:paraId="4334FF2A" w14:textId="77777777" w:rsidR="005407D4" w:rsidRPr="00CA7C70" w:rsidRDefault="005407D4" w:rsidP="000B61A6">
      <w:pPr>
        <w:pStyle w:val="Reference"/>
        <w:rPr>
          <w:spacing w:val="-4"/>
        </w:rPr>
      </w:pPr>
      <w:r w:rsidRPr="00CA7C70">
        <w:rPr>
          <w:spacing w:val="-4"/>
        </w:rPr>
        <w:t xml:space="preserve">University of Melbourne </w:t>
      </w:r>
      <w:proofErr w:type="spellStart"/>
      <w:r w:rsidRPr="00CA7C70">
        <w:rPr>
          <w:spacing w:val="-4"/>
        </w:rPr>
        <w:t>nd</w:t>
      </w:r>
      <w:proofErr w:type="spellEnd"/>
      <w:r w:rsidRPr="00CA7C70">
        <w:rPr>
          <w:spacing w:val="-4"/>
        </w:rPr>
        <w:t xml:space="preserve">, </w:t>
      </w:r>
      <w:r w:rsidRPr="00CA7C70">
        <w:rPr>
          <w:i/>
          <w:iCs/>
          <w:spacing w:val="-4"/>
        </w:rPr>
        <w:t>Outside Work Procedure (MPF1129)</w:t>
      </w:r>
      <w:r w:rsidRPr="00CA7C70">
        <w:rPr>
          <w:spacing w:val="-4"/>
        </w:rPr>
        <w:t>, Melbourne Policy Library, https://policy.unimelb.edu.au/MPF1129 (accessed 9 September 2022).</w:t>
      </w:r>
    </w:p>
    <w:p w14:paraId="632DC0AD" w14:textId="6370D1BC" w:rsidR="005407D4" w:rsidRPr="00CA7C70" w:rsidRDefault="005407D4" w:rsidP="000B61A6">
      <w:pPr>
        <w:pStyle w:val="Reference"/>
        <w:rPr>
          <w:spacing w:val="-4"/>
        </w:rPr>
      </w:pPr>
      <w:r w:rsidRPr="00CA7C70">
        <w:rPr>
          <w:spacing w:val="-4"/>
        </w:rPr>
        <w:t xml:space="preserve">University of Queensland </w:t>
      </w:r>
      <w:proofErr w:type="spellStart"/>
      <w:r w:rsidRPr="00CA7C70">
        <w:rPr>
          <w:spacing w:val="-4"/>
        </w:rPr>
        <w:t>nd</w:t>
      </w:r>
      <w:proofErr w:type="spellEnd"/>
      <w:r w:rsidRPr="00CA7C70">
        <w:rPr>
          <w:spacing w:val="-4"/>
        </w:rPr>
        <w:t xml:space="preserve">, </w:t>
      </w:r>
      <w:r w:rsidRPr="00CA7C70">
        <w:rPr>
          <w:i/>
          <w:iCs/>
          <w:spacing w:val="-4"/>
        </w:rPr>
        <w:t>1.50.02 Consultancy, Secondary Employment and Internal Work Policy</w:t>
      </w:r>
      <w:r w:rsidRPr="00CA7C70">
        <w:rPr>
          <w:spacing w:val="-4"/>
        </w:rPr>
        <w:t>, https://ppl.app.uq.edu.au/</w:t>
      </w:r>
      <w:r w:rsidR="00116A72">
        <w:rPr>
          <w:spacing w:val="-4"/>
        </w:rPr>
        <w:br/>
      </w:r>
      <w:r w:rsidRPr="00CA7C70">
        <w:rPr>
          <w:spacing w:val="-4"/>
        </w:rPr>
        <w:t>content/1.50.02-consultancy-secondary-employment-and-internal-work#Policy (accessed 9 September 2022).</w:t>
      </w:r>
    </w:p>
    <w:p w14:paraId="6D45A58E" w14:textId="35D2B8D7" w:rsidR="005407D4" w:rsidRPr="005407D4" w:rsidRDefault="005407D4" w:rsidP="000B61A6">
      <w:pPr>
        <w:pStyle w:val="Reference"/>
      </w:pPr>
      <w:r w:rsidRPr="005407D4">
        <w:t xml:space="preserve">University of Sydney 2020, </w:t>
      </w:r>
      <w:r w:rsidRPr="005407D4">
        <w:rPr>
          <w:i/>
          <w:iCs/>
        </w:rPr>
        <w:t>Sydney University and General Electric to drive Australian manufacturing</w:t>
      </w:r>
      <w:r w:rsidRPr="005407D4">
        <w:t>, www.sydney.edu.au/news-opinion/news/2020/12/16/sydney-university-and-general-electric-to-drive-australian-manuf.html (accessed 5 August 2022).</w:t>
      </w:r>
    </w:p>
    <w:p w14:paraId="23ED2A54" w14:textId="77777777" w:rsidR="005407D4" w:rsidRPr="005407D4" w:rsidRDefault="005407D4" w:rsidP="000B61A6">
      <w:pPr>
        <w:pStyle w:val="Reference"/>
      </w:pPr>
      <w:r w:rsidRPr="005407D4">
        <w:t xml:space="preserve">University of Western Australia 2021, </w:t>
      </w:r>
      <w:r w:rsidRPr="005407D4">
        <w:rPr>
          <w:i/>
          <w:iCs/>
        </w:rPr>
        <w:t>Consultancy Policy</w:t>
      </w:r>
      <w:r w:rsidRPr="005407D4">
        <w:t>, Policy Number UP21/9.</w:t>
      </w:r>
    </w:p>
    <w:p w14:paraId="5C7DA82A" w14:textId="77777777" w:rsidR="005407D4" w:rsidRPr="009D6718" w:rsidRDefault="005407D4" w:rsidP="000B61A6">
      <w:pPr>
        <w:pStyle w:val="Reference"/>
        <w:rPr>
          <w:spacing w:val="-4"/>
        </w:rPr>
      </w:pPr>
      <w:r w:rsidRPr="009D6718">
        <w:rPr>
          <w:spacing w:val="-4"/>
        </w:rPr>
        <w:t xml:space="preserve">VAGO (Victorian Auditor-General’s Office) </w:t>
      </w:r>
      <w:proofErr w:type="spellStart"/>
      <w:r w:rsidRPr="009D6718">
        <w:rPr>
          <w:spacing w:val="-4"/>
        </w:rPr>
        <w:t>nd</w:t>
      </w:r>
      <w:proofErr w:type="spellEnd"/>
      <w:r w:rsidRPr="009D6718">
        <w:rPr>
          <w:spacing w:val="-4"/>
        </w:rPr>
        <w:t xml:space="preserve">, </w:t>
      </w:r>
      <w:r w:rsidRPr="009D6718">
        <w:rPr>
          <w:i/>
          <w:iCs/>
          <w:spacing w:val="-4"/>
        </w:rPr>
        <w:t>Reporting on Local Government Performance</w:t>
      </w:r>
      <w:r w:rsidRPr="009D6718">
        <w:rPr>
          <w:spacing w:val="-4"/>
        </w:rPr>
        <w:t>, Victorian Auditor-General’s Office.</w:t>
      </w:r>
    </w:p>
    <w:p w14:paraId="5BA93051" w14:textId="77777777" w:rsidR="005407D4" w:rsidRPr="005407D4" w:rsidRDefault="005407D4" w:rsidP="000B61A6">
      <w:pPr>
        <w:pStyle w:val="Reference"/>
      </w:pPr>
      <w:proofErr w:type="spellStart"/>
      <w:r w:rsidRPr="005407D4">
        <w:t>Vecellio</w:t>
      </w:r>
      <w:proofErr w:type="spellEnd"/>
      <w:r w:rsidRPr="005407D4">
        <w:t xml:space="preserve">, E., </w:t>
      </w:r>
      <w:proofErr w:type="spellStart"/>
      <w:r w:rsidRPr="005407D4">
        <w:t>Raban</w:t>
      </w:r>
      <w:proofErr w:type="spellEnd"/>
      <w:r w:rsidRPr="005407D4">
        <w:t xml:space="preserve">, M. and Westbrook, J. 2012, </w:t>
      </w:r>
      <w:r w:rsidRPr="005407D4">
        <w:rPr>
          <w:i/>
          <w:iCs/>
        </w:rPr>
        <w:t>Secondary ambulance triage service models and outcomes: A review of the evidence</w:t>
      </w:r>
      <w:r w:rsidRPr="005407D4">
        <w:t>, Australian Institute of Health Innovation.</w:t>
      </w:r>
    </w:p>
    <w:p w14:paraId="04AF8432" w14:textId="77777777" w:rsidR="005407D4" w:rsidRPr="009D6718" w:rsidRDefault="005407D4" w:rsidP="000B61A6">
      <w:pPr>
        <w:pStyle w:val="Reference"/>
        <w:rPr>
          <w:spacing w:val="-4"/>
        </w:rPr>
      </w:pPr>
      <w:proofErr w:type="spellStart"/>
      <w:r w:rsidRPr="009D6718">
        <w:rPr>
          <w:spacing w:val="-4"/>
        </w:rPr>
        <w:t>Verreynne</w:t>
      </w:r>
      <w:proofErr w:type="spellEnd"/>
      <w:r w:rsidRPr="009D6718">
        <w:rPr>
          <w:spacing w:val="-4"/>
        </w:rPr>
        <w:t xml:space="preserve">, M., Torres de </w:t>
      </w:r>
      <w:proofErr w:type="spellStart"/>
      <w:r w:rsidRPr="009D6718">
        <w:rPr>
          <w:spacing w:val="-4"/>
        </w:rPr>
        <w:t>Oliverira</w:t>
      </w:r>
      <w:proofErr w:type="spellEnd"/>
      <w:r w:rsidRPr="009D6718">
        <w:rPr>
          <w:spacing w:val="-4"/>
        </w:rPr>
        <w:t xml:space="preserve">, R. and Mention, A.-L. 2021, </w:t>
      </w:r>
      <w:r w:rsidRPr="009D6718">
        <w:rPr>
          <w:i/>
          <w:iCs/>
          <w:spacing w:val="-4"/>
        </w:rPr>
        <w:t>Enablers and barriers to industry-research collaboration: A small and medium sized enterprise perspective</w:t>
      </w:r>
      <w:r w:rsidRPr="009D6718">
        <w:rPr>
          <w:spacing w:val="-4"/>
        </w:rPr>
        <w:t>, CSIRO, Australia.</w:t>
      </w:r>
    </w:p>
    <w:p w14:paraId="5C6F33CD" w14:textId="77777777" w:rsidR="005407D4" w:rsidRPr="005407D4" w:rsidRDefault="005407D4" w:rsidP="000B61A6">
      <w:pPr>
        <w:pStyle w:val="Reference"/>
      </w:pPr>
      <w:r w:rsidRPr="005407D4">
        <w:t xml:space="preserve">Wells, T. 2018, </w:t>
      </w:r>
      <w:r w:rsidRPr="005407D4">
        <w:rPr>
          <w:i/>
          <w:iCs/>
        </w:rPr>
        <w:t>What you need to know about Public Sector Innovation Labs in Australia and New Zealand</w:t>
      </w:r>
      <w:r w:rsidRPr="005407D4">
        <w:t xml:space="preserve">, </w:t>
      </w:r>
      <w:r w:rsidRPr="005407D4">
        <w:rPr>
          <w:i/>
          <w:iCs/>
        </w:rPr>
        <w:t>The Policy Lab</w:t>
      </w:r>
      <w:r w:rsidRPr="005407D4">
        <w:t>, 12 April, https://medium.com/the-policy-lab/what-you-need-to-know-about-public-sector-innovation-labs-in-australia-and-new-zealand-7e3f7349f931 (accessed 24 August 2022).</w:t>
      </w:r>
    </w:p>
    <w:p w14:paraId="31231DCF" w14:textId="77777777" w:rsidR="005407D4" w:rsidRPr="005407D4" w:rsidRDefault="005407D4" w:rsidP="000B61A6">
      <w:pPr>
        <w:pStyle w:val="Reference"/>
      </w:pPr>
      <w:r w:rsidRPr="005407D4">
        <w:t xml:space="preserve">Williamson, R.C., </w:t>
      </w:r>
      <w:proofErr w:type="spellStart"/>
      <w:r w:rsidRPr="005407D4">
        <w:t>Raghnaill</w:t>
      </w:r>
      <w:proofErr w:type="spellEnd"/>
      <w:r w:rsidRPr="005407D4">
        <w:t xml:space="preserve">, M.N., Douglas, K. and Sanchez, D. 2015, </w:t>
      </w:r>
      <w:r w:rsidRPr="005407D4">
        <w:rPr>
          <w:i/>
          <w:iCs/>
        </w:rPr>
        <w:t xml:space="preserve">Technology and Australia’s future: </w:t>
      </w:r>
      <w:proofErr w:type="gramStart"/>
      <w:r w:rsidRPr="005407D4">
        <w:rPr>
          <w:i/>
          <w:iCs/>
        </w:rPr>
        <w:t>New</w:t>
      </w:r>
      <w:proofErr w:type="gramEnd"/>
      <w:r w:rsidRPr="005407D4">
        <w:rPr>
          <w:i/>
          <w:iCs/>
        </w:rPr>
        <w:t xml:space="preserve"> technologies and their role in Australia’s security, cultural, democratic, social and economic systems</w:t>
      </w:r>
      <w:r w:rsidRPr="005407D4">
        <w:t>, Australian Council of Learned Academies.</w:t>
      </w:r>
    </w:p>
    <w:p w14:paraId="2B3B5BFA" w14:textId="77777777" w:rsidR="005407D4" w:rsidRPr="005407D4" w:rsidRDefault="005407D4" w:rsidP="000B61A6">
      <w:pPr>
        <w:pStyle w:val="Reference"/>
      </w:pPr>
      <w:r w:rsidRPr="005407D4">
        <w:t xml:space="preserve">WIPO (World Intellectual Property Organization) 2021, </w:t>
      </w:r>
      <w:r w:rsidRPr="005407D4">
        <w:rPr>
          <w:i/>
          <w:iCs/>
        </w:rPr>
        <w:t>Global Innovation Index 2021: Tackling Innovation through the COVID-19 Crisis</w:t>
      </w:r>
      <w:r w:rsidRPr="005407D4">
        <w:t>, 14th edition, World Intellectual  Property Organization, Geneva.</w:t>
      </w:r>
    </w:p>
    <w:p w14:paraId="1F444E21" w14:textId="001628FE" w:rsidR="005407D4" w:rsidRPr="005407D4" w:rsidRDefault="005407D4" w:rsidP="000B61A6">
      <w:pPr>
        <w:pStyle w:val="Reference"/>
      </w:pPr>
      <w:proofErr w:type="spellStart"/>
      <w:r w:rsidRPr="005407D4">
        <w:t>Woolner</w:t>
      </w:r>
      <w:proofErr w:type="spellEnd"/>
      <w:r w:rsidRPr="005407D4">
        <w:t xml:space="preserve">, D. 2001, </w:t>
      </w:r>
      <w:r w:rsidRPr="005407D4">
        <w:rPr>
          <w:i/>
          <w:iCs/>
        </w:rPr>
        <w:t>Lessons of the Collins Submarine Program for Improved Oversight of Defence Procurement</w:t>
      </w:r>
      <w:r w:rsidRPr="005407D4">
        <w:t>, Research Paper 3, 2001-02, Parliamentary Library, Canberra, www.aph.gov.au/About_Parliament/Parliamentary_Departments/Parliamentary_Library/pubs/rp/rp0102/02RP03 (accessed 24 August 2022).</w:t>
      </w:r>
    </w:p>
    <w:p w14:paraId="1A760655" w14:textId="77777777" w:rsidR="005407D4" w:rsidRPr="005407D4" w:rsidRDefault="005407D4" w:rsidP="000B61A6">
      <w:pPr>
        <w:pStyle w:val="Reference"/>
      </w:pPr>
      <w:r w:rsidRPr="005407D4">
        <w:t xml:space="preserve">World Bank 2021a, </w:t>
      </w:r>
      <w:r w:rsidRPr="005407D4">
        <w:rPr>
          <w:i/>
          <w:iCs/>
        </w:rPr>
        <w:t>Charges for the use of intellectual property, payments (</w:t>
      </w:r>
      <w:proofErr w:type="spellStart"/>
      <w:r w:rsidRPr="005407D4">
        <w:rPr>
          <w:i/>
          <w:iCs/>
        </w:rPr>
        <w:t>BoP</w:t>
      </w:r>
      <w:proofErr w:type="spellEnd"/>
      <w:r w:rsidRPr="005407D4">
        <w:rPr>
          <w:i/>
          <w:iCs/>
        </w:rPr>
        <w:t>, current US$) - Australia</w:t>
      </w:r>
      <w:r w:rsidRPr="005407D4">
        <w:t>, https://data.worldbank.org/indicator/BM.GSR.ROYL.CD?locations=AU (accessed 19 August 2022).</w:t>
      </w:r>
    </w:p>
    <w:p w14:paraId="3CDDA327" w14:textId="3FA075C0" w:rsidR="005407D4" w:rsidRPr="005407D4" w:rsidRDefault="005407D4" w:rsidP="000B61A6">
      <w:pPr>
        <w:pStyle w:val="Reference"/>
      </w:pPr>
      <w:r w:rsidRPr="005407D4">
        <w:t>——</w:t>
      </w:r>
      <w:r w:rsidR="00BF1239">
        <w:t> </w:t>
      </w:r>
      <w:r w:rsidRPr="005407D4">
        <w:t xml:space="preserve">2021b, </w:t>
      </w:r>
      <w:r w:rsidRPr="005407D4">
        <w:rPr>
          <w:i/>
          <w:iCs/>
        </w:rPr>
        <w:t>Charges for the use of intellectual property, receipts (</w:t>
      </w:r>
      <w:proofErr w:type="spellStart"/>
      <w:r w:rsidRPr="005407D4">
        <w:rPr>
          <w:i/>
          <w:iCs/>
        </w:rPr>
        <w:t>BoP</w:t>
      </w:r>
      <w:proofErr w:type="spellEnd"/>
      <w:r w:rsidRPr="005407D4">
        <w:rPr>
          <w:i/>
          <w:iCs/>
        </w:rPr>
        <w:t>, current US$) - Australia</w:t>
      </w:r>
      <w:r w:rsidRPr="005407D4">
        <w:t>, https://data.worldbank.org/indicator/BX.GSR.ROYL.CD?locations=AU (accessed 19 August 2022).</w:t>
      </w:r>
    </w:p>
    <w:p w14:paraId="2E3B5C00" w14:textId="77777777" w:rsidR="009D6718" w:rsidRDefault="005407D4" w:rsidP="000B61A6">
      <w:pPr>
        <w:pStyle w:val="Reference"/>
      </w:pPr>
      <w:r w:rsidRPr="005407D4">
        <w:t xml:space="preserve">Zou, T., </w:t>
      </w:r>
      <w:proofErr w:type="spellStart"/>
      <w:r w:rsidRPr="005407D4">
        <w:t>Ertug</w:t>
      </w:r>
      <w:proofErr w:type="spellEnd"/>
      <w:r w:rsidRPr="005407D4">
        <w:t xml:space="preserve">, G. and George, G. 2018, ‘The capacity to innovate: a meta-analysis of absorptive capacity’, </w:t>
      </w:r>
      <w:r w:rsidRPr="005407D4">
        <w:rPr>
          <w:i/>
          <w:iCs/>
        </w:rPr>
        <w:t>Innovation</w:t>
      </w:r>
      <w:r w:rsidRPr="005407D4">
        <w:t>, vol. 20, no. 2, pp. 87–121.</w:t>
      </w:r>
    </w:p>
    <w:p w14:paraId="197B6774" w14:textId="77777777" w:rsidR="00BA66F3" w:rsidRDefault="00BA66F3" w:rsidP="000B61A6">
      <w:pPr>
        <w:pStyle w:val="Reference"/>
      </w:pPr>
    </w:p>
    <w:p w14:paraId="6EF2B019" w14:textId="35B65082" w:rsidR="00BA66F3" w:rsidRDefault="00BA66F3" w:rsidP="000B61A6">
      <w:pPr>
        <w:pStyle w:val="Reference"/>
        <w:sectPr w:rsidR="00BA66F3" w:rsidSect="007C1495">
          <w:type w:val="continuous"/>
          <w:pgSz w:w="11906" w:h="16838" w:code="9"/>
          <w:pgMar w:top="1134" w:right="1134" w:bottom="1134" w:left="1134" w:header="794" w:footer="510" w:gutter="0"/>
          <w:cols w:num="2" w:space="708"/>
          <w:docGrid w:linePitch="360"/>
        </w:sectPr>
      </w:pPr>
    </w:p>
    <w:p w14:paraId="0558A395" w14:textId="69369B5A" w:rsidR="006D7619" w:rsidRDefault="006D7619" w:rsidP="000B61A6">
      <w:pPr>
        <w:pStyle w:val="Reference"/>
        <w:rPr>
          <w:noProof/>
        </w:rPr>
      </w:pPr>
    </w:p>
    <w:sectPr w:rsidR="006D7619" w:rsidSect="009D6718">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3356" w14:textId="77777777" w:rsidR="009F05B6" w:rsidRDefault="009F05B6" w:rsidP="008017BC">
      <w:r>
        <w:separator/>
      </w:r>
    </w:p>
    <w:p w14:paraId="55D92E5A" w14:textId="77777777" w:rsidR="009F05B6" w:rsidRDefault="009F05B6"/>
  </w:endnote>
  <w:endnote w:type="continuationSeparator" w:id="0">
    <w:p w14:paraId="6D958E11" w14:textId="77777777" w:rsidR="009F05B6" w:rsidRDefault="009F05B6" w:rsidP="008017BC">
      <w:r>
        <w:continuationSeparator/>
      </w:r>
    </w:p>
    <w:p w14:paraId="1D781D36" w14:textId="77777777" w:rsidR="009F05B6" w:rsidRDefault="009F05B6"/>
  </w:endnote>
  <w:endnote w:type="continuationNotice" w:id="1">
    <w:p w14:paraId="7CF35D51" w14:textId="77777777" w:rsidR="009F05B6" w:rsidRDefault="009F05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58B2"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088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A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B175"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2FF9091"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B5630" w14:textId="77777777" w:rsidR="009F05B6" w:rsidRPr="00C238D1" w:rsidRDefault="009F05B6" w:rsidP="00273E86">
      <w:pPr>
        <w:spacing w:after="0" w:line="240" w:lineRule="auto"/>
        <w:rPr>
          <w:rStyle w:val="ColourDarkBlue"/>
        </w:rPr>
      </w:pPr>
      <w:r w:rsidRPr="00C238D1">
        <w:rPr>
          <w:rStyle w:val="ColourDarkBlue"/>
        </w:rPr>
        <w:continuationSeparator/>
      </w:r>
    </w:p>
  </w:footnote>
  <w:footnote w:type="continuationSeparator" w:id="0">
    <w:p w14:paraId="7F0BA9A6" w14:textId="77777777" w:rsidR="009F05B6" w:rsidRPr="001D7D9B" w:rsidRDefault="009F05B6" w:rsidP="001D7D9B">
      <w:pPr>
        <w:spacing w:after="0" w:line="240" w:lineRule="auto"/>
        <w:rPr>
          <w:color w:val="265A9A" w:themeColor="background2"/>
        </w:rPr>
      </w:pPr>
      <w:r w:rsidRPr="00C238D1">
        <w:rPr>
          <w:rStyle w:val="ColourDarkBlue"/>
        </w:rPr>
        <w:continuationSeparator/>
      </w:r>
    </w:p>
  </w:footnote>
  <w:footnote w:type="continuationNotice" w:id="1">
    <w:p w14:paraId="0A31DC6D" w14:textId="77777777" w:rsidR="009F05B6" w:rsidRPr="002C5AF4" w:rsidRDefault="009F05B6" w:rsidP="002C5AF4">
      <w:pPr>
        <w:spacing w:before="0" w:after="0" w:line="20" w:lineRule="atLeast"/>
        <w:rPr>
          <w:sz w:val="8"/>
          <w:szCs w:val="8"/>
        </w:rPr>
      </w:pPr>
    </w:p>
  </w:footnote>
  <w:footnote w:id="2">
    <w:p w14:paraId="1BC808F1" w14:textId="361624C0" w:rsidR="0003438B" w:rsidRDefault="0003438B" w:rsidP="0003438B">
      <w:pPr>
        <w:pStyle w:val="Reference"/>
      </w:pPr>
      <w:r w:rsidRPr="000C2244">
        <w:rPr>
          <w:rStyle w:val="FootnoteReference"/>
        </w:rPr>
        <w:footnoteRef/>
      </w:r>
      <w:r>
        <w:t xml:space="preserve"> There is a vast literature on the impacts of novel innovation on firm performance and productivity.</w:t>
      </w:r>
      <w:r w:rsidRPr="0041745D">
        <w:t xml:space="preserve"> Significant work in this regard includes Hall </w:t>
      </w:r>
      <w:r w:rsidR="00735BFD" w:rsidRPr="00735BFD">
        <w:rPr>
          <w:rFonts w:ascii="Arial" w:hAnsi="Arial" w:cs="Arial"/>
          <w:szCs w:val="24"/>
        </w:rPr>
        <w:t>(2011)</w:t>
      </w:r>
      <w:r w:rsidR="00D42027">
        <w:t>;</w:t>
      </w:r>
      <w:r w:rsidRPr="0041745D">
        <w:t xml:space="preserve"> </w:t>
      </w:r>
      <w:r w:rsidR="002C544C">
        <w:t xml:space="preserve">Hall &amp; Mohnen </w:t>
      </w:r>
      <w:r w:rsidR="00735BFD" w:rsidRPr="00735BFD">
        <w:rPr>
          <w:rFonts w:ascii="Arial" w:hAnsi="Arial" w:cs="Arial"/>
          <w:szCs w:val="24"/>
        </w:rPr>
        <w:t>(2013)</w:t>
      </w:r>
      <w:r w:rsidR="00393F37">
        <w:t>;</w:t>
      </w:r>
      <w:r w:rsidR="00D42027">
        <w:t xml:space="preserve"> </w:t>
      </w:r>
      <w:r w:rsidR="0095627D">
        <w:t xml:space="preserve">Crepon et al. </w:t>
      </w:r>
      <w:r w:rsidR="00735BFD" w:rsidRPr="00735BFD">
        <w:rPr>
          <w:rFonts w:ascii="Arial" w:hAnsi="Arial" w:cs="Arial"/>
          <w:szCs w:val="24"/>
        </w:rPr>
        <w:t>(1998)</w:t>
      </w:r>
      <w:r w:rsidR="0095627D">
        <w:t xml:space="preserve">; </w:t>
      </w:r>
      <w:r w:rsidR="000F28DF">
        <w:t xml:space="preserve">Janz et al. </w:t>
      </w:r>
      <w:r w:rsidR="00735BFD" w:rsidRPr="00735BFD">
        <w:rPr>
          <w:rFonts w:ascii="Arial" w:hAnsi="Arial" w:cs="Arial"/>
          <w:szCs w:val="24"/>
        </w:rPr>
        <w:t>(2004)</w:t>
      </w:r>
      <w:r w:rsidR="000F28DF">
        <w:t xml:space="preserve">; </w:t>
      </w:r>
      <w:r w:rsidR="00DB4D1D">
        <w:t xml:space="preserve">and </w:t>
      </w:r>
      <w:r w:rsidR="00BB55E8" w:rsidRPr="00BB55E8">
        <w:t>Lööf</w:t>
      </w:r>
      <w:r w:rsidR="00BB55E8">
        <w:t xml:space="preserve"> &amp; Heshmati </w:t>
      </w:r>
      <w:r w:rsidR="00735BFD" w:rsidRPr="00735BFD">
        <w:rPr>
          <w:rFonts w:ascii="Arial" w:hAnsi="Arial" w:cs="Arial"/>
          <w:szCs w:val="24"/>
        </w:rPr>
        <w:t>(2006)</w:t>
      </w:r>
      <w:r w:rsidR="00DB4D1D">
        <w:t>.</w:t>
      </w:r>
    </w:p>
  </w:footnote>
  <w:footnote w:id="3">
    <w:p w14:paraId="640BD100" w14:textId="38ADDCD9" w:rsidR="0003438B" w:rsidRPr="00AC311E" w:rsidRDefault="0003438B" w:rsidP="0003438B">
      <w:pPr>
        <w:pStyle w:val="FootnoteText"/>
        <w:rPr>
          <w:sz w:val="16"/>
        </w:rPr>
      </w:pPr>
      <w:r>
        <w:rPr>
          <w:rStyle w:val="FootnoteReference"/>
        </w:rPr>
        <w:footnoteRef/>
      </w:r>
      <w:r>
        <w:t xml:space="preserve"> I</w:t>
      </w:r>
      <w:r w:rsidRPr="00AC311E">
        <w:rPr>
          <w:sz w:val="16"/>
        </w:rPr>
        <w:t>n 2020</w:t>
      </w:r>
      <w:r w:rsidRPr="00AC311E">
        <w:rPr>
          <w:sz w:val="16"/>
        </w:rPr>
        <w:noBreakHyphen/>
        <w:t xml:space="preserve">21, three fields of research dominated Australian business R&amp;D — information technology, engineering, and biomedical and clinical science — accounting </w:t>
      </w:r>
      <w:r w:rsidRPr="00845FA9">
        <w:rPr>
          <w:sz w:val="16"/>
        </w:rPr>
        <w:t xml:space="preserve">for more than 80 per cent of the total spending </w:t>
      </w:r>
      <w:r w:rsidR="00245B3E" w:rsidRPr="00245B3E">
        <w:rPr>
          <w:rFonts w:ascii="Arial" w:hAnsi="Arial" w:cs="Arial"/>
          <w:sz w:val="16"/>
          <w:szCs w:val="24"/>
        </w:rPr>
        <w:t>(ABS 2021d table 7)</w:t>
      </w:r>
      <w:r w:rsidRPr="00AC311E">
        <w:rPr>
          <w:sz w:val="16"/>
        </w:rPr>
        <w:t xml:space="preserve">. The industries in which these fields were most concentrated were manufacturing, and professional, scientific and technical services, which in turn were the </w:t>
      </w:r>
      <w:r w:rsidRPr="00845FA9">
        <w:rPr>
          <w:sz w:val="16"/>
        </w:rPr>
        <w:t>recipients of about 80 per cent of all Australian governments’ funding of business R&amp;D</w:t>
      </w:r>
      <w:r>
        <w:rPr>
          <w:sz w:val="16"/>
        </w:rPr>
        <w:t xml:space="preserve"> </w:t>
      </w:r>
      <w:r w:rsidR="00245B3E" w:rsidRPr="00245B3E">
        <w:rPr>
          <w:rFonts w:ascii="Arial" w:hAnsi="Arial" w:cs="Arial"/>
          <w:sz w:val="16"/>
          <w:szCs w:val="24"/>
        </w:rPr>
        <w:t>(ABS 2021d table 4)</w:t>
      </w:r>
      <w:r w:rsidRPr="00AC311E">
        <w:rPr>
          <w:sz w:val="16"/>
        </w:rPr>
        <w:t>.</w:t>
      </w:r>
    </w:p>
  </w:footnote>
  <w:footnote w:id="4">
    <w:p w14:paraId="345DE9D5" w14:textId="77777777" w:rsidR="0003438B" w:rsidRDefault="0003438B" w:rsidP="0003438B">
      <w:pPr>
        <w:pStyle w:val="FootnoteText"/>
      </w:pPr>
      <w:r w:rsidRPr="000C2244">
        <w:rPr>
          <w:rStyle w:val="FootnoteReference"/>
        </w:rPr>
        <w:footnoteRef/>
      </w:r>
      <w:r>
        <w:t xml:space="preserve"> </w:t>
      </w:r>
      <w:r w:rsidRPr="00A908C2">
        <w:t xml:space="preserve">These are ‘average’ effects. </w:t>
      </w:r>
      <w:r>
        <w:t>B</w:t>
      </w:r>
      <w:r w:rsidRPr="00A908C2">
        <w:t xml:space="preserve">usinesses constantly face </w:t>
      </w:r>
      <w:r>
        <w:t xml:space="preserve">upward and downward shifts in </w:t>
      </w:r>
      <w:r w:rsidRPr="00A908C2">
        <w:t>productivity</w:t>
      </w:r>
      <w:r>
        <w:t xml:space="preserve"> </w:t>
      </w:r>
      <w:r w:rsidRPr="00A908C2">
        <w:t>— for example, demand shocks affect capital utilisation, there are supply disruptions, and key staff come and go.</w:t>
      </w:r>
    </w:p>
  </w:footnote>
  <w:footnote w:id="5">
    <w:p w14:paraId="11E05B63" w14:textId="77777777" w:rsidR="0003438B" w:rsidRDefault="0003438B" w:rsidP="0003438B">
      <w:pPr>
        <w:pStyle w:val="FootnoteText"/>
      </w:pPr>
      <w:r w:rsidRPr="000C2244">
        <w:rPr>
          <w:rStyle w:val="FootnoteReference"/>
        </w:rPr>
        <w:footnoteRef/>
      </w:r>
      <w:r>
        <w:t xml:space="preserve"> Technology is broader than tangible investments in machinery and equipment. It includes all the ways in which an organisation produces its output — their governance structures, skills, physical capital, intellectual property and so on. </w:t>
      </w:r>
    </w:p>
  </w:footnote>
  <w:footnote w:id="6">
    <w:p w14:paraId="671E919F" w14:textId="6A5DED50" w:rsidR="0003438B" w:rsidRDefault="0003438B" w:rsidP="0003438B">
      <w:pPr>
        <w:pStyle w:val="FootnoteText"/>
      </w:pPr>
      <w:r w:rsidRPr="00092A24">
        <w:rPr>
          <w:rStyle w:val="FootnoteReference"/>
        </w:rPr>
        <w:footnoteRef/>
      </w:r>
      <w:r>
        <w:t xml:space="preserve"> </w:t>
      </w:r>
      <w:r w:rsidRPr="006F37DB">
        <w:t xml:space="preserve">Criscuolo et al. </w:t>
      </w:r>
      <w:r w:rsidRPr="00A13BD5">
        <w:rPr>
          <w:rFonts w:ascii="Arial" w:hAnsi="Arial" w:cs="Arial"/>
          <w:szCs w:val="24"/>
        </w:rPr>
        <w:t>(2021, p. 28)</w:t>
      </w:r>
      <w:r w:rsidRPr="006F37DB">
        <w:t xml:space="preserve"> estimate</w:t>
      </w:r>
      <w:r w:rsidR="009A4E85">
        <w:t>d</w:t>
      </w:r>
      <w:r w:rsidRPr="006F37DB">
        <w:t xml:space="preserve"> that the productivity gains for a medium productivity firm associated with upskilling 1% of the workforce, either managers or workers, as 3% for managers and 1% for workers</w:t>
      </w:r>
      <w:r>
        <w:t>.</w:t>
      </w:r>
    </w:p>
  </w:footnote>
  <w:footnote w:id="7">
    <w:p w14:paraId="1AC5647E" w14:textId="77777777" w:rsidR="0003438B" w:rsidRPr="001C077F" w:rsidRDefault="0003438B" w:rsidP="0003438B">
      <w:pPr>
        <w:pStyle w:val="FootnoteText"/>
        <w:rPr>
          <w:spacing w:val="-4"/>
        </w:rPr>
      </w:pPr>
      <w:r w:rsidRPr="001C077F">
        <w:rPr>
          <w:rStyle w:val="FootnoteReference"/>
          <w:spacing w:val="-4"/>
        </w:rPr>
        <w:footnoteRef/>
      </w:r>
      <w:r w:rsidRPr="001C077F">
        <w:rPr>
          <w:spacing w:val="-4"/>
        </w:rPr>
        <w:t xml:space="preserve"> Surprisingly, this result does not vary with business employment size, though the need for management sophistication might be expected to do so. The figures are drawn ABS </w:t>
      </w:r>
      <w:r w:rsidRPr="001C077F">
        <w:rPr>
          <w:i/>
          <w:iCs/>
          <w:spacing w:val="-4"/>
        </w:rPr>
        <w:t>Business Characteristics Survey</w:t>
      </w:r>
      <w:r w:rsidRPr="001C077F">
        <w:rPr>
          <w:spacing w:val="-4"/>
        </w:rPr>
        <w:t xml:space="preserve"> from ABS Stat Data Explorer for 2020.</w:t>
      </w:r>
    </w:p>
  </w:footnote>
  <w:footnote w:id="8">
    <w:p w14:paraId="21AD068C" w14:textId="77777777" w:rsidR="0003438B" w:rsidRPr="00D23E77" w:rsidRDefault="0003438B" w:rsidP="0003438B">
      <w:pPr>
        <w:pStyle w:val="Reference"/>
        <w:rPr>
          <w:rStyle w:val="FootnoteTextChar"/>
        </w:rPr>
      </w:pPr>
      <w:r w:rsidRPr="000C2244">
        <w:rPr>
          <w:rStyle w:val="FootnoteReference"/>
        </w:rPr>
        <w:footnoteRef/>
      </w:r>
      <w:r>
        <w:t xml:space="preserve"> Moreover, the Global Innovation Index uses fixed weights (and sometimes just simple averages) of incommensurate variables to measure innovation and is subject to significant methodological flaws.</w:t>
      </w:r>
    </w:p>
  </w:footnote>
  <w:footnote w:id="9">
    <w:p w14:paraId="05E0FB5C" w14:textId="77777777" w:rsidR="0003438B" w:rsidRDefault="0003438B" w:rsidP="0003438B">
      <w:pPr>
        <w:pStyle w:val="Reference"/>
      </w:pPr>
      <w:r w:rsidRPr="000C2244">
        <w:rPr>
          <w:rStyle w:val="FootnoteReference"/>
        </w:rPr>
        <w:footnoteRef/>
      </w:r>
      <w:r>
        <w:t xml:space="preserve"> </w:t>
      </w:r>
      <w:r w:rsidRPr="00A51E15">
        <w:t>Based on the OECD dataset for ICT Access and Usage by Businesses.</w:t>
      </w:r>
    </w:p>
  </w:footnote>
  <w:footnote w:id="10">
    <w:p w14:paraId="2317AB60" w14:textId="642BA6CC" w:rsidR="0003438B" w:rsidRPr="006F42AA" w:rsidRDefault="0003438B" w:rsidP="0003438B">
      <w:pPr>
        <w:pStyle w:val="FootnoteText"/>
        <w:rPr>
          <w:spacing w:val="-2"/>
        </w:rPr>
      </w:pPr>
      <w:r w:rsidRPr="006F42AA">
        <w:rPr>
          <w:rStyle w:val="FootnoteReference"/>
          <w:spacing w:val="-2"/>
        </w:rPr>
        <w:footnoteRef/>
      </w:r>
      <w:r w:rsidRPr="006F42AA">
        <w:rPr>
          <w:spacing w:val="-2"/>
        </w:rPr>
        <w:t xml:space="preserve"> Figure 1.1</w:t>
      </w:r>
      <w:r w:rsidR="00F52F04">
        <w:rPr>
          <w:spacing w:val="-2"/>
        </w:rPr>
        <w:t>0</w:t>
      </w:r>
      <w:r w:rsidRPr="006F42AA">
        <w:rPr>
          <w:spacing w:val="-2"/>
        </w:rPr>
        <w:t xml:space="preserve"> does not capture shifts in the nature of plant and machinery over time, such as, say, a shift from large mining trucks to supercomputers. Notably, while the mining share of equipment has fallen as a share of GDP, so has non</w:t>
      </w:r>
      <w:r w:rsidRPr="006F42AA">
        <w:rPr>
          <w:spacing w:val="-2"/>
        </w:rPr>
        <w:noBreakHyphen/>
        <w:t>mining.</w:t>
      </w:r>
    </w:p>
  </w:footnote>
  <w:footnote w:id="11">
    <w:p w14:paraId="5E164921" w14:textId="77777777" w:rsidR="0003438B" w:rsidRPr="001C077F" w:rsidRDefault="0003438B" w:rsidP="0003438B">
      <w:pPr>
        <w:pStyle w:val="FootnoteText"/>
        <w:rPr>
          <w:spacing w:val="-4"/>
        </w:rPr>
      </w:pPr>
      <w:r w:rsidRPr="001C077F">
        <w:rPr>
          <w:rStyle w:val="FootnoteReference"/>
          <w:spacing w:val="-4"/>
        </w:rPr>
        <w:footnoteRef/>
      </w:r>
      <w:r w:rsidRPr="001C077F">
        <w:rPr>
          <w:spacing w:val="-4"/>
        </w:rPr>
        <w:t xml:space="preserve"> While labour mobility is likely to be a significant source of diffusion, it should also be recognised that high labour turnover reduces the incentives for businesses to provide formal training (one of the reasons why governments sometimes support industry training). Moreover, while knowledge unquestionably is carried by worker mobility, it is likely that the marginal benefits depend on the levels of skills of the worker and the source business. For example, the periodic movements of employees from one fast food franchise to another is unlikely to add much to the capabilities of the acquiring franchise.</w:t>
      </w:r>
    </w:p>
  </w:footnote>
  <w:footnote w:id="12">
    <w:p w14:paraId="2A48B269" w14:textId="77777777" w:rsidR="00557DD7" w:rsidRDefault="00557DD7" w:rsidP="00557DD7">
      <w:pPr>
        <w:pStyle w:val="FootnoteText"/>
      </w:pPr>
      <w:r w:rsidRPr="00092A24">
        <w:rPr>
          <w:rStyle w:val="FootnoteReference"/>
        </w:rPr>
        <w:footnoteRef/>
      </w:r>
      <w:r>
        <w:t xml:space="preserve"> The tax system taxes profits but does not provide immediate tax credits for losses. Tax losses can be written off against future profits, but for businesses engaged in risky activities, like R&amp;D, that can be either delayed by years or never redeemed if the business becomes insolvent or bankrupt. Immediate tax credits are open to tax evasion, so the second</w:t>
      </w:r>
      <w:r>
        <w:noBreakHyphen/>
        <w:t>best approach is to provide additional support for the kinds of risky activities — like novel innovation — most adversely affected by tax asymmetry.</w:t>
      </w:r>
    </w:p>
  </w:footnote>
  <w:footnote w:id="13">
    <w:p w14:paraId="41F13964" w14:textId="1E55EC12" w:rsidR="00557DD7" w:rsidRDefault="00557DD7" w:rsidP="00557DD7">
      <w:pPr>
        <w:pStyle w:val="FootnoteText"/>
      </w:pPr>
      <w:r>
        <w:rPr>
          <w:rStyle w:val="FootnoteReference"/>
        </w:rPr>
        <w:footnoteRef/>
      </w:r>
      <w:r>
        <w:t xml:space="preserve"> </w:t>
      </w:r>
      <w:r w:rsidRPr="00F51932">
        <w:t>In the case of delivery of many government services (chapter 3 of this report), specific actions by governments may be necessary to motivate the take-up of innovations and the efficient allocation of resources</w:t>
      </w:r>
      <w:r w:rsidR="00980807">
        <w:t>.</w:t>
      </w:r>
    </w:p>
  </w:footnote>
  <w:footnote w:id="14">
    <w:p w14:paraId="5E338399" w14:textId="77777777" w:rsidR="00557DD7" w:rsidRDefault="00557DD7" w:rsidP="00557DD7">
      <w:pPr>
        <w:pStyle w:val="FootnoteText"/>
      </w:pPr>
      <w:r w:rsidRPr="00EB6119">
        <w:rPr>
          <w:rStyle w:val="FootnoteReference"/>
        </w:rPr>
        <w:footnoteRef/>
      </w:r>
      <w:r>
        <w:t xml:space="preserve"> This is likely a lower bound estimate as it does not capture firms that were dissuaded from even seeking finance.</w:t>
      </w:r>
    </w:p>
  </w:footnote>
  <w:footnote w:id="15">
    <w:p w14:paraId="794C6F5A" w14:textId="77777777" w:rsidR="00557DD7" w:rsidRPr="00CC410A" w:rsidRDefault="00557DD7" w:rsidP="00557DD7">
      <w:pPr>
        <w:pStyle w:val="FootnoteText"/>
        <w:rPr>
          <w:lang w:val="en-US"/>
        </w:rPr>
      </w:pPr>
      <w:r w:rsidRPr="00EB6119">
        <w:rPr>
          <w:rStyle w:val="FootnoteReference"/>
        </w:rPr>
        <w:footnoteRef/>
      </w:r>
      <w:r>
        <w:t xml:space="preserve"> </w:t>
      </w:r>
      <w:r w:rsidRPr="00CC410A">
        <w:t>FDI is investment in an enterprise or asset where the foreign investor has control or a significant degree of influence over its management. Generally, investment is considered to be direct when an investor has 10 per cent or more of the voting power in an organisation.</w:t>
      </w:r>
    </w:p>
  </w:footnote>
  <w:footnote w:id="16">
    <w:p w14:paraId="0458C9AF" w14:textId="22572976" w:rsidR="00557DD7" w:rsidRPr="00E465E7" w:rsidRDefault="00557DD7" w:rsidP="00557DD7">
      <w:pPr>
        <w:pStyle w:val="FootnoteText"/>
        <w:rPr>
          <w:lang w:val="en-US"/>
        </w:rPr>
      </w:pPr>
      <w:r w:rsidRPr="00EB6119">
        <w:rPr>
          <w:rStyle w:val="FootnoteReference"/>
        </w:rPr>
        <w:footnoteRef/>
      </w:r>
      <w:r>
        <w:t xml:space="preserve"> An innovation-active business is one that introduced any type of innovation and/or had innovation </w:t>
      </w:r>
      <w:r w:rsidR="009E39A1">
        <w:t>that</w:t>
      </w:r>
      <w:r>
        <w:t xml:space="preserve"> was still in development or abandoned during the survey reference period (here, the two years ending 30 June 2021).</w:t>
      </w:r>
    </w:p>
  </w:footnote>
  <w:footnote w:id="17">
    <w:p w14:paraId="5D3DE6F6" w14:textId="77777777" w:rsidR="00557DD7" w:rsidRDefault="00557DD7" w:rsidP="00557DD7">
      <w:pPr>
        <w:pStyle w:val="FootnoteText"/>
      </w:pPr>
      <w:r>
        <w:rPr>
          <w:rStyle w:val="FootnoteReference"/>
        </w:rPr>
        <w:footnoteRef/>
      </w:r>
      <w:r>
        <w:t xml:space="preserve"> </w:t>
      </w:r>
      <w:r w:rsidRPr="009E49E0">
        <w:t>As discussed in more detail in section 2.4, businesses can also access those skills through collaborating with universities for innovation.</w:t>
      </w:r>
    </w:p>
  </w:footnote>
  <w:footnote w:id="18">
    <w:p w14:paraId="2AD24189" w14:textId="12C9FE39" w:rsidR="00557DD7" w:rsidRPr="00AA32BC" w:rsidRDefault="00557DD7" w:rsidP="00557DD7">
      <w:pPr>
        <w:pStyle w:val="FootnoteText"/>
        <w:rPr>
          <w:lang w:val="en-US"/>
        </w:rPr>
      </w:pPr>
      <w:r w:rsidRPr="00711B90">
        <w:rPr>
          <w:rStyle w:val="FootnoteReference"/>
        </w:rPr>
        <w:footnoteRef/>
      </w:r>
      <w:r>
        <w:t xml:space="preserve"> Work-related training is training which did not form part of a qualification and was undertaken for work purposes.</w:t>
      </w:r>
    </w:p>
  </w:footnote>
  <w:footnote w:id="19">
    <w:p w14:paraId="5F28FA43" w14:textId="3D654A99" w:rsidR="00557DD7" w:rsidRDefault="00557DD7" w:rsidP="00557DD7">
      <w:pPr>
        <w:pStyle w:val="FootnoteText"/>
      </w:pPr>
      <w:r>
        <w:rPr>
          <w:rStyle w:val="FootnoteReference"/>
        </w:rPr>
        <w:footnoteRef/>
      </w:r>
      <w:r>
        <w:t xml:space="preserve"> </w:t>
      </w:r>
      <w:r w:rsidRPr="001E2B99">
        <w:t>Submissions to the Inquiry recommended that measures be put in place to help SMEs build skills that currently stand as a barrier to adopting and using new technologies, specifically digital and management skills</w:t>
      </w:r>
      <w:r>
        <w:t>. The Australian Institute of Company Directors argued for “</w:t>
      </w:r>
      <w:r w:rsidRPr="00834D95">
        <w:t>measures to harness the untapped productivity potential of small and medium sized enterprises (SMEs) and NFPs, including support schemes focused on management and digital skills</w:t>
      </w:r>
      <w:r>
        <w:t>” (</w:t>
      </w:r>
      <w:r w:rsidRPr="000253AF">
        <w:t>AICD, sub. 44, p.</w:t>
      </w:r>
      <w:r>
        <w:t xml:space="preserve"> 2). The Australian Small Business and Family Enterprise Ombudsman noted that there is a </w:t>
      </w:r>
      <w:r w:rsidRPr="0079361F">
        <w:t xml:space="preserve">digital skills gap </w:t>
      </w:r>
      <w:r w:rsidR="009E39A1">
        <w:t>that</w:t>
      </w:r>
      <w:r w:rsidRPr="0079361F">
        <w:t xml:space="preserve"> needs to be filled to underpin economic growth and this is demonstrated by the continued demand for higher level digital skills in Australia.</w:t>
      </w:r>
      <w:r>
        <w:t xml:space="preserve"> </w:t>
      </w:r>
      <w:r w:rsidRPr="0079361F">
        <w:t>Training should focus more on generic transferrable skills rather than on skills with specific applications</w:t>
      </w:r>
      <w:r>
        <w:t>” (</w:t>
      </w:r>
      <w:r w:rsidRPr="0047699D">
        <w:t>ASBFEO, sub. 64, p. 4</w:t>
      </w:r>
      <w:r>
        <w:t>).</w:t>
      </w:r>
    </w:p>
  </w:footnote>
  <w:footnote w:id="20">
    <w:p w14:paraId="4215BFD8" w14:textId="2A8BF900" w:rsidR="00557DD7" w:rsidRDefault="00557DD7" w:rsidP="00557DD7">
      <w:pPr>
        <w:pStyle w:val="FootnoteText"/>
      </w:pPr>
      <w:r>
        <w:rPr>
          <w:rStyle w:val="FootnoteReference"/>
        </w:rPr>
        <w:footnoteRef/>
      </w:r>
      <w:r>
        <w:t xml:space="preserve"> This was also proposed by </w:t>
      </w:r>
      <w:r w:rsidRPr="00B21DBF">
        <w:t>Professor Christopher O’Donnell (O’Donnell</w:t>
      </w:r>
      <w:r>
        <w:t>, sub. 40, p. 12</w:t>
      </w:r>
      <w:r w:rsidRPr="00B21DBF">
        <w:t>)</w:t>
      </w:r>
      <w:r w:rsidR="00F46C58">
        <w:t>.</w:t>
      </w:r>
    </w:p>
  </w:footnote>
  <w:footnote w:id="21">
    <w:p w14:paraId="576DA3B3" w14:textId="69391DFF" w:rsidR="00557DD7" w:rsidRPr="00727A16" w:rsidRDefault="00557DD7" w:rsidP="00557DD7">
      <w:pPr>
        <w:pStyle w:val="FootnoteText"/>
        <w:rPr>
          <w:spacing w:val="-4"/>
        </w:rPr>
      </w:pPr>
      <w:r w:rsidRPr="00727A16">
        <w:rPr>
          <w:rStyle w:val="FootnoteReference"/>
          <w:spacing w:val="-4"/>
        </w:rPr>
        <w:footnoteRef/>
      </w:r>
      <w:r w:rsidRPr="00727A16">
        <w:rPr>
          <w:spacing w:val="-4"/>
        </w:rPr>
        <w:t xml:space="preserve"> This view appears to be largely informed by data drawn from the OECD Innovation Indicators database, a compendium of statistics about the innovation activities and outcomes of firms across OECD member countries </w:t>
      </w:r>
      <w:r w:rsidRPr="00727A16">
        <w:rPr>
          <w:rFonts w:cs="Arial"/>
          <w:spacing w:val="-4"/>
          <w:szCs w:val="24"/>
        </w:rPr>
        <w:t>(OECD 2022b)</w:t>
      </w:r>
      <w:r w:rsidRPr="00727A16">
        <w:rPr>
          <w:spacing w:val="-4"/>
        </w:rPr>
        <w:t xml:space="preserve">. However, caution is needed in using these indicators because: </w:t>
      </w:r>
      <w:r w:rsidRPr="00727A16">
        <w:rPr>
          <w:spacing w:val="-4"/>
        </w:rPr>
        <w:t xml:space="preserve">i) Australia’s reference period is one year (e.g. the ABS Business Characteristics Survey 2018-19 in the most recent update) whereas, for the other countries in the survey, the reference period is two or three years; ii) the data for Australia only covers firms with 10+ employees, and only covers a subset of industries, to be consistent with the Eurostat Community Innovation Survey (CIS-2018) </w:t>
      </w:r>
      <w:r w:rsidRPr="00727A16">
        <w:rPr>
          <w:rFonts w:cs="Arial"/>
          <w:spacing w:val="-4"/>
          <w:szCs w:val="24"/>
        </w:rPr>
        <w:t>(see notes in OECD 2022b)</w:t>
      </w:r>
      <w:r w:rsidRPr="00727A16">
        <w:rPr>
          <w:spacing w:val="-4"/>
        </w:rPr>
        <w:t>.</w:t>
      </w:r>
    </w:p>
  </w:footnote>
  <w:footnote w:id="22">
    <w:p w14:paraId="77B4B97C" w14:textId="43F9015D" w:rsidR="008C5C43" w:rsidRDefault="008C5C43">
      <w:pPr>
        <w:pStyle w:val="FootnoteText"/>
      </w:pPr>
      <w:r>
        <w:rPr>
          <w:rStyle w:val="FootnoteReference"/>
        </w:rPr>
        <w:footnoteRef/>
      </w:r>
      <w:r>
        <w:t xml:space="preserve"> For example, </w:t>
      </w:r>
      <w:r w:rsidR="002E18B3">
        <w:t>t</w:t>
      </w:r>
      <w:r w:rsidR="004652E3" w:rsidRPr="004652E3">
        <w:t>he U</w:t>
      </w:r>
      <w:r w:rsidR="004652E3">
        <w:t>K</w:t>
      </w:r>
      <w:r w:rsidR="004652E3" w:rsidRPr="004652E3">
        <w:t xml:space="preserve"> Office for National Statistics</w:t>
      </w:r>
      <w:r w:rsidR="00BE6AA3">
        <w:t>’</w:t>
      </w:r>
      <w:r w:rsidR="004652E3" w:rsidRPr="004652E3">
        <w:t xml:space="preserve"> online labour productivity calculator and benchmarking tool </w:t>
      </w:r>
      <w:r w:rsidR="002E18B3" w:rsidRPr="006673CC">
        <w:rPr>
          <w:rFonts w:ascii="Arial" w:hAnsi="Arial" w:cs="Arial"/>
          <w:color w:val="3D3D3D"/>
        </w:rPr>
        <w:t>(Office for National Statistics 2022)</w:t>
      </w:r>
      <w:r w:rsidR="007527E2">
        <w:t>;</w:t>
      </w:r>
      <w:r w:rsidR="004652E3" w:rsidRPr="004652E3">
        <w:t xml:space="preserve"> </w:t>
      </w:r>
      <w:r w:rsidR="007527E2">
        <w:t>t</w:t>
      </w:r>
      <w:r w:rsidR="004652E3" w:rsidRPr="004652E3">
        <w:t>he Business Development Bank of Canada</w:t>
      </w:r>
      <w:r w:rsidR="007527E2">
        <w:t>’s</w:t>
      </w:r>
      <w:r w:rsidR="004652E3" w:rsidRPr="004652E3">
        <w:t xml:space="preserve"> productivity benchmarking tool </w:t>
      </w:r>
      <w:r w:rsidR="00A51A94" w:rsidRPr="006673CC">
        <w:rPr>
          <w:rFonts w:ascii="Arial" w:hAnsi="Arial" w:cs="Arial"/>
          <w:color w:val="3D3D3D"/>
        </w:rPr>
        <w:t>(Office for National Statistics 2022)</w:t>
      </w:r>
      <w:r w:rsidR="00A51A94">
        <w:t>;</w:t>
      </w:r>
      <w:r w:rsidR="004652E3" w:rsidRPr="004652E3">
        <w:t xml:space="preserve"> Stats NZ</w:t>
      </w:r>
      <w:r w:rsidR="00A51A94">
        <w:t>’s</w:t>
      </w:r>
      <w:r w:rsidR="004652E3" w:rsidRPr="004652E3">
        <w:t xml:space="preserve"> </w:t>
      </w:r>
      <w:r w:rsidR="00215CAA" w:rsidRPr="00215CAA">
        <w:t xml:space="preserve">business performance </w:t>
      </w:r>
      <w:r w:rsidR="00215CAA" w:rsidRPr="00215CAA">
        <w:t>benchmarker</w:t>
      </w:r>
      <w:r w:rsidR="00215CAA">
        <w:t xml:space="preserve"> </w:t>
      </w:r>
      <w:r w:rsidR="00B94B11" w:rsidRPr="00B94B11">
        <w:rPr>
          <w:rFonts w:ascii="Arial" w:hAnsi="Arial" w:cs="Arial"/>
          <w:szCs w:val="24"/>
        </w:rPr>
        <w:t>(Stats NZ 2022)</w:t>
      </w:r>
      <w:r w:rsidR="004652E3" w:rsidRPr="004652E3">
        <w:t>.</w:t>
      </w:r>
    </w:p>
  </w:footnote>
  <w:footnote w:id="23">
    <w:p w14:paraId="242DE8E3" w14:textId="008A6C1A" w:rsidR="00557DD7" w:rsidRDefault="00557DD7" w:rsidP="00557DD7">
      <w:pPr>
        <w:pStyle w:val="FootnoteText"/>
      </w:pPr>
      <w:r>
        <w:rPr>
          <w:rStyle w:val="FootnoteReference"/>
        </w:rPr>
        <w:footnoteRef/>
      </w:r>
      <w:r>
        <w:t xml:space="preserve"> Note that some Growth </w:t>
      </w:r>
      <w:r w:rsidRPr="00773425">
        <w:t>Centres already undertake activities in support of innovation diffusion — for example, the Advanced Manufacturing Growth Centre has explicit principles involving researching, demonstrating and promoting awareness of best practices in advanced manufacturing (AMGC 2021).</w:t>
      </w:r>
    </w:p>
  </w:footnote>
  <w:footnote w:id="24">
    <w:p w14:paraId="104C24A9" w14:textId="0BB39AF5" w:rsidR="00557DD7" w:rsidRDefault="00557DD7" w:rsidP="00557DD7">
      <w:pPr>
        <w:pStyle w:val="FootnoteText"/>
        <w:rPr>
          <w:lang w:val="en-US"/>
        </w:rPr>
      </w:pPr>
      <w:r w:rsidRPr="00FD14EA">
        <w:rPr>
          <w:rStyle w:val="FootnoteReference"/>
        </w:rPr>
        <w:footnoteRef/>
      </w:r>
      <w:r w:rsidRPr="00090788">
        <w:t xml:space="preserve"> See </w:t>
      </w:r>
      <w:r w:rsidRPr="00936915">
        <w:rPr>
          <w:rFonts w:ascii="Arial" w:hAnsi="Arial" w:cs="Arial"/>
          <w:szCs w:val="24"/>
        </w:rPr>
        <w:t>(Department of Industry 2018)</w:t>
      </w:r>
      <w:r w:rsidRPr="00090788">
        <w:t xml:space="preserve"> for a list of place-based programs around Australia</w:t>
      </w:r>
      <w:r w:rsidR="00F7601E">
        <w:t>.</w:t>
      </w:r>
    </w:p>
  </w:footnote>
  <w:footnote w:id="25">
    <w:p w14:paraId="12D31498" w14:textId="067DD8F8" w:rsidR="003A0ECF" w:rsidRDefault="003A0ECF" w:rsidP="003A0ECF">
      <w:pPr>
        <w:pStyle w:val="FootnoteText"/>
      </w:pPr>
      <w:r w:rsidRPr="00B72F6B">
        <w:rPr>
          <w:rStyle w:val="FootnoteReference"/>
        </w:rPr>
        <w:footnoteRef/>
      </w:r>
      <w:r>
        <w:t xml:space="preserve"> An illustration is the growth of PBS</w:t>
      </w:r>
      <w:r>
        <w:noBreakHyphen/>
        <w:t>funded intravitreal therapeutic drugs for age</w:t>
      </w:r>
      <w:r>
        <w:noBreakHyphen/>
        <w:t>related macular degeneration (AMD), Ranibizumab and Aflibercept. Both treatments are more effective than alternatives, and led to a nearly ten</w:t>
      </w:r>
      <w:r>
        <w:noBreakHyphen/>
        <w:t xml:space="preserve">fold decrease in the incidence of age-standardised blindness due to AMD </w:t>
      </w:r>
      <w:r w:rsidRPr="00816DF2">
        <w:rPr>
          <w:rFonts w:ascii="Arial" w:hAnsi="Arial" w:cs="Arial"/>
          <w:szCs w:val="24"/>
        </w:rPr>
        <w:t>(Heath Jeffery et al. 2021)</w:t>
      </w:r>
      <w:r>
        <w:t xml:space="preserve"> — a large quality improvement. Consequently, their use grew</w:t>
      </w:r>
      <w:r w:rsidRPr="007F59F7">
        <w:t xml:space="preserve"> </w:t>
      </w:r>
      <w:r>
        <w:t>massively (zero scripts in 2006</w:t>
      </w:r>
      <w:r>
        <w:noBreakHyphen/>
        <w:t>07 to 530 000 in 2020</w:t>
      </w:r>
      <w:r>
        <w:noBreakHyphen/>
        <w:t>21), and notwithstanding a price reduction of about 40 per cent from introduction, government expenditure rose by about 14 per cent per annum from 2007</w:t>
      </w:r>
      <w:r>
        <w:noBreakHyphen/>
        <w:t>08 to 2020</w:t>
      </w:r>
      <w:r>
        <w:noBreakHyphen/>
        <w:t xml:space="preserve">21 to a total of nearly $640 million. </w:t>
      </w:r>
    </w:p>
  </w:footnote>
  <w:footnote w:id="26">
    <w:p w14:paraId="46C9D9AB" w14:textId="77777777" w:rsidR="003A0ECF" w:rsidRDefault="003A0ECF" w:rsidP="003A0ECF">
      <w:pPr>
        <w:pStyle w:val="FootnoteText"/>
      </w:pPr>
      <w:r w:rsidRPr="00B72F6B">
        <w:rPr>
          <w:rStyle w:val="FootnoteReference"/>
        </w:rPr>
        <w:footnoteRef/>
      </w:r>
      <w:r>
        <w:t xml:space="preserve"> The spending areas (before non</w:t>
      </w:r>
      <w:r>
        <w:noBreakHyphen/>
        <w:t>tax revenue) included are defence; public order and safety; environmental protection; housing and community amenities; healthcare; recreation, culture and religion; education, and transport. The residual expenses of government include some important services, such as R&amp;D on general public services undertaken by governments, but the data to isolate the costs of such residual services are not available.</w:t>
      </w:r>
      <w:r w:rsidRPr="00F306DA">
        <w:t xml:space="preserve"> </w:t>
      </w:r>
    </w:p>
  </w:footnote>
  <w:footnote w:id="27">
    <w:p w14:paraId="48B055C7" w14:textId="1BFFDF99" w:rsidR="003A0ECF" w:rsidRDefault="003A0ECF" w:rsidP="003A0ECF">
      <w:pPr>
        <w:pStyle w:val="FootnoteText"/>
      </w:pPr>
      <w:r w:rsidRPr="00B72F6B">
        <w:rPr>
          <w:rStyle w:val="FootnoteReference"/>
        </w:rPr>
        <w:footnoteRef/>
      </w:r>
      <w:r>
        <w:t xml:space="preserve"> </w:t>
      </w:r>
      <w:r w:rsidRPr="009A57DA">
        <w:t>In the medium run, the excess demand for hospital beds means that there are few savings as</w:t>
      </w:r>
      <w:r>
        <w:t xml:space="preserve"> one group of patients is replaced by others. However, over the longer run, any lasting reductions in demand for hospitals can reduce the need for the highly costly expansion of existing hospital services </w:t>
      </w:r>
      <w:r w:rsidRPr="00205F71">
        <w:rPr>
          <w:rFonts w:ascii="Arial" w:hAnsi="Arial" w:cs="Arial"/>
          <w:szCs w:val="24"/>
        </w:rPr>
        <w:t>(PC 2021b, pp. 30–31)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F841" w14:textId="77777777" w:rsidR="003873EA" w:rsidRDefault="003873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D98" w14:textId="660A300B" w:rsidR="00335E9E" w:rsidRDefault="00961C9B" w:rsidP="004544D6">
    <w:pPr>
      <w:pStyle w:val="Header-KeylineRight"/>
    </w:pPr>
    <w:fldSimple w:instr=" STYLEREF  &quot;Heading 1&quot;  \* MERGEFORMAT ">
      <w:r w:rsidR="004A25FA">
        <w:rPr>
          <w:noProof/>
        </w:rPr>
        <w:t>Innovation and diffusion in government services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F378" w14:textId="77777777" w:rsidR="003873EA" w:rsidRDefault="003873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3269" w14:textId="77777777" w:rsidR="004F7BE2" w:rsidRPr="007215EF" w:rsidRDefault="004F7BE2" w:rsidP="007215EF">
    <w:r w:rsidRPr="007215EF">
      <w:rPr>
        <w:noProof/>
      </w:rPr>
      <w:drawing>
        <wp:anchor distT="0" distB="0" distL="114300" distR="114300" simplePos="0" relativeHeight="251658240" behindDoc="0" locked="1" layoutInCell="1" allowOverlap="1" wp14:anchorId="28D3D431" wp14:editId="618030FE">
          <wp:simplePos x="0" y="0"/>
          <wp:positionH relativeFrom="margin">
            <wp:align>left</wp:align>
          </wp:positionH>
          <wp:positionV relativeFrom="page">
            <wp:align>top</wp:align>
          </wp:positionV>
          <wp:extent cx="2235600" cy="1058400"/>
          <wp:effectExtent l="0" t="0" r="0" b="8890"/>
          <wp:wrapNone/>
          <wp:docPr id="11"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9174"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FF4A" w14:textId="4BA2D7FB" w:rsidR="004F7BE2" w:rsidRPr="00201320" w:rsidRDefault="00A90285" w:rsidP="004544D6">
    <w:pPr>
      <w:pStyle w:val="Header-Keyline"/>
      <w:rPr>
        <w:rStyle w:val="Strong"/>
        <w:b w:val="0"/>
        <w:bCs w:val="0"/>
      </w:rPr>
    </w:pPr>
    <w:r>
      <w:rPr>
        <w:rStyle w:val="Strong"/>
      </w:rPr>
      <w:t>5-year Productivity Inquiry: Innovation for the 98%</w:t>
    </w:r>
    <w:r w:rsidR="004F7BE2">
      <w:t xml:space="preserve"> </w:t>
    </w:r>
    <w:r w:rsidR="003406B1">
      <w:t>Interim</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7F1" w14:textId="6E2E0E1A" w:rsidR="004F7BE2" w:rsidRDefault="00961C9B" w:rsidP="004544D6">
    <w:pPr>
      <w:pStyle w:val="Header-KeylineRight"/>
    </w:pPr>
    <w:fldSimple w:instr=" STYLEREF  &quot;Heading 1-no background&quot;  \* MERGEFORMAT ">
      <w:r w:rsidR="00697F7B">
        <w:rPr>
          <w:noProof/>
        </w:rPr>
        <w:t>Opportunity for comment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54CB" w14:textId="28068DC3" w:rsidR="002736A5" w:rsidRDefault="00961C9B" w:rsidP="004544D6">
    <w:pPr>
      <w:pStyle w:val="Header-KeylineRight"/>
    </w:pPr>
    <w:fldSimple w:instr=" STYLEREF  &quot;Heading 1-no background&quot;  \* MERGEFORMAT ">
      <w:r w:rsidR="00697F7B">
        <w:rPr>
          <w:noProof/>
        </w:rPr>
        <w:t>Terms of reference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050D03E8" w:rsidR="002736A5" w:rsidRDefault="00961C9B" w:rsidP="004544D6">
    <w:pPr>
      <w:pStyle w:val="Header-KeylineRight"/>
    </w:pPr>
    <w:fldSimple w:instr=" STYLEREF  &quot;Heading 1-no background&quot;  \* MERGEFORMAT ">
      <w:r w:rsidR="00697F7B">
        <w:rPr>
          <w:noProof/>
        </w:rPr>
        <w:t>Foreword</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FC59" w14:textId="70A55822" w:rsidR="00D03FDC" w:rsidRDefault="00961C9B" w:rsidP="003873EA">
    <w:pPr>
      <w:pStyle w:val="Header-KeylineRight"/>
    </w:pPr>
    <w:fldSimple w:instr=" STYLEREF  &quot;Heading 1&quot;  \* MERGEFORMAT ">
      <w:r w:rsidR="00697F7B">
        <w:rPr>
          <w:noProof/>
        </w:rPr>
        <w:t>The case for strengthening the diffusion of innovation</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F779" w14:textId="03C96758" w:rsidR="00335E9E" w:rsidRDefault="00961C9B" w:rsidP="004544D6">
    <w:pPr>
      <w:pStyle w:val="Header-KeylineRight"/>
    </w:pPr>
    <w:fldSimple w:instr=" STYLEREF  &quot;Heading 1&quot;  \* MERGEFORMAT ">
      <w:r w:rsidR="004A25FA">
        <w:rPr>
          <w:noProof/>
        </w:rPr>
        <w:t>Enabling innovation diffusion in Australia</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9EFE22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155B22"/>
    <w:multiLevelType w:val="hybridMultilevel"/>
    <w:tmpl w:val="D08C0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A27097"/>
    <w:multiLevelType w:val="hybridMultilevel"/>
    <w:tmpl w:val="7A78E6AC"/>
    <w:lvl w:ilvl="0" w:tplc="0FFE0456">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0" w15:restartNumberingAfterBreak="0">
    <w:nsid w:val="761B4A1B"/>
    <w:multiLevelType w:val="multilevel"/>
    <w:tmpl w:val="4F48000A"/>
    <w:numStyleLink w:val="Alphalist"/>
  </w:abstractNum>
  <w:abstractNum w:abstractNumId="3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20020794">
    <w:abstractNumId w:val="11"/>
  </w:num>
  <w:num w:numId="2" w16cid:durableId="9335037">
    <w:abstractNumId w:val="5"/>
  </w:num>
  <w:num w:numId="3" w16cid:durableId="1770274636">
    <w:abstractNumId w:val="15"/>
  </w:num>
  <w:num w:numId="4" w16cid:durableId="2123768426">
    <w:abstractNumId w:val="26"/>
  </w:num>
  <w:num w:numId="5" w16cid:durableId="2147164343">
    <w:abstractNumId w:val="29"/>
  </w:num>
  <w:num w:numId="6" w16cid:durableId="1395083784">
    <w:abstractNumId w:val="22"/>
  </w:num>
  <w:num w:numId="7" w16cid:durableId="956329250">
    <w:abstractNumId w:val="18"/>
  </w:num>
  <w:num w:numId="8" w16cid:durableId="1611275472">
    <w:abstractNumId w:val="13"/>
  </w:num>
  <w:num w:numId="9" w16cid:durableId="360713607">
    <w:abstractNumId w:val="17"/>
  </w:num>
  <w:num w:numId="10" w16cid:durableId="1388069260">
    <w:abstractNumId w:val="30"/>
  </w:num>
  <w:num w:numId="11" w16cid:durableId="814882481">
    <w:abstractNumId w:val="0"/>
  </w:num>
  <w:num w:numId="12" w16cid:durableId="2008705549">
    <w:abstractNumId w:val="6"/>
  </w:num>
  <w:num w:numId="13" w16cid:durableId="490563872">
    <w:abstractNumId w:val="14"/>
  </w:num>
  <w:num w:numId="14" w16cid:durableId="1213885368">
    <w:abstractNumId w:val="9"/>
  </w:num>
  <w:num w:numId="15" w16cid:durableId="1120606403">
    <w:abstractNumId w:val="8"/>
  </w:num>
  <w:num w:numId="16" w16cid:durableId="695930222">
    <w:abstractNumId w:val="4"/>
  </w:num>
  <w:num w:numId="17" w16cid:durableId="1948732313">
    <w:abstractNumId w:val="21"/>
  </w:num>
  <w:num w:numId="18" w16cid:durableId="397677720">
    <w:abstractNumId w:val="19"/>
  </w:num>
  <w:num w:numId="19" w16cid:durableId="2072340857">
    <w:abstractNumId w:val="25"/>
  </w:num>
  <w:num w:numId="20" w16cid:durableId="182475122">
    <w:abstractNumId w:val="20"/>
  </w:num>
  <w:num w:numId="21" w16cid:durableId="898706297">
    <w:abstractNumId w:val="2"/>
  </w:num>
  <w:num w:numId="22" w16cid:durableId="54554154">
    <w:abstractNumId w:val="10"/>
  </w:num>
  <w:num w:numId="23" w16cid:durableId="434322966">
    <w:abstractNumId w:val="24"/>
  </w:num>
  <w:num w:numId="24" w16cid:durableId="603458951">
    <w:abstractNumId w:val="7"/>
  </w:num>
  <w:num w:numId="25" w16cid:durableId="404911622">
    <w:abstractNumId w:val="16"/>
  </w:num>
  <w:num w:numId="26" w16cid:durableId="452092423">
    <w:abstractNumId w:val="3"/>
  </w:num>
  <w:num w:numId="27" w16cid:durableId="34354969">
    <w:abstractNumId w:val="31"/>
  </w:num>
  <w:num w:numId="28" w16cid:durableId="142740163">
    <w:abstractNumId w:val="23"/>
  </w:num>
  <w:num w:numId="29" w16cid:durableId="2123062910">
    <w:abstractNumId w:val="32"/>
  </w:num>
  <w:num w:numId="30" w16cid:durableId="1189832204">
    <w:abstractNumId w:val="28"/>
  </w:num>
  <w:num w:numId="31" w16cid:durableId="931351023">
    <w:abstractNumId w:val="12"/>
  </w:num>
  <w:num w:numId="32" w16cid:durableId="1168325944">
    <w:abstractNumId w:val="27"/>
  </w:num>
  <w:num w:numId="33" w16cid:durableId="1545940544">
    <w:abstractNumId w:val="1"/>
  </w:num>
  <w:num w:numId="34" w16cid:durableId="19086856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91214039">
    <w:abstractNumId w:val="8"/>
  </w:num>
  <w:num w:numId="36" w16cid:durableId="1508212337">
    <w:abstractNumId w:val="8"/>
  </w:num>
  <w:num w:numId="37" w16cid:durableId="2044205966">
    <w:abstractNumId w:val="8"/>
  </w:num>
  <w:num w:numId="38" w16cid:durableId="1317883047">
    <w:abstractNumId w:val="8"/>
  </w:num>
  <w:num w:numId="39" w16cid:durableId="1549679513">
    <w:abstractNumId w:val="8"/>
  </w:num>
  <w:num w:numId="40" w16cid:durableId="2090346994">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F3C"/>
    <w:rsid w:val="0000267F"/>
    <w:rsid w:val="00004489"/>
    <w:rsid w:val="00005C79"/>
    <w:rsid w:val="00006AD8"/>
    <w:rsid w:val="00007D86"/>
    <w:rsid w:val="00010927"/>
    <w:rsid w:val="00011AC7"/>
    <w:rsid w:val="00011B7F"/>
    <w:rsid w:val="00013690"/>
    <w:rsid w:val="00026C04"/>
    <w:rsid w:val="000300AF"/>
    <w:rsid w:val="00030A9F"/>
    <w:rsid w:val="00030B71"/>
    <w:rsid w:val="00031778"/>
    <w:rsid w:val="0003199E"/>
    <w:rsid w:val="000324B2"/>
    <w:rsid w:val="000325BA"/>
    <w:rsid w:val="000331E4"/>
    <w:rsid w:val="0003338D"/>
    <w:rsid w:val="00033619"/>
    <w:rsid w:val="0003438B"/>
    <w:rsid w:val="00034434"/>
    <w:rsid w:val="00037118"/>
    <w:rsid w:val="00040954"/>
    <w:rsid w:val="00043EFD"/>
    <w:rsid w:val="000443E7"/>
    <w:rsid w:val="0004447A"/>
    <w:rsid w:val="000445C4"/>
    <w:rsid w:val="00045688"/>
    <w:rsid w:val="0004693D"/>
    <w:rsid w:val="00047235"/>
    <w:rsid w:val="00047894"/>
    <w:rsid w:val="0005151B"/>
    <w:rsid w:val="00051EC8"/>
    <w:rsid w:val="0005226B"/>
    <w:rsid w:val="00052B12"/>
    <w:rsid w:val="000549C7"/>
    <w:rsid w:val="00054C95"/>
    <w:rsid w:val="000561CF"/>
    <w:rsid w:val="000565F7"/>
    <w:rsid w:val="00056883"/>
    <w:rsid w:val="0005774F"/>
    <w:rsid w:val="0006002B"/>
    <w:rsid w:val="0006120C"/>
    <w:rsid w:val="000616C2"/>
    <w:rsid w:val="00062A44"/>
    <w:rsid w:val="00063350"/>
    <w:rsid w:val="00065621"/>
    <w:rsid w:val="0006572E"/>
    <w:rsid w:val="00065C66"/>
    <w:rsid w:val="0006677A"/>
    <w:rsid w:val="000722AD"/>
    <w:rsid w:val="000724AE"/>
    <w:rsid w:val="000730D1"/>
    <w:rsid w:val="0007776A"/>
    <w:rsid w:val="00077A76"/>
    <w:rsid w:val="0008037D"/>
    <w:rsid w:val="0008046E"/>
    <w:rsid w:val="0008117B"/>
    <w:rsid w:val="00081F2C"/>
    <w:rsid w:val="00082945"/>
    <w:rsid w:val="00084660"/>
    <w:rsid w:val="00084CAF"/>
    <w:rsid w:val="0008500B"/>
    <w:rsid w:val="00085142"/>
    <w:rsid w:val="0008581D"/>
    <w:rsid w:val="00085FB9"/>
    <w:rsid w:val="00087EF7"/>
    <w:rsid w:val="00087FAA"/>
    <w:rsid w:val="00091286"/>
    <w:rsid w:val="00091E93"/>
    <w:rsid w:val="0009423F"/>
    <w:rsid w:val="00096B33"/>
    <w:rsid w:val="000A0F08"/>
    <w:rsid w:val="000A1E12"/>
    <w:rsid w:val="000A38AA"/>
    <w:rsid w:val="000A4338"/>
    <w:rsid w:val="000A52C4"/>
    <w:rsid w:val="000A5316"/>
    <w:rsid w:val="000B497F"/>
    <w:rsid w:val="000B4A72"/>
    <w:rsid w:val="000B4CAE"/>
    <w:rsid w:val="000B5105"/>
    <w:rsid w:val="000B61A6"/>
    <w:rsid w:val="000C1B6F"/>
    <w:rsid w:val="000C3EBC"/>
    <w:rsid w:val="000C6B77"/>
    <w:rsid w:val="000C6F5F"/>
    <w:rsid w:val="000C72AA"/>
    <w:rsid w:val="000C7CD5"/>
    <w:rsid w:val="000D1A7A"/>
    <w:rsid w:val="000D20DB"/>
    <w:rsid w:val="000D44C7"/>
    <w:rsid w:val="000D47B8"/>
    <w:rsid w:val="000D5412"/>
    <w:rsid w:val="000D62AE"/>
    <w:rsid w:val="000D6EE4"/>
    <w:rsid w:val="000D7AC2"/>
    <w:rsid w:val="000E1913"/>
    <w:rsid w:val="000E2226"/>
    <w:rsid w:val="000E4100"/>
    <w:rsid w:val="000E43B0"/>
    <w:rsid w:val="000E4767"/>
    <w:rsid w:val="000F2677"/>
    <w:rsid w:val="000F28DF"/>
    <w:rsid w:val="000F306C"/>
    <w:rsid w:val="000F3D5A"/>
    <w:rsid w:val="000F3E91"/>
    <w:rsid w:val="000F4488"/>
    <w:rsid w:val="000F47C0"/>
    <w:rsid w:val="000F5E94"/>
    <w:rsid w:val="000F682F"/>
    <w:rsid w:val="00100FAB"/>
    <w:rsid w:val="00101A8F"/>
    <w:rsid w:val="00104285"/>
    <w:rsid w:val="00104401"/>
    <w:rsid w:val="00110C47"/>
    <w:rsid w:val="0011217E"/>
    <w:rsid w:val="001125AC"/>
    <w:rsid w:val="00112AA1"/>
    <w:rsid w:val="00112E8F"/>
    <w:rsid w:val="00114446"/>
    <w:rsid w:val="00115F91"/>
    <w:rsid w:val="00116A72"/>
    <w:rsid w:val="00116CAA"/>
    <w:rsid w:val="00116FDB"/>
    <w:rsid w:val="00120792"/>
    <w:rsid w:val="001223EE"/>
    <w:rsid w:val="00123672"/>
    <w:rsid w:val="0012382F"/>
    <w:rsid w:val="00123F18"/>
    <w:rsid w:val="0012662A"/>
    <w:rsid w:val="001268BC"/>
    <w:rsid w:val="00127D0A"/>
    <w:rsid w:val="00134B1D"/>
    <w:rsid w:val="00135DB9"/>
    <w:rsid w:val="0013722E"/>
    <w:rsid w:val="00137FAB"/>
    <w:rsid w:val="00141E5E"/>
    <w:rsid w:val="001440B3"/>
    <w:rsid w:val="00144144"/>
    <w:rsid w:val="00144DF8"/>
    <w:rsid w:val="00145B95"/>
    <w:rsid w:val="0014704E"/>
    <w:rsid w:val="00147323"/>
    <w:rsid w:val="001549B8"/>
    <w:rsid w:val="00154E0D"/>
    <w:rsid w:val="001600E9"/>
    <w:rsid w:val="00160FEC"/>
    <w:rsid w:val="001610E5"/>
    <w:rsid w:val="001613E3"/>
    <w:rsid w:val="00161A0D"/>
    <w:rsid w:val="00161BC8"/>
    <w:rsid w:val="00163029"/>
    <w:rsid w:val="00166D6C"/>
    <w:rsid w:val="001714F3"/>
    <w:rsid w:val="001742AF"/>
    <w:rsid w:val="00174E8A"/>
    <w:rsid w:val="0017537B"/>
    <w:rsid w:val="0017685E"/>
    <w:rsid w:val="001775DC"/>
    <w:rsid w:val="0018192E"/>
    <w:rsid w:val="00182A5A"/>
    <w:rsid w:val="00183435"/>
    <w:rsid w:val="0018764D"/>
    <w:rsid w:val="00187F05"/>
    <w:rsid w:val="00190A7C"/>
    <w:rsid w:val="00194CDC"/>
    <w:rsid w:val="001957BF"/>
    <w:rsid w:val="001A0D77"/>
    <w:rsid w:val="001A196A"/>
    <w:rsid w:val="001A1D95"/>
    <w:rsid w:val="001A1DD7"/>
    <w:rsid w:val="001A2565"/>
    <w:rsid w:val="001A2A72"/>
    <w:rsid w:val="001A2ACE"/>
    <w:rsid w:val="001A3D2D"/>
    <w:rsid w:val="001A7CE7"/>
    <w:rsid w:val="001B1762"/>
    <w:rsid w:val="001B1765"/>
    <w:rsid w:val="001B17AC"/>
    <w:rsid w:val="001B1F73"/>
    <w:rsid w:val="001B2DA2"/>
    <w:rsid w:val="001B3F79"/>
    <w:rsid w:val="001B588D"/>
    <w:rsid w:val="001B71D7"/>
    <w:rsid w:val="001C077F"/>
    <w:rsid w:val="001C2296"/>
    <w:rsid w:val="001C40AC"/>
    <w:rsid w:val="001C5358"/>
    <w:rsid w:val="001C551C"/>
    <w:rsid w:val="001C5D4B"/>
    <w:rsid w:val="001C7835"/>
    <w:rsid w:val="001D4050"/>
    <w:rsid w:val="001D5872"/>
    <w:rsid w:val="001D7D9B"/>
    <w:rsid w:val="001E06DF"/>
    <w:rsid w:val="001E5519"/>
    <w:rsid w:val="001F13C1"/>
    <w:rsid w:val="001F1E9A"/>
    <w:rsid w:val="001F37D6"/>
    <w:rsid w:val="001F4378"/>
    <w:rsid w:val="001F446D"/>
    <w:rsid w:val="001F5E47"/>
    <w:rsid w:val="001F6B0A"/>
    <w:rsid w:val="00201320"/>
    <w:rsid w:val="00201F6A"/>
    <w:rsid w:val="0020204A"/>
    <w:rsid w:val="0020258D"/>
    <w:rsid w:val="00203ECB"/>
    <w:rsid w:val="00205A3C"/>
    <w:rsid w:val="00206183"/>
    <w:rsid w:val="002069AB"/>
    <w:rsid w:val="00206E7F"/>
    <w:rsid w:val="00207334"/>
    <w:rsid w:val="002112EC"/>
    <w:rsid w:val="00211E3C"/>
    <w:rsid w:val="0021381D"/>
    <w:rsid w:val="00215CAA"/>
    <w:rsid w:val="00220AD7"/>
    <w:rsid w:val="002211B4"/>
    <w:rsid w:val="00221800"/>
    <w:rsid w:val="00221AB7"/>
    <w:rsid w:val="002220B5"/>
    <w:rsid w:val="002221BB"/>
    <w:rsid w:val="002233E6"/>
    <w:rsid w:val="00224482"/>
    <w:rsid w:val="00227712"/>
    <w:rsid w:val="002277DD"/>
    <w:rsid w:val="00232070"/>
    <w:rsid w:val="002329D3"/>
    <w:rsid w:val="00233717"/>
    <w:rsid w:val="00236F01"/>
    <w:rsid w:val="00237CA2"/>
    <w:rsid w:val="00240532"/>
    <w:rsid w:val="002407FD"/>
    <w:rsid w:val="002431A5"/>
    <w:rsid w:val="00243265"/>
    <w:rsid w:val="002433BD"/>
    <w:rsid w:val="002457DE"/>
    <w:rsid w:val="00245B3E"/>
    <w:rsid w:val="00246435"/>
    <w:rsid w:val="002469E8"/>
    <w:rsid w:val="00246BCF"/>
    <w:rsid w:val="00250066"/>
    <w:rsid w:val="00251245"/>
    <w:rsid w:val="00251CA2"/>
    <w:rsid w:val="00253720"/>
    <w:rsid w:val="00254C7D"/>
    <w:rsid w:val="00260025"/>
    <w:rsid w:val="002601BB"/>
    <w:rsid w:val="002630EA"/>
    <w:rsid w:val="00263ACA"/>
    <w:rsid w:val="00265918"/>
    <w:rsid w:val="00265F57"/>
    <w:rsid w:val="00266609"/>
    <w:rsid w:val="00267FB1"/>
    <w:rsid w:val="0027006D"/>
    <w:rsid w:val="00270834"/>
    <w:rsid w:val="002736A5"/>
    <w:rsid w:val="00273E86"/>
    <w:rsid w:val="002766F8"/>
    <w:rsid w:val="00280B3F"/>
    <w:rsid w:val="00280B69"/>
    <w:rsid w:val="002814E6"/>
    <w:rsid w:val="00281A54"/>
    <w:rsid w:val="00282AE5"/>
    <w:rsid w:val="002847FB"/>
    <w:rsid w:val="00286201"/>
    <w:rsid w:val="00287114"/>
    <w:rsid w:val="00292086"/>
    <w:rsid w:val="002936B4"/>
    <w:rsid w:val="002951E6"/>
    <w:rsid w:val="00295330"/>
    <w:rsid w:val="0029588B"/>
    <w:rsid w:val="00295CF2"/>
    <w:rsid w:val="002961FE"/>
    <w:rsid w:val="002A19BC"/>
    <w:rsid w:val="002A4423"/>
    <w:rsid w:val="002A5232"/>
    <w:rsid w:val="002A56D6"/>
    <w:rsid w:val="002A59A0"/>
    <w:rsid w:val="002A5D48"/>
    <w:rsid w:val="002A6930"/>
    <w:rsid w:val="002B048E"/>
    <w:rsid w:val="002B0555"/>
    <w:rsid w:val="002B0577"/>
    <w:rsid w:val="002B683D"/>
    <w:rsid w:val="002C0E15"/>
    <w:rsid w:val="002C117F"/>
    <w:rsid w:val="002C2F61"/>
    <w:rsid w:val="002C544C"/>
    <w:rsid w:val="002C5AF4"/>
    <w:rsid w:val="002C70F1"/>
    <w:rsid w:val="002C797E"/>
    <w:rsid w:val="002D1FDD"/>
    <w:rsid w:val="002D45DE"/>
    <w:rsid w:val="002D50CB"/>
    <w:rsid w:val="002D6E35"/>
    <w:rsid w:val="002E02AF"/>
    <w:rsid w:val="002E18B3"/>
    <w:rsid w:val="002E3F19"/>
    <w:rsid w:val="002E40CE"/>
    <w:rsid w:val="002E51D2"/>
    <w:rsid w:val="002E5C2D"/>
    <w:rsid w:val="002E7A0E"/>
    <w:rsid w:val="002E7EFA"/>
    <w:rsid w:val="002F000C"/>
    <w:rsid w:val="002F1F2D"/>
    <w:rsid w:val="002F6386"/>
    <w:rsid w:val="002F6423"/>
    <w:rsid w:val="0030023C"/>
    <w:rsid w:val="00301A18"/>
    <w:rsid w:val="0030227D"/>
    <w:rsid w:val="00303704"/>
    <w:rsid w:val="00304B1E"/>
    <w:rsid w:val="00305171"/>
    <w:rsid w:val="003060BE"/>
    <w:rsid w:val="0030620F"/>
    <w:rsid w:val="00306A50"/>
    <w:rsid w:val="0031031A"/>
    <w:rsid w:val="00312F29"/>
    <w:rsid w:val="00315D76"/>
    <w:rsid w:val="00316BBB"/>
    <w:rsid w:val="00320E9D"/>
    <w:rsid w:val="00323400"/>
    <w:rsid w:val="00326A36"/>
    <w:rsid w:val="00332DA8"/>
    <w:rsid w:val="0033359D"/>
    <w:rsid w:val="00333E2E"/>
    <w:rsid w:val="003340AE"/>
    <w:rsid w:val="00334FCF"/>
    <w:rsid w:val="00335E9E"/>
    <w:rsid w:val="0033699E"/>
    <w:rsid w:val="00336ECB"/>
    <w:rsid w:val="003404D8"/>
    <w:rsid w:val="003405AA"/>
    <w:rsid w:val="003406B1"/>
    <w:rsid w:val="00342004"/>
    <w:rsid w:val="0034228E"/>
    <w:rsid w:val="00342C32"/>
    <w:rsid w:val="003437DD"/>
    <w:rsid w:val="00344B85"/>
    <w:rsid w:val="00345066"/>
    <w:rsid w:val="0034680A"/>
    <w:rsid w:val="00347B82"/>
    <w:rsid w:val="0035282B"/>
    <w:rsid w:val="00354696"/>
    <w:rsid w:val="0035519A"/>
    <w:rsid w:val="00355589"/>
    <w:rsid w:val="00356A5E"/>
    <w:rsid w:val="0035738B"/>
    <w:rsid w:val="0036059A"/>
    <w:rsid w:val="00362182"/>
    <w:rsid w:val="00362B34"/>
    <w:rsid w:val="003632B7"/>
    <w:rsid w:val="00363FF8"/>
    <w:rsid w:val="003640E1"/>
    <w:rsid w:val="00371E2B"/>
    <w:rsid w:val="0037252E"/>
    <w:rsid w:val="00376491"/>
    <w:rsid w:val="00376D75"/>
    <w:rsid w:val="00376EBF"/>
    <w:rsid w:val="0037721D"/>
    <w:rsid w:val="0038102A"/>
    <w:rsid w:val="00381A66"/>
    <w:rsid w:val="00381E11"/>
    <w:rsid w:val="003833B4"/>
    <w:rsid w:val="00385619"/>
    <w:rsid w:val="00385683"/>
    <w:rsid w:val="003873EA"/>
    <w:rsid w:val="00387E4E"/>
    <w:rsid w:val="00393F37"/>
    <w:rsid w:val="00395608"/>
    <w:rsid w:val="003960D6"/>
    <w:rsid w:val="003973B6"/>
    <w:rsid w:val="003973FB"/>
    <w:rsid w:val="00397C64"/>
    <w:rsid w:val="003A0ECF"/>
    <w:rsid w:val="003A19B6"/>
    <w:rsid w:val="003A25B3"/>
    <w:rsid w:val="003A286E"/>
    <w:rsid w:val="003A2E43"/>
    <w:rsid w:val="003A2F9D"/>
    <w:rsid w:val="003A5028"/>
    <w:rsid w:val="003A50B8"/>
    <w:rsid w:val="003A743E"/>
    <w:rsid w:val="003A7ADE"/>
    <w:rsid w:val="003B0639"/>
    <w:rsid w:val="003B2192"/>
    <w:rsid w:val="003B2A34"/>
    <w:rsid w:val="003B5ADA"/>
    <w:rsid w:val="003B6E2C"/>
    <w:rsid w:val="003B7DB1"/>
    <w:rsid w:val="003C01D4"/>
    <w:rsid w:val="003C04B3"/>
    <w:rsid w:val="003C05B9"/>
    <w:rsid w:val="003C1159"/>
    <w:rsid w:val="003C2CC3"/>
    <w:rsid w:val="003C2F5E"/>
    <w:rsid w:val="003C4E55"/>
    <w:rsid w:val="003C58F4"/>
    <w:rsid w:val="003C69BF"/>
    <w:rsid w:val="003C6A25"/>
    <w:rsid w:val="003C6CF7"/>
    <w:rsid w:val="003D09EE"/>
    <w:rsid w:val="003D1FCE"/>
    <w:rsid w:val="003D23A3"/>
    <w:rsid w:val="003D25CF"/>
    <w:rsid w:val="003D3C7F"/>
    <w:rsid w:val="003D4FA5"/>
    <w:rsid w:val="003D5856"/>
    <w:rsid w:val="003D59E7"/>
    <w:rsid w:val="003E1EFD"/>
    <w:rsid w:val="003E3B38"/>
    <w:rsid w:val="003E6055"/>
    <w:rsid w:val="003E6577"/>
    <w:rsid w:val="003E7B16"/>
    <w:rsid w:val="003F25A9"/>
    <w:rsid w:val="003F6F1A"/>
    <w:rsid w:val="0040060F"/>
    <w:rsid w:val="00402FFE"/>
    <w:rsid w:val="00404E4F"/>
    <w:rsid w:val="004064F7"/>
    <w:rsid w:val="00407DEF"/>
    <w:rsid w:val="004113BE"/>
    <w:rsid w:val="00416482"/>
    <w:rsid w:val="00416671"/>
    <w:rsid w:val="00420F0E"/>
    <w:rsid w:val="00422659"/>
    <w:rsid w:val="00422B24"/>
    <w:rsid w:val="0042339A"/>
    <w:rsid w:val="00423B15"/>
    <w:rsid w:val="00423B40"/>
    <w:rsid w:val="00423F8F"/>
    <w:rsid w:val="00424CB8"/>
    <w:rsid w:val="0042508F"/>
    <w:rsid w:val="0042513A"/>
    <w:rsid w:val="0042527D"/>
    <w:rsid w:val="00431716"/>
    <w:rsid w:val="00432149"/>
    <w:rsid w:val="00432C3D"/>
    <w:rsid w:val="0043326D"/>
    <w:rsid w:val="00433519"/>
    <w:rsid w:val="0043558C"/>
    <w:rsid w:val="0043651E"/>
    <w:rsid w:val="004379C2"/>
    <w:rsid w:val="004400E8"/>
    <w:rsid w:val="004458B1"/>
    <w:rsid w:val="00446EC7"/>
    <w:rsid w:val="00447BA1"/>
    <w:rsid w:val="00450C80"/>
    <w:rsid w:val="00452050"/>
    <w:rsid w:val="00452B01"/>
    <w:rsid w:val="00453B56"/>
    <w:rsid w:val="004544D6"/>
    <w:rsid w:val="00457552"/>
    <w:rsid w:val="00461CE9"/>
    <w:rsid w:val="00461D04"/>
    <w:rsid w:val="00462407"/>
    <w:rsid w:val="004631DD"/>
    <w:rsid w:val="004635FD"/>
    <w:rsid w:val="004652E3"/>
    <w:rsid w:val="004658A5"/>
    <w:rsid w:val="004677E3"/>
    <w:rsid w:val="00470129"/>
    <w:rsid w:val="004728A0"/>
    <w:rsid w:val="004742DD"/>
    <w:rsid w:val="004745EF"/>
    <w:rsid w:val="00475231"/>
    <w:rsid w:val="00476E5B"/>
    <w:rsid w:val="004777A8"/>
    <w:rsid w:val="00483CE4"/>
    <w:rsid w:val="00484E96"/>
    <w:rsid w:val="00492AD4"/>
    <w:rsid w:val="004931E0"/>
    <w:rsid w:val="004944E2"/>
    <w:rsid w:val="00496700"/>
    <w:rsid w:val="00496E2D"/>
    <w:rsid w:val="004976AC"/>
    <w:rsid w:val="004A15F8"/>
    <w:rsid w:val="004A25FA"/>
    <w:rsid w:val="004A2FB8"/>
    <w:rsid w:val="004A5586"/>
    <w:rsid w:val="004B14B4"/>
    <w:rsid w:val="004B1531"/>
    <w:rsid w:val="004B2520"/>
    <w:rsid w:val="004B3818"/>
    <w:rsid w:val="004B4E3B"/>
    <w:rsid w:val="004B5A28"/>
    <w:rsid w:val="004B609E"/>
    <w:rsid w:val="004C26FA"/>
    <w:rsid w:val="004C2F5D"/>
    <w:rsid w:val="004C34D2"/>
    <w:rsid w:val="004C3A5D"/>
    <w:rsid w:val="004C4536"/>
    <w:rsid w:val="004C4823"/>
    <w:rsid w:val="004C5406"/>
    <w:rsid w:val="004C70BE"/>
    <w:rsid w:val="004C72E9"/>
    <w:rsid w:val="004C7393"/>
    <w:rsid w:val="004C7615"/>
    <w:rsid w:val="004C783B"/>
    <w:rsid w:val="004D06E4"/>
    <w:rsid w:val="004D3A0A"/>
    <w:rsid w:val="004D3DA4"/>
    <w:rsid w:val="004D5BA6"/>
    <w:rsid w:val="004E1233"/>
    <w:rsid w:val="004E14B3"/>
    <w:rsid w:val="004E1D9B"/>
    <w:rsid w:val="004E28C6"/>
    <w:rsid w:val="004E3342"/>
    <w:rsid w:val="004E3E36"/>
    <w:rsid w:val="004E6DE1"/>
    <w:rsid w:val="004F0B1E"/>
    <w:rsid w:val="004F10E0"/>
    <w:rsid w:val="004F138F"/>
    <w:rsid w:val="004F19FD"/>
    <w:rsid w:val="004F2D0A"/>
    <w:rsid w:val="004F3CD4"/>
    <w:rsid w:val="004F420C"/>
    <w:rsid w:val="004F60A0"/>
    <w:rsid w:val="004F731E"/>
    <w:rsid w:val="004F7BE2"/>
    <w:rsid w:val="00500123"/>
    <w:rsid w:val="00502599"/>
    <w:rsid w:val="00502896"/>
    <w:rsid w:val="0050670B"/>
    <w:rsid w:val="0051004E"/>
    <w:rsid w:val="00511232"/>
    <w:rsid w:val="00511B29"/>
    <w:rsid w:val="005124ED"/>
    <w:rsid w:val="00512543"/>
    <w:rsid w:val="00512C2F"/>
    <w:rsid w:val="00512EF1"/>
    <w:rsid w:val="005141E8"/>
    <w:rsid w:val="00514292"/>
    <w:rsid w:val="00514994"/>
    <w:rsid w:val="00514EB4"/>
    <w:rsid w:val="00516A89"/>
    <w:rsid w:val="00517256"/>
    <w:rsid w:val="00517257"/>
    <w:rsid w:val="0052279C"/>
    <w:rsid w:val="00522FBC"/>
    <w:rsid w:val="00524FC2"/>
    <w:rsid w:val="00526097"/>
    <w:rsid w:val="00527A18"/>
    <w:rsid w:val="00531620"/>
    <w:rsid w:val="00531684"/>
    <w:rsid w:val="00531BDF"/>
    <w:rsid w:val="00535F2A"/>
    <w:rsid w:val="0053685A"/>
    <w:rsid w:val="00537BA2"/>
    <w:rsid w:val="005407D4"/>
    <w:rsid w:val="00540B70"/>
    <w:rsid w:val="0054367C"/>
    <w:rsid w:val="005440BB"/>
    <w:rsid w:val="00546D06"/>
    <w:rsid w:val="00550C99"/>
    <w:rsid w:val="00553413"/>
    <w:rsid w:val="0055485B"/>
    <w:rsid w:val="005548E9"/>
    <w:rsid w:val="00555AB2"/>
    <w:rsid w:val="00557DD7"/>
    <w:rsid w:val="00560D79"/>
    <w:rsid w:val="00561129"/>
    <w:rsid w:val="00561DD5"/>
    <w:rsid w:val="00562410"/>
    <w:rsid w:val="00563B4B"/>
    <w:rsid w:val="00564851"/>
    <w:rsid w:val="00564AD3"/>
    <w:rsid w:val="0056795C"/>
    <w:rsid w:val="00570972"/>
    <w:rsid w:val="00571371"/>
    <w:rsid w:val="00571C54"/>
    <w:rsid w:val="00573F80"/>
    <w:rsid w:val="00574698"/>
    <w:rsid w:val="005754AB"/>
    <w:rsid w:val="00581410"/>
    <w:rsid w:val="005826F4"/>
    <w:rsid w:val="0058369E"/>
    <w:rsid w:val="00583A2C"/>
    <w:rsid w:val="00585395"/>
    <w:rsid w:val="00585498"/>
    <w:rsid w:val="005857B8"/>
    <w:rsid w:val="00585FC7"/>
    <w:rsid w:val="0059065A"/>
    <w:rsid w:val="00590D09"/>
    <w:rsid w:val="0059156A"/>
    <w:rsid w:val="00593314"/>
    <w:rsid w:val="0059368E"/>
    <w:rsid w:val="00593BF5"/>
    <w:rsid w:val="00594496"/>
    <w:rsid w:val="0059566E"/>
    <w:rsid w:val="005956D3"/>
    <w:rsid w:val="00596365"/>
    <w:rsid w:val="005965BC"/>
    <w:rsid w:val="00597337"/>
    <w:rsid w:val="005A32AD"/>
    <w:rsid w:val="005A3EF4"/>
    <w:rsid w:val="005A45B8"/>
    <w:rsid w:val="005A5FE0"/>
    <w:rsid w:val="005A7E78"/>
    <w:rsid w:val="005B03ED"/>
    <w:rsid w:val="005B1776"/>
    <w:rsid w:val="005B1BA3"/>
    <w:rsid w:val="005B32FB"/>
    <w:rsid w:val="005B60CE"/>
    <w:rsid w:val="005B6199"/>
    <w:rsid w:val="005B7FE4"/>
    <w:rsid w:val="005C05E0"/>
    <w:rsid w:val="005C0FD6"/>
    <w:rsid w:val="005C1A54"/>
    <w:rsid w:val="005C1D0B"/>
    <w:rsid w:val="005C37E0"/>
    <w:rsid w:val="005C469A"/>
    <w:rsid w:val="005C4DA5"/>
    <w:rsid w:val="005C51DC"/>
    <w:rsid w:val="005C54B9"/>
    <w:rsid w:val="005C5A1C"/>
    <w:rsid w:val="005C5CB7"/>
    <w:rsid w:val="005C6411"/>
    <w:rsid w:val="005C6618"/>
    <w:rsid w:val="005D0189"/>
    <w:rsid w:val="005D34AF"/>
    <w:rsid w:val="005D5BC8"/>
    <w:rsid w:val="005D7E5F"/>
    <w:rsid w:val="005E1EE6"/>
    <w:rsid w:val="005E3B68"/>
    <w:rsid w:val="005E41AE"/>
    <w:rsid w:val="005E4470"/>
    <w:rsid w:val="005E47AE"/>
    <w:rsid w:val="005E5794"/>
    <w:rsid w:val="005F02AE"/>
    <w:rsid w:val="005F15D7"/>
    <w:rsid w:val="005F2CD4"/>
    <w:rsid w:val="005F30D0"/>
    <w:rsid w:val="005F4B1F"/>
    <w:rsid w:val="005F564E"/>
    <w:rsid w:val="006035A8"/>
    <w:rsid w:val="00603FD5"/>
    <w:rsid w:val="006062F9"/>
    <w:rsid w:val="00607F03"/>
    <w:rsid w:val="00610627"/>
    <w:rsid w:val="00610F6C"/>
    <w:rsid w:val="00612BFB"/>
    <w:rsid w:val="00613F0D"/>
    <w:rsid w:val="0061514D"/>
    <w:rsid w:val="00615642"/>
    <w:rsid w:val="00616D27"/>
    <w:rsid w:val="00616DC8"/>
    <w:rsid w:val="00620548"/>
    <w:rsid w:val="00620B8A"/>
    <w:rsid w:val="00623000"/>
    <w:rsid w:val="00624B90"/>
    <w:rsid w:val="00625724"/>
    <w:rsid w:val="00626186"/>
    <w:rsid w:val="00626826"/>
    <w:rsid w:val="00630256"/>
    <w:rsid w:val="00630F02"/>
    <w:rsid w:val="0063316B"/>
    <w:rsid w:val="006348B6"/>
    <w:rsid w:val="00637978"/>
    <w:rsid w:val="00641798"/>
    <w:rsid w:val="0064211C"/>
    <w:rsid w:val="0064287A"/>
    <w:rsid w:val="00643E6D"/>
    <w:rsid w:val="006474AA"/>
    <w:rsid w:val="006475BD"/>
    <w:rsid w:val="006507D5"/>
    <w:rsid w:val="00651DD1"/>
    <w:rsid w:val="006527FF"/>
    <w:rsid w:val="00653953"/>
    <w:rsid w:val="00653B2E"/>
    <w:rsid w:val="00655F69"/>
    <w:rsid w:val="00656263"/>
    <w:rsid w:val="0065667D"/>
    <w:rsid w:val="00656A8A"/>
    <w:rsid w:val="00660CC9"/>
    <w:rsid w:val="006621E2"/>
    <w:rsid w:val="00662209"/>
    <w:rsid w:val="0066394D"/>
    <w:rsid w:val="0066397D"/>
    <w:rsid w:val="00666CE6"/>
    <w:rsid w:val="00666EF7"/>
    <w:rsid w:val="00671444"/>
    <w:rsid w:val="00674F14"/>
    <w:rsid w:val="00677055"/>
    <w:rsid w:val="00677C02"/>
    <w:rsid w:val="0068011F"/>
    <w:rsid w:val="006813C0"/>
    <w:rsid w:val="00681434"/>
    <w:rsid w:val="006822F5"/>
    <w:rsid w:val="006837AD"/>
    <w:rsid w:val="0068562B"/>
    <w:rsid w:val="0068724F"/>
    <w:rsid w:val="00694BFC"/>
    <w:rsid w:val="00694E22"/>
    <w:rsid w:val="00695DBA"/>
    <w:rsid w:val="00696193"/>
    <w:rsid w:val="006962EC"/>
    <w:rsid w:val="00697F7B"/>
    <w:rsid w:val="006A0588"/>
    <w:rsid w:val="006A0784"/>
    <w:rsid w:val="006A0CE7"/>
    <w:rsid w:val="006A1DEF"/>
    <w:rsid w:val="006A24D4"/>
    <w:rsid w:val="006A2CA8"/>
    <w:rsid w:val="006A428C"/>
    <w:rsid w:val="006A55DB"/>
    <w:rsid w:val="006A7069"/>
    <w:rsid w:val="006A72EB"/>
    <w:rsid w:val="006B1B7D"/>
    <w:rsid w:val="006B3635"/>
    <w:rsid w:val="006B58DB"/>
    <w:rsid w:val="006B5A51"/>
    <w:rsid w:val="006B6F38"/>
    <w:rsid w:val="006C031E"/>
    <w:rsid w:val="006C34D0"/>
    <w:rsid w:val="006C36D5"/>
    <w:rsid w:val="006C4AF4"/>
    <w:rsid w:val="006C4C82"/>
    <w:rsid w:val="006C6296"/>
    <w:rsid w:val="006D095B"/>
    <w:rsid w:val="006D3F2F"/>
    <w:rsid w:val="006D4CE7"/>
    <w:rsid w:val="006D4F09"/>
    <w:rsid w:val="006D5F4F"/>
    <w:rsid w:val="006D7619"/>
    <w:rsid w:val="006E0FE7"/>
    <w:rsid w:val="006E2795"/>
    <w:rsid w:val="006E3536"/>
    <w:rsid w:val="006E3917"/>
    <w:rsid w:val="006F42AA"/>
    <w:rsid w:val="007001D3"/>
    <w:rsid w:val="00701100"/>
    <w:rsid w:val="00701BE2"/>
    <w:rsid w:val="00704C5D"/>
    <w:rsid w:val="00706155"/>
    <w:rsid w:val="0071114C"/>
    <w:rsid w:val="007121F7"/>
    <w:rsid w:val="00712CF5"/>
    <w:rsid w:val="00712F6B"/>
    <w:rsid w:val="00714488"/>
    <w:rsid w:val="00715228"/>
    <w:rsid w:val="007158C6"/>
    <w:rsid w:val="0071737F"/>
    <w:rsid w:val="00720507"/>
    <w:rsid w:val="007215EF"/>
    <w:rsid w:val="007237ED"/>
    <w:rsid w:val="00723E18"/>
    <w:rsid w:val="0072457D"/>
    <w:rsid w:val="00724C8C"/>
    <w:rsid w:val="007262D0"/>
    <w:rsid w:val="00727A16"/>
    <w:rsid w:val="007301C9"/>
    <w:rsid w:val="00731D79"/>
    <w:rsid w:val="00735BFD"/>
    <w:rsid w:val="007373F6"/>
    <w:rsid w:val="00740030"/>
    <w:rsid w:val="00742F0D"/>
    <w:rsid w:val="00743548"/>
    <w:rsid w:val="00744120"/>
    <w:rsid w:val="00744723"/>
    <w:rsid w:val="00744E69"/>
    <w:rsid w:val="007450EE"/>
    <w:rsid w:val="007527E2"/>
    <w:rsid w:val="0075386F"/>
    <w:rsid w:val="00754510"/>
    <w:rsid w:val="00755328"/>
    <w:rsid w:val="007573ED"/>
    <w:rsid w:val="00757DEE"/>
    <w:rsid w:val="00757EE4"/>
    <w:rsid w:val="00757FEC"/>
    <w:rsid w:val="00760304"/>
    <w:rsid w:val="00760739"/>
    <w:rsid w:val="00760E1B"/>
    <w:rsid w:val="00762F69"/>
    <w:rsid w:val="0076385F"/>
    <w:rsid w:val="00764FE1"/>
    <w:rsid w:val="00766403"/>
    <w:rsid w:val="007669DE"/>
    <w:rsid w:val="00767EAE"/>
    <w:rsid w:val="0077053F"/>
    <w:rsid w:val="007706C3"/>
    <w:rsid w:val="00770DB0"/>
    <w:rsid w:val="00775165"/>
    <w:rsid w:val="00775A35"/>
    <w:rsid w:val="00777321"/>
    <w:rsid w:val="007838C6"/>
    <w:rsid w:val="00784D83"/>
    <w:rsid w:val="0078533C"/>
    <w:rsid w:val="00791C44"/>
    <w:rsid w:val="00792962"/>
    <w:rsid w:val="00792AA4"/>
    <w:rsid w:val="00797F80"/>
    <w:rsid w:val="007A0363"/>
    <w:rsid w:val="007A0FB5"/>
    <w:rsid w:val="007A2E65"/>
    <w:rsid w:val="007A2F0C"/>
    <w:rsid w:val="007A5A89"/>
    <w:rsid w:val="007A6431"/>
    <w:rsid w:val="007A653C"/>
    <w:rsid w:val="007A73B7"/>
    <w:rsid w:val="007B1ED5"/>
    <w:rsid w:val="007B21E1"/>
    <w:rsid w:val="007B2F2A"/>
    <w:rsid w:val="007B3ABC"/>
    <w:rsid w:val="007C1495"/>
    <w:rsid w:val="007C3475"/>
    <w:rsid w:val="007D0138"/>
    <w:rsid w:val="007D1569"/>
    <w:rsid w:val="007D21E7"/>
    <w:rsid w:val="007D25EB"/>
    <w:rsid w:val="007D4BB9"/>
    <w:rsid w:val="007D568E"/>
    <w:rsid w:val="007D78E5"/>
    <w:rsid w:val="007E041B"/>
    <w:rsid w:val="007E1A38"/>
    <w:rsid w:val="007E1D13"/>
    <w:rsid w:val="007E248C"/>
    <w:rsid w:val="007E4EEC"/>
    <w:rsid w:val="007E67B4"/>
    <w:rsid w:val="007E694D"/>
    <w:rsid w:val="007E788A"/>
    <w:rsid w:val="007F3BB6"/>
    <w:rsid w:val="007F447D"/>
    <w:rsid w:val="007F48A7"/>
    <w:rsid w:val="007F4BC7"/>
    <w:rsid w:val="007F5D5D"/>
    <w:rsid w:val="007F64BC"/>
    <w:rsid w:val="007F6C65"/>
    <w:rsid w:val="008017BC"/>
    <w:rsid w:val="0080322B"/>
    <w:rsid w:val="008035C3"/>
    <w:rsid w:val="00803B43"/>
    <w:rsid w:val="00803F26"/>
    <w:rsid w:val="00804B8B"/>
    <w:rsid w:val="00804DDC"/>
    <w:rsid w:val="00805E83"/>
    <w:rsid w:val="00806E40"/>
    <w:rsid w:val="00806F63"/>
    <w:rsid w:val="0080747B"/>
    <w:rsid w:val="00807F06"/>
    <w:rsid w:val="00811196"/>
    <w:rsid w:val="008126B2"/>
    <w:rsid w:val="0081533C"/>
    <w:rsid w:val="008161D7"/>
    <w:rsid w:val="008174DE"/>
    <w:rsid w:val="00820661"/>
    <w:rsid w:val="00820D64"/>
    <w:rsid w:val="0082437F"/>
    <w:rsid w:val="00825145"/>
    <w:rsid w:val="00826631"/>
    <w:rsid w:val="00827162"/>
    <w:rsid w:val="008309D1"/>
    <w:rsid w:val="00833233"/>
    <w:rsid w:val="00836262"/>
    <w:rsid w:val="00836642"/>
    <w:rsid w:val="00836E3A"/>
    <w:rsid w:val="00837210"/>
    <w:rsid w:val="0084238D"/>
    <w:rsid w:val="0084284E"/>
    <w:rsid w:val="00845593"/>
    <w:rsid w:val="0084599A"/>
    <w:rsid w:val="008463DA"/>
    <w:rsid w:val="008471FA"/>
    <w:rsid w:val="008472B8"/>
    <w:rsid w:val="008529A2"/>
    <w:rsid w:val="0085439B"/>
    <w:rsid w:val="00856E03"/>
    <w:rsid w:val="008579B4"/>
    <w:rsid w:val="00860ACA"/>
    <w:rsid w:val="00861067"/>
    <w:rsid w:val="008632B4"/>
    <w:rsid w:val="0086464F"/>
    <w:rsid w:val="0087036F"/>
    <w:rsid w:val="00870916"/>
    <w:rsid w:val="0087172F"/>
    <w:rsid w:val="00871A6C"/>
    <w:rsid w:val="008726B7"/>
    <w:rsid w:val="00872A6F"/>
    <w:rsid w:val="00875CCB"/>
    <w:rsid w:val="00876B5B"/>
    <w:rsid w:val="008833F3"/>
    <w:rsid w:val="008855E0"/>
    <w:rsid w:val="0088598F"/>
    <w:rsid w:val="0088693C"/>
    <w:rsid w:val="008873D1"/>
    <w:rsid w:val="00894C72"/>
    <w:rsid w:val="00897793"/>
    <w:rsid w:val="008978D2"/>
    <w:rsid w:val="008A1632"/>
    <w:rsid w:val="008A16CB"/>
    <w:rsid w:val="008A2E15"/>
    <w:rsid w:val="008A3076"/>
    <w:rsid w:val="008A3717"/>
    <w:rsid w:val="008A3EB2"/>
    <w:rsid w:val="008A440B"/>
    <w:rsid w:val="008A581B"/>
    <w:rsid w:val="008A6F83"/>
    <w:rsid w:val="008A75A2"/>
    <w:rsid w:val="008B05C3"/>
    <w:rsid w:val="008B18B9"/>
    <w:rsid w:val="008B2C3E"/>
    <w:rsid w:val="008B4965"/>
    <w:rsid w:val="008B5472"/>
    <w:rsid w:val="008B78B1"/>
    <w:rsid w:val="008C1CCF"/>
    <w:rsid w:val="008C291D"/>
    <w:rsid w:val="008C4015"/>
    <w:rsid w:val="008C5C43"/>
    <w:rsid w:val="008D19B5"/>
    <w:rsid w:val="008D19FD"/>
    <w:rsid w:val="008D1ABD"/>
    <w:rsid w:val="008D3326"/>
    <w:rsid w:val="008D3A0D"/>
    <w:rsid w:val="008D4EFB"/>
    <w:rsid w:val="008E12EC"/>
    <w:rsid w:val="008E25D6"/>
    <w:rsid w:val="008E62C6"/>
    <w:rsid w:val="008E66BB"/>
    <w:rsid w:val="008E7BD4"/>
    <w:rsid w:val="008F0A95"/>
    <w:rsid w:val="008F1B0F"/>
    <w:rsid w:val="008F20CC"/>
    <w:rsid w:val="008F3194"/>
    <w:rsid w:val="008F3A33"/>
    <w:rsid w:val="008F4D58"/>
    <w:rsid w:val="008F53E9"/>
    <w:rsid w:val="008F567D"/>
    <w:rsid w:val="008F6F1A"/>
    <w:rsid w:val="008F7897"/>
    <w:rsid w:val="0090137A"/>
    <w:rsid w:val="00902E1A"/>
    <w:rsid w:val="00903370"/>
    <w:rsid w:val="00906E9D"/>
    <w:rsid w:val="00910755"/>
    <w:rsid w:val="0091349A"/>
    <w:rsid w:val="00914399"/>
    <w:rsid w:val="00915169"/>
    <w:rsid w:val="0091530C"/>
    <w:rsid w:val="009158BF"/>
    <w:rsid w:val="00916CD1"/>
    <w:rsid w:val="00917D9A"/>
    <w:rsid w:val="00923D7B"/>
    <w:rsid w:val="00924932"/>
    <w:rsid w:val="0092694E"/>
    <w:rsid w:val="0092713C"/>
    <w:rsid w:val="009274D2"/>
    <w:rsid w:val="00930DA5"/>
    <w:rsid w:val="00931C9C"/>
    <w:rsid w:val="009335BA"/>
    <w:rsid w:val="00933E08"/>
    <w:rsid w:val="009342FC"/>
    <w:rsid w:val="00935351"/>
    <w:rsid w:val="00935B98"/>
    <w:rsid w:val="00935FC1"/>
    <w:rsid w:val="00936068"/>
    <w:rsid w:val="00936D73"/>
    <w:rsid w:val="00937372"/>
    <w:rsid w:val="00940DED"/>
    <w:rsid w:val="009417E9"/>
    <w:rsid w:val="00941DE3"/>
    <w:rsid w:val="009428AA"/>
    <w:rsid w:val="00943806"/>
    <w:rsid w:val="00943AB9"/>
    <w:rsid w:val="00945A89"/>
    <w:rsid w:val="00946351"/>
    <w:rsid w:val="00946388"/>
    <w:rsid w:val="009471A9"/>
    <w:rsid w:val="00947431"/>
    <w:rsid w:val="00951699"/>
    <w:rsid w:val="009517CC"/>
    <w:rsid w:val="009529F0"/>
    <w:rsid w:val="0095319D"/>
    <w:rsid w:val="00953EC3"/>
    <w:rsid w:val="00954F22"/>
    <w:rsid w:val="0095627D"/>
    <w:rsid w:val="00956CCB"/>
    <w:rsid w:val="00956D16"/>
    <w:rsid w:val="009615D4"/>
    <w:rsid w:val="00961C9B"/>
    <w:rsid w:val="00962905"/>
    <w:rsid w:val="00963136"/>
    <w:rsid w:val="009633E6"/>
    <w:rsid w:val="00964C90"/>
    <w:rsid w:val="0096661C"/>
    <w:rsid w:val="0096684F"/>
    <w:rsid w:val="00967BB5"/>
    <w:rsid w:val="00970A20"/>
    <w:rsid w:val="0097163D"/>
    <w:rsid w:val="009717D4"/>
    <w:rsid w:val="009721F8"/>
    <w:rsid w:val="00973F06"/>
    <w:rsid w:val="00974677"/>
    <w:rsid w:val="00976023"/>
    <w:rsid w:val="00976026"/>
    <w:rsid w:val="00977EEB"/>
    <w:rsid w:val="00980461"/>
    <w:rsid w:val="00980807"/>
    <w:rsid w:val="00982359"/>
    <w:rsid w:val="009844C7"/>
    <w:rsid w:val="009864AF"/>
    <w:rsid w:val="009901F4"/>
    <w:rsid w:val="00991C84"/>
    <w:rsid w:val="00992584"/>
    <w:rsid w:val="009936CE"/>
    <w:rsid w:val="009940C2"/>
    <w:rsid w:val="00994A44"/>
    <w:rsid w:val="00995817"/>
    <w:rsid w:val="00995D9C"/>
    <w:rsid w:val="009969C3"/>
    <w:rsid w:val="009974D9"/>
    <w:rsid w:val="009A0847"/>
    <w:rsid w:val="009A09D7"/>
    <w:rsid w:val="009A21A7"/>
    <w:rsid w:val="009A29F8"/>
    <w:rsid w:val="009A2F17"/>
    <w:rsid w:val="009A39A6"/>
    <w:rsid w:val="009A3C2B"/>
    <w:rsid w:val="009A4E85"/>
    <w:rsid w:val="009A6E9C"/>
    <w:rsid w:val="009A78EE"/>
    <w:rsid w:val="009B049B"/>
    <w:rsid w:val="009B0AE0"/>
    <w:rsid w:val="009B1387"/>
    <w:rsid w:val="009B2DF9"/>
    <w:rsid w:val="009B3E92"/>
    <w:rsid w:val="009B63AC"/>
    <w:rsid w:val="009B63C9"/>
    <w:rsid w:val="009B6A04"/>
    <w:rsid w:val="009C6075"/>
    <w:rsid w:val="009C7051"/>
    <w:rsid w:val="009C7359"/>
    <w:rsid w:val="009D24F5"/>
    <w:rsid w:val="009D366B"/>
    <w:rsid w:val="009D4078"/>
    <w:rsid w:val="009D42BA"/>
    <w:rsid w:val="009D4A36"/>
    <w:rsid w:val="009D50DA"/>
    <w:rsid w:val="009D64F1"/>
    <w:rsid w:val="009D6718"/>
    <w:rsid w:val="009E19A3"/>
    <w:rsid w:val="009E2BF5"/>
    <w:rsid w:val="009E2E9A"/>
    <w:rsid w:val="009E3265"/>
    <w:rsid w:val="009E39A1"/>
    <w:rsid w:val="009E4DC0"/>
    <w:rsid w:val="009F05B6"/>
    <w:rsid w:val="009F0B31"/>
    <w:rsid w:val="009F2655"/>
    <w:rsid w:val="009F3007"/>
    <w:rsid w:val="009F7AD6"/>
    <w:rsid w:val="00A02B17"/>
    <w:rsid w:val="00A02B49"/>
    <w:rsid w:val="00A05552"/>
    <w:rsid w:val="00A0700D"/>
    <w:rsid w:val="00A0757A"/>
    <w:rsid w:val="00A1053C"/>
    <w:rsid w:val="00A10CFC"/>
    <w:rsid w:val="00A128B7"/>
    <w:rsid w:val="00A13348"/>
    <w:rsid w:val="00A13664"/>
    <w:rsid w:val="00A141C5"/>
    <w:rsid w:val="00A15BEE"/>
    <w:rsid w:val="00A16B52"/>
    <w:rsid w:val="00A171F3"/>
    <w:rsid w:val="00A17552"/>
    <w:rsid w:val="00A2184E"/>
    <w:rsid w:val="00A22662"/>
    <w:rsid w:val="00A241FE"/>
    <w:rsid w:val="00A251E2"/>
    <w:rsid w:val="00A25F41"/>
    <w:rsid w:val="00A26FF1"/>
    <w:rsid w:val="00A32B85"/>
    <w:rsid w:val="00A3365C"/>
    <w:rsid w:val="00A34FC6"/>
    <w:rsid w:val="00A35D6A"/>
    <w:rsid w:val="00A36F06"/>
    <w:rsid w:val="00A37AAE"/>
    <w:rsid w:val="00A416AD"/>
    <w:rsid w:val="00A42BF0"/>
    <w:rsid w:val="00A469A1"/>
    <w:rsid w:val="00A46FDE"/>
    <w:rsid w:val="00A471AE"/>
    <w:rsid w:val="00A47FAE"/>
    <w:rsid w:val="00A50CD9"/>
    <w:rsid w:val="00A51374"/>
    <w:rsid w:val="00A51A94"/>
    <w:rsid w:val="00A51B30"/>
    <w:rsid w:val="00A52069"/>
    <w:rsid w:val="00A542E2"/>
    <w:rsid w:val="00A5529A"/>
    <w:rsid w:val="00A56CF8"/>
    <w:rsid w:val="00A5703F"/>
    <w:rsid w:val="00A5727E"/>
    <w:rsid w:val="00A63010"/>
    <w:rsid w:val="00A656B3"/>
    <w:rsid w:val="00A65AD3"/>
    <w:rsid w:val="00A65DCB"/>
    <w:rsid w:val="00A66D08"/>
    <w:rsid w:val="00A679AD"/>
    <w:rsid w:val="00A70BDC"/>
    <w:rsid w:val="00A70D8C"/>
    <w:rsid w:val="00A71A1B"/>
    <w:rsid w:val="00A75DCB"/>
    <w:rsid w:val="00A8183A"/>
    <w:rsid w:val="00A826A8"/>
    <w:rsid w:val="00A82A7A"/>
    <w:rsid w:val="00A847B1"/>
    <w:rsid w:val="00A85954"/>
    <w:rsid w:val="00A85E53"/>
    <w:rsid w:val="00A86051"/>
    <w:rsid w:val="00A8625F"/>
    <w:rsid w:val="00A86BFF"/>
    <w:rsid w:val="00A87AB4"/>
    <w:rsid w:val="00A90151"/>
    <w:rsid w:val="00A90256"/>
    <w:rsid w:val="00A90285"/>
    <w:rsid w:val="00A9359B"/>
    <w:rsid w:val="00A93CEB"/>
    <w:rsid w:val="00A9545C"/>
    <w:rsid w:val="00A96871"/>
    <w:rsid w:val="00A970A6"/>
    <w:rsid w:val="00AA121B"/>
    <w:rsid w:val="00AA163B"/>
    <w:rsid w:val="00AA29B8"/>
    <w:rsid w:val="00AA3569"/>
    <w:rsid w:val="00AA438C"/>
    <w:rsid w:val="00AB0E21"/>
    <w:rsid w:val="00AB105B"/>
    <w:rsid w:val="00AB10F4"/>
    <w:rsid w:val="00AB2D17"/>
    <w:rsid w:val="00AB34AD"/>
    <w:rsid w:val="00AB46E2"/>
    <w:rsid w:val="00AB4985"/>
    <w:rsid w:val="00AB528E"/>
    <w:rsid w:val="00AC0682"/>
    <w:rsid w:val="00AC298F"/>
    <w:rsid w:val="00AC2AFE"/>
    <w:rsid w:val="00AC48CE"/>
    <w:rsid w:val="00AC4CDF"/>
    <w:rsid w:val="00AC4F7C"/>
    <w:rsid w:val="00AC5084"/>
    <w:rsid w:val="00AC587D"/>
    <w:rsid w:val="00AD11E4"/>
    <w:rsid w:val="00AD1AA2"/>
    <w:rsid w:val="00AD2726"/>
    <w:rsid w:val="00AD28D1"/>
    <w:rsid w:val="00AD3C23"/>
    <w:rsid w:val="00AD7A30"/>
    <w:rsid w:val="00AE1A3C"/>
    <w:rsid w:val="00AF001D"/>
    <w:rsid w:val="00AF17D7"/>
    <w:rsid w:val="00AF28A2"/>
    <w:rsid w:val="00AF37E9"/>
    <w:rsid w:val="00AF3AB8"/>
    <w:rsid w:val="00AF3BD9"/>
    <w:rsid w:val="00AF479F"/>
    <w:rsid w:val="00AF505E"/>
    <w:rsid w:val="00AF6B24"/>
    <w:rsid w:val="00AF6B4B"/>
    <w:rsid w:val="00AF6CAC"/>
    <w:rsid w:val="00B02BB9"/>
    <w:rsid w:val="00B044BC"/>
    <w:rsid w:val="00B05A99"/>
    <w:rsid w:val="00B05E8B"/>
    <w:rsid w:val="00B11F80"/>
    <w:rsid w:val="00B12ADB"/>
    <w:rsid w:val="00B13CC8"/>
    <w:rsid w:val="00B15F7A"/>
    <w:rsid w:val="00B1739D"/>
    <w:rsid w:val="00B20A02"/>
    <w:rsid w:val="00B2190E"/>
    <w:rsid w:val="00B22715"/>
    <w:rsid w:val="00B23258"/>
    <w:rsid w:val="00B23603"/>
    <w:rsid w:val="00B24F69"/>
    <w:rsid w:val="00B2509A"/>
    <w:rsid w:val="00B2628F"/>
    <w:rsid w:val="00B263B9"/>
    <w:rsid w:val="00B3028C"/>
    <w:rsid w:val="00B302FA"/>
    <w:rsid w:val="00B31985"/>
    <w:rsid w:val="00B3288E"/>
    <w:rsid w:val="00B3294E"/>
    <w:rsid w:val="00B32D6C"/>
    <w:rsid w:val="00B339D8"/>
    <w:rsid w:val="00B34048"/>
    <w:rsid w:val="00B35295"/>
    <w:rsid w:val="00B35D57"/>
    <w:rsid w:val="00B36B49"/>
    <w:rsid w:val="00B3742A"/>
    <w:rsid w:val="00B3749D"/>
    <w:rsid w:val="00B416B7"/>
    <w:rsid w:val="00B41ACE"/>
    <w:rsid w:val="00B42085"/>
    <w:rsid w:val="00B422A3"/>
    <w:rsid w:val="00B434A7"/>
    <w:rsid w:val="00B43AF4"/>
    <w:rsid w:val="00B443CC"/>
    <w:rsid w:val="00B46C3B"/>
    <w:rsid w:val="00B50430"/>
    <w:rsid w:val="00B51356"/>
    <w:rsid w:val="00B562F5"/>
    <w:rsid w:val="00B63FF0"/>
    <w:rsid w:val="00B657D6"/>
    <w:rsid w:val="00B65DAA"/>
    <w:rsid w:val="00B65DC4"/>
    <w:rsid w:val="00B66B2F"/>
    <w:rsid w:val="00B66F1C"/>
    <w:rsid w:val="00B6757D"/>
    <w:rsid w:val="00B70BF2"/>
    <w:rsid w:val="00B720EC"/>
    <w:rsid w:val="00B739EB"/>
    <w:rsid w:val="00B74B7C"/>
    <w:rsid w:val="00B74F7F"/>
    <w:rsid w:val="00B759CB"/>
    <w:rsid w:val="00B75B08"/>
    <w:rsid w:val="00B7663C"/>
    <w:rsid w:val="00B8079B"/>
    <w:rsid w:val="00B8223D"/>
    <w:rsid w:val="00B82DD8"/>
    <w:rsid w:val="00B84869"/>
    <w:rsid w:val="00B85CF4"/>
    <w:rsid w:val="00B86607"/>
    <w:rsid w:val="00B87859"/>
    <w:rsid w:val="00B90FA9"/>
    <w:rsid w:val="00B91281"/>
    <w:rsid w:val="00B918E0"/>
    <w:rsid w:val="00B91D47"/>
    <w:rsid w:val="00B924D8"/>
    <w:rsid w:val="00B94B11"/>
    <w:rsid w:val="00B953E2"/>
    <w:rsid w:val="00B97C6F"/>
    <w:rsid w:val="00BA116C"/>
    <w:rsid w:val="00BA169C"/>
    <w:rsid w:val="00BA3CB8"/>
    <w:rsid w:val="00BA651E"/>
    <w:rsid w:val="00BA65D3"/>
    <w:rsid w:val="00BA66F3"/>
    <w:rsid w:val="00BA71BD"/>
    <w:rsid w:val="00BA7623"/>
    <w:rsid w:val="00BB23C0"/>
    <w:rsid w:val="00BB2961"/>
    <w:rsid w:val="00BB3CE8"/>
    <w:rsid w:val="00BB4720"/>
    <w:rsid w:val="00BB55E8"/>
    <w:rsid w:val="00BB56CD"/>
    <w:rsid w:val="00BB6831"/>
    <w:rsid w:val="00BC0DCE"/>
    <w:rsid w:val="00BC127C"/>
    <w:rsid w:val="00BC5E44"/>
    <w:rsid w:val="00BC5ECB"/>
    <w:rsid w:val="00BC6606"/>
    <w:rsid w:val="00BC7C1B"/>
    <w:rsid w:val="00BD13CF"/>
    <w:rsid w:val="00BD190D"/>
    <w:rsid w:val="00BD4EB0"/>
    <w:rsid w:val="00BD64DC"/>
    <w:rsid w:val="00BD6B98"/>
    <w:rsid w:val="00BE0277"/>
    <w:rsid w:val="00BE2599"/>
    <w:rsid w:val="00BE382D"/>
    <w:rsid w:val="00BE41C2"/>
    <w:rsid w:val="00BE4408"/>
    <w:rsid w:val="00BE4540"/>
    <w:rsid w:val="00BE6AA3"/>
    <w:rsid w:val="00BE713E"/>
    <w:rsid w:val="00BE7555"/>
    <w:rsid w:val="00BF0EF2"/>
    <w:rsid w:val="00BF114A"/>
    <w:rsid w:val="00BF11A0"/>
    <w:rsid w:val="00BF1239"/>
    <w:rsid w:val="00BF1507"/>
    <w:rsid w:val="00BF387A"/>
    <w:rsid w:val="00BF68C8"/>
    <w:rsid w:val="00C00AE6"/>
    <w:rsid w:val="00C016A3"/>
    <w:rsid w:val="00C01E68"/>
    <w:rsid w:val="00C03A33"/>
    <w:rsid w:val="00C05581"/>
    <w:rsid w:val="00C05922"/>
    <w:rsid w:val="00C070F5"/>
    <w:rsid w:val="00C0771C"/>
    <w:rsid w:val="00C107AE"/>
    <w:rsid w:val="00C10BC5"/>
    <w:rsid w:val="00C11924"/>
    <w:rsid w:val="00C14016"/>
    <w:rsid w:val="00C14C95"/>
    <w:rsid w:val="00C17B40"/>
    <w:rsid w:val="00C20EC2"/>
    <w:rsid w:val="00C221A0"/>
    <w:rsid w:val="00C224AF"/>
    <w:rsid w:val="00C2269F"/>
    <w:rsid w:val="00C238D1"/>
    <w:rsid w:val="00C240D9"/>
    <w:rsid w:val="00C24A6E"/>
    <w:rsid w:val="00C2523F"/>
    <w:rsid w:val="00C25C46"/>
    <w:rsid w:val="00C2690C"/>
    <w:rsid w:val="00C31E23"/>
    <w:rsid w:val="00C326F9"/>
    <w:rsid w:val="00C330AC"/>
    <w:rsid w:val="00C351A6"/>
    <w:rsid w:val="00C35353"/>
    <w:rsid w:val="00C36457"/>
    <w:rsid w:val="00C36FFC"/>
    <w:rsid w:val="00C37A29"/>
    <w:rsid w:val="00C41ACC"/>
    <w:rsid w:val="00C421D3"/>
    <w:rsid w:val="00C426E9"/>
    <w:rsid w:val="00C43FDE"/>
    <w:rsid w:val="00C446D4"/>
    <w:rsid w:val="00C51108"/>
    <w:rsid w:val="00C51B13"/>
    <w:rsid w:val="00C51DE7"/>
    <w:rsid w:val="00C52791"/>
    <w:rsid w:val="00C52B01"/>
    <w:rsid w:val="00C5498F"/>
    <w:rsid w:val="00C63CE2"/>
    <w:rsid w:val="00C64B5C"/>
    <w:rsid w:val="00C6504E"/>
    <w:rsid w:val="00C65A95"/>
    <w:rsid w:val="00C6661E"/>
    <w:rsid w:val="00C70D80"/>
    <w:rsid w:val="00C70EFC"/>
    <w:rsid w:val="00C71688"/>
    <w:rsid w:val="00C72E53"/>
    <w:rsid w:val="00C748F4"/>
    <w:rsid w:val="00C74B46"/>
    <w:rsid w:val="00C74D6B"/>
    <w:rsid w:val="00C752DE"/>
    <w:rsid w:val="00C75C56"/>
    <w:rsid w:val="00C82AD8"/>
    <w:rsid w:val="00C83DB8"/>
    <w:rsid w:val="00C84F03"/>
    <w:rsid w:val="00C850F6"/>
    <w:rsid w:val="00C85A72"/>
    <w:rsid w:val="00C932F3"/>
    <w:rsid w:val="00C95B0B"/>
    <w:rsid w:val="00C95DD0"/>
    <w:rsid w:val="00C970CE"/>
    <w:rsid w:val="00C9784E"/>
    <w:rsid w:val="00C97C1D"/>
    <w:rsid w:val="00C97F43"/>
    <w:rsid w:val="00CA0B3F"/>
    <w:rsid w:val="00CA36E6"/>
    <w:rsid w:val="00CA692E"/>
    <w:rsid w:val="00CA6B98"/>
    <w:rsid w:val="00CA7C70"/>
    <w:rsid w:val="00CB0311"/>
    <w:rsid w:val="00CB144B"/>
    <w:rsid w:val="00CB155D"/>
    <w:rsid w:val="00CB2221"/>
    <w:rsid w:val="00CB5A0C"/>
    <w:rsid w:val="00CB5A38"/>
    <w:rsid w:val="00CB5CD3"/>
    <w:rsid w:val="00CB69F8"/>
    <w:rsid w:val="00CB7B70"/>
    <w:rsid w:val="00CC024A"/>
    <w:rsid w:val="00CC395A"/>
    <w:rsid w:val="00CC3DE4"/>
    <w:rsid w:val="00CC459A"/>
    <w:rsid w:val="00CC459B"/>
    <w:rsid w:val="00CC5469"/>
    <w:rsid w:val="00CC5F5B"/>
    <w:rsid w:val="00CC7034"/>
    <w:rsid w:val="00CD0ECA"/>
    <w:rsid w:val="00CD1E5A"/>
    <w:rsid w:val="00CD32E0"/>
    <w:rsid w:val="00CD50B6"/>
    <w:rsid w:val="00CD51CF"/>
    <w:rsid w:val="00CD61EB"/>
    <w:rsid w:val="00CD7F44"/>
    <w:rsid w:val="00CE2149"/>
    <w:rsid w:val="00CE43AF"/>
    <w:rsid w:val="00CE4878"/>
    <w:rsid w:val="00CE4D3A"/>
    <w:rsid w:val="00CE4E95"/>
    <w:rsid w:val="00CE64FD"/>
    <w:rsid w:val="00CE7236"/>
    <w:rsid w:val="00CF009A"/>
    <w:rsid w:val="00CF02F0"/>
    <w:rsid w:val="00CF07AE"/>
    <w:rsid w:val="00CF3141"/>
    <w:rsid w:val="00CF498A"/>
    <w:rsid w:val="00CF4BC6"/>
    <w:rsid w:val="00CF5381"/>
    <w:rsid w:val="00CF64E8"/>
    <w:rsid w:val="00CF77B1"/>
    <w:rsid w:val="00CF7A9D"/>
    <w:rsid w:val="00CF7F06"/>
    <w:rsid w:val="00D0005A"/>
    <w:rsid w:val="00D013A4"/>
    <w:rsid w:val="00D01615"/>
    <w:rsid w:val="00D020DB"/>
    <w:rsid w:val="00D02433"/>
    <w:rsid w:val="00D0352E"/>
    <w:rsid w:val="00D03FDC"/>
    <w:rsid w:val="00D077DB"/>
    <w:rsid w:val="00D101DA"/>
    <w:rsid w:val="00D10F14"/>
    <w:rsid w:val="00D1425D"/>
    <w:rsid w:val="00D142E8"/>
    <w:rsid w:val="00D15113"/>
    <w:rsid w:val="00D155D4"/>
    <w:rsid w:val="00D15B7C"/>
    <w:rsid w:val="00D15B7D"/>
    <w:rsid w:val="00D16F74"/>
    <w:rsid w:val="00D23DE4"/>
    <w:rsid w:val="00D30647"/>
    <w:rsid w:val="00D30791"/>
    <w:rsid w:val="00D31C45"/>
    <w:rsid w:val="00D31E3E"/>
    <w:rsid w:val="00D32790"/>
    <w:rsid w:val="00D330CA"/>
    <w:rsid w:val="00D3316D"/>
    <w:rsid w:val="00D35E12"/>
    <w:rsid w:val="00D372EB"/>
    <w:rsid w:val="00D37882"/>
    <w:rsid w:val="00D404C7"/>
    <w:rsid w:val="00D42027"/>
    <w:rsid w:val="00D42982"/>
    <w:rsid w:val="00D42F97"/>
    <w:rsid w:val="00D454D2"/>
    <w:rsid w:val="00D46FD9"/>
    <w:rsid w:val="00D47AD7"/>
    <w:rsid w:val="00D51E12"/>
    <w:rsid w:val="00D522F7"/>
    <w:rsid w:val="00D56E77"/>
    <w:rsid w:val="00D570C6"/>
    <w:rsid w:val="00D573A3"/>
    <w:rsid w:val="00D57876"/>
    <w:rsid w:val="00D57BFF"/>
    <w:rsid w:val="00D60649"/>
    <w:rsid w:val="00D60CE3"/>
    <w:rsid w:val="00D61E88"/>
    <w:rsid w:val="00D6781B"/>
    <w:rsid w:val="00D74F5A"/>
    <w:rsid w:val="00D77C79"/>
    <w:rsid w:val="00D8093A"/>
    <w:rsid w:val="00D80ADF"/>
    <w:rsid w:val="00D819D8"/>
    <w:rsid w:val="00D82D2A"/>
    <w:rsid w:val="00D82FC2"/>
    <w:rsid w:val="00D83518"/>
    <w:rsid w:val="00D83923"/>
    <w:rsid w:val="00D92353"/>
    <w:rsid w:val="00D93722"/>
    <w:rsid w:val="00D9419D"/>
    <w:rsid w:val="00D94E3E"/>
    <w:rsid w:val="00D95FB8"/>
    <w:rsid w:val="00D96F65"/>
    <w:rsid w:val="00D9752D"/>
    <w:rsid w:val="00DA136C"/>
    <w:rsid w:val="00DA24FF"/>
    <w:rsid w:val="00DA3017"/>
    <w:rsid w:val="00DA3223"/>
    <w:rsid w:val="00DA5484"/>
    <w:rsid w:val="00DA7783"/>
    <w:rsid w:val="00DB1ADA"/>
    <w:rsid w:val="00DB4D1D"/>
    <w:rsid w:val="00DB7E8D"/>
    <w:rsid w:val="00DC1012"/>
    <w:rsid w:val="00DC18D8"/>
    <w:rsid w:val="00DC1B37"/>
    <w:rsid w:val="00DC5DFF"/>
    <w:rsid w:val="00DC632E"/>
    <w:rsid w:val="00DC74CB"/>
    <w:rsid w:val="00DD0322"/>
    <w:rsid w:val="00DD134A"/>
    <w:rsid w:val="00DD44DA"/>
    <w:rsid w:val="00DD4AD0"/>
    <w:rsid w:val="00DD59C5"/>
    <w:rsid w:val="00DD5B9F"/>
    <w:rsid w:val="00DD6473"/>
    <w:rsid w:val="00DE27B2"/>
    <w:rsid w:val="00DE2D0B"/>
    <w:rsid w:val="00DE3EC4"/>
    <w:rsid w:val="00DE5C4D"/>
    <w:rsid w:val="00DE6BEB"/>
    <w:rsid w:val="00DE733E"/>
    <w:rsid w:val="00DF2C6D"/>
    <w:rsid w:val="00DF2F20"/>
    <w:rsid w:val="00DF3771"/>
    <w:rsid w:val="00DF4E3E"/>
    <w:rsid w:val="00DF57D9"/>
    <w:rsid w:val="00DF60B9"/>
    <w:rsid w:val="00DF63B7"/>
    <w:rsid w:val="00DF6D0F"/>
    <w:rsid w:val="00E010CD"/>
    <w:rsid w:val="00E019A1"/>
    <w:rsid w:val="00E01CA9"/>
    <w:rsid w:val="00E028B7"/>
    <w:rsid w:val="00E03DD0"/>
    <w:rsid w:val="00E03E3C"/>
    <w:rsid w:val="00E0453D"/>
    <w:rsid w:val="00E05FA6"/>
    <w:rsid w:val="00E066D7"/>
    <w:rsid w:val="00E15A2F"/>
    <w:rsid w:val="00E164D7"/>
    <w:rsid w:val="00E17490"/>
    <w:rsid w:val="00E17586"/>
    <w:rsid w:val="00E201B8"/>
    <w:rsid w:val="00E2422F"/>
    <w:rsid w:val="00E2489B"/>
    <w:rsid w:val="00E251EA"/>
    <w:rsid w:val="00E25474"/>
    <w:rsid w:val="00E2732B"/>
    <w:rsid w:val="00E30064"/>
    <w:rsid w:val="00E31200"/>
    <w:rsid w:val="00E32EE5"/>
    <w:rsid w:val="00E32F93"/>
    <w:rsid w:val="00E379F7"/>
    <w:rsid w:val="00E4518C"/>
    <w:rsid w:val="00E4552E"/>
    <w:rsid w:val="00E47107"/>
    <w:rsid w:val="00E510BD"/>
    <w:rsid w:val="00E52818"/>
    <w:rsid w:val="00E52B29"/>
    <w:rsid w:val="00E54ACD"/>
    <w:rsid w:val="00E54B2B"/>
    <w:rsid w:val="00E558C9"/>
    <w:rsid w:val="00E559A1"/>
    <w:rsid w:val="00E561DE"/>
    <w:rsid w:val="00E61632"/>
    <w:rsid w:val="00E62322"/>
    <w:rsid w:val="00E63F3C"/>
    <w:rsid w:val="00E64D81"/>
    <w:rsid w:val="00E655F6"/>
    <w:rsid w:val="00E70231"/>
    <w:rsid w:val="00E703AB"/>
    <w:rsid w:val="00E70DD7"/>
    <w:rsid w:val="00E71CE8"/>
    <w:rsid w:val="00E72D41"/>
    <w:rsid w:val="00E72EE0"/>
    <w:rsid w:val="00E741FB"/>
    <w:rsid w:val="00E75656"/>
    <w:rsid w:val="00E80228"/>
    <w:rsid w:val="00E80711"/>
    <w:rsid w:val="00E80A4B"/>
    <w:rsid w:val="00E82091"/>
    <w:rsid w:val="00E82AA3"/>
    <w:rsid w:val="00E84A26"/>
    <w:rsid w:val="00E85DB5"/>
    <w:rsid w:val="00E87D7F"/>
    <w:rsid w:val="00E87F2B"/>
    <w:rsid w:val="00E90DA9"/>
    <w:rsid w:val="00E91A7E"/>
    <w:rsid w:val="00E91FED"/>
    <w:rsid w:val="00E941CD"/>
    <w:rsid w:val="00E95F5E"/>
    <w:rsid w:val="00E966EA"/>
    <w:rsid w:val="00E973D4"/>
    <w:rsid w:val="00EA1943"/>
    <w:rsid w:val="00EA59F8"/>
    <w:rsid w:val="00EA6279"/>
    <w:rsid w:val="00EA65A9"/>
    <w:rsid w:val="00EB24CB"/>
    <w:rsid w:val="00EB32D8"/>
    <w:rsid w:val="00EB3F9D"/>
    <w:rsid w:val="00EB589E"/>
    <w:rsid w:val="00EB5DC6"/>
    <w:rsid w:val="00EB5E5D"/>
    <w:rsid w:val="00EC071A"/>
    <w:rsid w:val="00EC4844"/>
    <w:rsid w:val="00EC4A29"/>
    <w:rsid w:val="00EC61A2"/>
    <w:rsid w:val="00EC6825"/>
    <w:rsid w:val="00ED1DD7"/>
    <w:rsid w:val="00ED3721"/>
    <w:rsid w:val="00ED4983"/>
    <w:rsid w:val="00ED6125"/>
    <w:rsid w:val="00EE3096"/>
    <w:rsid w:val="00EE5D82"/>
    <w:rsid w:val="00EE648C"/>
    <w:rsid w:val="00EE6806"/>
    <w:rsid w:val="00EE6A19"/>
    <w:rsid w:val="00EE6F14"/>
    <w:rsid w:val="00EF0AD9"/>
    <w:rsid w:val="00EF3F23"/>
    <w:rsid w:val="00F0437C"/>
    <w:rsid w:val="00F04EA7"/>
    <w:rsid w:val="00F0676A"/>
    <w:rsid w:val="00F079F1"/>
    <w:rsid w:val="00F124C8"/>
    <w:rsid w:val="00F12851"/>
    <w:rsid w:val="00F13C83"/>
    <w:rsid w:val="00F140FF"/>
    <w:rsid w:val="00F14D22"/>
    <w:rsid w:val="00F162D4"/>
    <w:rsid w:val="00F2058B"/>
    <w:rsid w:val="00F2542B"/>
    <w:rsid w:val="00F25AE6"/>
    <w:rsid w:val="00F3203C"/>
    <w:rsid w:val="00F3209B"/>
    <w:rsid w:val="00F3214C"/>
    <w:rsid w:val="00F32C2D"/>
    <w:rsid w:val="00F335AB"/>
    <w:rsid w:val="00F33F8D"/>
    <w:rsid w:val="00F35329"/>
    <w:rsid w:val="00F3579B"/>
    <w:rsid w:val="00F37470"/>
    <w:rsid w:val="00F37CB6"/>
    <w:rsid w:val="00F37E3B"/>
    <w:rsid w:val="00F37E40"/>
    <w:rsid w:val="00F37F65"/>
    <w:rsid w:val="00F4010B"/>
    <w:rsid w:val="00F40A61"/>
    <w:rsid w:val="00F428AB"/>
    <w:rsid w:val="00F42CCA"/>
    <w:rsid w:val="00F43B5F"/>
    <w:rsid w:val="00F45241"/>
    <w:rsid w:val="00F46351"/>
    <w:rsid w:val="00F46567"/>
    <w:rsid w:val="00F46C58"/>
    <w:rsid w:val="00F46E42"/>
    <w:rsid w:val="00F4702C"/>
    <w:rsid w:val="00F47F58"/>
    <w:rsid w:val="00F505B8"/>
    <w:rsid w:val="00F52F04"/>
    <w:rsid w:val="00F53EFE"/>
    <w:rsid w:val="00F54174"/>
    <w:rsid w:val="00F55969"/>
    <w:rsid w:val="00F55D5B"/>
    <w:rsid w:val="00F56D55"/>
    <w:rsid w:val="00F60BA2"/>
    <w:rsid w:val="00F60F8D"/>
    <w:rsid w:val="00F619B1"/>
    <w:rsid w:val="00F632AF"/>
    <w:rsid w:val="00F634F6"/>
    <w:rsid w:val="00F64EBE"/>
    <w:rsid w:val="00F7103F"/>
    <w:rsid w:val="00F73D2D"/>
    <w:rsid w:val="00F74D42"/>
    <w:rsid w:val="00F7601E"/>
    <w:rsid w:val="00F77B4D"/>
    <w:rsid w:val="00F820DF"/>
    <w:rsid w:val="00F87AA1"/>
    <w:rsid w:val="00F87B07"/>
    <w:rsid w:val="00F87BF6"/>
    <w:rsid w:val="00F92743"/>
    <w:rsid w:val="00F94880"/>
    <w:rsid w:val="00FA15AF"/>
    <w:rsid w:val="00FA2FD2"/>
    <w:rsid w:val="00FA33D2"/>
    <w:rsid w:val="00FA366F"/>
    <w:rsid w:val="00FA3D11"/>
    <w:rsid w:val="00FA4808"/>
    <w:rsid w:val="00FA6B8F"/>
    <w:rsid w:val="00FB016C"/>
    <w:rsid w:val="00FB19F8"/>
    <w:rsid w:val="00FB2755"/>
    <w:rsid w:val="00FB4E93"/>
    <w:rsid w:val="00FC1336"/>
    <w:rsid w:val="00FC17DC"/>
    <w:rsid w:val="00FC2875"/>
    <w:rsid w:val="00FC2D8B"/>
    <w:rsid w:val="00FC31C9"/>
    <w:rsid w:val="00FC34CA"/>
    <w:rsid w:val="00FC4D74"/>
    <w:rsid w:val="00FD3306"/>
    <w:rsid w:val="00FD36B1"/>
    <w:rsid w:val="00FD3FE9"/>
    <w:rsid w:val="00FD4771"/>
    <w:rsid w:val="00FD4F4F"/>
    <w:rsid w:val="00FD5DEF"/>
    <w:rsid w:val="00FE0839"/>
    <w:rsid w:val="00FE265B"/>
    <w:rsid w:val="00FE59FD"/>
    <w:rsid w:val="00FE7F98"/>
    <w:rsid w:val="00FF0BC9"/>
    <w:rsid w:val="00FF1FA3"/>
    <w:rsid w:val="00FF255E"/>
    <w:rsid w:val="00FF2E7F"/>
    <w:rsid w:val="00FF306D"/>
    <w:rsid w:val="00FF4A17"/>
    <w:rsid w:val="00FF567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B76F363F-1567-48C2-8D5B-2AE9B857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D372EB"/>
    <w:pPr>
      <w:tabs>
        <w:tab w:val="left" w:pos="567"/>
        <w:tab w:val="right" w:pos="7937"/>
      </w:tabs>
      <w:spacing w:after="100" w:line="293" w:lineRule="auto"/>
      <w:ind w:left="567" w:right="1474"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semiHidden/>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0"/>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19"/>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semiHidden/>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20"/>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26"/>
      </w:numPr>
    </w:pPr>
  </w:style>
  <w:style w:type="paragraph" w:customStyle="1" w:styleId="BoxListNumber">
    <w:name w:val="Box List Number"/>
    <w:basedOn w:val="BodyText"/>
    <w:rsid w:val="004113BE"/>
    <w:pPr>
      <w:keepNext/>
      <w:numPr>
        <w:numId w:val="24"/>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27"/>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21"/>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29"/>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22"/>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23"/>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28"/>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KeyPointsListBullet">
    <w:name w:val="Key Points List Bullet"/>
    <w:basedOn w:val="Normal"/>
    <w:qFormat/>
    <w:rsid w:val="004113BE"/>
    <w:pPr>
      <w:keepNext/>
      <w:numPr>
        <w:numId w:val="30"/>
      </w:numPr>
      <w:spacing w:before="100" w:after="160" w:line="260" w:lineRule="atLeast"/>
      <w:jc w:val="both"/>
    </w:pPr>
    <w:rPr>
      <w:rFonts w:ascii="Arial" w:hAnsi="Arial"/>
      <w:sz w:val="22"/>
      <w:szCs w:val="22"/>
    </w:rPr>
  </w:style>
  <w:style w:type="paragraph" w:customStyle="1" w:styleId="KeyPointsListBullet2">
    <w:name w:val="Key Points List Bullet 2"/>
    <w:basedOn w:val="BoxListBullet2"/>
    <w:rsid w:val="004113BE"/>
    <w:pPr>
      <w:numPr>
        <w:numId w:val="31"/>
      </w:numPr>
    </w:p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25"/>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D372EB"/>
    <w:rPr>
      <w:rFonts w:asciiTheme="maj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character" w:customStyle="1" w:styleId="t">
    <w:name w:val="t"/>
    <w:basedOn w:val="DefaultParagraphFont"/>
    <w:rsid w:val="004113BE"/>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BoxSpaceAboveElement">
    <w:name w:val="Box Space Above Element"/>
    <w:basedOn w:val="BoxSpaceAbove"/>
    <w:link w:val="BoxSpaceAboveElementChar"/>
    <w:qFormat/>
    <w:rsid w:val="004113BE"/>
    <w:pPr>
      <w:spacing w:before="240" w:after="0"/>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4113BE"/>
    <w:rPr>
      <w:rFonts w:ascii="Times New Roman" w:eastAsia="Times New Roman" w:hAnsi="Times New Roman" w:cs="Times New Roman"/>
      <w:b/>
      <w:vanish/>
      <w:color w:val="FF00FF"/>
      <w:sz w:val="1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651565377">
      <w:bodyDiv w:val="1"/>
      <w:marLeft w:val="0"/>
      <w:marRight w:val="0"/>
      <w:marTop w:val="0"/>
      <w:marBottom w:val="0"/>
      <w:divBdr>
        <w:top w:val="none" w:sz="0" w:space="0" w:color="auto"/>
        <w:left w:val="none" w:sz="0" w:space="0" w:color="auto"/>
        <w:bottom w:val="none" w:sz="0" w:space="0" w:color="auto"/>
        <w:right w:val="none" w:sz="0" w:space="0" w:color="auto"/>
      </w:divBdr>
    </w:div>
    <w:div w:id="1471285882">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8.emf"/><Relationship Id="rId68" Type="http://schemas.openxmlformats.org/officeDocument/2006/relationships/image" Target="media/image43.emf"/><Relationship Id="rId16"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eader" Target="header8.xml"/><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8.emf"/><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6.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image" Target="media/image51.emf"/><Relationship Id="rId8" Type="http://schemas.openxmlformats.org/officeDocument/2006/relationships/styles" Target="styles.xml"/><Relationship Id="rId51" Type="http://schemas.openxmlformats.org/officeDocument/2006/relationships/image" Target="media/image27.emf"/><Relationship Id="rId72" Type="http://schemas.openxmlformats.org/officeDocument/2006/relationships/image" Target="media/image46.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image" Target="media/image4.png"/><Relationship Id="rId41" Type="http://schemas.openxmlformats.org/officeDocument/2006/relationships/image" Target="media/image17.emf"/><Relationship Id="rId54" Type="http://schemas.openxmlformats.org/officeDocument/2006/relationships/image" Target="media/image29.emf"/><Relationship Id="rId62" Type="http://schemas.openxmlformats.org/officeDocument/2006/relationships/image" Target="media/image37.svg"/><Relationship Id="rId70" Type="http://schemas.openxmlformats.org/officeDocument/2006/relationships/header" Target="header9.xml"/><Relationship Id="rId75"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image" Target="media/image32.emf"/><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5.emf"/><Relationship Id="rId65" Type="http://schemas.openxmlformats.org/officeDocument/2006/relationships/image" Target="media/image40.svg"/><Relationship Id="rId73" Type="http://schemas.openxmlformats.org/officeDocument/2006/relationships/image" Target="media/image47.emf"/><Relationship Id="rId78"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0.emf"/><Relationship Id="rId7" Type="http://schemas.openxmlformats.org/officeDocument/2006/relationships/numbering" Target="numbering.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footer" Target="footer7.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sfall\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7" ma:contentTypeDescription="Create a new document." ma:contentTypeScope="" ma:versionID="0e6a1cb0ba691b5a75600a9a1ab631e6">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c74c72c811fbb4197ad127d1bb41f70d"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066D64FB-2FD8-4CC7-8DF7-84330C2B6332}">
  <ds:schemaRefs>
    <ds:schemaRef ds:uri="http://www.w3.org/XML/1998/namespace"/>
    <ds:schemaRef ds:uri="ab9bf696-b976-42ed-b50a-48004ee2daad"/>
    <ds:schemaRef ds:uri="http://schemas.microsoft.com/office/2006/documentManagement/types"/>
    <ds:schemaRef ds:uri="http://schemas.microsoft.com/office/2006/metadata/properties"/>
    <ds:schemaRef ds:uri="http://purl.org/dc/elements/1.1/"/>
    <ds:schemaRef ds:uri="http://purl.org/dc/terms/"/>
    <ds:schemaRef ds:uri="4999a062-bf25-4e1b-bf40-d0ceaadde115"/>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8699563E-2A8D-4332-BE13-FF65AB18E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1057</TotalTime>
  <Pages>99</Pages>
  <Words>42791</Words>
  <Characters>243909</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Interim report 3 - 5-year Productivity Inquiry: Innovation for the 98%</vt:lpstr>
    </vt:vector>
  </TitlesOfParts>
  <Company>Productivity Commission</Company>
  <LinksUpToDate>false</LinksUpToDate>
  <CharactersWithSpaces>286128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3 - 5-year Productivity Inquiry: Innovation for the 98%</dc:title>
  <dc:subject>Interim report</dc:subject>
  <dc:creator>Productivity Commission</dc:creator>
  <cp:keywords/>
  <dc:description/>
  <cp:lastModifiedBy>Chris Alston</cp:lastModifiedBy>
  <cp:revision>99</cp:revision>
  <cp:lastPrinted>2022-09-19T02:44:00Z</cp:lastPrinted>
  <dcterms:created xsi:type="dcterms:W3CDTF">2022-09-15T04:44:00Z</dcterms:created>
  <dcterms:modified xsi:type="dcterms:W3CDTF">2022-09-20T01:28:00Z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id="ywXoji2c"/&gt;&lt;style id="http://www.zotero.org/styles/Productivity-Commission" hasBibliography="1" bibliographyStyleHasBeenSet="1"/&gt;&lt;prefs&gt;&lt;pref name="fieldType" value="Field"/&gt;&lt;pref name="automaticJ</vt:lpwstr>
  </property>
</Properties>
</file>