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4E00" w14:textId="77777777" w:rsidR="00E26BA7" w:rsidRDefault="00E26BA7" w:rsidP="00E57245">
      <w:pPr>
        <w:pStyle w:val="Heading1-noTOC"/>
        <w:spacing w:before="0" w:after="120"/>
      </w:pPr>
      <w:r>
        <w:t>Errata</w:t>
      </w:r>
    </w:p>
    <w:p w14:paraId="0F3C25D7" w14:textId="4CF29EB4" w:rsidR="00F118D5" w:rsidRDefault="00EB150E" w:rsidP="00F118D5">
      <w:pPr>
        <w:pStyle w:val="BodyText"/>
      </w:pPr>
      <w:r>
        <w:t xml:space="preserve">Issued: </w:t>
      </w:r>
      <w:r w:rsidR="00F118D5">
        <w:t>2</w:t>
      </w:r>
      <w:r w:rsidR="00793BE5">
        <w:t>8</w:t>
      </w:r>
      <w:r w:rsidR="00F118D5">
        <w:t xml:space="preserve"> July 2023</w:t>
      </w:r>
    </w:p>
    <w:p w14:paraId="72917E12" w14:textId="36F6CE63" w:rsidR="00EC7017" w:rsidRPr="00C44E85" w:rsidRDefault="00EC7017" w:rsidP="00CA1400">
      <w:pPr>
        <w:pStyle w:val="Heading2-nonumber"/>
        <w:rPr>
          <w:sz w:val="24"/>
          <w:szCs w:val="24"/>
        </w:rPr>
      </w:pPr>
      <w:r w:rsidRPr="00C44E85">
        <w:rPr>
          <w:sz w:val="24"/>
          <w:szCs w:val="24"/>
        </w:rPr>
        <w:t>Volume 1 – Advancing prosperity</w:t>
      </w:r>
    </w:p>
    <w:p w14:paraId="1E4EB5D0" w14:textId="660C2226" w:rsidR="00EC7017" w:rsidRDefault="00CE3293" w:rsidP="00F118D5">
      <w:pPr>
        <w:pStyle w:val="BodyText"/>
      </w:pPr>
      <w:r>
        <w:t>On page 1</w:t>
      </w:r>
      <w:r w:rsidR="009273D2">
        <w:t>,</w:t>
      </w:r>
      <w:r w:rsidR="00583920">
        <w:t xml:space="preserve"> a footnote has been added</w:t>
      </w:r>
      <w:r w:rsidR="00D42D28">
        <w:t xml:space="preserve"> </w:t>
      </w:r>
      <w:r w:rsidR="00E10771">
        <w:t>for</w:t>
      </w:r>
      <w:r w:rsidR="00967D30">
        <w:t xml:space="preserve"> </w:t>
      </w:r>
      <w:r w:rsidR="00E10771">
        <w:t>clarification</w:t>
      </w:r>
      <w:r w:rsidR="00CA1400">
        <w:t>:</w:t>
      </w:r>
    </w:p>
    <w:p w14:paraId="3F3D54E7" w14:textId="3A95BC00" w:rsidR="00583920" w:rsidRPr="00F23ED1" w:rsidRDefault="00782D8B" w:rsidP="003F0E84">
      <w:pPr>
        <w:pStyle w:val="FootnoteText"/>
        <w:ind w:left="227"/>
        <w:rPr>
          <w:i/>
          <w:iCs/>
        </w:rPr>
      </w:pPr>
      <w:r w:rsidRPr="00F23ED1">
        <w:rPr>
          <w:i/>
          <w:iCs/>
          <w:sz w:val="20"/>
          <w:vertAlign w:val="superscript"/>
          <w:lang w:eastAsia="en-AU"/>
        </w:rPr>
        <w:t>3.</w:t>
      </w:r>
      <w:r w:rsidRPr="00F23ED1">
        <w:rPr>
          <w:i/>
          <w:iCs/>
          <w:lang w:eastAsia="en-AU"/>
        </w:rPr>
        <w:t xml:space="preserve"> To make this concrete, a downgrade in productivity growth from 1.5% to 1.2% per annum would, over 40 years, reduce the income per capita increase by about $11,000 (by 20%). Over the same </w:t>
      </w:r>
      <w:proofErr w:type="gramStart"/>
      <w:r w:rsidRPr="00F23ED1">
        <w:rPr>
          <w:i/>
          <w:iCs/>
          <w:lang w:eastAsia="en-AU"/>
        </w:rPr>
        <w:t>40 year</w:t>
      </w:r>
      <w:proofErr w:type="gramEnd"/>
      <w:r w:rsidRPr="00F23ED1">
        <w:rPr>
          <w:i/>
          <w:iCs/>
          <w:lang w:eastAsia="en-AU"/>
        </w:rPr>
        <w:t xml:space="preserve"> timeframe, a downgrade of productivity growth from 1.8% to 1.2% would reduce the income per capita increase by $23,000 (by 40%).</w:t>
      </w:r>
    </w:p>
    <w:p w14:paraId="1CF199D1" w14:textId="67FA8766" w:rsidR="00C44E85" w:rsidRDefault="00C44E85" w:rsidP="00375DDF">
      <w:pPr>
        <w:pStyle w:val="Heading2-nonumber"/>
        <w:rPr>
          <w:sz w:val="24"/>
          <w:szCs w:val="24"/>
        </w:rPr>
      </w:pPr>
      <w:r>
        <w:rPr>
          <w:sz w:val="24"/>
          <w:szCs w:val="24"/>
        </w:rPr>
        <w:t xml:space="preserve">Volume 3 </w:t>
      </w:r>
      <w:r w:rsidR="00375DDF">
        <w:rPr>
          <w:sz w:val="24"/>
          <w:szCs w:val="24"/>
        </w:rPr>
        <w:t>–</w:t>
      </w:r>
      <w:r>
        <w:rPr>
          <w:sz w:val="24"/>
          <w:szCs w:val="24"/>
        </w:rPr>
        <w:t xml:space="preserve"> </w:t>
      </w:r>
      <w:r w:rsidR="00375DDF" w:rsidRPr="00375DDF">
        <w:rPr>
          <w:sz w:val="24"/>
          <w:szCs w:val="24"/>
        </w:rPr>
        <w:t>A competitive, dynamic and</w:t>
      </w:r>
      <w:r w:rsidR="00ED5A87">
        <w:rPr>
          <w:sz w:val="24"/>
          <w:szCs w:val="24"/>
        </w:rPr>
        <w:t xml:space="preserve"> </w:t>
      </w:r>
      <w:r w:rsidR="00375DDF" w:rsidRPr="00375DDF">
        <w:rPr>
          <w:sz w:val="24"/>
          <w:szCs w:val="24"/>
        </w:rPr>
        <w:t>sustainable future</w:t>
      </w:r>
    </w:p>
    <w:p w14:paraId="084A14A2" w14:textId="294489E0" w:rsidR="00C44E85" w:rsidRDefault="00D8356A" w:rsidP="00C44E85">
      <w:pPr>
        <w:pStyle w:val="BodyText"/>
        <w:rPr>
          <w:color w:val="000000"/>
          <w:lang w:eastAsia="en-AU"/>
        </w:rPr>
      </w:pPr>
      <w:r>
        <w:t>On page 5</w:t>
      </w:r>
      <w:r w:rsidR="004C30F7">
        <w:t xml:space="preserve">, </w:t>
      </w:r>
      <w:r w:rsidR="009273D2">
        <w:t xml:space="preserve">a </w:t>
      </w:r>
      <w:r w:rsidR="002E7596">
        <w:t>reference</w:t>
      </w:r>
      <w:r w:rsidR="009273D2">
        <w:t xml:space="preserve"> </w:t>
      </w:r>
      <w:r w:rsidR="00F56BC3">
        <w:t xml:space="preserve">has been updated, </w:t>
      </w:r>
      <w:r w:rsidR="009273D2">
        <w:t xml:space="preserve">from </w:t>
      </w:r>
      <w:r w:rsidR="009273D2">
        <w:rPr>
          <w:color w:val="000000"/>
          <w:lang w:eastAsia="en-AU"/>
        </w:rPr>
        <w:t>Bakhtiari (2018)</w:t>
      </w:r>
      <w:r w:rsidR="009273D2">
        <w:t xml:space="preserve"> to </w:t>
      </w:r>
      <w:r w:rsidR="009273D2">
        <w:rPr>
          <w:color w:val="000000"/>
          <w:lang w:eastAsia="en-AU"/>
        </w:rPr>
        <w:t>Bakhtiari (2020)</w:t>
      </w:r>
      <w:r w:rsidR="008E139D">
        <w:rPr>
          <w:color w:val="000000"/>
          <w:lang w:eastAsia="en-AU"/>
        </w:rPr>
        <w:t>.</w:t>
      </w:r>
    </w:p>
    <w:p w14:paraId="096038C5" w14:textId="20D95C1D" w:rsidR="007D1D20" w:rsidRDefault="007D1D20" w:rsidP="00C44E85">
      <w:pPr>
        <w:pStyle w:val="BodyText"/>
        <w:rPr>
          <w:color w:val="000000"/>
          <w:lang w:eastAsia="en-AU"/>
        </w:rPr>
      </w:pPr>
      <w:r>
        <w:rPr>
          <w:color w:val="000000"/>
          <w:lang w:eastAsia="en-AU"/>
        </w:rPr>
        <w:t>On page 24</w:t>
      </w:r>
      <w:r w:rsidR="00CB01F1">
        <w:rPr>
          <w:color w:val="000000"/>
          <w:lang w:eastAsia="en-AU"/>
        </w:rPr>
        <w:t>,</w:t>
      </w:r>
      <w:r>
        <w:rPr>
          <w:color w:val="000000"/>
          <w:lang w:eastAsia="en-AU"/>
        </w:rPr>
        <w:t xml:space="preserve"> the original text </w:t>
      </w:r>
      <w:r w:rsidR="003F0E84">
        <w:rPr>
          <w:color w:val="000000"/>
          <w:lang w:eastAsia="en-AU"/>
        </w:rPr>
        <w:t>read:</w:t>
      </w:r>
    </w:p>
    <w:p w14:paraId="64929082" w14:textId="291EDD59" w:rsidR="003F0E84" w:rsidRPr="00F23ED1" w:rsidRDefault="003F0E84" w:rsidP="003F0E84">
      <w:pPr>
        <w:pStyle w:val="BodyText"/>
        <w:ind w:left="227"/>
        <w:rPr>
          <w:i/>
          <w:iCs/>
        </w:rPr>
      </w:pPr>
      <w:r w:rsidRPr="00F23ED1">
        <w:rPr>
          <w:i/>
          <w:iCs/>
        </w:rPr>
        <w:t xml:space="preserve">In some cases, regulation has yet to catch up with developments that reduce the benefits of competition for consumers. For example, incentive structures for brokers in the home loan market, which include trail commissions and ‘clawback’ of commissions, create conflicting incentives (PC 2018, pp. 324–331). The Commission’s findings were in line with evidence from ASIC, which found that: </w:t>
      </w:r>
    </w:p>
    <w:p w14:paraId="4B2E2D2B" w14:textId="2D5947B9" w:rsidR="003F0E84" w:rsidRPr="00F23ED1" w:rsidRDefault="003F0E84" w:rsidP="003F0E84">
      <w:pPr>
        <w:pStyle w:val="Quote"/>
        <w:ind w:left="397"/>
        <w:rPr>
          <w:i/>
          <w:iCs/>
        </w:rPr>
      </w:pPr>
      <w:r w:rsidRPr="00F23ED1">
        <w:rPr>
          <w:i/>
          <w:iCs/>
        </w:rPr>
        <w:t>This standard model of upfront and trail commissions creates conflicts of interest. There are two primary ways in which these conflicts may become evident. Firstly, a broker could recommend a loan that is larger than the consumer needs or can afford to maximise their commission payment. This may also involve recommending a particular product or strategy to maximise the amount that the consumer can borrow (</w:t>
      </w:r>
      <w:proofErr w:type="gramStart"/>
      <w:r w:rsidRPr="00F23ED1">
        <w:rPr>
          <w:i/>
          <w:iCs/>
        </w:rPr>
        <w:t>e.g.</w:t>
      </w:r>
      <w:proofErr w:type="gramEnd"/>
      <w:r w:rsidRPr="00F23ED1">
        <w:rPr>
          <w:i/>
          <w:iCs/>
        </w:rPr>
        <w:t xml:space="preserve"> through the choice of an interest-only loan). In this report, we have referred to this as a ‘product strategy conflict’. Alternatively, a broker could be incentivised to recommend a loan from a particular lender because the broker will receive a higher commission, even though that loan may not be the best loan for the consumer. We refer to this as a ‘lender choice conflict’. (ASIC 2017, p. 10) </w:t>
      </w:r>
    </w:p>
    <w:p w14:paraId="7B967B7B" w14:textId="60FFAA1E" w:rsidR="003F0E84" w:rsidRPr="00F23ED1" w:rsidRDefault="003F0E84" w:rsidP="003F0E84">
      <w:pPr>
        <w:pStyle w:val="BodyText"/>
        <w:ind w:left="227"/>
        <w:rPr>
          <w:i/>
          <w:iCs/>
        </w:rPr>
      </w:pPr>
      <w:r w:rsidRPr="00F23ED1">
        <w:rPr>
          <w:i/>
          <w:iCs/>
        </w:rPr>
        <w:t>These structures — with their associated reduced benefits of competition for consumers — remain in place, following the abandonment of a slated ACCC review.</w:t>
      </w:r>
    </w:p>
    <w:p w14:paraId="7FB367E7" w14:textId="596F724C" w:rsidR="00AD7443" w:rsidRDefault="007D25CC" w:rsidP="00AD7443">
      <w:pPr>
        <w:pStyle w:val="BodyText"/>
      </w:pPr>
      <w:r>
        <w:t>To reflect the current state of regulation, t</w:t>
      </w:r>
      <w:r w:rsidR="00AC51E7">
        <w:t xml:space="preserve">he Commission has amended this </w:t>
      </w:r>
      <w:r>
        <w:t>section</w:t>
      </w:r>
      <w:r w:rsidR="000B0847">
        <w:t xml:space="preserve"> </w:t>
      </w:r>
      <w:r w:rsidR="00AD7443">
        <w:t>as follows</w:t>
      </w:r>
      <w:r>
        <w:t>:</w:t>
      </w:r>
    </w:p>
    <w:p w14:paraId="5965C27F" w14:textId="5A92E7F5" w:rsidR="00E26BA7" w:rsidRPr="00D47D6A" w:rsidRDefault="00E175EE" w:rsidP="00E175EE">
      <w:pPr>
        <w:pStyle w:val="BodyText"/>
        <w:ind w:left="227"/>
        <w:rPr>
          <w:i/>
          <w:iCs/>
        </w:rPr>
      </w:pPr>
      <w:r w:rsidRPr="00E175EE">
        <w:rPr>
          <w:i/>
          <w:iCs/>
        </w:rPr>
        <w:t>In some cases, regulation has yet to catch up with developments that reduce the benefits of competition for consumers. For example, incentive structures for brokers in the home loan market, which include trail commissions and ‘clawback’ of commissions, create conflicting incentives (PC 2018, pp. 324–331). Following a Royal Commission into Financial Sector Reform, a range of regulatory changes were implemented, including a best interest obligation for mortgage brokers. However, it remains to be seen whether this will be sufficient, given both trail commissions and clawback structures remain in place, following the abandonment of a slated ACCC review.</w:t>
      </w:r>
    </w:p>
    <w:sectPr w:rsidR="00E26BA7" w:rsidRPr="00D47D6A" w:rsidSect="002E3F19">
      <w:headerReference w:type="even" r:id="rId13"/>
      <w:headerReference w:type="default" r:id="rId14"/>
      <w:footerReference w:type="even" r:id="rId15"/>
      <w:footerReference w:type="default" r:id="rId16"/>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8458" w14:textId="77777777" w:rsidR="005F1510" w:rsidRDefault="005F1510" w:rsidP="008017BC">
      <w:r>
        <w:separator/>
      </w:r>
    </w:p>
    <w:p w14:paraId="6F39EC32" w14:textId="77777777" w:rsidR="005F1510" w:rsidRDefault="005F1510"/>
  </w:endnote>
  <w:endnote w:type="continuationSeparator" w:id="0">
    <w:p w14:paraId="288C732C" w14:textId="77777777" w:rsidR="005F1510" w:rsidRDefault="005F1510" w:rsidP="008017BC">
      <w:r>
        <w:continuationSeparator/>
      </w:r>
    </w:p>
    <w:p w14:paraId="2F2B28DD" w14:textId="77777777" w:rsidR="005F1510" w:rsidRDefault="005F1510"/>
  </w:endnote>
  <w:endnote w:type="continuationNotice" w:id="1">
    <w:p w14:paraId="0B8ED6D6" w14:textId="77777777" w:rsidR="005F1510" w:rsidRDefault="005F15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38C8"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8436027"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71C" w14:textId="77777777" w:rsidR="005F1510" w:rsidRPr="00C238D1" w:rsidRDefault="005F1510" w:rsidP="00273E86">
      <w:pPr>
        <w:spacing w:after="0" w:line="240" w:lineRule="auto"/>
        <w:rPr>
          <w:rStyle w:val="ColourDarkBlue"/>
        </w:rPr>
      </w:pPr>
      <w:r w:rsidRPr="00C238D1">
        <w:rPr>
          <w:rStyle w:val="ColourDarkBlue"/>
        </w:rPr>
        <w:continuationSeparator/>
      </w:r>
    </w:p>
  </w:footnote>
  <w:footnote w:type="continuationSeparator" w:id="0">
    <w:p w14:paraId="707D26A6" w14:textId="77777777" w:rsidR="005F1510" w:rsidRPr="001D7D9B" w:rsidRDefault="005F1510" w:rsidP="001D7D9B">
      <w:pPr>
        <w:spacing w:after="0" w:line="240" w:lineRule="auto"/>
        <w:rPr>
          <w:color w:val="265A9A" w:themeColor="background2"/>
        </w:rPr>
      </w:pPr>
      <w:r w:rsidRPr="00C238D1">
        <w:rPr>
          <w:rStyle w:val="ColourDarkBlue"/>
        </w:rPr>
        <w:continuationSeparator/>
      </w:r>
    </w:p>
  </w:footnote>
  <w:footnote w:type="continuationNotice" w:id="1">
    <w:p w14:paraId="287662C5" w14:textId="77777777" w:rsidR="005F1510" w:rsidRDefault="005F1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D3CC" w14:textId="394C1176" w:rsidR="00F173EF" w:rsidRDefault="00F80160" w:rsidP="00F173EF">
    <w:pPr>
      <w:pStyle w:val="Header-Keyline"/>
    </w:pPr>
    <w:sdt>
      <w:sdtPr>
        <w:rPr>
          <w:rStyle w:val="Strong"/>
        </w:rPr>
        <w:alias w:val="Title"/>
        <w:tag w:val=""/>
        <w:id w:val="-1701777645"/>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3E2C84">
          <w:rPr>
            <w:rStyle w:val="Strong"/>
          </w:rPr>
          <w:t>Errata - Inquiry Report - 5-year Productivity Inquiry</w:t>
        </w:r>
      </w:sdtContent>
    </w:sdt>
    <w:r w:rsidR="00F173EF">
      <w:t xml:space="preserve"> </w:t>
    </w:r>
    <w:proofErr w:type="spellStart"/>
    <w:r w:rsidR="00F173EF">
      <w:t>Inquiry</w:t>
    </w:r>
    <w:proofErr w:type="spellEnd"/>
    <w:r w:rsidR="00F173EF">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076" w14:textId="5064CA2B" w:rsidR="00F173EF" w:rsidRDefault="00F118D5" w:rsidP="00F173EF">
    <w:pPr>
      <w:pStyle w:val="Header-KeylineRight"/>
    </w:pPr>
    <w:r>
      <w:rPr>
        <w:b/>
        <w:bCs/>
        <w:szCs w:val="16"/>
      </w:rPr>
      <w:t xml:space="preserve">5-year Productivity Inquiry: Advancing Prosperity </w:t>
    </w:r>
    <w:r>
      <w:rPr>
        <w:szCs w:val="16"/>
      </w:rPr>
      <w:t>Inquiry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7CA89A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761B4A1B"/>
    <w:multiLevelType w:val="multilevel"/>
    <w:tmpl w:val="4F48000A"/>
    <w:numStyleLink w:val="Alphalist"/>
  </w:abstractNum>
  <w:num w:numId="1" w16cid:durableId="1811165455">
    <w:abstractNumId w:val="7"/>
  </w:num>
  <w:num w:numId="2" w16cid:durableId="1604610270">
    <w:abstractNumId w:val="3"/>
  </w:num>
  <w:num w:numId="3" w16cid:durableId="1299995429">
    <w:abstractNumId w:val="10"/>
  </w:num>
  <w:num w:numId="4" w16cid:durableId="1630042642">
    <w:abstractNumId w:val="15"/>
  </w:num>
  <w:num w:numId="5" w16cid:durableId="1367634741">
    <w:abstractNumId w:val="16"/>
  </w:num>
  <w:num w:numId="6" w16cid:durableId="1818296695">
    <w:abstractNumId w:val="14"/>
  </w:num>
  <w:num w:numId="7" w16cid:durableId="251285191">
    <w:abstractNumId w:val="12"/>
  </w:num>
  <w:num w:numId="8" w16cid:durableId="168064991">
    <w:abstractNumId w:val="8"/>
  </w:num>
  <w:num w:numId="9" w16cid:durableId="335688969">
    <w:abstractNumId w:val="11"/>
  </w:num>
  <w:num w:numId="10" w16cid:durableId="1538591236">
    <w:abstractNumId w:val="17"/>
  </w:num>
  <w:num w:numId="11" w16cid:durableId="115300662">
    <w:abstractNumId w:val="0"/>
  </w:num>
  <w:num w:numId="12" w16cid:durableId="1949313675">
    <w:abstractNumId w:val="4"/>
  </w:num>
  <w:num w:numId="13" w16cid:durableId="267086269">
    <w:abstractNumId w:val="9"/>
  </w:num>
  <w:num w:numId="14" w16cid:durableId="241913712">
    <w:abstractNumId w:val="6"/>
  </w:num>
  <w:num w:numId="15" w16cid:durableId="647439800">
    <w:abstractNumId w:val="2"/>
  </w:num>
  <w:num w:numId="16" w16cid:durableId="513619038">
    <w:abstractNumId w:val="13"/>
  </w:num>
  <w:num w:numId="17" w16cid:durableId="1786339460">
    <w:abstractNumId w:val="5"/>
  </w:num>
  <w:num w:numId="18" w16cid:durableId="105493515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A7"/>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0847"/>
    <w:rsid w:val="000B497F"/>
    <w:rsid w:val="000B4A72"/>
    <w:rsid w:val="000B5105"/>
    <w:rsid w:val="000C6B77"/>
    <w:rsid w:val="000E43B0"/>
    <w:rsid w:val="000F4488"/>
    <w:rsid w:val="000F58AA"/>
    <w:rsid w:val="00100FAB"/>
    <w:rsid w:val="0011217E"/>
    <w:rsid w:val="00112E8F"/>
    <w:rsid w:val="00120792"/>
    <w:rsid w:val="001268BC"/>
    <w:rsid w:val="0013722E"/>
    <w:rsid w:val="00137FAB"/>
    <w:rsid w:val="00154E0D"/>
    <w:rsid w:val="001600E9"/>
    <w:rsid w:val="00160FEC"/>
    <w:rsid w:val="001610E5"/>
    <w:rsid w:val="00161BC8"/>
    <w:rsid w:val="001714F3"/>
    <w:rsid w:val="00182A32"/>
    <w:rsid w:val="00187F05"/>
    <w:rsid w:val="001957BF"/>
    <w:rsid w:val="001A0D77"/>
    <w:rsid w:val="001A196A"/>
    <w:rsid w:val="001A1D95"/>
    <w:rsid w:val="001A2565"/>
    <w:rsid w:val="001A37A2"/>
    <w:rsid w:val="001A7CE7"/>
    <w:rsid w:val="001B1762"/>
    <w:rsid w:val="001B17AC"/>
    <w:rsid w:val="001B588D"/>
    <w:rsid w:val="001B69BF"/>
    <w:rsid w:val="001C7835"/>
    <w:rsid w:val="001D4050"/>
    <w:rsid w:val="001D7D9B"/>
    <w:rsid w:val="001E557E"/>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4712A"/>
    <w:rsid w:val="00251245"/>
    <w:rsid w:val="00251CA2"/>
    <w:rsid w:val="002601BB"/>
    <w:rsid w:val="00265918"/>
    <w:rsid w:val="00270834"/>
    <w:rsid w:val="00273E86"/>
    <w:rsid w:val="002814E6"/>
    <w:rsid w:val="00281A54"/>
    <w:rsid w:val="00282AE5"/>
    <w:rsid w:val="00286688"/>
    <w:rsid w:val="00287114"/>
    <w:rsid w:val="002936B4"/>
    <w:rsid w:val="002951E6"/>
    <w:rsid w:val="00295330"/>
    <w:rsid w:val="002B0577"/>
    <w:rsid w:val="002C797E"/>
    <w:rsid w:val="002D50CB"/>
    <w:rsid w:val="002E3F19"/>
    <w:rsid w:val="002E51D2"/>
    <w:rsid w:val="002E7596"/>
    <w:rsid w:val="002E7A0E"/>
    <w:rsid w:val="002E7EFA"/>
    <w:rsid w:val="002F6386"/>
    <w:rsid w:val="002F7FDB"/>
    <w:rsid w:val="00303704"/>
    <w:rsid w:val="00305171"/>
    <w:rsid w:val="00323400"/>
    <w:rsid w:val="00326A36"/>
    <w:rsid w:val="00336ECB"/>
    <w:rsid w:val="00342CC5"/>
    <w:rsid w:val="0034680A"/>
    <w:rsid w:val="00354696"/>
    <w:rsid w:val="0035519A"/>
    <w:rsid w:val="0036059A"/>
    <w:rsid w:val="00363FF8"/>
    <w:rsid w:val="003640E1"/>
    <w:rsid w:val="00375DDF"/>
    <w:rsid w:val="00376491"/>
    <w:rsid w:val="0037721D"/>
    <w:rsid w:val="0038102A"/>
    <w:rsid w:val="003833B4"/>
    <w:rsid w:val="0038692C"/>
    <w:rsid w:val="003949A1"/>
    <w:rsid w:val="003A743E"/>
    <w:rsid w:val="003A7ADE"/>
    <w:rsid w:val="003B2A34"/>
    <w:rsid w:val="003B6E2C"/>
    <w:rsid w:val="003B7858"/>
    <w:rsid w:val="003B7DB1"/>
    <w:rsid w:val="003C01D4"/>
    <w:rsid w:val="003C2CC3"/>
    <w:rsid w:val="003C69BF"/>
    <w:rsid w:val="003D09EE"/>
    <w:rsid w:val="003D23A3"/>
    <w:rsid w:val="003D5856"/>
    <w:rsid w:val="003E2C84"/>
    <w:rsid w:val="003E6055"/>
    <w:rsid w:val="003F0E84"/>
    <w:rsid w:val="003F6F1A"/>
    <w:rsid w:val="0040060F"/>
    <w:rsid w:val="00404E4F"/>
    <w:rsid w:val="004064F7"/>
    <w:rsid w:val="00415A0E"/>
    <w:rsid w:val="00420F0E"/>
    <w:rsid w:val="0042339A"/>
    <w:rsid w:val="00423B15"/>
    <w:rsid w:val="00424CB8"/>
    <w:rsid w:val="0042508F"/>
    <w:rsid w:val="0043326D"/>
    <w:rsid w:val="004379C2"/>
    <w:rsid w:val="004400E8"/>
    <w:rsid w:val="00450C80"/>
    <w:rsid w:val="004544D6"/>
    <w:rsid w:val="00461CE9"/>
    <w:rsid w:val="00462407"/>
    <w:rsid w:val="004631DD"/>
    <w:rsid w:val="004635FD"/>
    <w:rsid w:val="00470129"/>
    <w:rsid w:val="004720DE"/>
    <w:rsid w:val="004728A0"/>
    <w:rsid w:val="004738B0"/>
    <w:rsid w:val="004742DD"/>
    <w:rsid w:val="00475231"/>
    <w:rsid w:val="00480F26"/>
    <w:rsid w:val="00484E96"/>
    <w:rsid w:val="00496700"/>
    <w:rsid w:val="004A2FB8"/>
    <w:rsid w:val="004A5586"/>
    <w:rsid w:val="004B1531"/>
    <w:rsid w:val="004B609E"/>
    <w:rsid w:val="004C30F7"/>
    <w:rsid w:val="004C34D2"/>
    <w:rsid w:val="004C4823"/>
    <w:rsid w:val="004E1233"/>
    <w:rsid w:val="004E28C6"/>
    <w:rsid w:val="004E6DE1"/>
    <w:rsid w:val="004F10E0"/>
    <w:rsid w:val="004F138F"/>
    <w:rsid w:val="004F2D0A"/>
    <w:rsid w:val="004F420C"/>
    <w:rsid w:val="00500123"/>
    <w:rsid w:val="0050670B"/>
    <w:rsid w:val="00511B29"/>
    <w:rsid w:val="005124ED"/>
    <w:rsid w:val="005141E8"/>
    <w:rsid w:val="00516A89"/>
    <w:rsid w:val="00517257"/>
    <w:rsid w:val="005228E5"/>
    <w:rsid w:val="00527A18"/>
    <w:rsid w:val="00536740"/>
    <w:rsid w:val="00540B70"/>
    <w:rsid w:val="00546BA3"/>
    <w:rsid w:val="00550C99"/>
    <w:rsid w:val="00553413"/>
    <w:rsid w:val="00555AB2"/>
    <w:rsid w:val="00561129"/>
    <w:rsid w:val="00562410"/>
    <w:rsid w:val="00571371"/>
    <w:rsid w:val="00571C54"/>
    <w:rsid w:val="005754AB"/>
    <w:rsid w:val="005826F4"/>
    <w:rsid w:val="0058369E"/>
    <w:rsid w:val="00583920"/>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E4470"/>
    <w:rsid w:val="005E5794"/>
    <w:rsid w:val="005F1510"/>
    <w:rsid w:val="00603FD5"/>
    <w:rsid w:val="00607F03"/>
    <w:rsid w:val="00610627"/>
    <w:rsid w:val="00610F6C"/>
    <w:rsid w:val="00616DC8"/>
    <w:rsid w:val="00620548"/>
    <w:rsid w:val="00624B90"/>
    <w:rsid w:val="00627DC0"/>
    <w:rsid w:val="00630F02"/>
    <w:rsid w:val="006475BD"/>
    <w:rsid w:val="006527FF"/>
    <w:rsid w:val="00656A8A"/>
    <w:rsid w:val="00662209"/>
    <w:rsid w:val="00681434"/>
    <w:rsid w:val="0068724F"/>
    <w:rsid w:val="0069155D"/>
    <w:rsid w:val="006A1DEF"/>
    <w:rsid w:val="006A7069"/>
    <w:rsid w:val="006C36D5"/>
    <w:rsid w:val="006C4AF4"/>
    <w:rsid w:val="006C4C82"/>
    <w:rsid w:val="006D095B"/>
    <w:rsid w:val="006D3F2F"/>
    <w:rsid w:val="006D4F09"/>
    <w:rsid w:val="006D5F4F"/>
    <w:rsid w:val="006E3536"/>
    <w:rsid w:val="006F43FA"/>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7F5"/>
    <w:rsid w:val="00762F69"/>
    <w:rsid w:val="00764FE1"/>
    <w:rsid w:val="007669DE"/>
    <w:rsid w:val="00767EAE"/>
    <w:rsid w:val="00770DB0"/>
    <w:rsid w:val="00773783"/>
    <w:rsid w:val="00775165"/>
    <w:rsid w:val="00782D8B"/>
    <w:rsid w:val="0078533C"/>
    <w:rsid w:val="00793BE5"/>
    <w:rsid w:val="007A0363"/>
    <w:rsid w:val="007C3475"/>
    <w:rsid w:val="007C475F"/>
    <w:rsid w:val="007D1569"/>
    <w:rsid w:val="007D1D20"/>
    <w:rsid w:val="007D25CC"/>
    <w:rsid w:val="007D25EB"/>
    <w:rsid w:val="007E1A38"/>
    <w:rsid w:val="007E4D9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5F5"/>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6F83"/>
    <w:rsid w:val="008B05C3"/>
    <w:rsid w:val="008B4965"/>
    <w:rsid w:val="008B78B1"/>
    <w:rsid w:val="008C1CCF"/>
    <w:rsid w:val="008D19FD"/>
    <w:rsid w:val="008D1ABD"/>
    <w:rsid w:val="008D3A0D"/>
    <w:rsid w:val="008D7D89"/>
    <w:rsid w:val="008E139D"/>
    <w:rsid w:val="008E25D6"/>
    <w:rsid w:val="008E7BD4"/>
    <w:rsid w:val="008F0A95"/>
    <w:rsid w:val="008F567D"/>
    <w:rsid w:val="008F6884"/>
    <w:rsid w:val="008F6F1A"/>
    <w:rsid w:val="008F7897"/>
    <w:rsid w:val="0090137A"/>
    <w:rsid w:val="00903370"/>
    <w:rsid w:val="0091349A"/>
    <w:rsid w:val="00914399"/>
    <w:rsid w:val="0091530C"/>
    <w:rsid w:val="009158BF"/>
    <w:rsid w:val="009273D2"/>
    <w:rsid w:val="00933E08"/>
    <w:rsid w:val="009342FC"/>
    <w:rsid w:val="00936068"/>
    <w:rsid w:val="00943806"/>
    <w:rsid w:val="00946351"/>
    <w:rsid w:val="009517CC"/>
    <w:rsid w:val="009615D4"/>
    <w:rsid w:val="00962905"/>
    <w:rsid w:val="00967D30"/>
    <w:rsid w:val="00970A20"/>
    <w:rsid w:val="0097163D"/>
    <w:rsid w:val="009721F8"/>
    <w:rsid w:val="00974677"/>
    <w:rsid w:val="00976023"/>
    <w:rsid w:val="00980461"/>
    <w:rsid w:val="009864AF"/>
    <w:rsid w:val="009901F4"/>
    <w:rsid w:val="00993772"/>
    <w:rsid w:val="009969C3"/>
    <w:rsid w:val="009A2F17"/>
    <w:rsid w:val="009A3C2B"/>
    <w:rsid w:val="009B09C4"/>
    <w:rsid w:val="009C6075"/>
    <w:rsid w:val="009D24F5"/>
    <w:rsid w:val="009E19A3"/>
    <w:rsid w:val="009E2BF5"/>
    <w:rsid w:val="009E4DC0"/>
    <w:rsid w:val="009E61A8"/>
    <w:rsid w:val="00A0757A"/>
    <w:rsid w:val="00A10DDF"/>
    <w:rsid w:val="00A128B7"/>
    <w:rsid w:val="00A13664"/>
    <w:rsid w:val="00A416AD"/>
    <w:rsid w:val="00A471AE"/>
    <w:rsid w:val="00A50CD9"/>
    <w:rsid w:val="00A51374"/>
    <w:rsid w:val="00A5529A"/>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3569"/>
    <w:rsid w:val="00AB10F4"/>
    <w:rsid w:val="00AB2D17"/>
    <w:rsid w:val="00AB34AD"/>
    <w:rsid w:val="00AB46E2"/>
    <w:rsid w:val="00AC4F7C"/>
    <w:rsid w:val="00AC51E7"/>
    <w:rsid w:val="00AC587D"/>
    <w:rsid w:val="00AD0C24"/>
    <w:rsid w:val="00AD1AA2"/>
    <w:rsid w:val="00AD7443"/>
    <w:rsid w:val="00AD7A30"/>
    <w:rsid w:val="00AE528A"/>
    <w:rsid w:val="00AF28A2"/>
    <w:rsid w:val="00AF3BD9"/>
    <w:rsid w:val="00AF479F"/>
    <w:rsid w:val="00B044BC"/>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1D70"/>
    <w:rsid w:val="00BC6606"/>
    <w:rsid w:val="00BC7C1B"/>
    <w:rsid w:val="00BD190D"/>
    <w:rsid w:val="00BF0EF2"/>
    <w:rsid w:val="00BF11A0"/>
    <w:rsid w:val="00BF68C8"/>
    <w:rsid w:val="00C016A3"/>
    <w:rsid w:val="00C01E68"/>
    <w:rsid w:val="00C047D1"/>
    <w:rsid w:val="00C11924"/>
    <w:rsid w:val="00C137B1"/>
    <w:rsid w:val="00C14016"/>
    <w:rsid w:val="00C17B40"/>
    <w:rsid w:val="00C221A0"/>
    <w:rsid w:val="00C238D1"/>
    <w:rsid w:val="00C25C46"/>
    <w:rsid w:val="00C31E23"/>
    <w:rsid w:val="00C326F9"/>
    <w:rsid w:val="00C36FFC"/>
    <w:rsid w:val="00C37A29"/>
    <w:rsid w:val="00C44E85"/>
    <w:rsid w:val="00C70D80"/>
    <w:rsid w:val="00C70EFC"/>
    <w:rsid w:val="00C71688"/>
    <w:rsid w:val="00C75C56"/>
    <w:rsid w:val="00C932F3"/>
    <w:rsid w:val="00CA0B3F"/>
    <w:rsid w:val="00CA1400"/>
    <w:rsid w:val="00CB01F1"/>
    <w:rsid w:val="00CC3DE4"/>
    <w:rsid w:val="00CC459B"/>
    <w:rsid w:val="00CC5F5B"/>
    <w:rsid w:val="00CD0ECA"/>
    <w:rsid w:val="00CD61EB"/>
    <w:rsid w:val="00CD7F44"/>
    <w:rsid w:val="00CE3293"/>
    <w:rsid w:val="00CE43AF"/>
    <w:rsid w:val="00CE4D3A"/>
    <w:rsid w:val="00CE64FD"/>
    <w:rsid w:val="00CE7236"/>
    <w:rsid w:val="00CF02F0"/>
    <w:rsid w:val="00CF4BC6"/>
    <w:rsid w:val="00CF7F06"/>
    <w:rsid w:val="00D01615"/>
    <w:rsid w:val="00D02433"/>
    <w:rsid w:val="00D0352E"/>
    <w:rsid w:val="00D057EF"/>
    <w:rsid w:val="00D10F14"/>
    <w:rsid w:val="00D15113"/>
    <w:rsid w:val="00D15B7C"/>
    <w:rsid w:val="00D15B7D"/>
    <w:rsid w:val="00D16F74"/>
    <w:rsid w:val="00D23225"/>
    <w:rsid w:val="00D23E87"/>
    <w:rsid w:val="00D30791"/>
    <w:rsid w:val="00D31E3E"/>
    <w:rsid w:val="00D330CA"/>
    <w:rsid w:val="00D3316D"/>
    <w:rsid w:val="00D37882"/>
    <w:rsid w:val="00D42D28"/>
    <w:rsid w:val="00D46FD9"/>
    <w:rsid w:val="00D47D6A"/>
    <w:rsid w:val="00D572EB"/>
    <w:rsid w:val="00D60649"/>
    <w:rsid w:val="00D61E88"/>
    <w:rsid w:val="00D6650A"/>
    <w:rsid w:val="00D8356A"/>
    <w:rsid w:val="00D83923"/>
    <w:rsid w:val="00D9419D"/>
    <w:rsid w:val="00D96F65"/>
    <w:rsid w:val="00DA136C"/>
    <w:rsid w:val="00DA3017"/>
    <w:rsid w:val="00DA5484"/>
    <w:rsid w:val="00DB0495"/>
    <w:rsid w:val="00DB7E8D"/>
    <w:rsid w:val="00DC1012"/>
    <w:rsid w:val="00DC18D8"/>
    <w:rsid w:val="00DC1B37"/>
    <w:rsid w:val="00DC5DFF"/>
    <w:rsid w:val="00DC74CB"/>
    <w:rsid w:val="00DD134A"/>
    <w:rsid w:val="00DD2325"/>
    <w:rsid w:val="00DD6473"/>
    <w:rsid w:val="00DE1576"/>
    <w:rsid w:val="00DF182D"/>
    <w:rsid w:val="00DF4E3E"/>
    <w:rsid w:val="00DF57D9"/>
    <w:rsid w:val="00DF60B9"/>
    <w:rsid w:val="00DF63B7"/>
    <w:rsid w:val="00E010CD"/>
    <w:rsid w:val="00E0453D"/>
    <w:rsid w:val="00E05FA6"/>
    <w:rsid w:val="00E0799F"/>
    <w:rsid w:val="00E10771"/>
    <w:rsid w:val="00E122AD"/>
    <w:rsid w:val="00E15A2F"/>
    <w:rsid w:val="00E175EE"/>
    <w:rsid w:val="00E25474"/>
    <w:rsid w:val="00E26BA7"/>
    <w:rsid w:val="00E32EE5"/>
    <w:rsid w:val="00E32F93"/>
    <w:rsid w:val="00E379F7"/>
    <w:rsid w:val="00E47107"/>
    <w:rsid w:val="00E54ACD"/>
    <w:rsid w:val="00E54B2B"/>
    <w:rsid w:val="00E57245"/>
    <w:rsid w:val="00E61632"/>
    <w:rsid w:val="00E70DD7"/>
    <w:rsid w:val="00E72EE0"/>
    <w:rsid w:val="00E741FB"/>
    <w:rsid w:val="00E7462C"/>
    <w:rsid w:val="00E7478D"/>
    <w:rsid w:val="00E91A7E"/>
    <w:rsid w:val="00E91FED"/>
    <w:rsid w:val="00EA1943"/>
    <w:rsid w:val="00EB150E"/>
    <w:rsid w:val="00EB3F9D"/>
    <w:rsid w:val="00EB5DC6"/>
    <w:rsid w:val="00EC7017"/>
    <w:rsid w:val="00ED4983"/>
    <w:rsid w:val="00ED5A87"/>
    <w:rsid w:val="00EE6F14"/>
    <w:rsid w:val="00EF3F23"/>
    <w:rsid w:val="00EF6C20"/>
    <w:rsid w:val="00F049DB"/>
    <w:rsid w:val="00F04EA7"/>
    <w:rsid w:val="00F118D5"/>
    <w:rsid w:val="00F162D4"/>
    <w:rsid w:val="00F173EF"/>
    <w:rsid w:val="00F2058B"/>
    <w:rsid w:val="00F23ED1"/>
    <w:rsid w:val="00F25AE6"/>
    <w:rsid w:val="00F3209B"/>
    <w:rsid w:val="00F3214C"/>
    <w:rsid w:val="00F33F8D"/>
    <w:rsid w:val="00F37CB6"/>
    <w:rsid w:val="00F37F65"/>
    <w:rsid w:val="00F4010B"/>
    <w:rsid w:val="00F46E42"/>
    <w:rsid w:val="00F4702C"/>
    <w:rsid w:val="00F505B8"/>
    <w:rsid w:val="00F53EFE"/>
    <w:rsid w:val="00F56BC3"/>
    <w:rsid w:val="00F60BA2"/>
    <w:rsid w:val="00F634F6"/>
    <w:rsid w:val="00F77B4D"/>
    <w:rsid w:val="00F80160"/>
    <w:rsid w:val="00F83C5C"/>
    <w:rsid w:val="00F87B07"/>
    <w:rsid w:val="00F94880"/>
    <w:rsid w:val="00FA33D2"/>
    <w:rsid w:val="00FB016C"/>
    <w:rsid w:val="00FB05F4"/>
    <w:rsid w:val="00FB4E93"/>
    <w:rsid w:val="00FC2D8B"/>
    <w:rsid w:val="00FD3306"/>
    <w:rsid w:val="00FD36B1"/>
    <w:rsid w:val="00FD3FE4"/>
    <w:rsid w:val="00FD4293"/>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FFBD"/>
  <w15:chartTrackingRefBased/>
  <w15:docId w15:val="{5221AC60-D5D1-40E5-BCE1-257A87A6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1"/>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1"/>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99"/>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1"/>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1"/>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6915ade7e8b42b3b59877d9786adf75d">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9fd06c51c97b91089fa3dc2e8b14133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chapter","templateDescription":"","enableDocumentContentUpdater":false,"version":"2.0"}]]></TemplafyTemplateConfiguration>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A7126734-F864-4865-BB70-4ED821B7024D}">
  <ds:schemaRefs>
    <ds:schemaRef ds:uri="http://www.w3.org/XML/1998/namespace"/>
    <ds:schemaRef ds:uri="http://purl.org/dc/dcmitype/"/>
    <ds:schemaRef ds:uri="http://schemas.microsoft.com/office/2006/documentManagement/types"/>
    <ds:schemaRef ds:uri="8863fef4-a928-4b42-80f7-22702e616c5c"/>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2167780-d458-4e20-a521-cd369a511d6e"/>
    <ds:schemaRef ds:uri="http://purl.org/dc/te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AE9062A9-357C-4AA2-8832-2067E6CA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BAD4-527A-467C-BE16-A94A40AB78D7}">
  <ds:schemaRefs>
    <ds:schemaRef ds:uri="http://schemas.microsoft.com/sharepoint/v3/contenttype/forms"/>
  </ds:schemaRefs>
</ds:datastoreItem>
</file>

<file path=customXml/itemProps6.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chapter</Template>
  <TotalTime>91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Errata - Inquiry Report - 5-year Productivity Inquiry</vt:lpstr>
    </vt:vector>
  </TitlesOfParts>
  <Company>Productivity Commission</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 - Inquiry Report - 5-year Productivity Inquiry</dc:title>
  <dc:subject/>
  <dc:creator>Productivity Commission</dc:creator>
  <cp:keywords/>
  <dc:description/>
  <cp:lastModifiedBy>Chris Alston</cp:lastModifiedBy>
  <cp:revision>35</cp:revision>
  <dcterms:created xsi:type="dcterms:W3CDTF">2023-07-27T05:16:00Z</dcterms:created>
  <dcterms:modified xsi:type="dcterms:W3CDTF">2023-07-28T05:14:00Z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0x010100BA39D53A6EC3464A8EC21955720B744F</vt:lpwstr>
  </property>
  <property fmtid="{D5CDD505-2E9C-101B-9397-08002B2CF9AE}" pid="7" name="RevIMBCS">
    <vt:lpwstr>1;#Unclassified|3955eeb1-2d18-4582-aeb2-00144ec3aaf5</vt:lpwstr>
  </property>
</Properties>
</file>