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EA57E" w14:textId="77777777" w:rsidR="00BF738A" w:rsidRDefault="009848AD" w:rsidP="00F67BF1">
      <w:pPr>
        <w:pStyle w:val="Heading1"/>
        <w:spacing w:before="720"/>
      </w:pPr>
      <w:r>
        <w:t>Competition, dynamism and investment</w:t>
      </w:r>
    </w:p>
    <w:p w14:paraId="4FAF394A" w14:textId="1FD87887" w:rsidR="009848AD" w:rsidRPr="00E862A9" w:rsidRDefault="009848AD" w:rsidP="009848AD">
      <w:pPr>
        <w:spacing w:before="120" w:after="120" w:line="280" w:lineRule="atLeast"/>
        <w:rPr>
          <w:rFonts w:ascii="Arial" w:eastAsia="Arial" w:hAnsi="Arial" w:cs="Times New Roman"/>
          <w:spacing w:val="-4"/>
          <w:sz w:val="20"/>
          <w:szCs w:val="20"/>
        </w:rPr>
      </w:pPr>
      <w:r w:rsidRPr="00E862A9">
        <w:rPr>
          <w:rFonts w:ascii="Arial" w:eastAsia="Arial" w:hAnsi="Arial" w:cs="Times New Roman"/>
          <w:spacing w:val="-4"/>
          <w:sz w:val="20"/>
          <w:szCs w:val="20"/>
        </w:rPr>
        <w:t>Well</w:t>
      </w:r>
      <w:r w:rsidRPr="00E862A9">
        <w:rPr>
          <w:rFonts w:ascii="Arial" w:eastAsia="Arial" w:hAnsi="Arial" w:cs="Times New Roman"/>
          <w:spacing w:val="-4"/>
          <w:sz w:val="20"/>
          <w:szCs w:val="20"/>
        </w:rPr>
        <w:noBreakHyphen/>
        <w:t xml:space="preserve">established policy and regulatory principles can help </w:t>
      </w:r>
      <w:r w:rsidR="00D2770B" w:rsidRPr="00E862A9">
        <w:rPr>
          <w:rFonts w:ascii="Arial" w:eastAsia="Arial" w:hAnsi="Arial" w:cs="Times New Roman"/>
          <w:spacing w:val="-4"/>
          <w:sz w:val="20"/>
          <w:szCs w:val="20"/>
        </w:rPr>
        <w:t xml:space="preserve">make </w:t>
      </w:r>
      <w:r w:rsidR="001F3FA2" w:rsidRPr="00E862A9">
        <w:rPr>
          <w:rFonts w:ascii="Arial" w:eastAsia="Arial" w:hAnsi="Arial" w:cs="Times New Roman"/>
          <w:spacing w:val="-4"/>
          <w:sz w:val="20"/>
          <w:szCs w:val="20"/>
        </w:rPr>
        <w:t>the</w:t>
      </w:r>
      <w:r w:rsidR="00D2770B" w:rsidRPr="00E862A9">
        <w:rPr>
          <w:rFonts w:ascii="Arial" w:eastAsia="Arial" w:hAnsi="Arial" w:cs="Times New Roman"/>
          <w:spacing w:val="-4"/>
          <w:sz w:val="20"/>
          <w:szCs w:val="20"/>
        </w:rPr>
        <w:t xml:space="preserve"> </w:t>
      </w:r>
      <w:r w:rsidRPr="00E862A9">
        <w:rPr>
          <w:rFonts w:ascii="Arial" w:eastAsia="Arial" w:hAnsi="Arial" w:cs="Times New Roman"/>
          <w:spacing w:val="-4"/>
          <w:sz w:val="20"/>
          <w:szCs w:val="20"/>
        </w:rPr>
        <w:t>business environment more amenable to productivity growth. In part, this involves promoting contestability of markets and openness to global competition and investment. It</w:t>
      </w:r>
      <w:r w:rsidR="003463B7" w:rsidRPr="00E862A9">
        <w:rPr>
          <w:rFonts w:ascii="Arial" w:eastAsia="Arial" w:hAnsi="Arial" w:cs="Times New Roman"/>
          <w:spacing w:val="-4"/>
          <w:sz w:val="20"/>
          <w:szCs w:val="20"/>
        </w:rPr>
        <w:t xml:space="preserve"> also</w:t>
      </w:r>
      <w:r w:rsidRPr="00E862A9">
        <w:rPr>
          <w:rFonts w:ascii="Arial" w:eastAsia="Arial" w:hAnsi="Arial" w:cs="Times New Roman"/>
          <w:spacing w:val="-4"/>
          <w:sz w:val="20"/>
          <w:szCs w:val="20"/>
        </w:rPr>
        <w:t xml:space="preserve"> involves ensuring that </w:t>
      </w:r>
      <w:r w:rsidR="001F3FA2" w:rsidRPr="00E862A9">
        <w:rPr>
          <w:rFonts w:ascii="Arial" w:eastAsia="Arial" w:hAnsi="Arial" w:cs="Times New Roman"/>
          <w:spacing w:val="-4"/>
          <w:sz w:val="20"/>
          <w:szCs w:val="20"/>
        </w:rPr>
        <w:t xml:space="preserve">market </w:t>
      </w:r>
      <w:r w:rsidRPr="00E862A9">
        <w:rPr>
          <w:rFonts w:ascii="Arial" w:eastAsia="Arial" w:hAnsi="Arial" w:cs="Times New Roman"/>
          <w:spacing w:val="-4"/>
          <w:sz w:val="20"/>
          <w:szCs w:val="20"/>
        </w:rPr>
        <w:t xml:space="preserve">prices </w:t>
      </w:r>
      <w:r w:rsidR="007845C6" w:rsidRPr="00E862A9">
        <w:rPr>
          <w:rFonts w:ascii="Arial" w:eastAsia="Arial" w:hAnsi="Arial" w:cs="Times New Roman"/>
          <w:spacing w:val="-4"/>
          <w:sz w:val="20"/>
          <w:szCs w:val="20"/>
        </w:rPr>
        <w:t>can</w:t>
      </w:r>
      <w:r w:rsidR="001F3FA2" w:rsidRPr="00E862A9">
        <w:rPr>
          <w:rFonts w:ascii="Arial" w:eastAsia="Arial" w:hAnsi="Arial" w:cs="Times New Roman"/>
          <w:spacing w:val="-4"/>
          <w:sz w:val="20"/>
          <w:szCs w:val="20"/>
        </w:rPr>
        <w:t xml:space="preserve"> </w:t>
      </w:r>
      <w:r w:rsidRPr="00E862A9">
        <w:rPr>
          <w:rFonts w:ascii="Arial" w:eastAsia="Arial" w:hAnsi="Arial" w:cs="Times New Roman"/>
          <w:spacing w:val="-4"/>
          <w:sz w:val="20"/>
          <w:szCs w:val="20"/>
        </w:rPr>
        <w:t xml:space="preserve">reflect </w:t>
      </w:r>
      <w:r w:rsidR="001F3FA2" w:rsidRPr="00E862A9">
        <w:rPr>
          <w:rFonts w:ascii="Arial" w:eastAsia="Arial" w:hAnsi="Arial" w:cs="Times New Roman"/>
          <w:spacing w:val="-4"/>
          <w:sz w:val="20"/>
          <w:szCs w:val="20"/>
        </w:rPr>
        <w:t>both supply costs</w:t>
      </w:r>
      <w:r w:rsidR="007845C6" w:rsidRPr="00E862A9">
        <w:rPr>
          <w:rFonts w:ascii="Arial" w:eastAsia="Arial" w:hAnsi="Arial" w:cs="Times New Roman"/>
          <w:spacing w:val="-4"/>
          <w:sz w:val="20"/>
          <w:szCs w:val="20"/>
        </w:rPr>
        <w:t xml:space="preserve"> (</w:t>
      </w:r>
      <w:r w:rsidR="001F3FA2" w:rsidRPr="00E862A9">
        <w:rPr>
          <w:rFonts w:ascii="Arial" w:eastAsia="Arial" w:hAnsi="Arial" w:cs="Times New Roman"/>
          <w:spacing w:val="-4"/>
          <w:sz w:val="20"/>
          <w:szCs w:val="20"/>
        </w:rPr>
        <w:t>including</w:t>
      </w:r>
      <w:r w:rsidRPr="00E862A9">
        <w:rPr>
          <w:rFonts w:ascii="Arial" w:eastAsia="Arial" w:hAnsi="Arial" w:cs="Times New Roman"/>
          <w:spacing w:val="-4"/>
          <w:sz w:val="20"/>
          <w:szCs w:val="20"/>
        </w:rPr>
        <w:t xml:space="preserve"> social costs</w:t>
      </w:r>
      <w:r w:rsidR="007845C6" w:rsidRPr="00E862A9">
        <w:rPr>
          <w:rFonts w:ascii="Arial" w:eastAsia="Arial" w:hAnsi="Arial" w:cs="Times New Roman"/>
          <w:spacing w:val="-4"/>
          <w:sz w:val="20"/>
          <w:szCs w:val="20"/>
        </w:rPr>
        <w:t>)</w:t>
      </w:r>
      <w:r w:rsidRPr="00E862A9">
        <w:rPr>
          <w:rFonts w:ascii="Arial" w:eastAsia="Arial" w:hAnsi="Arial" w:cs="Times New Roman"/>
          <w:spacing w:val="-4"/>
          <w:sz w:val="20"/>
          <w:szCs w:val="20"/>
        </w:rPr>
        <w:t xml:space="preserve"> </w:t>
      </w:r>
      <w:r w:rsidR="001F3FA2" w:rsidRPr="00E862A9">
        <w:rPr>
          <w:rFonts w:ascii="Arial" w:eastAsia="Arial" w:hAnsi="Arial" w:cs="Times New Roman"/>
          <w:spacing w:val="-4"/>
          <w:sz w:val="20"/>
          <w:szCs w:val="20"/>
        </w:rPr>
        <w:t xml:space="preserve">and consumer benefits, </w:t>
      </w:r>
      <w:r w:rsidRPr="00E862A9">
        <w:rPr>
          <w:rFonts w:ascii="Arial" w:eastAsia="Arial" w:hAnsi="Arial" w:cs="Times New Roman"/>
          <w:spacing w:val="-4"/>
          <w:sz w:val="20"/>
          <w:szCs w:val="20"/>
        </w:rPr>
        <w:t xml:space="preserve">and that risks are managed efficiently by those best placed to do so. </w:t>
      </w:r>
    </w:p>
    <w:p w14:paraId="1035ADF8" w14:textId="77777777" w:rsidR="009848AD" w:rsidRPr="009848AD" w:rsidRDefault="009848AD" w:rsidP="00F67BF1">
      <w:pPr>
        <w:pStyle w:val="Heading2"/>
        <w:spacing w:after="0"/>
      </w:pPr>
      <w:r w:rsidRPr="009848AD">
        <w:t>Recommendations</w:t>
      </w:r>
    </w:p>
    <w:p w14:paraId="765FADA6" w14:textId="0D4332E1" w:rsidR="009848AD" w:rsidRPr="009848AD" w:rsidRDefault="009848AD" w:rsidP="00F67BF1">
      <w:pPr>
        <w:spacing w:after="120" w:line="280" w:lineRule="atLeast"/>
        <w:rPr>
          <w:rFonts w:ascii="Arial" w:eastAsia="Arial" w:hAnsi="Arial" w:cs="Times New Roman"/>
          <w:sz w:val="20"/>
          <w:szCs w:val="20"/>
        </w:rPr>
      </w:pPr>
      <w:proofErr w:type="gramStart"/>
      <w:r w:rsidRPr="009848AD">
        <w:rPr>
          <w:rFonts w:ascii="Arial" w:eastAsia="Arial" w:hAnsi="Arial" w:cs="Times New Roman"/>
          <w:sz w:val="20"/>
          <w:szCs w:val="20"/>
        </w:rPr>
        <w:t>In order to</w:t>
      </w:r>
      <w:proofErr w:type="gramEnd"/>
      <w:r w:rsidRPr="009848AD">
        <w:rPr>
          <w:rFonts w:ascii="Arial" w:eastAsia="Arial" w:hAnsi="Arial" w:cs="Times New Roman"/>
          <w:sz w:val="20"/>
          <w:szCs w:val="20"/>
        </w:rPr>
        <w:t xml:space="preserve"> promote </w:t>
      </w:r>
      <w:r w:rsidRPr="009848AD">
        <w:rPr>
          <w:rFonts w:ascii="Arial" w:eastAsia="Arial" w:hAnsi="Arial" w:cs="Times New Roman"/>
          <w:b/>
          <w:bCs/>
          <w:sz w:val="20"/>
          <w:szCs w:val="20"/>
        </w:rPr>
        <w:t>a more dynamic economy</w:t>
      </w:r>
      <w:r w:rsidR="00A95C38">
        <w:rPr>
          <w:rFonts w:ascii="Arial" w:eastAsia="Arial" w:hAnsi="Arial" w:cs="Times New Roman"/>
          <w:b/>
          <w:bCs/>
          <w:sz w:val="20"/>
          <w:szCs w:val="20"/>
        </w:rPr>
        <w:t xml:space="preserve"> </w:t>
      </w:r>
      <w:r w:rsidR="00CB4120" w:rsidRPr="00CB4120">
        <w:rPr>
          <w:rFonts w:ascii="Arial" w:eastAsia="Arial" w:hAnsi="Arial" w:cs="Times New Roman"/>
          <w:sz w:val="20"/>
          <w:szCs w:val="20"/>
        </w:rPr>
        <w:t>(r</w:t>
      </w:r>
      <w:r w:rsidR="00A95C38" w:rsidRPr="00CB4120">
        <w:rPr>
          <w:rFonts w:ascii="Arial" w:eastAsia="Arial" w:hAnsi="Arial" w:cs="Times New Roman"/>
          <w:sz w:val="20"/>
          <w:szCs w:val="20"/>
        </w:rPr>
        <w:t>ecommendation</w:t>
      </w:r>
      <w:r w:rsidR="00DC113E">
        <w:rPr>
          <w:rFonts w:ascii="Arial" w:eastAsia="Arial" w:hAnsi="Arial" w:cs="Times New Roman"/>
          <w:sz w:val="20"/>
          <w:szCs w:val="20"/>
        </w:rPr>
        <w:t>s</w:t>
      </w:r>
      <w:r w:rsidR="00A95C38" w:rsidRPr="00CB4120">
        <w:rPr>
          <w:rFonts w:ascii="Arial" w:eastAsia="Arial" w:hAnsi="Arial" w:cs="Times New Roman"/>
          <w:sz w:val="20"/>
          <w:szCs w:val="20"/>
        </w:rPr>
        <w:t xml:space="preserve"> </w:t>
      </w:r>
      <w:r w:rsidR="00CB4120" w:rsidRPr="00CB4120">
        <w:rPr>
          <w:rFonts w:ascii="Arial" w:eastAsia="Arial" w:hAnsi="Arial" w:cs="Times New Roman"/>
          <w:sz w:val="20"/>
          <w:szCs w:val="20"/>
        </w:rPr>
        <w:t>3.1</w:t>
      </w:r>
      <w:r w:rsidR="00DC113E">
        <w:rPr>
          <w:rFonts w:ascii="Arial" w:eastAsia="Arial" w:hAnsi="Arial" w:cs="Times New Roman"/>
          <w:sz w:val="20"/>
          <w:szCs w:val="20"/>
        </w:rPr>
        <w:t>, 3.3, 3.4</w:t>
      </w:r>
      <w:r w:rsidR="00CB4120" w:rsidRPr="00CB4120">
        <w:rPr>
          <w:rFonts w:ascii="Arial" w:eastAsia="Arial" w:hAnsi="Arial" w:cs="Times New Roman"/>
          <w:sz w:val="20"/>
          <w:szCs w:val="20"/>
        </w:rPr>
        <w:t>)</w:t>
      </w:r>
      <w:r w:rsidRPr="00CB4120">
        <w:rPr>
          <w:rFonts w:ascii="Arial" w:eastAsia="Arial" w:hAnsi="Arial" w:cs="Times New Roman"/>
          <w:sz w:val="20"/>
          <w:szCs w:val="20"/>
        </w:rPr>
        <w:t>:</w:t>
      </w:r>
    </w:p>
    <w:p w14:paraId="10DCB6EA" w14:textId="77777777" w:rsidR="00CF0F1B" w:rsidRPr="009848AD" w:rsidRDefault="00CF0F1B" w:rsidP="00CF0F1B">
      <w:pPr>
        <w:numPr>
          <w:ilvl w:val="0"/>
          <w:numId w:val="16"/>
        </w:numPr>
        <w:spacing w:before="120" w:after="120" w:line="280" w:lineRule="atLeast"/>
        <w:contextualSpacing/>
        <w:rPr>
          <w:rFonts w:ascii="Arial" w:eastAsia="Arial" w:hAnsi="Arial" w:cs="Times New Roman"/>
          <w:sz w:val="20"/>
          <w:szCs w:val="20"/>
        </w:rPr>
      </w:pPr>
      <w:r w:rsidRPr="009848AD">
        <w:rPr>
          <w:rFonts w:ascii="Arial" w:eastAsia="Arial" w:hAnsi="Arial" w:cs="Times New Roman"/>
          <w:sz w:val="20"/>
          <w:szCs w:val="20"/>
        </w:rPr>
        <w:t xml:space="preserve">Government could commence a review of </w:t>
      </w:r>
      <w:r>
        <w:rPr>
          <w:rFonts w:ascii="Arial" w:eastAsia="Arial" w:hAnsi="Arial" w:cs="Times New Roman"/>
          <w:sz w:val="20"/>
          <w:szCs w:val="20"/>
        </w:rPr>
        <w:t xml:space="preserve">the scope of </w:t>
      </w:r>
      <w:r w:rsidRPr="009848AD">
        <w:rPr>
          <w:rFonts w:ascii="Arial" w:eastAsia="Arial" w:hAnsi="Arial" w:cs="Times New Roman"/>
          <w:sz w:val="20"/>
          <w:szCs w:val="20"/>
        </w:rPr>
        <w:t xml:space="preserve">Australia’s risk protection and social insurance arrangements </w:t>
      </w:r>
      <w:r>
        <w:rPr>
          <w:rFonts w:ascii="Arial" w:eastAsia="Arial" w:hAnsi="Arial" w:cs="Times New Roman"/>
          <w:sz w:val="20"/>
          <w:szCs w:val="20"/>
        </w:rPr>
        <w:t>to allow businesses and individuals to respond to and take risks</w:t>
      </w:r>
      <w:r w:rsidRPr="009848AD">
        <w:rPr>
          <w:rFonts w:ascii="Arial" w:eastAsia="Arial" w:hAnsi="Arial" w:cs="Times New Roman"/>
          <w:sz w:val="20"/>
          <w:szCs w:val="20"/>
        </w:rPr>
        <w:t>.</w:t>
      </w:r>
    </w:p>
    <w:p w14:paraId="1C3AE207" w14:textId="77777777" w:rsidR="00CF0F1B" w:rsidRPr="009848AD" w:rsidRDefault="00CF0F1B" w:rsidP="00CF0F1B">
      <w:pPr>
        <w:numPr>
          <w:ilvl w:val="0"/>
          <w:numId w:val="16"/>
        </w:numPr>
        <w:spacing w:before="120" w:after="120" w:line="280" w:lineRule="atLeast"/>
        <w:contextualSpacing/>
        <w:rPr>
          <w:rFonts w:ascii="Arial" w:eastAsia="Arial" w:hAnsi="Arial" w:cs="Times New Roman"/>
          <w:sz w:val="20"/>
          <w:szCs w:val="20"/>
        </w:rPr>
      </w:pPr>
      <w:r w:rsidRPr="009848AD">
        <w:rPr>
          <w:rFonts w:ascii="Arial" w:eastAsia="Arial" w:hAnsi="Arial" w:cs="Times New Roman"/>
          <w:sz w:val="20"/>
          <w:szCs w:val="20"/>
        </w:rPr>
        <w:t xml:space="preserve">More generally, improvements to competition and dynamism will come from: </w:t>
      </w:r>
      <w:r>
        <w:rPr>
          <w:rFonts w:ascii="Arial" w:eastAsia="Arial" w:hAnsi="Arial" w:cs="Times New Roman"/>
          <w:sz w:val="20"/>
          <w:szCs w:val="20"/>
        </w:rPr>
        <w:t xml:space="preserve">addressing the lack of competitive market incentives in highly regulated sectors; transitioning tax system incentives to invigorate productivity growth; </w:t>
      </w:r>
      <w:r w:rsidRPr="009848AD">
        <w:rPr>
          <w:rFonts w:ascii="Arial" w:eastAsia="Arial" w:hAnsi="Arial" w:cs="Times New Roman"/>
          <w:sz w:val="20"/>
          <w:szCs w:val="20"/>
          <w:lang w:val="en-US"/>
        </w:rPr>
        <w:t xml:space="preserve">ensuring mergers regulation is fit for purpose, noting its complicated relationship with innovation and productivity; </w:t>
      </w:r>
      <w:r w:rsidRPr="009848AD">
        <w:rPr>
          <w:rFonts w:ascii="Arial" w:eastAsia="Arial" w:hAnsi="Arial" w:cs="Times New Roman"/>
          <w:sz w:val="20"/>
          <w:szCs w:val="20"/>
        </w:rPr>
        <w:t xml:space="preserve">staying open to international competition; ensuring regulation does </w:t>
      </w:r>
      <w:r w:rsidRPr="009848AD">
        <w:rPr>
          <w:rFonts w:ascii="Arial" w:eastAsia="Arial" w:hAnsi="Arial" w:cs="Times New Roman"/>
          <w:sz w:val="20"/>
          <w:szCs w:val="20"/>
          <w:lang w:val="en-US"/>
        </w:rPr>
        <w:t xml:space="preserve">not unduly stymie new business models </w:t>
      </w:r>
      <w:r>
        <w:rPr>
          <w:rFonts w:ascii="Arial" w:eastAsia="Arial" w:hAnsi="Arial" w:cs="Times New Roman"/>
          <w:sz w:val="20"/>
          <w:szCs w:val="20"/>
          <w:lang w:val="en-US"/>
        </w:rPr>
        <w:t xml:space="preserve">(volume 7); and enabling </w:t>
      </w:r>
      <w:r w:rsidRPr="009848AD">
        <w:rPr>
          <w:rFonts w:ascii="Arial" w:eastAsia="Arial" w:hAnsi="Arial" w:cs="Times New Roman"/>
          <w:sz w:val="20"/>
          <w:szCs w:val="20"/>
          <w:lang w:val="en-US"/>
        </w:rPr>
        <w:t xml:space="preserve">competition </w:t>
      </w:r>
      <w:r>
        <w:rPr>
          <w:rFonts w:ascii="Arial" w:eastAsia="Arial" w:hAnsi="Arial" w:cs="Times New Roman"/>
          <w:sz w:val="20"/>
          <w:szCs w:val="20"/>
          <w:lang w:val="en-US"/>
        </w:rPr>
        <w:t xml:space="preserve">policy </w:t>
      </w:r>
      <w:r w:rsidRPr="009848AD">
        <w:rPr>
          <w:rFonts w:ascii="Arial" w:eastAsia="Arial" w:hAnsi="Arial" w:cs="Times New Roman"/>
          <w:sz w:val="20"/>
          <w:szCs w:val="20"/>
          <w:lang w:val="en-US"/>
        </w:rPr>
        <w:t xml:space="preserve">and workplace relations regulation </w:t>
      </w:r>
      <w:r>
        <w:rPr>
          <w:rFonts w:ascii="Arial" w:eastAsia="Arial" w:hAnsi="Arial" w:cs="Times New Roman"/>
          <w:sz w:val="20"/>
          <w:szCs w:val="20"/>
          <w:lang w:val="en-US"/>
        </w:rPr>
        <w:t>to work together</w:t>
      </w:r>
      <w:r w:rsidRPr="00A056EB">
        <w:rPr>
          <w:rFonts w:ascii="Arial" w:eastAsia="Arial" w:hAnsi="Arial" w:cs="Times New Roman"/>
          <w:sz w:val="20"/>
          <w:szCs w:val="20"/>
          <w:lang w:val="en-US"/>
        </w:rPr>
        <w:t xml:space="preserve"> </w:t>
      </w:r>
      <w:r w:rsidRPr="009848AD">
        <w:rPr>
          <w:rFonts w:ascii="Arial" w:eastAsia="Arial" w:hAnsi="Arial" w:cs="Times New Roman"/>
          <w:sz w:val="20"/>
          <w:szCs w:val="20"/>
          <w:lang w:val="en-US"/>
        </w:rPr>
        <w:t>(</w:t>
      </w:r>
      <w:r>
        <w:rPr>
          <w:rFonts w:ascii="Arial" w:eastAsia="Arial" w:hAnsi="Arial" w:cs="Times New Roman"/>
          <w:sz w:val="20"/>
          <w:szCs w:val="20"/>
          <w:lang w:val="en-US"/>
        </w:rPr>
        <w:t>volume 7</w:t>
      </w:r>
      <w:r w:rsidRPr="009848AD">
        <w:rPr>
          <w:rFonts w:ascii="Arial" w:eastAsia="Arial" w:hAnsi="Arial" w:cs="Times New Roman"/>
          <w:sz w:val="20"/>
          <w:szCs w:val="20"/>
          <w:lang w:val="en-US"/>
        </w:rPr>
        <w:t>)</w:t>
      </w:r>
      <w:r>
        <w:rPr>
          <w:rFonts w:ascii="Arial" w:eastAsia="Arial" w:hAnsi="Arial" w:cs="Times New Roman"/>
          <w:sz w:val="20"/>
          <w:szCs w:val="20"/>
          <w:lang w:val="en-US"/>
        </w:rPr>
        <w:t>.</w:t>
      </w:r>
    </w:p>
    <w:p w14:paraId="368D7432" w14:textId="3BA20551" w:rsidR="009848AD" w:rsidRPr="009848AD" w:rsidRDefault="009848AD" w:rsidP="00F67BF1">
      <w:pPr>
        <w:spacing w:before="240" w:after="120" w:line="280" w:lineRule="atLeast"/>
        <w:rPr>
          <w:rFonts w:ascii="Arial" w:eastAsia="Arial" w:hAnsi="Arial" w:cs="Times New Roman"/>
          <w:sz w:val="20"/>
          <w:szCs w:val="20"/>
        </w:rPr>
      </w:pPr>
      <w:proofErr w:type="gramStart"/>
      <w:r w:rsidRPr="009848AD">
        <w:rPr>
          <w:rFonts w:ascii="Arial" w:eastAsia="Arial" w:hAnsi="Arial" w:cs="Times New Roman"/>
          <w:sz w:val="20"/>
          <w:szCs w:val="20"/>
        </w:rPr>
        <w:t>In order to</w:t>
      </w:r>
      <w:proofErr w:type="gramEnd"/>
      <w:r w:rsidRPr="009848AD">
        <w:rPr>
          <w:rFonts w:ascii="Arial" w:eastAsia="Arial" w:hAnsi="Arial" w:cs="Times New Roman"/>
          <w:sz w:val="20"/>
          <w:szCs w:val="20"/>
        </w:rPr>
        <w:t xml:space="preserve"> promote </w:t>
      </w:r>
      <w:r w:rsidRPr="009848AD">
        <w:rPr>
          <w:rFonts w:ascii="Arial" w:eastAsia="Arial" w:hAnsi="Arial" w:cs="Times New Roman"/>
          <w:b/>
          <w:bCs/>
          <w:sz w:val="20"/>
          <w:szCs w:val="20"/>
        </w:rPr>
        <w:t>efficient</w:t>
      </w:r>
      <w:r w:rsidRPr="009848AD">
        <w:rPr>
          <w:rFonts w:ascii="Arial" w:eastAsia="Arial" w:hAnsi="Arial" w:cs="Times New Roman"/>
          <w:sz w:val="20"/>
          <w:szCs w:val="20"/>
        </w:rPr>
        <w:t xml:space="preserve"> </w:t>
      </w:r>
      <w:r w:rsidRPr="009848AD">
        <w:rPr>
          <w:rFonts w:ascii="Arial" w:eastAsia="Arial" w:hAnsi="Arial" w:cs="Times New Roman"/>
          <w:b/>
          <w:bCs/>
          <w:sz w:val="20"/>
          <w:szCs w:val="20"/>
        </w:rPr>
        <w:t>investment</w:t>
      </w:r>
      <w:r w:rsidR="00CB4120">
        <w:rPr>
          <w:rFonts w:ascii="Arial" w:eastAsia="Arial" w:hAnsi="Arial" w:cs="Times New Roman"/>
          <w:b/>
          <w:bCs/>
          <w:sz w:val="20"/>
          <w:szCs w:val="20"/>
        </w:rPr>
        <w:t xml:space="preserve"> </w:t>
      </w:r>
      <w:r w:rsidR="00CB4120" w:rsidRPr="00CB4120">
        <w:rPr>
          <w:rFonts w:ascii="Arial" w:eastAsia="Arial" w:hAnsi="Arial" w:cs="Times New Roman"/>
          <w:sz w:val="20"/>
          <w:szCs w:val="20"/>
        </w:rPr>
        <w:t xml:space="preserve">(recommendations </w:t>
      </w:r>
      <w:r w:rsidR="0022568B">
        <w:rPr>
          <w:rFonts w:ascii="Arial" w:eastAsia="Arial" w:hAnsi="Arial" w:cs="Times New Roman"/>
          <w:sz w:val="20"/>
          <w:szCs w:val="20"/>
        </w:rPr>
        <w:t xml:space="preserve">3.2, </w:t>
      </w:r>
      <w:r w:rsidR="00CB4120" w:rsidRPr="00CB4120">
        <w:rPr>
          <w:rFonts w:ascii="Arial" w:eastAsia="Arial" w:hAnsi="Arial" w:cs="Times New Roman"/>
          <w:sz w:val="20"/>
          <w:szCs w:val="20"/>
        </w:rPr>
        <w:t>3.</w:t>
      </w:r>
      <w:r w:rsidR="00CB4120">
        <w:rPr>
          <w:rFonts w:ascii="Arial" w:eastAsia="Arial" w:hAnsi="Arial" w:cs="Times New Roman"/>
          <w:sz w:val="20"/>
          <w:szCs w:val="20"/>
        </w:rPr>
        <w:t>5</w:t>
      </w:r>
      <w:r w:rsidR="007C185D">
        <w:rPr>
          <w:rFonts w:ascii="Arial" w:eastAsia="Arial" w:hAnsi="Arial" w:cs="Times New Roman"/>
          <w:sz w:val="20"/>
          <w:szCs w:val="20"/>
        </w:rPr>
        <w:t xml:space="preserve">, </w:t>
      </w:r>
      <w:r w:rsidR="00CB4120" w:rsidRPr="00CB4120">
        <w:rPr>
          <w:rFonts w:ascii="Arial" w:eastAsia="Arial" w:hAnsi="Arial" w:cs="Times New Roman"/>
          <w:sz w:val="20"/>
          <w:szCs w:val="20"/>
        </w:rPr>
        <w:t>3.</w:t>
      </w:r>
      <w:r w:rsidR="00D71C29">
        <w:rPr>
          <w:rFonts w:ascii="Arial" w:eastAsia="Arial" w:hAnsi="Arial" w:cs="Times New Roman"/>
          <w:sz w:val="20"/>
          <w:szCs w:val="20"/>
        </w:rPr>
        <w:t>6</w:t>
      </w:r>
      <w:r w:rsidR="00CB4120" w:rsidRPr="00CB4120">
        <w:rPr>
          <w:rFonts w:ascii="Arial" w:eastAsia="Arial" w:hAnsi="Arial" w:cs="Times New Roman"/>
          <w:sz w:val="20"/>
          <w:szCs w:val="20"/>
        </w:rPr>
        <w:t>):</w:t>
      </w:r>
    </w:p>
    <w:p w14:paraId="6BAF66DF" w14:textId="443A81CA" w:rsidR="009848AD" w:rsidRPr="009848AD" w:rsidRDefault="009848AD" w:rsidP="009848AD">
      <w:pPr>
        <w:numPr>
          <w:ilvl w:val="0"/>
          <w:numId w:val="16"/>
        </w:numPr>
        <w:spacing w:before="120" w:after="120" w:line="280" w:lineRule="atLeast"/>
        <w:contextualSpacing/>
        <w:rPr>
          <w:rFonts w:ascii="Arial" w:eastAsia="Arial" w:hAnsi="Arial" w:cs="Times New Roman"/>
          <w:sz w:val="20"/>
          <w:szCs w:val="20"/>
        </w:rPr>
      </w:pPr>
      <w:r w:rsidRPr="009848AD">
        <w:rPr>
          <w:rFonts w:ascii="Arial" w:eastAsia="Arial" w:hAnsi="Arial" w:cs="Times New Roman"/>
          <w:sz w:val="20"/>
          <w:szCs w:val="20"/>
        </w:rPr>
        <w:t xml:space="preserve">State and </w:t>
      </w:r>
      <w:r w:rsidR="00B47C67">
        <w:rPr>
          <w:rFonts w:ascii="Arial" w:eastAsia="Arial" w:hAnsi="Arial" w:cs="Times New Roman"/>
          <w:sz w:val="20"/>
          <w:szCs w:val="20"/>
        </w:rPr>
        <w:t>t</w:t>
      </w:r>
      <w:r w:rsidRPr="009848AD">
        <w:rPr>
          <w:rFonts w:ascii="Arial" w:eastAsia="Arial" w:hAnsi="Arial" w:cs="Times New Roman"/>
          <w:sz w:val="20"/>
          <w:szCs w:val="20"/>
        </w:rPr>
        <w:t xml:space="preserve">erritory </w:t>
      </w:r>
      <w:r w:rsidR="00B47C67">
        <w:rPr>
          <w:rFonts w:ascii="Arial" w:eastAsia="Arial" w:hAnsi="Arial" w:cs="Times New Roman"/>
          <w:sz w:val="20"/>
          <w:szCs w:val="20"/>
        </w:rPr>
        <w:t>g</w:t>
      </w:r>
      <w:r w:rsidRPr="009848AD">
        <w:rPr>
          <w:rFonts w:ascii="Arial" w:eastAsia="Arial" w:hAnsi="Arial" w:cs="Times New Roman"/>
          <w:sz w:val="20"/>
          <w:szCs w:val="20"/>
        </w:rPr>
        <w:t xml:space="preserve">overnments should </w:t>
      </w:r>
      <w:r w:rsidRPr="00C42C74">
        <w:rPr>
          <w:rFonts w:ascii="Arial" w:eastAsia="Arial" w:hAnsi="Arial" w:cs="Times New Roman"/>
          <w:b/>
          <w:bCs/>
          <w:sz w:val="20"/>
          <w:szCs w:val="20"/>
        </w:rPr>
        <w:t xml:space="preserve">reform </w:t>
      </w:r>
      <w:r w:rsidRPr="007C59BA">
        <w:rPr>
          <w:rFonts w:ascii="Arial" w:eastAsia="Arial" w:hAnsi="Arial" w:cs="Times New Roman"/>
          <w:b/>
          <w:bCs/>
          <w:sz w:val="20"/>
          <w:szCs w:val="20"/>
        </w:rPr>
        <w:t>planning and zoning</w:t>
      </w:r>
      <w:r w:rsidRPr="009848AD">
        <w:rPr>
          <w:rFonts w:ascii="Arial" w:eastAsia="Arial" w:hAnsi="Arial" w:cs="Times New Roman"/>
          <w:sz w:val="20"/>
          <w:szCs w:val="20"/>
        </w:rPr>
        <w:t xml:space="preserve"> by implementing standardised business and industrial land use zones across local government areas; aggregating existing zones, where </w:t>
      </w:r>
      <w:r w:rsidRPr="009848AD">
        <w:rPr>
          <w:rFonts w:ascii="Arial" w:eastAsia="Arial" w:hAnsi="Arial" w:cs="Times New Roman"/>
          <w:sz w:val="20"/>
          <w:szCs w:val="20"/>
          <w:lang w:val="en-US"/>
        </w:rPr>
        <w:t>possible</w:t>
      </w:r>
      <w:r w:rsidRPr="009848AD">
        <w:rPr>
          <w:rFonts w:ascii="Arial" w:eastAsia="Arial" w:hAnsi="Arial" w:cs="Times New Roman"/>
          <w:sz w:val="20"/>
          <w:szCs w:val="20"/>
        </w:rPr>
        <w:t>;</w:t>
      </w:r>
      <w:r w:rsidR="007C59BA">
        <w:rPr>
          <w:rFonts w:ascii="Arial" w:eastAsia="Arial" w:hAnsi="Arial" w:cs="Times New Roman"/>
          <w:sz w:val="20"/>
          <w:szCs w:val="20"/>
        </w:rPr>
        <w:t xml:space="preserve"> and</w:t>
      </w:r>
      <w:r w:rsidRPr="009848AD">
        <w:rPr>
          <w:rFonts w:ascii="Arial" w:eastAsia="Arial" w:hAnsi="Arial" w:cs="Times New Roman"/>
          <w:sz w:val="20"/>
          <w:szCs w:val="20"/>
        </w:rPr>
        <w:t xml:space="preserve"> requiring urban planning decision</w:t>
      </w:r>
      <w:r w:rsidRPr="009848AD">
        <w:rPr>
          <w:rFonts w:ascii="Arial" w:eastAsia="Arial" w:hAnsi="Arial" w:cs="Times New Roman"/>
          <w:sz w:val="20"/>
          <w:szCs w:val="20"/>
        </w:rPr>
        <w:noBreakHyphen/>
        <w:t>making processes to consider the community</w:t>
      </w:r>
      <w:r w:rsidRPr="009848AD">
        <w:rPr>
          <w:rFonts w:ascii="Arial" w:eastAsia="Arial" w:hAnsi="Arial" w:cs="Times New Roman"/>
          <w:sz w:val="20"/>
          <w:szCs w:val="20"/>
        </w:rPr>
        <w:noBreakHyphen/>
        <w:t xml:space="preserve">wide economic benefits from the introduction of competition. </w:t>
      </w:r>
    </w:p>
    <w:p w14:paraId="283E1671" w14:textId="4F7937A8" w:rsidR="009848AD" w:rsidRPr="0010282D" w:rsidRDefault="009848AD" w:rsidP="009848AD">
      <w:pPr>
        <w:numPr>
          <w:ilvl w:val="0"/>
          <w:numId w:val="16"/>
        </w:numPr>
        <w:spacing w:before="120" w:after="120" w:line="280" w:lineRule="atLeast"/>
        <w:contextualSpacing/>
        <w:rPr>
          <w:sz w:val="20"/>
        </w:rPr>
      </w:pPr>
      <w:r w:rsidRPr="0010282D">
        <w:rPr>
          <w:rFonts w:ascii="Arial" w:eastAsia="Arial" w:hAnsi="Arial" w:cs="Times New Roman"/>
          <w:sz w:val="20"/>
          <w:szCs w:val="20"/>
        </w:rPr>
        <w:t xml:space="preserve">All </w:t>
      </w:r>
      <w:r w:rsidRPr="0010282D">
        <w:rPr>
          <w:rFonts w:ascii="Arial" w:eastAsia="Arial" w:hAnsi="Arial" w:cs="Times New Roman"/>
          <w:sz w:val="20"/>
          <w:szCs w:val="20"/>
          <w:lang w:val="en-US"/>
        </w:rPr>
        <w:t>Australian</w:t>
      </w:r>
      <w:r w:rsidRPr="0010282D">
        <w:rPr>
          <w:rFonts w:ascii="Arial" w:eastAsia="Arial" w:hAnsi="Arial" w:cs="Times New Roman"/>
          <w:sz w:val="20"/>
          <w:szCs w:val="20"/>
        </w:rPr>
        <w:t xml:space="preserve"> governments should progress </w:t>
      </w:r>
      <w:r w:rsidRPr="0010282D">
        <w:rPr>
          <w:rFonts w:ascii="Arial" w:eastAsia="Arial" w:hAnsi="Arial" w:cs="Times New Roman"/>
          <w:b/>
          <w:bCs/>
          <w:sz w:val="20"/>
          <w:szCs w:val="20"/>
        </w:rPr>
        <w:t>road</w:t>
      </w:r>
      <w:r w:rsidRPr="0010282D">
        <w:rPr>
          <w:rFonts w:ascii="Arial" w:eastAsia="Arial" w:hAnsi="Arial" w:cs="Times New Roman"/>
          <w:b/>
          <w:bCs/>
          <w:sz w:val="20"/>
          <w:szCs w:val="20"/>
        </w:rPr>
        <w:noBreakHyphen/>
        <w:t>user pricing</w:t>
      </w:r>
      <w:r w:rsidRPr="0010282D">
        <w:rPr>
          <w:rFonts w:ascii="Arial" w:eastAsia="Arial" w:hAnsi="Arial" w:cs="Times New Roman"/>
          <w:sz w:val="20"/>
          <w:szCs w:val="20"/>
        </w:rPr>
        <w:t xml:space="preserve"> by</w:t>
      </w:r>
      <w:r w:rsidR="007204DE" w:rsidRPr="0010282D">
        <w:rPr>
          <w:rFonts w:ascii="Arial" w:eastAsia="Arial" w:hAnsi="Arial" w:cs="Times New Roman"/>
          <w:sz w:val="20"/>
          <w:szCs w:val="20"/>
        </w:rPr>
        <w:t xml:space="preserve"> </w:t>
      </w:r>
      <w:r w:rsidRPr="0010282D">
        <w:rPr>
          <w:sz w:val="20"/>
          <w:lang w:val="en-US"/>
        </w:rPr>
        <w:t>working</w:t>
      </w:r>
      <w:r w:rsidRPr="0010282D">
        <w:rPr>
          <w:sz w:val="20"/>
        </w:rPr>
        <w:t xml:space="preserve"> towards an intergovernmental agreement on road user charging for all vehicle types, focusing on distance</w:t>
      </w:r>
      <w:r w:rsidR="0010282D" w:rsidRPr="0010282D">
        <w:rPr>
          <w:sz w:val="20"/>
        </w:rPr>
        <w:t>-</w:t>
      </w:r>
      <w:r w:rsidRPr="0010282D">
        <w:rPr>
          <w:sz w:val="20"/>
        </w:rPr>
        <w:t>priced charging, and subsequently incorporating congestion charges for crowded roads</w:t>
      </w:r>
      <w:r w:rsidR="0010282D" w:rsidRPr="0010282D">
        <w:rPr>
          <w:sz w:val="20"/>
        </w:rPr>
        <w:t xml:space="preserve">; and </w:t>
      </w:r>
      <w:r w:rsidRPr="0010282D">
        <w:rPr>
          <w:sz w:val="20"/>
          <w:lang w:val="en-US"/>
        </w:rPr>
        <w:t>considering</w:t>
      </w:r>
      <w:r w:rsidRPr="0010282D">
        <w:rPr>
          <w:sz w:val="20"/>
        </w:rPr>
        <w:t xml:space="preserve"> the inclusion of compulsory third party insurance costs in distance</w:t>
      </w:r>
      <w:r w:rsidRPr="0010282D">
        <w:rPr>
          <w:sz w:val="20"/>
        </w:rPr>
        <w:noBreakHyphen/>
        <w:t>based charges</w:t>
      </w:r>
      <w:r w:rsidR="001162CE">
        <w:rPr>
          <w:sz w:val="20"/>
        </w:rPr>
        <w:t>,</w:t>
      </w:r>
      <w:r w:rsidRPr="0010282D">
        <w:rPr>
          <w:sz w:val="20"/>
        </w:rPr>
        <w:t xml:space="preserve"> and options for motorists to choose between higher distance</w:t>
      </w:r>
      <w:r w:rsidRPr="0010282D">
        <w:rPr>
          <w:sz w:val="20"/>
        </w:rPr>
        <w:noBreakHyphen/>
        <w:t>based charges and lower fixed charges.</w:t>
      </w:r>
    </w:p>
    <w:p w14:paraId="70EFB475" w14:textId="4C61CB3F" w:rsidR="009848AD" w:rsidRPr="009848AD" w:rsidRDefault="009848AD" w:rsidP="009848AD">
      <w:pPr>
        <w:numPr>
          <w:ilvl w:val="0"/>
          <w:numId w:val="16"/>
        </w:numPr>
        <w:spacing w:before="120" w:after="120" w:line="280" w:lineRule="atLeast"/>
        <w:contextualSpacing/>
        <w:rPr>
          <w:rFonts w:ascii="Arial" w:eastAsia="Arial" w:hAnsi="Arial" w:cs="Times New Roman"/>
          <w:sz w:val="20"/>
          <w:szCs w:val="20"/>
        </w:rPr>
      </w:pPr>
      <w:r w:rsidRPr="009848AD">
        <w:rPr>
          <w:rFonts w:ascii="Arial" w:eastAsia="Arial" w:hAnsi="Arial" w:cs="Times New Roman"/>
          <w:sz w:val="20"/>
          <w:szCs w:val="20"/>
        </w:rPr>
        <w:t xml:space="preserve">State and </w:t>
      </w:r>
      <w:r w:rsidR="00845BAC">
        <w:rPr>
          <w:rFonts w:ascii="Arial" w:eastAsia="Arial" w:hAnsi="Arial" w:cs="Times New Roman"/>
          <w:sz w:val="20"/>
          <w:szCs w:val="20"/>
        </w:rPr>
        <w:t>t</w:t>
      </w:r>
      <w:r w:rsidRPr="009848AD">
        <w:rPr>
          <w:rFonts w:ascii="Arial" w:eastAsia="Arial" w:hAnsi="Arial" w:cs="Times New Roman"/>
          <w:sz w:val="20"/>
          <w:szCs w:val="20"/>
        </w:rPr>
        <w:t xml:space="preserve">erritory </w:t>
      </w:r>
      <w:r w:rsidR="00845BAC">
        <w:rPr>
          <w:rFonts w:ascii="Arial" w:eastAsia="Arial" w:hAnsi="Arial" w:cs="Times New Roman"/>
          <w:sz w:val="20"/>
          <w:szCs w:val="20"/>
        </w:rPr>
        <w:t>g</w:t>
      </w:r>
      <w:r w:rsidRPr="009848AD">
        <w:rPr>
          <w:rFonts w:ascii="Arial" w:eastAsia="Arial" w:hAnsi="Arial" w:cs="Times New Roman"/>
          <w:sz w:val="20"/>
          <w:szCs w:val="20"/>
        </w:rPr>
        <w:t xml:space="preserve">overnments should improve </w:t>
      </w:r>
      <w:r w:rsidRPr="009848AD">
        <w:rPr>
          <w:rFonts w:ascii="Arial" w:eastAsia="Arial" w:hAnsi="Arial" w:cs="Times New Roman"/>
          <w:b/>
          <w:bCs/>
          <w:sz w:val="20"/>
          <w:szCs w:val="20"/>
        </w:rPr>
        <w:t>public transport pricing and investment</w:t>
      </w:r>
      <w:r w:rsidRPr="009848AD">
        <w:rPr>
          <w:rFonts w:ascii="Arial" w:eastAsia="Arial" w:hAnsi="Arial" w:cs="Times New Roman"/>
          <w:sz w:val="20"/>
          <w:szCs w:val="20"/>
        </w:rPr>
        <w:t xml:space="preserve"> by applying the pricing framework used by the NSW Independent Pricing and Regulatory Tribunal, including consideration of fares that take into account peak</w:t>
      </w:r>
      <w:r w:rsidRPr="009848AD">
        <w:rPr>
          <w:rFonts w:ascii="Arial" w:eastAsia="Arial" w:hAnsi="Arial" w:cs="Times New Roman"/>
          <w:sz w:val="20"/>
          <w:szCs w:val="20"/>
        </w:rPr>
        <w:noBreakHyphen/>
        <w:t>time crowding, reduced road congestion, distance</w:t>
      </w:r>
      <w:r w:rsidRPr="009848AD">
        <w:rPr>
          <w:rFonts w:ascii="Arial" w:eastAsia="Arial" w:hAnsi="Arial" w:cs="Times New Roman"/>
          <w:sz w:val="20"/>
          <w:szCs w:val="20"/>
        </w:rPr>
        <w:noBreakHyphen/>
        <w:t>based charges</w:t>
      </w:r>
      <w:r w:rsidR="002353B9">
        <w:rPr>
          <w:rFonts w:ascii="Arial" w:eastAsia="Arial" w:hAnsi="Arial" w:cs="Times New Roman"/>
          <w:sz w:val="20"/>
          <w:szCs w:val="20"/>
        </w:rPr>
        <w:t>,</w:t>
      </w:r>
      <w:r w:rsidRPr="009848AD">
        <w:rPr>
          <w:rFonts w:ascii="Arial" w:eastAsia="Arial" w:hAnsi="Arial" w:cs="Times New Roman"/>
          <w:sz w:val="20"/>
          <w:szCs w:val="20"/>
        </w:rPr>
        <w:t xml:space="preserve"> and fares that reflect the lower costs of buses compared with trains.</w:t>
      </w:r>
    </w:p>
    <w:p w14:paraId="36EAD5D1" w14:textId="3D1B825A" w:rsidR="009848AD" w:rsidRPr="009848AD" w:rsidRDefault="009848AD" w:rsidP="00F67BF1">
      <w:pPr>
        <w:spacing w:before="240" w:after="120" w:line="280" w:lineRule="atLeast"/>
        <w:rPr>
          <w:rFonts w:ascii="Arial" w:eastAsia="Arial" w:hAnsi="Arial" w:cs="Times New Roman"/>
          <w:sz w:val="20"/>
          <w:szCs w:val="20"/>
        </w:rPr>
      </w:pPr>
      <w:r w:rsidRPr="009848AD">
        <w:rPr>
          <w:rFonts w:ascii="Arial" w:eastAsia="Arial" w:hAnsi="Arial" w:cs="Times New Roman"/>
          <w:sz w:val="20"/>
          <w:szCs w:val="20"/>
        </w:rPr>
        <w:t xml:space="preserve">In order to promote </w:t>
      </w:r>
      <w:r w:rsidRPr="009848AD">
        <w:rPr>
          <w:rFonts w:ascii="Arial" w:eastAsia="Arial" w:hAnsi="Arial" w:cs="Times New Roman"/>
          <w:b/>
          <w:bCs/>
          <w:sz w:val="20"/>
          <w:szCs w:val="20"/>
        </w:rPr>
        <w:t xml:space="preserve">open trade and </w:t>
      </w:r>
      <w:r w:rsidR="00D4419D">
        <w:rPr>
          <w:rFonts w:ascii="Arial" w:eastAsia="Arial" w:hAnsi="Arial" w:cs="Times New Roman"/>
          <w:b/>
          <w:bCs/>
          <w:sz w:val="20"/>
          <w:szCs w:val="20"/>
        </w:rPr>
        <w:t>foreign direct investment (</w:t>
      </w:r>
      <w:r w:rsidRPr="009848AD">
        <w:rPr>
          <w:rFonts w:ascii="Arial" w:eastAsia="Arial" w:hAnsi="Arial" w:cs="Times New Roman"/>
          <w:b/>
          <w:bCs/>
          <w:sz w:val="20"/>
          <w:szCs w:val="20"/>
        </w:rPr>
        <w:t>FDI</w:t>
      </w:r>
      <w:r w:rsidR="00D4419D">
        <w:rPr>
          <w:rFonts w:ascii="Arial" w:eastAsia="Arial" w:hAnsi="Arial" w:cs="Times New Roman"/>
          <w:b/>
          <w:bCs/>
          <w:sz w:val="20"/>
          <w:szCs w:val="20"/>
        </w:rPr>
        <w:t>)</w:t>
      </w:r>
      <w:r w:rsidR="00D71C29">
        <w:rPr>
          <w:rFonts w:ascii="Arial" w:eastAsia="Arial" w:hAnsi="Arial" w:cs="Times New Roman"/>
          <w:b/>
          <w:bCs/>
          <w:sz w:val="20"/>
          <w:szCs w:val="20"/>
        </w:rPr>
        <w:t xml:space="preserve"> </w:t>
      </w:r>
      <w:r w:rsidR="00D71C29" w:rsidRPr="00CB4120">
        <w:rPr>
          <w:rFonts w:ascii="Arial" w:eastAsia="Arial" w:hAnsi="Arial" w:cs="Times New Roman"/>
          <w:sz w:val="20"/>
          <w:szCs w:val="20"/>
        </w:rPr>
        <w:t>(recommendations 3.</w:t>
      </w:r>
      <w:r w:rsidR="00D71C29">
        <w:rPr>
          <w:rFonts w:ascii="Arial" w:eastAsia="Arial" w:hAnsi="Arial" w:cs="Times New Roman"/>
          <w:sz w:val="20"/>
          <w:szCs w:val="20"/>
        </w:rPr>
        <w:t>7</w:t>
      </w:r>
      <w:r w:rsidR="00D71C29" w:rsidRPr="00CB4120">
        <w:rPr>
          <w:rFonts w:ascii="Arial" w:eastAsia="Arial" w:hAnsi="Arial" w:cs="Times New Roman"/>
          <w:sz w:val="20"/>
          <w:szCs w:val="20"/>
        </w:rPr>
        <w:t xml:space="preserve"> to 3.</w:t>
      </w:r>
      <w:r w:rsidR="00D71C29">
        <w:rPr>
          <w:rFonts w:ascii="Arial" w:eastAsia="Arial" w:hAnsi="Arial" w:cs="Times New Roman"/>
          <w:sz w:val="20"/>
          <w:szCs w:val="20"/>
        </w:rPr>
        <w:t>10</w:t>
      </w:r>
      <w:r w:rsidR="00D71C29" w:rsidRPr="00CB4120">
        <w:rPr>
          <w:rFonts w:ascii="Arial" w:eastAsia="Arial" w:hAnsi="Arial" w:cs="Times New Roman"/>
          <w:sz w:val="20"/>
          <w:szCs w:val="20"/>
        </w:rPr>
        <w:t>)</w:t>
      </w:r>
      <w:r w:rsidRPr="009848AD">
        <w:rPr>
          <w:rFonts w:ascii="Arial" w:eastAsia="Arial" w:hAnsi="Arial" w:cs="Times New Roman"/>
          <w:sz w:val="20"/>
          <w:szCs w:val="20"/>
        </w:rPr>
        <w:t>, the Australian Government should:</w:t>
      </w:r>
    </w:p>
    <w:p w14:paraId="6A1984F8" w14:textId="77777777" w:rsidR="009848AD" w:rsidRPr="009848AD" w:rsidRDefault="009848AD" w:rsidP="009848AD">
      <w:pPr>
        <w:numPr>
          <w:ilvl w:val="0"/>
          <w:numId w:val="16"/>
        </w:numPr>
        <w:spacing w:before="120" w:after="120" w:line="280" w:lineRule="atLeast"/>
        <w:contextualSpacing/>
        <w:rPr>
          <w:rFonts w:ascii="Arial" w:eastAsia="Arial" w:hAnsi="Arial" w:cs="Times New Roman"/>
          <w:sz w:val="20"/>
          <w:szCs w:val="20"/>
          <w:lang w:val="en-US"/>
        </w:rPr>
      </w:pPr>
      <w:r w:rsidRPr="009848AD">
        <w:rPr>
          <w:rFonts w:ascii="Arial" w:eastAsia="Arial" w:hAnsi="Arial" w:cs="Times New Roman"/>
          <w:sz w:val="20"/>
          <w:szCs w:val="20"/>
          <w:lang w:val="en-US"/>
        </w:rPr>
        <w:t>Take immediate action to unilaterally reduce Australia’s statutory import tariff levels to zero.</w:t>
      </w:r>
    </w:p>
    <w:p w14:paraId="700F1A52" w14:textId="25108E0E" w:rsidR="009848AD" w:rsidRPr="009848AD" w:rsidRDefault="009848AD" w:rsidP="009848AD">
      <w:pPr>
        <w:numPr>
          <w:ilvl w:val="0"/>
          <w:numId w:val="16"/>
        </w:numPr>
        <w:spacing w:before="120" w:after="120" w:line="280" w:lineRule="atLeast"/>
        <w:contextualSpacing/>
        <w:rPr>
          <w:rFonts w:ascii="Arial" w:eastAsia="Arial" w:hAnsi="Arial" w:cs="Times New Roman"/>
          <w:sz w:val="20"/>
          <w:szCs w:val="20"/>
          <w:lang w:val="en-US"/>
        </w:rPr>
      </w:pPr>
      <w:r w:rsidRPr="009848AD">
        <w:rPr>
          <w:rFonts w:ascii="Arial" w:eastAsia="Arial" w:hAnsi="Arial" w:cs="Times New Roman"/>
          <w:sz w:val="20"/>
          <w:szCs w:val="20"/>
          <w:lang w:val="en-US"/>
        </w:rPr>
        <w:t>Progressively remove Australia’s anti</w:t>
      </w:r>
      <w:r w:rsidRPr="009848AD">
        <w:rPr>
          <w:rFonts w:ascii="Arial" w:eastAsia="Arial" w:hAnsi="Arial" w:cs="Times New Roman"/>
          <w:sz w:val="20"/>
          <w:szCs w:val="20"/>
          <w:lang w:val="en-US"/>
        </w:rPr>
        <w:noBreakHyphen/>
        <w:t>dumping and countervailing measures and subject any new measures to an economy</w:t>
      </w:r>
      <w:r w:rsidR="00D4419D">
        <w:rPr>
          <w:rFonts w:ascii="Arial" w:eastAsia="Arial" w:hAnsi="Arial" w:cs="Times New Roman"/>
          <w:sz w:val="20"/>
          <w:szCs w:val="20"/>
          <w:lang w:val="en-US"/>
        </w:rPr>
        <w:t>-</w:t>
      </w:r>
      <w:r w:rsidRPr="009848AD">
        <w:rPr>
          <w:rFonts w:ascii="Arial" w:eastAsia="Arial" w:hAnsi="Arial" w:cs="Times New Roman"/>
          <w:sz w:val="20"/>
          <w:szCs w:val="20"/>
          <w:lang w:val="en-US"/>
        </w:rPr>
        <w:t>wide cost benefit test.</w:t>
      </w:r>
    </w:p>
    <w:p w14:paraId="0E71C224" w14:textId="77777777" w:rsidR="009848AD" w:rsidRPr="009848AD" w:rsidRDefault="009848AD" w:rsidP="009848AD">
      <w:pPr>
        <w:numPr>
          <w:ilvl w:val="0"/>
          <w:numId w:val="16"/>
        </w:numPr>
        <w:spacing w:before="120" w:after="120" w:line="280" w:lineRule="atLeast"/>
        <w:contextualSpacing/>
        <w:rPr>
          <w:rFonts w:ascii="Arial" w:eastAsia="Arial" w:hAnsi="Arial" w:cs="Times New Roman"/>
          <w:sz w:val="20"/>
          <w:szCs w:val="20"/>
          <w:lang w:val="en-US"/>
        </w:rPr>
      </w:pPr>
      <w:r w:rsidRPr="009848AD">
        <w:rPr>
          <w:rFonts w:ascii="Arial" w:eastAsia="Arial" w:hAnsi="Arial" w:cs="Times New Roman"/>
          <w:sz w:val="20"/>
          <w:szCs w:val="20"/>
          <w:lang w:val="en-US"/>
        </w:rPr>
        <w:t>Increasingly accept product standards adopted in other leading economies as ‘deemed to comply’, provided that a transparent review could be undertaken in cases where the Australian Government identified a significant safety risk.</w:t>
      </w:r>
    </w:p>
    <w:p w14:paraId="3D31866A" w14:textId="1BC297FF" w:rsidR="009848AD" w:rsidRPr="009848AD" w:rsidRDefault="009848AD" w:rsidP="009848AD">
      <w:pPr>
        <w:numPr>
          <w:ilvl w:val="0"/>
          <w:numId w:val="16"/>
        </w:numPr>
        <w:spacing w:before="120" w:after="120" w:line="280" w:lineRule="atLeast"/>
        <w:contextualSpacing/>
        <w:rPr>
          <w:rFonts w:ascii="Arial" w:eastAsia="Arial" w:hAnsi="Arial" w:cs="Times New Roman"/>
          <w:sz w:val="20"/>
          <w:szCs w:val="20"/>
          <w:lang w:val="en-US"/>
        </w:rPr>
      </w:pPr>
      <w:r w:rsidRPr="009848AD">
        <w:rPr>
          <w:rFonts w:ascii="Arial" w:eastAsia="Arial" w:hAnsi="Arial" w:cs="Times New Roman"/>
          <w:sz w:val="20"/>
          <w:szCs w:val="20"/>
          <w:lang w:val="en-US"/>
        </w:rPr>
        <w:t xml:space="preserve">Bring application fees for proposed FDI into agricultural land assets </w:t>
      </w:r>
      <w:r w:rsidR="00D4419D">
        <w:rPr>
          <w:rFonts w:ascii="Arial" w:eastAsia="Arial" w:hAnsi="Arial" w:cs="Times New Roman"/>
          <w:sz w:val="20"/>
          <w:szCs w:val="20"/>
          <w:lang w:val="en-US"/>
        </w:rPr>
        <w:t>more in</w:t>
      </w:r>
      <w:r w:rsidRPr="009848AD">
        <w:rPr>
          <w:rFonts w:ascii="Arial" w:eastAsia="Arial" w:hAnsi="Arial" w:cs="Times New Roman"/>
          <w:sz w:val="20"/>
          <w:szCs w:val="20"/>
          <w:lang w:val="en-US"/>
        </w:rPr>
        <w:t xml:space="preserve"> line with other forms of investment, including by applying indexation to the threshold investment value and adjusting the fee tiers so as to reduce the marginal rate fee as a proportion of investment amount.</w:t>
      </w:r>
    </w:p>
    <w:p w14:paraId="0CD8FC43" w14:textId="7D4A693F" w:rsidR="00F56E2D" w:rsidRPr="003F02E0" w:rsidRDefault="009848AD" w:rsidP="003F02E0">
      <w:pPr>
        <w:numPr>
          <w:ilvl w:val="0"/>
          <w:numId w:val="16"/>
        </w:numPr>
        <w:spacing w:before="120" w:after="120" w:line="280" w:lineRule="atLeast"/>
        <w:contextualSpacing/>
        <w:rPr>
          <w:rFonts w:asciiTheme="majorHAnsi" w:eastAsiaTheme="majorEastAsia" w:hAnsiTheme="majorHAnsi" w:cstheme="majorBidi"/>
          <w:b/>
          <w:color w:val="31A2CF"/>
          <w:sz w:val="26"/>
          <w:szCs w:val="26"/>
        </w:rPr>
      </w:pPr>
      <w:r w:rsidRPr="003F02E0">
        <w:rPr>
          <w:rFonts w:ascii="Arial" w:eastAsia="Arial" w:hAnsi="Arial" w:cs="Times New Roman"/>
          <w:sz w:val="20"/>
          <w:szCs w:val="20"/>
          <w:lang w:val="en-US"/>
        </w:rPr>
        <w:t>Address potential barriers to trade in services both ‘at the border’ and ‘behind the border’. Some relevant policy and regulatory levers include trade policy, tax settings, occupational licensing, foreign direct investment, improved recognition of overseas qualifications and temporary migration settings.</w:t>
      </w:r>
      <w:r w:rsidR="00F56E2D">
        <w:br w:type="page"/>
      </w:r>
    </w:p>
    <w:p w14:paraId="50567214" w14:textId="79CEC7EE" w:rsidR="009848AD" w:rsidRDefault="009848AD" w:rsidP="009848AD">
      <w:pPr>
        <w:pStyle w:val="Heading2"/>
        <w:keepNext w:val="0"/>
        <w:keepLines w:val="0"/>
      </w:pPr>
      <w:r w:rsidRPr="009848AD">
        <w:lastRenderedPageBreak/>
        <w:t>Key figures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A0" w:firstRow="1" w:lastRow="0" w:firstColumn="1" w:lastColumn="0" w:noHBand="1" w:noVBand="1"/>
      </w:tblPr>
      <w:tblGrid>
        <w:gridCol w:w="9638"/>
      </w:tblGrid>
      <w:tr w:rsidR="002D49C6" w:rsidRPr="009848AD" w14:paraId="7CD63C4A" w14:textId="77777777" w:rsidTr="002D49C6">
        <w:trPr>
          <w:trHeight w:val="1304"/>
          <w:tblHeader/>
        </w:trPr>
        <w:tc>
          <w:tcPr>
            <w:tcW w:w="5000" w:type="pct"/>
            <w:shd w:val="clear" w:color="auto" w:fill="auto"/>
          </w:tcPr>
          <w:p w14:paraId="3C434C63" w14:textId="28349A24" w:rsidR="002D49C6" w:rsidRDefault="002D49C6" w:rsidP="009848AD">
            <w:pPr>
              <w:widowControl w:val="0"/>
              <w:spacing w:after="20" w:line="280" w:lineRule="atLeast"/>
              <w:ind w:left="57"/>
              <w:rPr>
                <w:rStyle w:val="CommentReference"/>
              </w:rPr>
            </w:pPr>
            <w:r w:rsidRPr="000D6332">
              <w:rPr>
                <w:rFonts w:ascii="Arial" w:eastAsia="Arial" w:hAnsi="Arial" w:cs="Times New Roman"/>
                <w:szCs w:val="18"/>
              </w:rPr>
              <w:t xml:space="preserve">Market concentration, as a partial indicator of competition and dynamism, has varied by industry, with stark increases in concentration in some industries while many others became less concentrated. This suggests that factors influencing concentration have not been consistent across the economy. </w:t>
            </w:r>
            <w:r w:rsidRPr="00961708">
              <w:rPr>
                <w:rFonts w:ascii="Arial" w:eastAsia="Arial" w:hAnsi="Arial" w:cs="Times New Roman"/>
                <w:szCs w:val="18"/>
              </w:rPr>
              <w:t>(Volume 3, p. 4)</w:t>
            </w:r>
          </w:p>
        </w:tc>
      </w:tr>
      <w:tr w:rsidR="002D49C6" w:rsidRPr="009848AD" w14:paraId="45AE939F" w14:textId="77777777" w:rsidTr="001A4DE0">
        <w:trPr>
          <w:trHeight w:val="3402"/>
          <w:tblHeader/>
        </w:trPr>
        <w:tc>
          <w:tcPr>
            <w:tcW w:w="5000" w:type="pct"/>
            <w:shd w:val="clear" w:color="auto" w:fill="auto"/>
          </w:tcPr>
          <w:p w14:paraId="3EBBCCDA" w14:textId="2B2FABED" w:rsidR="002D49C6" w:rsidRPr="009848AD" w:rsidRDefault="002D49C6" w:rsidP="001A4DE0">
            <w:pPr>
              <w:widowControl w:val="0"/>
              <w:spacing w:after="240" w:line="280" w:lineRule="atLeast"/>
              <w:ind w:left="57"/>
              <w:rPr>
                <w:rFonts w:ascii="Arial" w:eastAsia="Arial" w:hAnsi="Arial" w:cs="Times New Roman"/>
                <w:sz w:val="18"/>
                <w:szCs w:val="20"/>
              </w:rPr>
            </w:pPr>
            <w:r w:rsidRPr="002D49C6">
              <w:rPr>
                <w:rFonts w:ascii="Arial" w:eastAsia="Arial" w:hAnsi="Arial" w:cs="Times New Roman"/>
                <w:noProof/>
                <w:sz w:val="18"/>
                <w:szCs w:val="20"/>
              </w:rPr>
              <w:drawing>
                <wp:inline distT="0" distB="0" distL="0" distR="0" wp14:anchorId="07696050" wp14:editId="1863A4BA">
                  <wp:extent cx="6120000" cy="2336110"/>
                  <wp:effectExtent l="0" t="0" r="0" b="0"/>
                  <wp:docPr id="2" name="Picture 2" descr="This chart shows that compared to 15 years ago, market concentration has increased in the warehousing and storage services sector, decreased (although it has increased steadily since 2011) in basic non-ferrous metal manufacturing, and remained broadly stable for coal m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chart shows that compared to 15 years ago, market concentration has increased in the warehousing and storage services sector, decreased (although it has increased steadily since 2011) in basic non-ferrous metal manufacturing, and remained broadly stable for coal min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000" cy="2336110"/>
                          </a:xfrm>
                          <a:prstGeom prst="rect">
                            <a:avLst/>
                          </a:prstGeom>
                          <a:noFill/>
                          <a:ln>
                            <a:noFill/>
                          </a:ln>
                        </pic:spPr>
                      </pic:pic>
                    </a:graphicData>
                  </a:graphic>
                </wp:inline>
              </w:drawing>
            </w:r>
          </w:p>
        </w:tc>
      </w:tr>
      <w:tr w:rsidR="002D49C6" w:rsidRPr="009848AD" w14:paraId="14D84C46" w14:textId="77777777" w:rsidTr="002D49C6">
        <w:trPr>
          <w:trHeight w:val="1134"/>
          <w:tblHeader/>
        </w:trPr>
        <w:tc>
          <w:tcPr>
            <w:tcW w:w="5000" w:type="pct"/>
            <w:shd w:val="clear" w:color="auto" w:fill="auto"/>
          </w:tcPr>
          <w:p w14:paraId="70F8D38A" w14:textId="7B47DF9D" w:rsidR="002D49C6" w:rsidRDefault="002D49C6" w:rsidP="009848AD">
            <w:pPr>
              <w:widowControl w:val="0"/>
              <w:spacing w:after="20" w:line="280" w:lineRule="atLeast"/>
              <w:ind w:left="57"/>
              <w:rPr>
                <w:rStyle w:val="CommentReference"/>
              </w:rPr>
            </w:pPr>
            <w:r w:rsidRPr="00961708">
              <w:rPr>
                <w:rFonts w:ascii="Arial" w:eastAsia="Arial" w:hAnsi="Arial" w:cs="Times New Roman"/>
                <w:szCs w:val="18"/>
              </w:rPr>
              <w:t>This chart shows between 2005-06 and 2021-22, business exits – which are a partial indicator of dynamism – trended down slightly. Business entries have been broadly unchanged over the same period, although they have increased somewhat in 2021-22. (Volume 3, p. 5)</w:t>
            </w:r>
            <w:r w:rsidRPr="002D49C6">
              <w:rPr>
                <w:rFonts w:ascii="Arial" w:eastAsia="Arial" w:hAnsi="Arial" w:cs="Times New Roman"/>
                <w:szCs w:val="18"/>
              </w:rPr>
              <w:t>.</w:t>
            </w:r>
          </w:p>
        </w:tc>
      </w:tr>
      <w:tr w:rsidR="002D49C6" w:rsidRPr="009848AD" w14:paraId="7874547A" w14:textId="77777777" w:rsidTr="002D49C6">
        <w:trPr>
          <w:trHeight w:val="3118"/>
          <w:tblHeader/>
        </w:trPr>
        <w:tc>
          <w:tcPr>
            <w:tcW w:w="5000" w:type="pct"/>
            <w:shd w:val="clear" w:color="auto" w:fill="auto"/>
          </w:tcPr>
          <w:p w14:paraId="304F9783" w14:textId="6E1AAC79" w:rsidR="002D49C6" w:rsidRPr="009848AD" w:rsidRDefault="002D49C6" w:rsidP="009848AD">
            <w:pPr>
              <w:widowControl w:val="0"/>
              <w:spacing w:after="20" w:line="280" w:lineRule="atLeast"/>
              <w:ind w:left="57"/>
              <w:rPr>
                <w:rFonts w:ascii="Arial" w:eastAsia="Arial" w:hAnsi="Arial" w:cs="Times New Roman"/>
                <w:sz w:val="18"/>
                <w:szCs w:val="20"/>
              </w:rPr>
            </w:pPr>
            <w:r w:rsidRPr="00442326">
              <w:rPr>
                <w:rFonts w:ascii="Arial" w:eastAsia="Arial" w:hAnsi="Arial" w:cs="Times New Roman"/>
                <w:noProof/>
                <w:sz w:val="18"/>
                <w:szCs w:val="20"/>
              </w:rPr>
              <w:drawing>
                <wp:inline distT="0" distB="0" distL="0" distR="0" wp14:anchorId="5463F5B0" wp14:editId="5F2E9F48">
                  <wp:extent cx="6120000" cy="2758888"/>
                  <wp:effectExtent l="0" t="0" r="0" b="0"/>
                  <wp:docPr id="3" name="Picture 3" descr="This chart shows that between 2005-06 and 2021-22, firm exits have trended down marginally. Firm entries also trended down until 2012-13, and largely increased in the remaining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is chart shows that between 2005-06 and 2021-22, firm exits have trended down marginally. Firm entries also trended down until 2012-13, and largely increased in the remaining year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000" cy="2758888"/>
                          </a:xfrm>
                          <a:prstGeom prst="rect">
                            <a:avLst/>
                          </a:prstGeom>
                          <a:noFill/>
                          <a:ln>
                            <a:noFill/>
                          </a:ln>
                        </pic:spPr>
                      </pic:pic>
                    </a:graphicData>
                  </a:graphic>
                </wp:inline>
              </w:drawing>
            </w:r>
          </w:p>
        </w:tc>
      </w:tr>
    </w:tbl>
    <w:p w14:paraId="078F2662" w14:textId="77777777" w:rsidR="002D49C6" w:rsidRDefault="002D49C6"/>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A0" w:firstRow="1" w:lastRow="0" w:firstColumn="1" w:lastColumn="0" w:noHBand="1" w:noVBand="1"/>
      </w:tblPr>
      <w:tblGrid>
        <w:gridCol w:w="9638"/>
      </w:tblGrid>
      <w:tr w:rsidR="002D49C6" w:rsidRPr="009848AD" w14:paraId="049238A5" w14:textId="77777777" w:rsidTr="002D49C6">
        <w:trPr>
          <w:trHeight w:val="964"/>
          <w:tblHeader/>
        </w:trPr>
        <w:tc>
          <w:tcPr>
            <w:tcW w:w="5000" w:type="pct"/>
            <w:shd w:val="clear" w:color="auto" w:fill="auto"/>
          </w:tcPr>
          <w:p w14:paraId="01C88490" w14:textId="5092EC3D" w:rsidR="002D49C6" w:rsidRPr="00D56B96" w:rsidRDefault="002D49C6" w:rsidP="002D49C6">
            <w:pPr>
              <w:pStyle w:val="TableBody"/>
              <w:widowControl w:val="0"/>
              <w:rPr>
                <w:rFonts w:ascii="Arial" w:eastAsia="Arial" w:hAnsi="Arial" w:cs="Times New Roman"/>
                <w:noProof/>
              </w:rPr>
            </w:pPr>
            <w:r>
              <w:lastRenderedPageBreak/>
              <w:t xml:space="preserve">More efficient road funding and charging mechanisms would help better direct public investment: </w:t>
            </w:r>
            <w:r w:rsidRPr="00752E15">
              <w:t>Fuel excise revenue has steadily declined as a proportion of road related revenue in the past decade</w:t>
            </w:r>
            <w:r>
              <w:t>, and this is expected to continue</w:t>
            </w:r>
            <w:r w:rsidRPr="00752E15">
              <w:t xml:space="preserve"> (Volume 3, p. 55–57)</w:t>
            </w:r>
            <w:r>
              <w:t>.</w:t>
            </w:r>
          </w:p>
        </w:tc>
      </w:tr>
      <w:tr w:rsidR="002D49C6" w:rsidRPr="009848AD" w14:paraId="22E2B67B" w14:textId="77777777" w:rsidTr="002D49C6">
        <w:trPr>
          <w:trHeight w:val="3118"/>
          <w:tblHeader/>
        </w:trPr>
        <w:tc>
          <w:tcPr>
            <w:tcW w:w="5000" w:type="pct"/>
            <w:shd w:val="clear" w:color="auto" w:fill="auto"/>
          </w:tcPr>
          <w:p w14:paraId="3BE6DE16" w14:textId="07E2CD87" w:rsidR="002D49C6" w:rsidRPr="00D56B96" w:rsidRDefault="00CB4E4F" w:rsidP="002D49C6">
            <w:pPr>
              <w:pStyle w:val="TableBody"/>
              <w:widowControl w:val="0"/>
              <w:rPr>
                <w:rFonts w:ascii="Arial" w:eastAsia="Arial" w:hAnsi="Arial" w:cs="Times New Roman"/>
              </w:rPr>
            </w:pPr>
            <w:r w:rsidRPr="00CB4E4F">
              <w:rPr>
                <w:rFonts w:ascii="Arial" w:eastAsia="Arial" w:hAnsi="Arial" w:cs="Times New Roman"/>
                <w:noProof/>
              </w:rPr>
              <w:drawing>
                <wp:inline distT="0" distB="0" distL="0" distR="0" wp14:anchorId="2AD44F9B" wp14:editId="6719EB78">
                  <wp:extent cx="6120130" cy="2869565"/>
                  <wp:effectExtent l="0" t="0" r="0" b="0"/>
                  <wp:docPr id="4" name="Picture 4" descr="This chart shows that fuel excise revenue as a share of total road related spending has fallen from over 50% in 2008-09 to less than 40% in 20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is chart shows that fuel excise revenue as a share of total road related spending has fallen from over 50% in 2008-09 to less than 40% in 2020-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130" cy="2869565"/>
                          </a:xfrm>
                          <a:prstGeom prst="rect">
                            <a:avLst/>
                          </a:prstGeom>
                          <a:noFill/>
                          <a:ln>
                            <a:noFill/>
                          </a:ln>
                        </pic:spPr>
                      </pic:pic>
                    </a:graphicData>
                  </a:graphic>
                </wp:inline>
              </w:drawing>
            </w:r>
          </w:p>
        </w:tc>
      </w:tr>
      <w:tr w:rsidR="002D49C6" w:rsidRPr="009848AD" w14:paraId="07BE8BE9" w14:textId="77777777" w:rsidTr="002D49C6">
        <w:trPr>
          <w:trHeight w:val="964"/>
          <w:tblHeader/>
        </w:trPr>
        <w:tc>
          <w:tcPr>
            <w:tcW w:w="5000" w:type="pct"/>
            <w:shd w:val="clear" w:color="auto" w:fill="auto"/>
          </w:tcPr>
          <w:p w14:paraId="21CE707F" w14:textId="458D8607" w:rsidR="002D49C6" w:rsidRPr="009E66A3" w:rsidRDefault="002D49C6" w:rsidP="002D49C6">
            <w:pPr>
              <w:spacing w:after="20" w:line="280" w:lineRule="atLeast"/>
              <w:ind w:left="57"/>
              <w:rPr>
                <w:rFonts w:ascii="Arial" w:eastAsia="Arial" w:hAnsi="Arial" w:cs="Times New Roman"/>
                <w:noProof/>
                <w:sz w:val="18"/>
                <w:szCs w:val="20"/>
              </w:rPr>
            </w:pPr>
            <w:r>
              <w:rPr>
                <w:rFonts w:ascii="Arial" w:eastAsia="Arial" w:hAnsi="Arial" w:cs="Times New Roman"/>
                <w:sz w:val="18"/>
                <w:szCs w:val="18"/>
              </w:rPr>
              <w:t xml:space="preserve">Addressing barriers to trade could stimulate competition and dynamism. </w:t>
            </w:r>
            <w:r w:rsidRPr="002D49C6">
              <w:rPr>
                <w:rFonts w:ascii="Arial" w:eastAsia="Arial" w:hAnsi="Arial" w:cs="Times New Roman"/>
                <w:sz w:val="18"/>
                <w:szCs w:val="18"/>
              </w:rPr>
              <w:t>While Australia has reduced its use of tariffs over time, it remains a prolific user of anti</w:t>
            </w:r>
            <w:r>
              <w:rPr>
                <w:rFonts w:ascii="Arial" w:eastAsia="Arial" w:hAnsi="Arial" w:cs="Times New Roman"/>
                <w:sz w:val="18"/>
                <w:szCs w:val="18"/>
              </w:rPr>
              <w:t>-</w:t>
            </w:r>
            <w:r w:rsidRPr="002D49C6">
              <w:rPr>
                <w:rFonts w:ascii="Arial" w:eastAsia="Arial" w:hAnsi="Arial" w:cs="Times New Roman"/>
                <w:sz w:val="18"/>
                <w:szCs w:val="18"/>
              </w:rPr>
              <w:t>dumping measures (including countervailing measures), with the number of products subject to such measures increasing over the past decade. (Volume 3, p. 81)</w:t>
            </w:r>
          </w:p>
        </w:tc>
      </w:tr>
      <w:tr w:rsidR="002D49C6" w:rsidRPr="009848AD" w14:paraId="047354FA" w14:textId="77777777" w:rsidTr="002D49C6">
        <w:trPr>
          <w:trHeight w:val="3118"/>
          <w:tblHeader/>
        </w:trPr>
        <w:tc>
          <w:tcPr>
            <w:tcW w:w="5000" w:type="pct"/>
            <w:shd w:val="clear" w:color="auto" w:fill="auto"/>
          </w:tcPr>
          <w:p w14:paraId="22E9F546" w14:textId="60DF5E44" w:rsidR="002D49C6" w:rsidRPr="009848AD" w:rsidRDefault="007F2013" w:rsidP="002D49C6">
            <w:pPr>
              <w:spacing w:after="20" w:line="280" w:lineRule="atLeast"/>
              <w:ind w:left="57"/>
              <w:rPr>
                <w:rFonts w:ascii="Arial" w:eastAsia="Arial" w:hAnsi="Arial" w:cs="Times New Roman"/>
                <w:noProof/>
                <w:sz w:val="18"/>
                <w:szCs w:val="20"/>
              </w:rPr>
            </w:pPr>
            <w:r w:rsidRPr="007F2013">
              <w:rPr>
                <w:rFonts w:ascii="Arial" w:eastAsia="Arial" w:hAnsi="Arial" w:cs="Times New Roman"/>
                <w:noProof/>
                <w:sz w:val="18"/>
                <w:szCs w:val="20"/>
              </w:rPr>
              <w:drawing>
                <wp:inline distT="0" distB="0" distL="0" distR="0" wp14:anchorId="1048FE56" wp14:editId="795675E4">
                  <wp:extent cx="6104255" cy="3259455"/>
                  <wp:effectExtent l="0" t="0" r="0" b="0"/>
                  <wp:docPr id="7" name="Picture 7" descr="This chart shows that the number of anti-dumping measures that Australia has in force has grown in the decade to 2020 to be well over the world med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is chart shows that the number of anti-dumping measures that Australia has in force has grown in the decade to 2020 to be well over the world media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04255" cy="3259455"/>
                          </a:xfrm>
                          <a:prstGeom prst="rect">
                            <a:avLst/>
                          </a:prstGeom>
                          <a:noFill/>
                          <a:ln>
                            <a:noFill/>
                          </a:ln>
                        </pic:spPr>
                      </pic:pic>
                    </a:graphicData>
                  </a:graphic>
                </wp:inline>
              </w:drawing>
            </w:r>
          </w:p>
        </w:tc>
      </w:tr>
    </w:tbl>
    <w:p w14:paraId="3CF098DC" w14:textId="1921A14F" w:rsidR="00F846A9" w:rsidRDefault="0015274A" w:rsidP="001D4262">
      <w:pPr>
        <w:spacing w:before="240" w:after="120"/>
        <w:rPr>
          <w:rFonts w:ascii="Arial" w:hAnsi="Arial" w:cs="Arial"/>
        </w:rPr>
      </w:pPr>
      <w:bookmarkStart w:id="0" w:name="_Hlk94794966"/>
      <w:r w:rsidRPr="00CF4552">
        <w:rPr>
          <w:rFonts w:ascii="Arial" w:hAnsi="Arial" w:cs="Arial"/>
        </w:rPr>
        <w:t>The</w:t>
      </w:r>
      <w:r w:rsidR="00F67BF1">
        <w:rPr>
          <w:rFonts w:ascii="Arial" w:hAnsi="Arial" w:cs="Arial"/>
        </w:rPr>
        <w:t xml:space="preserve"> </w:t>
      </w:r>
      <w:r w:rsidR="00F67BF1">
        <w:rPr>
          <w:rFonts w:ascii="Arial" w:hAnsi="Arial" w:cs="Arial"/>
          <w:b/>
          <w:bCs/>
        </w:rPr>
        <w:t xml:space="preserve">5-year Productivity Inquiry: Advancing Prosperity </w:t>
      </w:r>
      <w:r w:rsidR="00F67BF1" w:rsidRPr="00F67BF1">
        <w:rPr>
          <w:rFonts w:ascii="Arial" w:hAnsi="Arial" w:cs="Arial"/>
        </w:rPr>
        <w:t>report</w:t>
      </w:r>
      <w:r w:rsidR="00F67BF1">
        <w:rPr>
          <w:rFonts w:ascii="Arial" w:hAnsi="Arial" w:cs="Arial"/>
          <w:b/>
          <w:bCs/>
        </w:rPr>
        <w:t xml:space="preserve"> </w:t>
      </w:r>
      <w:r w:rsidRPr="00CF4552">
        <w:rPr>
          <w:rFonts w:ascii="Arial" w:hAnsi="Arial" w:cs="Arial"/>
        </w:rPr>
        <w:t>can be found at:</w:t>
      </w:r>
      <w:r w:rsidRPr="00CF4552">
        <w:rPr>
          <w:rFonts w:ascii="Arial" w:hAnsi="Arial" w:cs="Arial"/>
          <w:color w:val="4D7028" w:themeColor="accent2"/>
        </w:rPr>
        <w:t xml:space="preserve"> </w:t>
      </w:r>
      <w:hyperlink r:id="rId16" w:history="1">
        <w:r w:rsidRPr="004D1CB9">
          <w:rPr>
            <w:rStyle w:val="Hyperlink"/>
          </w:rPr>
          <w:t>www.pc.gov.au</w:t>
        </w:r>
      </w:hyperlink>
      <w:bookmarkEnd w:id="0"/>
    </w:p>
    <w:sectPr w:rsidR="00F846A9" w:rsidSect="005E6196">
      <w:headerReference w:type="default" r:id="rId17"/>
      <w:footerReference w:type="even" r:id="rId18"/>
      <w:footerReference w:type="default" r:id="rId19"/>
      <w:headerReference w:type="first" r:id="rId20"/>
      <w:footerReference w:type="first" r:id="rId21"/>
      <w:pgSz w:w="11906" w:h="16838" w:code="9"/>
      <w:pgMar w:top="1843" w:right="1134" w:bottom="1134" w:left="1134" w:header="624" w:footer="5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15963" w14:textId="77777777" w:rsidR="00806F70" w:rsidRDefault="00806F70" w:rsidP="00BF738A">
      <w:pPr>
        <w:spacing w:after="0" w:line="240" w:lineRule="auto"/>
      </w:pPr>
      <w:r>
        <w:separator/>
      </w:r>
    </w:p>
  </w:endnote>
  <w:endnote w:type="continuationSeparator" w:id="0">
    <w:p w14:paraId="46285A6C" w14:textId="77777777" w:rsidR="00806F70" w:rsidRDefault="00806F70" w:rsidP="00BF738A">
      <w:pPr>
        <w:spacing w:after="0" w:line="240" w:lineRule="auto"/>
      </w:pPr>
      <w:r>
        <w:continuationSeparator/>
      </w:r>
    </w:p>
  </w:endnote>
  <w:endnote w:type="continuationNotice" w:id="1">
    <w:p w14:paraId="47D3B370" w14:textId="77777777" w:rsidR="00806F70" w:rsidRDefault="00806F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F4D69" w14:textId="0CD426A2" w:rsidR="001A1977" w:rsidRDefault="005E6196">
    <w:pPr>
      <w:pStyle w:val="Footer"/>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BCB8A" w14:textId="02D0BE58" w:rsidR="00F67BF1" w:rsidRPr="001D4262" w:rsidRDefault="005E6196" w:rsidP="001D4262">
    <w:pPr>
      <w:pStyle w:val="Footer"/>
      <w:spacing w:before="0" w:beforeAutospacing="0" w:after="0" w:afterAutospacing="0"/>
      <w:jc w:val="right"/>
    </w:pPr>
    <w: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3F289" w14:textId="601201E3" w:rsidR="009848AD" w:rsidRPr="00F67BF1" w:rsidRDefault="00F67BF1" w:rsidP="00F67BF1">
    <w:pPr>
      <w:pStyle w:val="Footer"/>
      <w:spacing w:before="0" w:beforeAutospacing="0" w:after="0" w:afterAutospacing="0"/>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D718D" w14:textId="77777777" w:rsidR="00806F70" w:rsidRDefault="00806F70" w:rsidP="00BF738A">
      <w:pPr>
        <w:spacing w:after="0" w:line="240" w:lineRule="auto"/>
      </w:pPr>
      <w:r>
        <w:separator/>
      </w:r>
    </w:p>
  </w:footnote>
  <w:footnote w:type="continuationSeparator" w:id="0">
    <w:p w14:paraId="2365EFE5" w14:textId="77777777" w:rsidR="00806F70" w:rsidRDefault="00806F70" w:rsidP="00BF738A">
      <w:pPr>
        <w:spacing w:after="0" w:line="240" w:lineRule="auto"/>
      </w:pPr>
      <w:r>
        <w:continuationSeparator/>
      </w:r>
    </w:p>
  </w:footnote>
  <w:footnote w:type="continuationNotice" w:id="1">
    <w:p w14:paraId="55EF2E88" w14:textId="77777777" w:rsidR="00806F70" w:rsidRDefault="00806F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0FA1" w14:textId="12C3751F" w:rsidR="009848AD" w:rsidRPr="009848AD" w:rsidRDefault="009848AD" w:rsidP="009848AD">
    <w:pPr>
      <w:pStyle w:val="Header"/>
      <w:spacing w:before="120"/>
      <w:ind w:right="-454"/>
      <w:rPr>
        <w:b/>
        <w:bCs/>
      </w:rPr>
    </w:pPr>
    <w:r w:rsidRPr="009848AD">
      <w:rPr>
        <w:rFonts w:ascii="Arial Black" w:hAnsi="Arial Black"/>
        <w:b/>
        <w:bCs/>
        <w:color w:val="2D9AC2" w:themeColor="text2" w:themeShade="BF"/>
        <w:sz w:val="34"/>
        <w:szCs w:val="34"/>
      </w:rPr>
      <w:t>FACTSHEET</w:t>
    </w:r>
  </w:p>
  <w:p w14:paraId="65BA68B8" w14:textId="1C5EA2DC" w:rsidR="00BF738A" w:rsidRPr="00A326BA" w:rsidRDefault="0073286C" w:rsidP="00A326BA">
    <w:pPr>
      <w:pStyle w:val="Header"/>
      <w:spacing w:before="480"/>
      <w:ind w:right="-454"/>
      <w:rPr>
        <w:b/>
        <w:bCs/>
      </w:rPr>
    </w:pPr>
    <w:r w:rsidRPr="00A326BA">
      <w:rPr>
        <w:b/>
        <w:bCs/>
      </w:rPr>
      <w:t xml:space="preserve">#1 – </w:t>
    </w:r>
    <w:r w:rsidR="009848AD">
      <w:rPr>
        <w:b/>
        <w:bCs/>
      </w:rPr>
      <w:t xml:space="preserve">Advancing Prosperity </w:t>
    </w:r>
    <w:r w:rsidR="003C6BF2">
      <w:rPr>
        <w:b/>
        <w:bCs/>
      </w:rPr>
      <w:t xml:space="preserve">| </w:t>
    </w:r>
    <w:r w:rsidR="009848AD">
      <w:rPr>
        <w:b/>
        <w:bCs/>
      </w:rPr>
      <w:t>Inquiry Report</w:t>
    </w:r>
    <w:r w:rsidR="00363495">
      <w:rPr>
        <w:b/>
        <w:bCs/>
      </w:rPr>
      <w:t xml:space="preserve"> | Volume 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79798" w14:textId="178777B9" w:rsidR="009848AD" w:rsidRPr="009848AD" w:rsidRDefault="009848AD" w:rsidP="009848AD">
    <w:pPr>
      <w:pStyle w:val="Header"/>
      <w:spacing w:before="480"/>
      <w:ind w:right="-454"/>
      <w:rPr>
        <w:b/>
        <w:bCs/>
      </w:rPr>
    </w:pPr>
    <w:r w:rsidRPr="00A326BA">
      <w:rPr>
        <w:rFonts w:ascii="Verdana" w:hAnsi="Verdana"/>
        <w:b/>
        <w:bCs/>
        <w:noProof/>
        <w:color w:val="FF0000"/>
        <w:sz w:val="28"/>
        <w:szCs w:val="28"/>
        <w:highlight w:val="yellow"/>
      </w:rPr>
      <w:drawing>
        <wp:anchor distT="0" distB="0" distL="114300" distR="114300" simplePos="0" relativeHeight="251658240" behindDoc="1" locked="0" layoutInCell="1" allowOverlap="1" wp14:anchorId="7256CDFB" wp14:editId="0728FBB7">
          <wp:simplePos x="0" y="0"/>
          <wp:positionH relativeFrom="page">
            <wp:posOffset>0</wp:posOffset>
          </wp:positionH>
          <wp:positionV relativeFrom="page">
            <wp:posOffset>-85725</wp:posOffset>
          </wp:positionV>
          <wp:extent cx="7561921" cy="1581150"/>
          <wp:effectExtent l="0" t="0" r="1270" b="0"/>
          <wp:wrapNone/>
          <wp:docPr id="165" name="Picture 165" descr="Productivity Commission fact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roductivity Commission factsheet"/>
                  <pic:cNvPicPr/>
                </pic:nvPicPr>
                <pic:blipFill>
                  <a:blip r:embed="rId1">
                    <a:extLst>
                      <a:ext uri="{28A0092B-C50C-407E-A947-70E740481C1C}">
                        <a14:useLocalDpi xmlns:a14="http://schemas.microsoft.com/office/drawing/2010/main" val="0"/>
                      </a:ext>
                    </a:extLst>
                  </a:blip>
                  <a:srcRect t="782" b="782"/>
                  <a:stretch>
                    <a:fillRect/>
                  </a:stretch>
                </pic:blipFill>
                <pic:spPr bwMode="auto">
                  <a:xfrm>
                    <a:off x="0" y="0"/>
                    <a:ext cx="7561921" cy="1581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326BA">
      <w:rPr>
        <w:b/>
        <w:bCs/>
      </w:rPr>
      <w:t xml:space="preserve">#1 – </w:t>
    </w:r>
    <w:r>
      <w:rPr>
        <w:b/>
        <w:bCs/>
      </w:rPr>
      <w:t>Advancing Prosperity | Inquiry Report</w:t>
    </w:r>
    <w:r w:rsidR="00FF094D">
      <w:rPr>
        <w:b/>
        <w:bCs/>
      </w:rPr>
      <w:t xml:space="preserve"> | Volume</w:t>
    </w:r>
    <w:r w:rsidR="001817C6">
      <w:rPr>
        <w:b/>
        <w:bCs/>
      </w:rPr>
      <w:t xml:space="preserve">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00E104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BB885A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8E20ED22"/>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C3088772"/>
    <w:lvl w:ilvl="0">
      <w:start w:val="1"/>
      <w:numFmt w:val="bullet"/>
      <w:pStyle w:val="TableListBullet"/>
      <w:lvlText w:val=""/>
      <w:lvlJc w:val="left"/>
      <w:pPr>
        <w:tabs>
          <w:tab w:val="num" w:pos="360"/>
        </w:tabs>
        <w:ind w:left="360" w:hanging="360"/>
      </w:pPr>
      <w:rPr>
        <w:rFonts w:ascii="Symbol" w:hAnsi="Symbol" w:hint="default"/>
      </w:rPr>
    </w:lvl>
  </w:abstractNum>
  <w:abstractNum w:abstractNumId="4" w15:restartNumberingAfterBreak="0">
    <w:nsid w:val="031A37EF"/>
    <w:multiLevelType w:val="hybridMultilevel"/>
    <w:tmpl w:val="3EB88730"/>
    <w:lvl w:ilvl="0" w:tplc="AA2616F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3E6C9D"/>
    <w:multiLevelType w:val="multilevel"/>
    <w:tmpl w:val="FF8069A4"/>
    <w:numStyleLink w:val="Bullets"/>
  </w:abstractNum>
  <w:abstractNum w:abstractNumId="6" w15:restartNumberingAfterBreak="0">
    <w:nsid w:val="60E1502C"/>
    <w:multiLevelType w:val="multilevel"/>
    <w:tmpl w:val="FF8069A4"/>
    <w:styleLink w:val="Bullets"/>
    <w:lvl w:ilvl="0">
      <w:start w:val="1"/>
      <w:numFmt w:val="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num w:numId="1" w16cid:durableId="1849828926">
    <w:abstractNumId w:val="4"/>
  </w:num>
  <w:num w:numId="2" w16cid:durableId="317923861">
    <w:abstractNumId w:val="3"/>
  </w:num>
  <w:num w:numId="3" w16cid:durableId="1228372660">
    <w:abstractNumId w:val="5"/>
  </w:num>
  <w:num w:numId="4" w16cid:durableId="2021546402">
    <w:abstractNumId w:val="1"/>
  </w:num>
  <w:num w:numId="5" w16cid:durableId="1958876224">
    <w:abstractNumId w:val="5"/>
  </w:num>
  <w:num w:numId="6" w16cid:durableId="779253751">
    <w:abstractNumId w:val="0"/>
  </w:num>
  <w:num w:numId="7" w16cid:durableId="230846041">
    <w:abstractNumId w:val="5"/>
  </w:num>
  <w:num w:numId="8" w16cid:durableId="833767088">
    <w:abstractNumId w:val="2"/>
  </w:num>
  <w:num w:numId="9" w16cid:durableId="617302055">
    <w:abstractNumId w:val="2"/>
  </w:num>
  <w:num w:numId="10" w16cid:durableId="176118987">
    <w:abstractNumId w:val="5"/>
  </w:num>
  <w:num w:numId="11" w16cid:durableId="1404641264">
    <w:abstractNumId w:val="5"/>
  </w:num>
  <w:num w:numId="12" w16cid:durableId="965233325">
    <w:abstractNumId w:val="5"/>
  </w:num>
  <w:num w:numId="13" w16cid:durableId="378168178">
    <w:abstractNumId w:val="2"/>
  </w:num>
  <w:num w:numId="14" w16cid:durableId="1952320758">
    <w:abstractNumId w:val="5"/>
  </w:num>
  <w:num w:numId="15" w16cid:durableId="179243797">
    <w:abstractNumId w:val="6"/>
  </w:num>
  <w:num w:numId="16" w16cid:durableId="2103646247">
    <w:abstractNumId w:val="5"/>
    <w:lvlOverride w:ilvl="0">
      <w:lvl w:ilvl="0">
        <w:start w:val="1"/>
        <w:numFmt w:val="bullet"/>
        <w:lvlText w:val="•"/>
        <w:lvlJc w:val="left"/>
        <w:pPr>
          <w:ind w:left="227" w:hanging="227"/>
        </w:pPr>
        <w:rPr>
          <w:rFonts w:ascii="Times New Roman" w:hAnsi="Times New Roman" w:cs="Times New Roman" w:hint="default"/>
          <w:color w:val="000000"/>
        </w:rPr>
      </w:lvl>
    </w:lvlOverride>
    <w:lvlOverride w:ilvl="1">
      <w:lvl w:ilvl="1">
        <w:start w:val="1"/>
        <w:numFmt w:val="bullet"/>
        <w:pStyle w:val="ListBullet2"/>
        <w:lvlText w:val="–"/>
        <w:lvlJc w:val="left"/>
        <w:pPr>
          <w:ind w:left="454" w:hanging="227"/>
        </w:pPr>
        <w:rPr>
          <w:rFonts w:ascii="Arial" w:hAnsi="Arial" w:hint="default"/>
          <w:color w:val="auto"/>
        </w:rPr>
      </w:lvl>
    </w:lvlOverride>
    <w:lvlOverride w:ilvl="2">
      <w:lvl w:ilvl="2">
        <w:start w:val="1"/>
        <w:numFmt w:val="bullet"/>
        <w:pStyle w:val="ListBullet3"/>
        <w:lvlText w:val="»"/>
        <w:lvlJc w:val="left"/>
        <w:pPr>
          <w:ind w:left="907" w:hanging="227"/>
        </w:pPr>
        <w:rPr>
          <w:rFonts w:ascii="Arial" w:hAnsi="Arial" w:hint="default"/>
          <w:color w:val="auto"/>
        </w:rPr>
      </w:lvl>
    </w:lvlOverride>
    <w:lvlOverride w:ilvl="3">
      <w:lvl w:ilvl="3">
        <w:start w:val="1"/>
        <w:numFmt w:val="bullet"/>
        <w:lvlText w:val="–"/>
        <w:lvlJc w:val="left"/>
        <w:pPr>
          <w:tabs>
            <w:tab w:val="num" w:pos="851"/>
          </w:tabs>
          <w:ind w:left="907" w:hanging="227"/>
        </w:pPr>
        <w:rPr>
          <w:rFonts w:ascii="Arial" w:hAnsi="Arial" w:hint="default"/>
          <w:color w:val="auto"/>
        </w:rPr>
      </w:lvl>
    </w:lvlOverride>
    <w:lvlOverride w:ilvl="4">
      <w:lvl w:ilvl="4">
        <w:start w:val="1"/>
        <w:numFmt w:val="bullet"/>
        <w:lvlText w:val="–"/>
        <w:lvlJc w:val="left"/>
        <w:pPr>
          <w:ind w:left="1134" w:hanging="227"/>
        </w:pPr>
        <w:rPr>
          <w:rFonts w:ascii="Arial" w:hAnsi="Arial" w:hint="default"/>
          <w:color w:val="auto"/>
        </w:rPr>
      </w:lvl>
    </w:lvlOverride>
    <w:lvlOverride w:ilvl="5">
      <w:lvl w:ilvl="5">
        <w:start w:val="1"/>
        <w:numFmt w:val="bullet"/>
        <w:lvlText w:val="–"/>
        <w:lvlJc w:val="left"/>
        <w:pPr>
          <w:ind w:left="1361" w:hanging="227"/>
        </w:pPr>
        <w:rPr>
          <w:rFonts w:ascii="Arial" w:hAnsi="Arial" w:hint="default"/>
        </w:rPr>
      </w:lvl>
    </w:lvlOverride>
    <w:lvlOverride w:ilvl="6">
      <w:lvl w:ilvl="6">
        <w:start w:val="1"/>
        <w:numFmt w:val="bullet"/>
        <w:lvlText w:val="–"/>
        <w:lvlJc w:val="left"/>
        <w:pPr>
          <w:ind w:left="1588" w:hanging="227"/>
        </w:pPr>
        <w:rPr>
          <w:rFonts w:ascii="Arial" w:hAnsi="Arial" w:hint="default"/>
        </w:rPr>
      </w:lvl>
    </w:lvlOverride>
    <w:lvlOverride w:ilvl="7">
      <w:lvl w:ilvl="7">
        <w:start w:val="1"/>
        <w:numFmt w:val="bullet"/>
        <w:lvlText w:val="–"/>
        <w:lvlJc w:val="left"/>
        <w:pPr>
          <w:ind w:left="1814" w:hanging="226"/>
        </w:pPr>
        <w:rPr>
          <w:rFonts w:ascii="Arial" w:hAnsi="Arial" w:hint="default"/>
        </w:rPr>
      </w:lvl>
    </w:lvlOverride>
    <w:lvlOverride w:ilvl="8">
      <w:lvl w:ilvl="8">
        <w:start w:val="1"/>
        <w:numFmt w:val="bullet"/>
        <w:lvlText w:val="–"/>
        <w:lvlJc w:val="left"/>
        <w:pPr>
          <w:tabs>
            <w:tab w:val="num" w:pos="2211"/>
          </w:tabs>
          <w:ind w:left="2041" w:hanging="227"/>
        </w:pPr>
        <w:rPr>
          <w:rFonts w:ascii="Arial" w:hAnsi="Arial" w:hint="default"/>
        </w:rPr>
      </w:lvl>
    </w:lvlOverride>
  </w:num>
  <w:num w:numId="17" w16cid:durableId="3316906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8AD"/>
    <w:rsid w:val="00024601"/>
    <w:rsid w:val="00024F30"/>
    <w:rsid w:val="00025006"/>
    <w:rsid w:val="00026223"/>
    <w:rsid w:val="0003218F"/>
    <w:rsid w:val="00057037"/>
    <w:rsid w:val="0007183E"/>
    <w:rsid w:val="00086039"/>
    <w:rsid w:val="000872C3"/>
    <w:rsid w:val="000A55CA"/>
    <w:rsid w:val="000A563B"/>
    <w:rsid w:val="000B25D5"/>
    <w:rsid w:val="000B4951"/>
    <w:rsid w:val="000B4FAA"/>
    <w:rsid w:val="000D02C1"/>
    <w:rsid w:val="000D6332"/>
    <w:rsid w:val="000E622D"/>
    <w:rsid w:val="00100F41"/>
    <w:rsid w:val="0010282D"/>
    <w:rsid w:val="001120AD"/>
    <w:rsid w:val="001162CE"/>
    <w:rsid w:val="00130F14"/>
    <w:rsid w:val="00134183"/>
    <w:rsid w:val="00145D90"/>
    <w:rsid w:val="0015274A"/>
    <w:rsid w:val="00181291"/>
    <w:rsid w:val="001817C6"/>
    <w:rsid w:val="001A1977"/>
    <w:rsid w:val="001A4DE0"/>
    <w:rsid w:val="001C25AB"/>
    <w:rsid w:val="001C65B9"/>
    <w:rsid w:val="001D3130"/>
    <w:rsid w:val="001D4262"/>
    <w:rsid w:val="001D7E42"/>
    <w:rsid w:val="001E0828"/>
    <w:rsid w:val="001E1748"/>
    <w:rsid w:val="001E1C8B"/>
    <w:rsid w:val="001E6B47"/>
    <w:rsid w:val="001E78D6"/>
    <w:rsid w:val="001F1904"/>
    <w:rsid w:val="001F22C5"/>
    <w:rsid w:val="001F3FA2"/>
    <w:rsid w:val="002128DA"/>
    <w:rsid w:val="0022568B"/>
    <w:rsid w:val="00234C05"/>
    <w:rsid w:val="002353B9"/>
    <w:rsid w:val="002363DE"/>
    <w:rsid w:val="00245E31"/>
    <w:rsid w:val="002543D0"/>
    <w:rsid w:val="00256ED3"/>
    <w:rsid w:val="002647C2"/>
    <w:rsid w:val="002B5169"/>
    <w:rsid w:val="002D1504"/>
    <w:rsid w:val="002D49C6"/>
    <w:rsid w:val="002F2B0A"/>
    <w:rsid w:val="00305D37"/>
    <w:rsid w:val="00306E1E"/>
    <w:rsid w:val="003463B7"/>
    <w:rsid w:val="003570AA"/>
    <w:rsid w:val="00363495"/>
    <w:rsid w:val="003765AC"/>
    <w:rsid w:val="003815D9"/>
    <w:rsid w:val="0038191A"/>
    <w:rsid w:val="003A752B"/>
    <w:rsid w:val="003B3B01"/>
    <w:rsid w:val="003C0968"/>
    <w:rsid w:val="003C0C27"/>
    <w:rsid w:val="003C23F2"/>
    <w:rsid w:val="003C6629"/>
    <w:rsid w:val="003C6BF2"/>
    <w:rsid w:val="003D5F85"/>
    <w:rsid w:val="003E011F"/>
    <w:rsid w:val="003F02E0"/>
    <w:rsid w:val="00401B59"/>
    <w:rsid w:val="00421411"/>
    <w:rsid w:val="00425485"/>
    <w:rsid w:val="00430C34"/>
    <w:rsid w:val="004401EB"/>
    <w:rsid w:val="00442326"/>
    <w:rsid w:val="00452FB0"/>
    <w:rsid w:val="0045461C"/>
    <w:rsid w:val="0045512F"/>
    <w:rsid w:val="00484EF1"/>
    <w:rsid w:val="00490D0C"/>
    <w:rsid w:val="00493638"/>
    <w:rsid w:val="00494DE7"/>
    <w:rsid w:val="004B1EAA"/>
    <w:rsid w:val="004B7031"/>
    <w:rsid w:val="004D1CB9"/>
    <w:rsid w:val="004E0D34"/>
    <w:rsid w:val="004E1066"/>
    <w:rsid w:val="004E2406"/>
    <w:rsid w:val="004E6A95"/>
    <w:rsid w:val="004F1BFE"/>
    <w:rsid w:val="004F28F5"/>
    <w:rsid w:val="005049D8"/>
    <w:rsid w:val="00505D2A"/>
    <w:rsid w:val="00506294"/>
    <w:rsid w:val="00510330"/>
    <w:rsid w:val="005124D3"/>
    <w:rsid w:val="00530EC7"/>
    <w:rsid w:val="00536053"/>
    <w:rsid w:val="0053710B"/>
    <w:rsid w:val="0054548E"/>
    <w:rsid w:val="005713A1"/>
    <w:rsid w:val="00574F79"/>
    <w:rsid w:val="0058171B"/>
    <w:rsid w:val="00596902"/>
    <w:rsid w:val="005A0E59"/>
    <w:rsid w:val="005A1913"/>
    <w:rsid w:val="005B492A"/>
    <w:rsid w:val="005C313E"/>
    <w:rsid w:val="005D2A7B"/>
    <w:rsid w:val="005D3248"/>
    <w:rsid w:val="005E6196"/>
    <w:rsid w:val="005E753F"/>
    <w:rsid w:val="005F1C68"/>
    <w:rsid w:val="005F2520"/>
    <w:rsid w:val="005F6833"/>
    <w:rsid w:val="005F6D53"/>
    <w:rsid w:val="005F7BF9"/>
    <w:rsid w:val="00626F0D"/>
    <w:rsid w:val="00662C2D"/>
    <w:rsid w:val="00673A86"/>
    <w:rsid w:val="006758B0"/>
    <w:rsid w:val="00676139"/>
    <w:rsid w:val="006815C8"/>
    <w:rsid w:val="00686AF5"/>
    <w:rsid w:val="006927E2"/>
    <w:rsid w:val="00694ABA"/>
    <w:rsid w:val="006A13A6"/>
    <w:rsid w:val="006B76D8"/>
    <w:rsid w:val="006C79BE"/>
    <w:rsid w:val="006D1B83"/>
    <w:rsid w:val="006D7C2C"/>
    <w:rsid w:val="006E16F7"/>
    <w:rsid w:val="006E5019"/>
    <w:rsid w:val="006E5F03"/>
    <w:rsid w:val="006E6BB4"/>
    <w:rsid w:val="006F24AB"/>
    <w:rsid w:val="00712E93"/>
    <w:rsid w:val="007144DA"/>
    <w:rsid w:val="00717C8F"/>
    <w:rsid w:val="007204DE"/>
    <w:rsid w:val="00724381"/>
    <w:rsid w:val="0073286C"/>
    <w:rsid w:val="00743044"/>
    <w:rsid w:val="00750545"/>
    <w:rsid w:val="00752E15"/>
    <w:rsid w:val="00756977"/>
    <w:rsid w:val="007703B8"/>
    <w:rsid w:val="00770EA7"/>
    <w:rsid w:val="007845C6"/>
    <w:rsid w:val="00784968"/>
    <w:rsid w:val="00793213"/>
    <w:rsid w:val="007A4797"/>
    <w:rsid w:val="007B146C"/>
    <w:rsid w:val="007B179B"/>
    <w:rsid w:val="007C185D"/>
    <w:rsid w:val="007C59BA"/>
    <w:rsid w:val="007D0634"/>
    <w:rsid w:val="007E0A82"/>
    <w:rsid w:val="007E335D"/>
    <w:rsid w:val="007F2013"/>
    <w:rsid w:val="007F4133"/>
    <w:rsid w:val="007F4BD6"/>
    <w:rsid w:val="00806F70"/>
    <w:rsid w:val="00823CFA"/>
    <w:rsid w:val="0083529C"/>
    <w:rsid w:val="008413EB"/>
    <w:rsid w:val="00845BAC"/>
    <w:rsid w:val="00847BD4"/>
    <w:rsid w:val="00871A44"/>
    <w:rsid w:val="00877E14"/>
    <w:rsid w:val="0089423F"/>
    <w:rsid w:val="008A0D34"/>
    <w:rsid w:val="008A6E27"/>
    <w:rsid w:val="008B1CA3"/>
    <w:rsid w:val="008B5548"/>
    <w:rsid w:val="008C1E20"/>
    <w:rsid w:val="008C62D5"/>
    <w:rsid w:val="008D5A05"/>
    <w:rsid w:val="008E66F3"/>
    <w:rsid w:val="008F29F0"/>
    <w:rsid w:val="008F66FD"/>
    <w:rsid w:val="00905479"/>
    <w:rsid w:val="0091106D"/>
    <w:rsid w:val="00923246"/>
    <w:rsid w:val="009251C4"/>
    <w:rsid w:val="00934BEC"/>
    <w:rsid w:val="00936112"/>
    <w:rsid w:val="009414FB"/>
    <w:rsid w:val="00941868"/>
    <w:rsid w:val="00955399"/>
    <w:rsid w:val="00961708"/>
    <w:rsid w:val="00963285"/>
    <w:rsid w:val="00964196"/>
    <w:rsid w:val="00967E28"/>
    <w:rsid w:val="00973096"/>
    <w:rsid w:val="00975997"/>
    <w:rsid w:val="0097721F"/>
    <w:rsid w:val="009848AD"/>
    <w:rsid w:val="00992F6E"/>
    <w:rsid w:val="009942F3"/>
    <w:rsid w:val="009B5665"/>
    <w:rsid w:val="009C4218"/>
    <w:rsid w:val="009C7D4E"/>
    <w:rsid w:val="009D1AB3"/>
    <w:rsid w:val="009D276A"/>
    <w:rsid w:val="009D4914"/>
    <w:rsid w:val="009D5D09"/>
    <w:rsid w:val="009E66A3"/>
    <w:rsid w:val="009F381B"/>
    <w:rsid w:val="009F696C"/>
    <w:rsid w:val="00A0377E"/>
    <w:rsid w:val="00A04687"/>
    <w:rsid w:val="00A056EB"/>
    <w:rsid w:val="00A11B28"/>
    <w:rsid w:val="00A176BF"/>
    <w:rsid w:val="00A326BA"/>
    <w:rsid w:val="00A355C5"/>
    <w:rsid w:val="00A358BA"/>
    <w:rsid w:val="00A36781"/>
    <w:rsid w:val="00A44052"/>
    <w:rsid w:val="00A44556"/>
    <w:rsid w:val="00A52026"/>
    <w:rsid w:val="00A55E06"/>
    <w:rsid w:val="00A6285E"/>
    <w:rsid w:val="00A671CC"/>
    <w:rsid w:val="00A80EF3"/>
    <w:rsid w:val="00A81BF9"/>
    <w:rsid w:val="00A8433A"/>
    <w:rsid w:val="00A95C38"/>
    <w:rsid w:val="00AA61B4"/>
    <w:rsid w:val="00AB1E75"/>
    <w:rsid w:val="00AB42F1"/>
    <w:rsid w:val="00AC2F5F"/>
    <w:rsid w:val="00AC659A"/>
    <w:rsid w:val="00AD199E"/>
    <w:rsid w:val="00AD309F"/>
    <w:rsid w:val="00AD69D6"/>
    <w:rsid w:val="00AF0DEF"/>
    <w:rsid w:val="00AF5830"/>
    <w:rsid w:val="00AF5C1A"/>
    <w:rsid w:val="00B00048"/>
    <w:rsid w:val="00B040EA"/>
    <w:rsid w:val="00B0736B"/>
    <w:rsid w:val="00B43566"/>
    <w:rsid w:val="00B47C67"/>
    <w:rsid w:val="00B56448"/>
    <w:rsid w:val="00B730D7"/>
    <w:rsid w:val="00B838A8"/>
    <w:rsid w:val="00B91C1F"/>
    <w:rsid w:val="00B93CC3"/>
    <w:rsid w:val="00B96280"/>
    <w:rsid w:val="00BB6FA8"/>
    <w:rsid w:val="00BB703E"/>
    <w:rsid w:val="00BC2B85"/>
    <w:rsid w:val="00BD1472"/>
    <w:rsid w:val="00BD463F"/>
    <w:rsid w:val="00BF4C25"/>
    <w:rsid w:val="00BF738A"/>
    <w:rsid w:val="00BF78ED"/>
    <w:rsid w:val="00C06C50"/>
    <w:rsid w:val="00C17A92"/>
    <w:rsid w:val="00C309B6"/>
    <w:rsid w:val="00C35395"/>
    <w:rsid w:val="00C35BD9"/>
    <w:rsid w:val="00C3600D"/>
    <w:rsid w:val="00C42C74"/>
    <w:rsid w:val="00C444A4"/>
    <w:rsid w:val="00C61A7B"/>
    <w:rsid w:val="00C63A5F"/>
    <w:rsid w:val="00C6417D"/>
    <w:rsid w:val="00C717DE"/>
    <w:rsid w:val="00C71A56"/>
    <w:rsid w:val="00C85CEF"/>
    <w:rsid w:val="00CB4120"/>
    <w:rsid w:val="00CB4403"/>
    <w:rsid w:val="00CB4E4F"/>
    <w:rsid w:val="00CC514D"/>
    <w:rsid w:val="00CD6563"/>
    <w:rsid w:val="00CF0F1B"/>
    <w:rsid w:val="00D11358"/>
    <w:rsid w:val="00D2332D"/>
    <w:rsid w:val="00D252F9"/>
    <w:rsid w:val="00D2770B"/>
    <w:rsid w:val="00D353E1"/>
    <w:rsid w:val="00D4419D"/>
    <w:rsid w:val="00D56B96"/>
    <w:rsid w:val="00D715E6"/>
    <w:rsid w:val="00D71C29"/>
    <w:rsid w:val="00D754B4"/>
    <w:rsid w:val="00D80857"/>
    <w:rsid w:val="00D80AD3"/>
    <w:rsid w:val="00D838F6"/>
    <w:rsid w:val="00D86D6E"/>
    <w:rsid w:val="00D906FB"/>
    <w:rsid w:val="00D94694"/>
    <w:rsid w:val="00DA11E3"/>
    <w:rsid w:val="00DA2D42"/>
    <w:rsid w:val="00DA36CD"/>
    <w:rsid w:val="00DC113E"/>
    <w:rsid w:val="00DC2C45"/>
    <w:rsid w:val="00DC517F"/>
    <w:rsid w:val="00DC6C14"/>
    <w:rsid w:val="00DC7412"/>
    <w:rsid w:val="00DD049B"/>
    <w:rsid w:val="00DD3723"/>
    <w:rsid w:val="00DE6B24"/>
    <w:rsid w:val="00DF53E8"/>
    <w:rsid w:val="00DF62E2"/>
    <w:rsid w:val="00E015E8"/>
    <w:rsid w:val="00E01F1C"/>
    <w:rsid w:val="00E02B37"/>
    <w:rsid w:val="00E12FC6"/>
    <w:rsid w:val="00E13CE2"/>
    <w:rsid w:val="00E151AD"/>
    <w:rsid w:val="00E16949"/>
    <w:rsid w:val="00E27EF2"/>
    <w:rsid w:val="00E36E22"/>
    <w:rsid w:val="00E41905"/>
    <w:rsid w:val="00E42C98"/>
    <w:rsid w:val="00E44BF0"/>
    <w:rsid w:val="00E45954"/>
    <w:rsid w:val="00E475F7"/>
    <w:rsid w:val="00E77A60"/>
    <w:rsid w:val="00E82B11"/>
    <w:rsid w:val="00E862A9"/>
    <w:rsid w:val="00E973D5"/>
    <w:rsid w:val="00EC1DD7"/>
    <w:rsid w:val="00EE3080"/>
    <w:rsid w:val="00EF4473"/>
    <w:rsid w:val="00F23D28"/>
    <w:rsid w:val="00F25F18"/>
    <w:rsid w:val="00F52787"/>
    <w:rsid w:val="00F56E2D"/>
    <w:rsid w:val="00F6150C"/>
    <w:rsid w:val="00F618CB"/>
    <w:rsid w:val="00F62B0E"/>
    <w:rsid w:val="00F67BF1"/>
    <w:rsid w:val="00F7241B"/>
    <w:rsid w:val="00F83378"/>
    <w:rsid w:val="00F837B3"/>
    <w:rsid w:val="00F846A9"/>
    <w:rsid w:val="00FA433D"/>
    <w:rsid w:val="00FA70F0"/>
    <w:rsid w:val="00FB7F97"/>
    <w:rsid w:val="00FE3664"/>
    <w:rsid w:val="00FE531F"/>
    <w:rsid w:val="00FF094D"/>
    <w:rsid w:val="00FF3BD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86D2C"/>
  <w15:docId w15:val="{AF56B2D8-6C22-4C38-9938-1CBBC44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8AD"/>
  </w:style>
  <w:style w:type="paragraph" w:styleId="Heading1">
    <w:name w:val="heading 1"/>
    <w:basedOn w:val="Normal"/>
    <w:next w:val="Normal"/>
    <w:link w:val="Heading1Char"/>
    <w:uiPriority w:val="9"/>
    <w:qFormat/>
    <w:rsid w:val="001E1748"/>
    <w:pPr>
      <w:keepNext/>
      <w:keepLines/>
      <w:spacing w:before="240" w:after="120"/>
      <w:outlineLvl w:val="0"/>
    </w:pPr>
    <w:rPr>
      <w:rFonts w:asciiTheme="majorHAnsi" w:eastAsiaTheme="majorEastAsia" w:hAnsiTheme="majorHAnsi" w:cstheme="majorBidi"/>
      <w:b/>
      <w:color w:val="26539D"/>
      <w:sz w:val="32"/>
      <w:szCs w:val="32"/>
    </w:rPr>
  </w:style>
  <w:style w:type="paragraph" w:styleId="Heading2">
    <w:name w:val="heading 2"/>
    <w:basedOn w:val="Normal"/>
    <w:next w:val="Normal"/>
    <w:link w:val="Heading2Char"/>
    <w:uiPriority w:val="9"/>
    <w:unhideWhenUsed/>
    <w:qFormat/>
    <w:rsid w:val="001E1748"/>
    <w:pPr>
      <w:keepNext/>
      <w:keepLines/>
      <w:spacing w:before="40" w:after="80"/>
      <w:outlineLvl w:val="1"/>
    </w:pPr>
    <w:rPr>
      <w:rFonts w:asciiTheme="majorHAnsi" w:eastAsiaTheme="majorEastAsia" w:hAnsiTheme="majorHAnsi" w:cstheme="majorBidi"/>
      <w:b/>
      <w:color w:val="31A2CF"/>
      <w:sz w:val="26"/>
      <w:szCs w:val="26"/>
    </w:rPr>
  </w:style>
  <w:style w:type="paragraph" w:styleId="Heading3">
    <w:name w:val="heading 3"/>
    <w:basedOn w:val="Normal"/>
    <w:next w:val="Normal"/>
    <w:link w:val="Heading3Char"/>
    <w:uiPriority w:val="9"/>
    <w:unhideWhenUsed/>
    <w:qFormat/>
    <w:rsid w:val="00CC514D"/>
    <w:pPr>
      <w:keepNext/>
      <w:keepLines/>
      <w:spacing w:before="40" w:after="0"/>
      <w:outlineLvl w:val="2"/>
    </w:pPr>
    <w:rPr>
      <w:rFonts w:asciiTheme="majorHAnsi" w:eastAsiaTheme="majorEastAsia" w:hAnsiTheme="majorHAnsi" w:cstheme="majorBidi"/>
      <w:b/>
      <w:color w:val="000000"/>
      <w:sz w:val="24"/>
      <w:szCs w:val="24"/>
    </w:rPr>
  </w:style>
  <w:style w:type="paragraph" w:styleId="Heading4">
    <w:name w:val="heading 4"/>
    <w:basedOn w:val="Normal"/>
    <w:next w:val="Normal"/>
    <w:link w:val="Heading4Char"/>
    <w:uiPriority w:val="9"/>
    <w:semiHidden/>
    <w:unhideWhenUsed/>
    <w:qFormat/>
    <w:rsid w:val="00CC514D"/>
    <w:pPr>
      <w:keepNext/>
      <w:keepLines/>
      <w:spacing w:before="40" w:after="0"/>
      <w:outlineLvl w:val="3"/>
    </w:pPr>
    <w:rPr>
      <w:rFonts w:asciiTheme="majorHAnsi" w:eastAsiaTheme="majorEastAsia" w:hAnsiTheme="majorHAnsi" w:cstheme="majorBidi"/>
      <w:i/>
      <w:iCs/>
      <w:color w:val="265A9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17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748"/>
    <w:rPr>
      <w:rFonts w:ascii="Tahoma" w:hAnsi="Tahoma" w:cs="Tahoma"/>
      <w:sz w:val="16"/>
      <w:szCs w:val="16"/>
    </w:rPr>
  </w:style>
  <w:style w:type="character" w:styleId="BookTitle">
    <w:name w:val="Book Title"/>
    <w:basedOn w:val="DefaultParagraphFont"/>
    <w:uiPriority w:val="33"/>
    <w:semiHidden/>
    <w:rsid w:val="001E1748"/>
    <w:rPr>
      <w:b/>
      <w:bCs/>
      <w:i/>
      <w:iCs/>
      <w:spacing w:val="5"/>
    </w:rPr>
  </w:style>
  <w:style w:type="character" w:styleId="FollowedHyperlink">
    <w:name w:val="FollowedHyperlink"/>
    <w:basedOn w:val="DefaultParagraphFont"/>
    <w:uiPriority w:val="99"/>
    <w:semiHidden/>
    <w:unhideWhenUsed/>
    <w:rsid w:val="001E1748"/>
    <w:rPr>
      <w:color w:val="BFBFBF" w:themeColor="followedHyperlink"/>
      <w:u w:val="single"/>
    </w:rPr>
  </w:style>
  <w:style w:type="paragraph" w:styleId="Footer">
    <w:name w:val="footer"/>
    <w:basedOn w:val="Normal"/>
    <w:link w:val="FooterChar"/>
    <w:uiPriority w:val="99"/>
    <w:unhideWhenUsed/>
    <w:rsid w:val="001E1748"/>
    <w:pPr>
      <w:tabs>
        <w:tab w:val="left" w:pos="2552"/>
        <w:tab w:val="right" w:pos="9072"/>
      </w:tabs>
      <w:spacing w:before="100" w:beforeAutospacing="1" w:after="100" w:afterAutospacing="1" w:line="260" w:lineRule="atLeast"/>
      <w:ind w:left="284" w:right="-427"/>
    </w:pPr>
    <w:rPr>
      <w:rFonts w:ascii="Arial" w:eastAsia="Times New Roman" w:hAnsi="Arial" w:cs="Arial"/>
      <w:noProof/>
      <w:kern w:val="16"/>
      <w:sz w:val="20"/>
      <w:szCs w:val="20"/>
      <w:lang w:eastAsia="en-AU"/>
    </w:rPr>
  </w:style>
  <w:style w:type="character" w:customStyle="1" w:styleId="FooterChar">
    <w:name w:val="Footer Char"/>
    <w:basedOn w:val="DefaultParagraphFont"/>
    <w:link w:val="Footer"/>
    <w:uiPriority w:val="99"/>
    <w:rsid w:val="001E1748"/>
    <w:rPr>
      <w:rFonts w:ascii="Arial" w:eastAsia="Times New Roman" w:hAnsi="Arial" w:cs="Arial"/>
      <w:noProof/>
      <w:kern w:val="16"/>
      <w:sz w:val="20"/>
      <w:szCs w:val="20"/>
      <w:lang w:eastAsia="en-AU"/>
    </w:rPr>
  </w:style>
  <w:style w:type="paragraph" w:styleId="Header">
    <w:name w:val="header"/>
    <w:basedOn w:val="Normal"/>
    <w:link w:val="HeaderChar"/>
    <w:uiPriority w:val="99"/>
    <w:unhideWhenUsed/>
    <w:rsid w:val="001E1748"/>
    <w:pPr>
      <w:spacing w:before="200" w:after="0" w:line="240" w:lineRule="auto"/>
      <w:ind w:right="-794"/>
      <w:contextualSpacing/>
      <w:jc w:val="right"/>
    </w:pPr>
    <w:rPr>
      <w:rFonts w:ascii="Arial" w:eastAsia="Times New Roman" w:hAnsi="Arial" w:cs="Arial"/>
      <w:color w:val="000000" w:themeColor="text1"/>
      <w:spacing w:val="2"/>
      <w:lang w:eastAsia="en-AU"/>
    </w:rPr>
  </w:style>
  <w:style w:type="character" w:customStyle="1" w:styleId="Heading1Char">
    <w:name w:val="Heading 1 Char"/>
    <w:basedOn w:val="DefaultParagraphFont"/>
    <w:link w:val="Heading1"/>
    <w:uiPriority w:val="9"/>
    <w:rsid w:val="001E1748"/>
    <w:rPr>
      <w:rFonts w:asciiTheme="majorHAnsi" w:eastAsiaTheme="majorEastAsia" w:hAnsiTheme="majorHAnsi" w:cstheme="majorBidi"/>
      <w:b/>
      <w:color w:val="26539D"/>
      <w:sz w:val="32"/>
      <w:szCs w:val="32"/>
    </w:rPr>
  </w:style>
  <w:style w:type="character" w:customStyle="1" w:styleId="Heading2Char">
    <w:name w:val="Heading 2 Char"/>
    <w:basedOn w:val="DefaultParagraphFont"/>
    <w:link w:val="Heading2"/>
    <w:uiPriority w:val="9"/>
    <w:rsid w:val="001E1748"/>
    <w:rPr>
      <w:rFonts w:asciiTheme="majorHAnsi" w:eastAsiaTheme="majorEastAsia" w:hAnsiTheme="majorHAnsi" w:cstheme="majorBidi"/>
      <w:b/>
      <w:color w:val="31A2CF"/>
      <w:sz w:val="26"/>
      <w:szCs w:val="26"/>
    </w:rPr>
  </w:style>
  <w:style w:type="character" w:customStyle="1" w:styleId="Heading3Char">
    <w:name w:val="Heading 3 Char"/>
    <w:basedOn w:val="DefaultParagraphFont"/>
    <w:link w:val="Heading3"/>
    <w:uiPriority w:val="9"/>
    <w:rsid w:val="00CC514D"/>
    <w:rPr>
      <w:rFonts w:asciiTheme="majorHAnsi" w:eastAsiaTheme="majorEastAsia" w:hAnsiTheme="majorHAnsi" w:cstheme="majorBidi"/>
      <w:b/>
      <w:color w:val="000000"/>
      <w:sz w:val="24"/>
      <w:szCs w:val="24"/>
    </w:rPr>
  </w:style>
  <w:style w:type="character" w:customStyle="1" w:styleId="HeaderChar">
    <w:name w:val="Header Char"/>
    <w:basedOn w:val="DefaultParagraphFont"/>
    <w:link w:val="Header"/>
    <w:uiPriority w:val="99"/>
    <w:rsid w:val="001E1748"/>
    <w:rPr>
      <w:rFonts w:ascii="Arial" w:eastAsia="Times New Roman" w:hAnsi="Arial" w:cs="Arial"/>
      <w:color w:val="000000" w:themeColor="text1"/>
      <w:spacing w:val="2"/>
      <w:lang w:eastAsia="en-AU"/>
    </w:rPr>
  </w:style>
  <w:style w:type="character" w:styleId="Hyperlink">
    <w:name w:val="Hyperlink"/>
    <w:basedOn w:val="DefaultParagraphFont"/>
    <w:uiPriority w:val="99"/>
    <w:qFormat/>
    <w:rsid w:val="001E1748"/>
    <w:rPr>
      <w:color w:val="265A9A"/>
      <w:u w:val="single"/>
    </w:rPr>
  </w:style>
  <w:style w:type="character" w:styleId="IntenseEmphasis">
    <w:name w:val="Intense Emphasis"/>
    <w:basedOn w:val="DefaultParagraphFont"/>
    <w:uiPriority w:val="21"/>
    <w:rsid w:val="001E1748"/>
    <w:rPr>
      <w:i/>
      <w:iCs/>
      <w:color w:val="265A9A" w:themeColor="background2"/>
    </w:rPr>
  </w:style>
  <w:style w:type="paragraph" w:styleId="IntenseQuote">
    <w:name w:val="Intense Quote"/>
    <w:basedOn w:val="Normal"/>
    <w:next w:val="Normal"/>
    <w:link w:val="IntenseQuoteChar"/>
    <w:uiPriority w:val="30"/>
    <w:semiHidden/>
    <w:rsid w:val="001E1748"/>
    <w:pPr>
      <w:pBdr>
        <w:top w:val="single" w:sz="4" w:space="10" w:color="265A9A" w:themeColor="background2"/>
        <w:bottom w:val="single" w:sz="4" w:space="10" w:color="265A9A" w:themeColor="background2"/>
      </w:pBdr>
      <w:spacing w:before="360" w:after="360"/>
      <w:ind w:left="864" w:right="864"/>
      <w:jc w:val="center"/>
    </w:pPr>
    <w:rPr>
      <w:i/>
      <w:iCs/>
      <w:color w:val="265A9A"/>
    </w:rPr>
  </w:style>
  <w:style w:type="character" w:customStyle="1" w:styleId="IntenseQuoteChar">
    <w:name w:val="Intense Quote Char"/>
    <w:basedOn w:val="DefaultParagraphFont"/>
    <w:link w:val="IntenseQuote"/>
    <w:uiPriority w:val="30"/>
    <w:semiHidden/>
    <w:rsid w:val="00CC514D"/>
    <w:rPr>
      <w:i/>
      <w:iCs/>
      <w:color w:val="265A9A"/>
    </w:rPr>
  </w:style>
  <w:style w:type="character" w:styleId="IntenseReference">
    <w:name w:val="Intense Reference"/>
    <w:basedOn w:val="DefaultParagraphFont"/>
    <w:uiPriority w:val="32"/>
    <w:semiHidden/>
    <w:rsid w:val="001E1748"/>
    <w:rPr>
      <w:b/>
      <w:bCs/>
      <w:smallCaps/>
      <w:color w:val="265A9A" w:themeColor="background2"/>
      <w:spacing w:val="5"/>
    </w:rPr>
  </w:style>
  <w:style w:type="paragraph" w:styleId="ListBullet">
    <w:name w:val="List Bullet"/>
    <w:basedOn w:val="Normal"/>
    <w:link w:val="ListBulletChar"/>
    <w:uiPriority w:val="1"/>
    <w:qFormat/>
    <w:rsid w:val="009848AD"/>
    <w:pPr>
      <w:spacing w:before="120" w:after="120" w:line="280" w:lineRule="atLeast"/>
      <w:contextualSpacing/>
    </w:pPr>
    <w:rPr>
      <w:sz w:val="20"/>
      <w:szCs w:val="20"/>
    </w:rPr>
  </w:style>
  <w:style w:type="character" w:customStyle="1" w:styleId="ListBulletChar">
    <w:name w:val="List Bullet Char"/>
    <w:basedOn w:val="DefaultParagraphFont"/>
    <w:link w:val="ListBullet"/>
    <w:uiPriority w:val="1"/>
    <w:rsid w:val="009848AD"/>
    <w:rPr>
      <w:sz w:val="20"/>
      <w:szCs w:val="20"/>
    </w:rPr>
  </w:style>
  <w:style w:type="paragraph" w:styleId="ListBullet2">
    <w:name w:val="List Bullet 2"/>
    <w:basedOn w:val="Normal"/>
    <w:uiPriority w:val="1"/>
    <w:qFormat/>
    <w:rsid w:val="00425485"/>
    <w:pPr>
      <w:numPr>
        <w:ilvl w:val="1"/>
        <w:numId w:val="17"/>
      </w:numPr>
      <w:spacing w:before="60" w:after="60"/>
      <w:contextualSpacing/>
    </w:pPr>
    <w:rPr>
      <w:szCs w:val="20"/>
    </w:rPr>
  </w:style>
  <w:style w:type="paragraph" w:styleId="ListBullet3">
    <w:name w:val="List Bullet 3"/>
    <w:basedOn w:val="Normal"/>
    <w:uiPriority w:val="1"/>
    <w:qFormat/>
    <w:rsid w:val="001E1748"/>
    <w:pPr>
      <w:numPr>
        <w:ilvl w:val="2"/>
        <w:numId w:val="17"/>
      </w:numPr>
      <w:spacing w:before="60" w:after="60" w:line="274" w:lineRule="auto"/>
      <w:contextualSpacing/>
    </w:pPr>
    <w:rPr>
      <w:szCs w:val="20"/>
    </w:rPr>
  </w:style>
  <w:style w:type="paragraph" w:styleId="ListNumber">
    <w:name w:val="List Number"/>
    <w:basedOn w:val="Normal"/>
    <w:uiPriority w:val="2"/>
    <w:qFormat/>
    <w:rsid w:val="001E1748"/>
    <w:pPr>
      <w:numPr>
        <w:numId w:val="13"/>
      </w:numPr>
      <w:ind w:left="227" w:hanging="227"/>
      <w:contextualSpacing/>
    </w:pPr>
  </w:style>
  <w:style w:type="paragraph" w:styleId="ListParagraph">
    <w:name w:val="List Paragraph"/>
    <w:basedOn w:val="Normal"/>
    <w:uiPriority w:val="34"/>
    <w:semiHidden/>
    <w:rsid w:val="001E1748"/>
    <w:pPr>
      <w:ind w:left="720"/>
      <w:contextualSpacing/>
    </w:pPr>
  </w:style>
  <w:style w:type="paragraph" w:styleId="NoSpacing">
    <w:name w:val="No Spacing"/>
    <w:uiPriority w:val="2"/>
    <w:unhideWhenUsed/>
    <w:rsid w:val="001E1748"/>
    <w:pPr>
      <w:spacing w:after="0" w:line="240" w:lineRule="auto"/>
    </w:pPr>
  </w:style>
  <w:style w:type="paragraph" w:styleId="Quote">
    <w:name w:val="Quote"/>
    <w:basedOn w:val="Normal"/>
    <w:next w:val="Normal"/>
    <w:link w:val="QuoteChar"/>
    <w:uiPriority w:val="29"/>
    <w:rsid w:val="001E1748"/>
    <w:pPr>
      <w:spacing w:before="200" w:after="160"/>
      <w:ind w:left="1134" w:right="1134"/>
    </w:pPr>
    <w:rPr>
      <w:iCs/>
      <w:color w:val="404040" w:themeColor="text1" w:themeTint="BF"/>
    </w:rPr>
  </w:style>
  <w:style w:type="character" w:customStyle="1" w:styleId="QuoteChar">
    <w:name w:val="Quote Char"/>
    <w:basedOn w:val="DefaultParagraphFont"/>
    <w:link w:val="Quote"/>
    <w:uiPriority w:val="29"/>
    <w:rsid w:val="001E1748"/>
    <w:rPr>
      <w:iCs/>
      <w:color w:val="404040" w:themeColor="text1" w:themeTint="BF"/>
    </w:rPr>
  </w:style>
  <w:style w:type="paragraph" w:styleId="Subtitle">
    <w:name w:val="Subtitle"/>
    <w:basedOn w:val="Normal"/>
    <w:next w:val="Normal"/>
    <w:link w:val="SubtitleChar"/>
    <w:uiPriority w:val="11"/>
    <w:semiHidden/>
    <w:rsid w:val="001E1748"/>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CC514D"/>
    <w:rPr>
      <w:rFonts w:eastAsiaTheme="minorEastAsia"/>
      <w:color w:val="5A5A5A" w:themeColor="text1" w:themeTint="A5"/>
      <w:spacing w:val="15"/>
    </w:rPr>
  </w:style>
  <w:style w:type="character" w:styleId="SubtleEmphasis">
    <w:name w:val="Subtle Emphasis"/>
    <w:basedOn w:val="DefaultParagraphFont"/>
    <w:uiPriority w:val="19"/>
    <w:rsid w:val="001E1748"/>
    <w:rPr>
      <w:i/>
      <w:iCs/>
      <w:color w:val="404040" w:themeColor="text1" w:themeTint="BF"/>
    </w:rPr>
  </w:style>
  <w:style w:type="paragraph" w:styleId="Title">
    <w:name w:val="Title"/>
    <w:basedOn w:val="Normal"/>
    <w:next w:val="Normal"/>
    <w:link w:val="TitleChar"/>
    <w:uiPriority w:val="10"/>
    <w:semiHidden/>
    <w:rsid w:val="001E174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CC514D"/>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semiHidden/>
    <w:rsid w:val="00CC514D"/>
    <w:rPr>
      <w:rFonts w:asciiTheme="majorHAnsi" w:eastAsiaTheme="majorEastAsia" w:hAnsiTheme="majorHAnsi" w:cstheme="majorBidi"/>
      <w:i/>
      <w:iCs/>
      <w:color w:val="265A9A"/>
    </w:rPr>
  </w:style>
  <w:style w:type="paragraph" w:customStyle="1" w:styleId="PullQuote">
    <w:name w:val="Pull Quote"/>
    <w:basedOn w:val="BodyText"/>
    <w:next w:val="BodyText"/>
    <w:uiPriority w:val="30"/>
    <w:qFormat/>
    <w:rsid w:val="00A6285E"/>
    <w:pPr>
      <w:spacing w:before="120" w:line="280" w:lineRule="atLeast"/>
      <w:ind w:left="284" w:right="284"/>
    </w:pPr>
    <w:rPr>
      <w:rFonts w:ascii="Arial Black" w:hAnsi="Arial Black"/>
      <w:color w:val="265A9A"/>
      <w:sz w:val="24"/>
      <w:szCs w:val="20"/>
    </w:rPr>
  </w:style>
  <w:style w:type="paragraph" w:styleId="BodyText">
    <w:name w:val="Body Text"/>
    <w:basedOn w:val="Normal"/>
    <w:link w:val="BodyTextChar"/>
    <w:unhideWhenUsed/>
    <w:qFormat/>
    <w:rsid w:val="00A6285E"/>
    <w:pPr>
      <w:spacing w:after="120"/>
    </w:pPr>
  </w:style>
  <w:style w:type="character" w:customStyle="1" w:styleId="BodyTextChar">
    <w:name w:val="Body Text Char"/>
    <w:basedOn w:val="DefaultParagraphFont"/>
    <w:link w:val="BodyText"/>
    <w:rsid w:val="00A6285E"/>
  </w:style>
  <w:style w:type="numbering" w:customStyle="1" w:styleId="Bullets">
    <w:name w:val="Bullets"/>
    <w:uiPriority w:val="99"/>
    <w:rsid w:val="009848AD"/>
    <w:pPr>
      <w:numPr>
        <w:numId w:val="15"/>
      </w:numPr>
    </w:pPr>
  </w:style>
  <w:style w:type="table" w:styleId="TableGrid">
    <w:name w:val="Table Grid"/>
    <w:basedOn w:val="TableNormal"/>
    <w:uiPriority w:val="39"/>
    <w:rsid w:val="00984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NoSpacing"/>
    <w:uiPriority w:val="4"/>
    <w:qFormat/>
    <w:rsid w:val="009848AD"/>
    <w:pPr>
      <w:spacing w:after="20" w:line="280" w:lineRule="atLeast"/>
      <w:ind w:left="57"/>
    </w:pPr>
    <w:rPr>
      <w:sz w:val="18"/>
      <w:szCs w:val="20"/>
    </w:rPr>
  </w:style>
  <w:style w:type="paragraph" w:customStyle="1" w:styleId="TableListBullet">
    <w:name w:val="Table List Bullet"/>
    <w:basedOn w:val="ListBullet"/>
    <w:uiPriority w:val="10"/>
    <w:qFormat/>
    <w:rsid w:val="009848AD"/>
    <w:pPr>
      <w:numPr>
        <w:numId w:val="2"/>
      </w:numPr>
      <w:spacing w:before="0" w:after="20"/>
    </w:pPr>
  </w:style>
  <w:style w:type="numbering" w:customStyle="1" w:styleId="Bullets1">
    <w:name w:val="Bullets1"/>
    <w:uiPriority w:val="99"/>
    <w:rsid w:val="009848AD"/>
  </w:style>
  <w:style w:type="paragraph" w:styleId="Revision">
    <w:name w:val="Revision"/>
    <w:hidden/>
    <w:uiPriority w:val="99"/>
    <w:semiHidden/>
    <w:rsid w:val="00BB6FA8"/>
    <w:pPr>
      <w:spacing w:after="0" w:line="240" w:lineRule="auto"/>
    </w:pPr>
  </w:style>
  <w:style w:type="character" w:styleId="CommentReference">
    <w:name w:val="annotation reference"/>
    <w:basedOn w:val="DefaultParagraphFont"/>
    <w:uiPriority w:val="99"/>
    <w:semiHidden/>
    <w:unhideWhenUsed/>
    <w:rsid w:val="002543D0"/>
    <w:rPr>
      <w:sz w:val="16"/>
      <w:szCs w:val="16"/>
    </w:rPr>
  </w:style>
  <w:style w:type="paragraph" w:styleId="CommentText">
    <w:name w:val="annotation text"/>
    <w:basedOn w:val="Normal"/>
    <w:link w:val="CommentTextChar"/>
    <w:uiPriority w:val="99"/>
    <w:unhideWhenUsed/>
    <w:rsid w:val="002543D0"/>
    <w:pPr>
      <w:spacing w:line="240" w:lineRule="auto"/>
    </w:pPr>
    <w:rPr>
      <w:sz w:val="20"/>
      <w:szCs w:val="20"/>
    </w:rPr>
  </w:style>
  <w:style w:type="character" w:customStyle="1" w:styleId="CommentTextChar">
    <w:name w:val="Comment Text Char"/>
    <w:basedOn w:val="DefaultParagraphFont"/>
    <w:link w:val="CommentText"/>
    <w:uiPriority w:val="99"/>
    <w:rsid w:val="002543D0"/>
    <w:rPr>
      <w:sz w:val="20"/>
      <w:szCs w:val="20"/>
    </w:rPr>
  </w:style>
  <w:style w:type="paragraph" w:styleId="CommentSubject">
    <w:name w:val="annotation subject"/>
    <w:basedOn w:val="CommentText"/>
    <w:next w:val="CommentText"/>
    <w:link w:val="CommentSubjectChar"/>
    <w:uiPriority w:val="99"/>
    <w:semiHidden/>
    <w:unhideWhenUsed/>
    <w:rsid w:val="002543D0"/>
    <w:rPr>
      <w:b/>
      <w:bCs/>
    </w:rPr>
  </w:style>
  <w:style w:type="character" w:customStyle="1" w:styleId="CommentSubjectChar">
    <w:name w:val="Comment Subject Char"/>
    <w:basedOn w:val="CommentTextChar"/>
    <w:link w:val="CommentSubject"/>
    <w:uiPriority w:val="99"/>
    <w:semiHidden/>
    <w:rsid w:val="002543D0"/>
    <w:rPr>
      <w:b/>
      <w:bCs/>
      <w:sz w:val="20"/>
      <w:szCs w:val="20"/>
    </w:rPr>
  </w:style>
  <w:style w:type="character" w:styleId="UnresolvedMention">
    <w:name w:val="Unresolved Mention"/>
    <w:basedOn w:val="DefaultParagraphFont"/>
    <w:uiPriority w:val="99"/>
    <w:semiHidden/>
    <w:unhideWhenUsed/>
    <w:rsid w:val="00DC517F"/>
    <w:rPr>
      <w:color w:val="605E5C"/>
      <w:shd w:val="clear" w:color="auto" w:fill="E1DFDD"/>
    </w:rPr>
  </w:style>
  <w:style w:type="character" w:styleId="Mention">
    <w:name w:val="Mention"/>
    <w:basedOn w:val="DefaultParagraphFont"/>
    <w:uiPriority w:val="99"/>
    <w:unhideWhenUsed/>
    <w:rsid w:val="00DC517F"/>
    <w:rPr>
      <w:color w:val="2B579A"/>
      <w:shd w:val="clear" w:color="auto" w:fill="E1DFDD"/>
    </w:rPr>
  </w:style>
  <w:style w:type="paragraph" w:customStyle="1" w:styleId="CaptionPagecontent">
    <w:name w:val="Caption (Page content)"/>
    <w:basedOn w:val="Normal"/>
    <w:uiPriority w:val="99"/>
    <w:rsid w:val="000D6332"/>
    <w:pPr>
      <w:suppressAutoHyphens/>
      <w:autoSpaceDE w:val="0"/>
      <w:autoSpaceDN w:val="0"/>
      <w:adjustRightInd w:val="0"/>
      <w:spacing w:after="85" w:line="230" w:lineRule="atLeast"/>
      <w:textAlignment w:val="center"/>
    </w:pPr>
    <w:rPr>
      <w:rFonts w:ascii="Arial" w:hAnsi="Arial" w:cs="Arial"/>
      <w:b/>
      <w:bCs/>
      <w:color w:val="000000"/>
      <w:sz w:val="18"/>
      <w:szCs w:val="18"/>
      <w:lang w:val="en-US"/>
    </w:rPr>
  </w:style>
  <w:style w:type="paragraph" w:styleId="BodyText2">
    <w:name w:val="Body Text 2"/>
    <w:basedOn w:val="Normal"/>
    <w:link w:val="BodyText2Char"/>
    <w:uiPriority w:val="99"/>
    <w:unhideWhenUsed/>
    <w:rsid w:val="000D6332"/>
    <w:pPr>
      <w:widowControl w:val="0"/>
      <w:spacing w:before="120" w:after="120" w:line="280" w:lineRule="atLeast"/>
    </w:pPr>
    <w:rPr>
      <w:rFonts w:ascii="Arial" w:eastAsia="Arial" w:hAnsi="Arial" w:cs="Times New Roman"/>
      <w:sz w:val="18"/>
      <w:szCs w:val="18"/>
    </w:rPr>
  </w:style>
  <w:style w:type="character" w:customStyle="1" w:styleId="BodyText2Char">
    <w:name w:val="Body Text 2 Char"/>
    <w:basedOn w:val="DefaultParagraphFont"/>
    <w:link w:val="BodyText2"/>
    <w:uiPriority w:val="99"/>
    <w:rsid w:val="000D6332"/>
    <w:rPr>
      <w:rFonts w:ascii="Arial" w:eastAsia="Arial"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https://pcgov.sharepoint.com/sites/mpw/FormServerTemplates/PC-report-template.dotx"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0f84bba906045b4af568ee102a52dcb xmlns="ab9bf696-b976-42ed-b50a-48004ee2daa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4999a062-bf25-4e1b-bf40-d0ceaadde115">
      <Terms xmlns="http://schemas.microsoft.com/office/infopath/2007/PartnerControls"/>
    </lcf76f155ced4ddcb4097134ff3c332f>
    <TaxCatchAll xmlns="ab9bf696-b976-42ed-b50a-48004ee2daad">
      <Value>1</Value>
    </TaxCatchAll>
  </documentManagement>
</p:properties>
</file>

<file path=customXml/item2.xml><?xml version="1.0" encoding="utf-8"?>
<TemplafyFormConfiguration><![CDATA[{"formFields":[],"formDataEntries":[]}]]></TemplafyFormConfigura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emplafyTemplateConfiguration><![CDATA[{"elementsMetadata":[],"transformationConfigurations":[],"templateName":"Fact sheet","templateDescription":"","enableDocumentContentUpdater":false,"version":"2.0"}]]></TemplafyTemplateConfiguration>
</file>

<file path=customXml/item5.xml><?xml version="1.0" encoding="utf-8"?>
<ct:contentTypeSchema xmlns:ct="http://schemas.microsoft.com/office/2006/metadata/contentType" xmlns:ma="http://schemas.microsoft.com/office/2006/metadata/properties/metaAttributes" ct:_="" ma:_="" ma:contentTypeName="Document" ma:contentTypeID="0x010100AF5ADB003E5349499F1DC840A3748441" ma:contentTypeVersion="18" ma:contentTypeDescription="Create a new document." ma:contentTypeScope="" ma:versionID="7be5c994e1b2318558a73cf32ee14abc">
  <xsd:schema xmlns:xsd="http://www.w3.org/2001/XMLSchema" xmlns:xs="http://www.w3.org/2001/XMLSchema" xmlns:p="http://schemas.microsoft.com/office/2006/metadata/properties" xmlns:ns2="4999a062-bf25-4e1b-bf40-d0ceaadde115" xmlns:ns3="ab9bf696-b976-42ed-b50a-48004ee2daad" targetNamespace="http://schemas.microsoft.com/office/2006/metadata/properties" ma:root="true" ma:fieldsID="47ebfa8b51f209822f50301222253475" ns2:_="" ns3:_="">
    <xsd:import namespace="4999a062-bf25-4e1b-bf40-d0ceaadde115"/>
    <xsd:import namespace="ab9bf696-b976-42ed-b50a-48004ee2daad"/>
    <xsd:element name="properties">
      <xsd:complexType>
        <xsd:sequence>
          <xsd:element name="documentManagement">
            <xsd:complexType>
              <xsd:all>
                <xsd:element ref="ns2:MediaServiceMetadata" minOccurs="0"/>
                <xsd:element ref="ns2:MediaServiceFastMetadata" minOccurs="0"/>
                <xsd:element ref="ns3:i0f84bba906045b4af568ee102a52dcb" minOccurs="0"/>
                <xsd:element ref="ns3:TaxCatchAll"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99a062-bf25-4e1b-bf40-d0ceaadde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bf696-b976-42ed-b50a-48004ee2daad" elementFormDefault="qualified">
    <xsd:import namespace="http://schemas.microsoft.com/office/2006/documentManagement/types"/>
    <xsd:import namespace="http://schemas.microsoft.com/office/infopath/2007/PartnerControls"/>
    <xsd:element name="i0f84bba906045b4af568ee102a52dcb" ma:index="11"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3679ecb-4789-4df4-b2e8-2dc9b4aacb86}" ma:internalName="TaxCatchAll" ma:showField="CatchAllData" ma:web="ab9bf696-b976-42ed-b50a-48004ee2daad">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2C6601-C6CF-444D-846A-456D60091775}">
  <ds:schemaRefs>
    <ds:schemaRef ds:uri="http://schemas.microsoft.com/office/2006/metadata/properties"/>
    <ds:schemaRef ds:uri="http://schemas.microsoft.com/office/infopath/2007/PartnerControls"/>
    <ds:schemaRef ds:uri="ab9bf696-b976-42ed-b50a-48004ee2daad"/>
    <ds:schemaRef ds:uri="4999a062-bf25-4e1b-bf40-d0ceaadde115"/>
  </ds:schemaRefs>
</ds:datastoreItem>
</file>

<file path=customXml/itemProps2.xml><?xml version="1.0" encoding="utf-8"?>
<ds:datastoreItem xmlns:ds="http://schemas.openxmlformats.org/officeDocument/2006/customXml" ds:itemID="{52EDF02A-B8FF-46BF-BAF0-A1E8BE8BF93E}">
  <ds:schemaRefs/>
</ds:datastoreItem>
</file>

<file path=customXml/itemProps3.xml><?xml version="1.0" encoding="utf-8"?>
<ds:datastoreItem xmlns:ds="http://schemas.openxmlformats.org/officeDocument/2006/customXml" ds:itemID="{71867FB8-578D-45E8-8401-EE0671EA1D5E}">
  <ds:schemaRefs>
    <ds:schemaRef ds:uri="http://schemas.microsoft.com/sharepoint/v3/contenttype/forms"/>
  </ds:schemaRefs>
</ds:datastoreItem>
</file>

<file path=customXml/itemProps4.xml><?xml version="1.0" encoding="utf-8"?>
<ds:datastoreItem xmlns:ds="http://schemas.openxmlformats.org/officeDocument/2006/customXml" ds:itemID="{E311EFDB-C4E3-4BD1-B6FD-1F3EF20E8211}">
  <ds:schemaRefs/>
</ds:datastoreItem>
</file>

<file path=customXml/itemProps5.xml><?xml version="1.0" encoding="utf-8"?>
<ds:datastoreItem xmlns:ds="http://schemas.openxmlformats.org/officeDocument/2006/customXml" ds:itemID="{CFFBAF70-D3C4-41C8-97D1-C2FB81630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99a062-bf25-4e1b-bf40-d0ceaadde115"/>
    <ds:schemaRef ds:uri="ab9bf696-b976-42ed-b50a-48004ee2d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PC-report-template</Template>
  <TotalTime>199</TotalTime>
  <Pages>3</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Fact sheet 1: Competition, dynamism and investment - Advancing Prosperity</vt:lpstr>
    </vt:vector>
  </TitlesOfParts>
  <Company>Productivity Commission</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1: Competition, dynamism and investment - Advancing Prosperity</dc:title>
  <dc:subject/>
  <dc:creator>Productivity Commission</dc:creator>
  <cp:keywords/>
  <cp:lastModifiedBy>Chris Alston</cp:lastModifiedBy>
  <cp:revision>122</cp:revision>
  <dcterms:created xsi:type="dcterms:W3CDTF">2023-03-15T12:29:00Z</dcterms:created>
  <dcterms:modified xsi:type="dcterms:W3CDTF">2023-03-16T23:54:00Z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637346222824850435</vt:lpwstr>
  </property>
  <property fmtid="{D5CDD505-2E9C-101B-9397-08002B2CF9AE}" pid="4" name="TemplafyUserProfileId">
    <vt:lpwstr>637610559223843913</vt:lpwstr>
  </property>
  <property fmtid="{D5CDD505-2E9C-101B-9397-08002B2CF9AE}" pid="5" name="TemplafyFromBlank">
    <vt:bool>false</vt:bool>
  </property>
  <property fmtid="{D5CDD505-2E9C-101B-9397-08002B2CF9AE}" pid="6" name="ContentTypeId">
    <vt:lpwstr>0x010100AF5ADB003E5349499F1DC840A3748441</vt:lpwstr>
  </property>
  <property fmtid="{D5CDD505-2E9C-101B-9397-08002B2CF9AE}" pid="7" name="MediaServiceImageTags">
    <vt:lpwstr/>
  </property>
  <property fmtid="{D5CDD505-2E9C-101B-9397-08002B2CF9AE}" pid="8" name="RevIMBCS">
    <vt:lpwstr>1;#Unclassified|3955eeb1-2d18-4582-aeb2-00144ec3aaf5</vt:lpwstr>
  </property>
</Properties>
</file>