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A57E" w14:textId="0F822796" w:rsidR="00BF738A" w:rsidRPr="00ED57AE" w:rsidRDefault="00ED57AE" w:rsidP="00F67BF1">
      <w:pPr>
        <w:pStyle w:val="Heading1"/>
        <w:spacing w:before="720"/>
      </w:pPr>
      <w:r w:rsidRPr="00ED57AE">
        <w:t>Australia’s data and digital dividend</w:t>
      </w:r>
    </w:p>
    <w:p w14:paraId="51A89F3E" w14:textId="79D57920" w:rsidR="00EC6523" w:rsidRPr="002E3526" w:rsidRDefault="00F70E15" w:rsidP="002E3526">
      <w:pPr>
        <w:pStyle w:val="BodyText"/>
        <w:spacing w:after="0"/>
        <w:rPr>
          <w:sz w:val="20"/>
          <w:szCs w:val="20"/>
        </w:rPr>
      </w:pPr>
      <w:r>
        <w:rPr>
          <w:sz w:val="20"/>
          <w:szCs w:val="20"/>
        </w:rPr>
        <w:t>D</w:t>
      </w:r>
      <w:r w:rsidR="00EC6523" w:rsidRPr="002E3526">
        <w:rPr>
          <w:sz w:val="20"/>
          <w:szCs w:val="20"/>
        </w:rPr>
        <w:t xml:space="preserve">ata and digital technologies can </w:t>
      </w:r>
      <w:r>
        <w:rPr>
          <w:sz w:val="20"/>
          <w:szCs w:val="20"/>
        </w:rPr>
        <w:t>increase productivity</w:t>
      </w:r>
      <w:r w:rsidR="00EC6523" w:rsidRPr="002E3526">
        <w:rPr>
          <w:sz w:val="20"/>
          <w:szCs w:val="20"/>
        </w:rPr>
        <w:t xml:space="preserve"> by: </w:t>
      </w:r>
    </w:p>
    <w:p w14:paraId="4CF1E244" w14:textId="0D94B4FE" w:rsidR="00EC6523" w:rsidRPr="002E3526" w:rsidRDefault="00F70E15" w:rsidP="002E3526">
      <w:pPr>
        <w:pStyle w:val="ListBullet"/>
        <w:numPr>
          <w:ilvl w:val="0"/>
          <w:numId w:val="3"/>
        </w:numPr>
        <w:spacing w:before="0"/>
      </w:pPr>
      <w:r>
        <w:rPr>
          <w:b/>
          <w:bCs/>
        </w:rPr>
        <w:t>R</w:t>
      </w:r>
      <w:r w:rsidR="00EC6523" w:rsidRPr="002E3526">
        <w:rPr>
          <w:b/>
          <w:bCs/>
        </w:rPr>
        <w:t>educing costs</w:t>
      </w:r>
      <w:r w:rsidR="00EC6523" w:rsidRPr="002E3526">
        <w:t xml:space="preserve"> of production and consumption — such as search, replication, transport, tracking or verification costs</w:t>
      </w:r>
      <w:r w:rsidR="007E64A4">
        <w:t>.</w:t>
      </w:r>
    </w:p>
    <w:p w14:paraId="76823540" w14:textId="1CF02B33" w:rsidR="00EC6523" w:rsidRPr="0038260C" w:rsidRDefault="00F70E15" w:rsidP="00EC6523">
      <w:pPr>
        <w:pStyle w:val="ListBullet"/>
        <w:numPr>
          <w:ilvl w:val="0"/>
          <w:numId w:val="3"/>
        </w:numPr>
        <w:rPr>
          <w:spacing w:val="-4"/>
        </w:rPr>
      </w:pPr>
      <w:r w:rsidRPr="0038260C">
        <w:rPr>
          <w:spacing w:val="-4"/>
        </w:rPr>
        <w:t>C</w:t>
      </w:r>
      <w:r w:rsidR="00EC6523" w:rsidRPr="0038260C">
        <w:rPr>
          <w:spacing w:val="-4"/>
        </w:rPr>
        <w:t xml:space="preserve">reating </w:t>
      </w:r>
      <w:r w:rsidR="00EC6523" w:rsidRPr="0038260C">
        <w:rPr>
          <w:b/>
          <w:bCs/>
          <w:spacing w:val="-4"/>
        </w:rPr>
        <w:t>new products and services</w:t>
      </w:r>
      <w:r w:rsidR="00EC6523" w:rsidRPr="0038260C">
        <w:rPr>
          <w:spacing w:val="-4"/>
        </w:rPr>
        <w:t xml:space="preserve"> or allowing products and services to become more tailored</w:t>
      </w:r>
      <w:r w:rsidR="00C422BB" w:rsidRPr="0038260C">
        <w:rPr>
          <w:spacing w:val="-4"/>
        </w:rPr>
        <w:t xml:space="preserve"> and timely</w:t>
      </w:r>
      <w:r w:rsidR="007E64A4" w:rsidRPr="0038260C">
        <w:rPr>
          <w:spacing w:val="-4"/>
        </w:rPr>
        <w:t>.</w:t>
      </w:r>
    </w:p>
    <w:p w14:paraId="7C41BD53" w14:textId="14A38999" w:rsidR="00EC6523" w:rsidRPr="002E3526" w:rsidRDefault="00F70E15" w:rsidP="00EC6523">
      <w:pPr>
        <w:pStyle w:val="ListBullet"/>
        <w:numPr>
          <w:ilvl w:val="0"/>
          <w:numId w:val="3"/>
        </w:numPr>
      </w:pPr>
      <w:r>
        <w:rPr>
          <w:b/>
          <w:bCs/>
        </w:rPr>
        <w:t>A</w:t>
      </w:r>
      <w:r w:rsidR="00EC6523" w:rsidRPr="002E3526">
        <w:rPr>
          <w:b/>
          <w:bCs/>
        </w:rPr>
        <w:t>llowing labour to be freed up</w:t>
      </w:r>
      <w:r w:rsidR="00EC6523" w:rsidRPr="002E3526">
        <w:t xml:space="preserve"> </w:t>
      </w:r>
      <w:r w:rsidR="00C422BB">
        <w:t xml:space="preserve">so workers can move </w:t>
      </w:r>
      <w:r w:rsidR="00EC6523" w:rsidRPr="002E3526">
        <w:t xml:space="preserve">into new areas.  </w:t>
      </w:r>
    </w:p>
    <w:p w14:paraId="01091AB5" w14:textId="78F7A945" w:rsidR="00EC6523" w:rsidRPr="002E3526" w:rsidRDefault="00AF2B48" w:rsidP="00EC6523">
      <w:pPr>
        <w:pStyle w:val="BodyText"/>
        <w:rPr>
          <w:sz w:val="20"/>
          <w:szCs w:val="20"/>
        </w:rPr>
      </w:pPr>
      <w:r>
        <w:rPr>
          <w:sz w:val="20"/>
          <w:szCs w:val="20"/>
        </w:rPr>
        <w:t xml:space="preserve">Many businesses and individuals accelerated their digital uptake during COVID-19 </w:t>
      </w:r>
      <w:r w:rsidR="004830B7">
        <w:rPr>
          <w:sz w:val="20"/>
          <w:szCs w:val="20"/>
        </w:rPr>
        <w:t>with</w:t>
      </w:r>
      <w:r w:rsidR="00EC6523" w:rsidRPr="002E3526">
        <w:rPr>
          <w:sz w:val="20"/>
          <w:szCs w:val="20"/>
        </w:rPr>
        <w:t xml:space="preserve"> shift</w:t>
      </w:r>
      <w:r w:rsidR="004830B7">
        <w:rPr>
          <w:sz w:val="20"/>
          <w:szCs w:val="20"/>
        </w:rPr>
        <w:t>s</w:t>
      </w:r>
      <w:r w:rsidR="00EC6523" w:rsidRPr="002E3526">
        <w:rPr>
          <w:sz w:val="20"/>
          <w:szCs w:val="20"/>
        </w:rPr>
        <w:t xml:space="preserve"> to online activity. This </w:t>
      </w:r>
      <w:r w:rsidR="002F4D5F" w:rsidRPr="002E3526">
        <w:rPr>
          <w:sz w:val="20"/>
          <w:szCs w:val="20"/>
        </w:rPr>
        <w:t>include</w:t>
      </w:r>
      <w:r w:rsidR="002F4D5F">
        <w:rPr>
          <w:sz w:val="20"/>
          <w:szCs w:val="20"/>
        </w:rPr>
        <w:t>d</w:t>
      </w:r>
      <w:r w:rsidR="002F4D5F" w:rsidRPr="002E3526">
        <w:rPr>
          <w:sz w:val="20"/>
          <w:szCs w:val="20"/>
        </w:rPr>
        <w:t xml:space="preserve"> </w:t>
      </w:r>
      <w:r w:rsidR="00EC6523" w:rsidRPr="002E3526">
        <w:rPr>
          <w:sz w:val="20"/>
          <w:szCs w:val="20"/>
        </w:rPr>
        <w:t>knowledge-based organisations transferring their existing digital processes from office-centric to online, retailers augmenting their physical sales with online sales, and various services being delivered digitally (such as telehealth, education and entertainment). The associated productivity gains are likely to continue as businesses and individuals learn more about operating and working online.</w:t>
      </w:r>
    </w:p>
    <w:p w14:paraId="60DB704C" w14:textId="77777777" w:rsidR="005629C7" w:rsidRPr="009848AD" w:rsidRDefault="005629C7" w:rsidP="005629C7">
      <w:pPr>
        <w:pStyle w:val="Heading2"/>
        <w:spacing w:after="0"/>
      </w:pPr>
      <w:r w:rsidRPr="009848AD">
        <w:t>Recommendations</w:t>
      </w:r>
    </w:p>
    <w:p w14:paraId="14BE2DFE" w14:textId="1B0AA2E3" w:rsidR="00EC6523" w:rsidRPr="002E3526" w:rsidRDefault="00EC6523" w:rsidP="00EC6523">
      <w:pPr>
        <w:pStyle w:val="BodyText"/>
        <w:rPr>
          <w:sz w:val="20"/>
          <w:szCs w:val="20"/>
        </w:rPr>
      </w:pPr>
      <w:r w:rsidRPr="002E3526">
        <w:rPr>
          <w:sz w:val="20"/>
          <w:szCs w:val="20"/>
        </w:rPr>
        <w:t>Improv</w:t>
      </w:r>
      <w:r w:rsidR="006B5A29">
        <w:rPr>
          <w:sz w:val="20"/>
          <w:szCs w:val="20"/>
        </w:rPr>
        <w:t>ing</w:t>
      </w:r>
      <w:r w:rsidRPr="002E3526">
        <w:rPr>
          <w:b/>
          <w:bCs/>
          <w:sz w:val="20"/>
          <w:szCs w:val="20"/>
        </w:rPr>
        <w:t xml:space="preserve"> regional internet connectivity</w:t>
      </w:r>
      <w:r w:rsidRPr="002E3526">
        <w:rPr>
          <w:sz w:val="20"/>
          <w:szCs w:val="20"/>
        </w:rPr>
        <w:t xml:space="preserve"> </w:t>
      </w:r>
      <w:r w:rsidR="006B5A29">
        <w:rPr>
          <w:sz w:val="20"/>
          <w:szCs w:val="20"/>
        </w:rPr>
        <w:t xml:space="preserve">will </w:t>
      </w:r>
      <w:r w:rsidRPr="002E3526">
        <w:rPr>
          <w:sz w:val="20"/>
          <w:szCs w:val="20"/>
        </w:rPr>
        <w:t>ensure regional and remote economies are flourishing and local residents can access increasingly digitised essential services</w:t>
      </w:r>
      <w:r w:rsidR="00E157A5">
        <w:rPr>
          <w:sz w:val="20"/>
          <w:szCs w:val="20"/>
        </w:rPr>
        <w:t>,</w:t>
      </w:r>
      <w:r w:rsidRPr="002E3526">
        <w:rPr>
          <w:sz w:val="20"/>
          <w:szCs w:val="20"/>
        </w:rPr>
        <w:t xml:space="preserve"> such as telehealth, education, banking and government services.</w:t>
      </w:r>
    </w:p>
    <w:p w14:paraId="5EF72EF5" w14:textId="77777777" w:rsidR="00EC6523" w:rsidRPr="002E3526" w:rsidRDefault="00EC6523" w:rsidP="00EC6523">
      <w:pPr>
        <w:pStyle w:val="ListBullet"/>
        <w:numPr>
          <w:ilvl w:val="0"/>
          <w:numId w:val="3"/>
        </w:numPr>
      </w:pPr>
      <w:r w:rsidRPr="002E3526">
        <w:t xml:space="preserve">There is a ‘patchwork quilt’ of connectivity across regional and remote areas. Infrastructure Australia reports that 23 of Australia’s 48 regions have broadband and mobile connectivity infrastructure gaps. </w:t>
      </w:r>
    </w:p>
    <w:p w14:paraId="4BD143FF" w14:textId="54F34ED1" w:rsidR="00EC6523" w:rsidRPr="002E3526" w:rsidRDefault="00EC6523" w:rsidP="00EC6523">
      <w:pPr>
        <w:pStyle w:val="ListBullet"/>
        <w:numPr>
          <w:ilvl w:val="0"/>
          <w:numId w:val="3"/>
        </w:numPr>
      </w:pPr>
      <w:r w:rsidRPr="002E3526">
        <w:rPr>
          <w:b/>
          <w:bCs/>
        </w:rPr>
        <w:t>More transparency</w:t>
      </w:r>
      <w:r w:rsidRPr="002E3526">
        <w:t xml:space="preserve"> around digital infrastructure funding decisions and</w:t>
      </w:r>
      <w:r w:rsidR="00EF26E6">
        <w:t xml:space="preserve"> </w:t>
      </w:r>
      <w:r w:rsidRPr="002E3526">
        <w:t xml:space="preserve">evaluation of previous investments would improve the efficiency and effectiveness of future funding allocations. </w:t>
      </w:r>
      <w:r w:rsidR="00764412">
        <w:t>E</w:t>
      </w:r>
      <w:r w:rsidRPr="002E3526">
        <w:t xml:space="preserve">volving broadband, mobile and satellite technologies mean the market for internet connectivity may now be sufficiently developed to allow for a more competitive method of funding allocation. Market testing should be undertaken to see if a </w:t>
      </w:r>
      <w:r w:rsidRPr="002E3526">
        <w:rPr>
          <w:b/>
          <w:bCs/>
        </w:rPr>
        <w:t>market-based tender mechanism</w:t>
      </w:r>
      <w:r w:rsidRPr="002E3526">
        <w:t xml:space="preserve"> for delivering the Universal Service Guarantee, including for regional connectivity, is feasible (</w:t>
      </w:r>
      <w:r w:rsidR="002920D9" w:rsidRPr="002E3526">
        <w:t>rec</w:t>
      </w:r>
      <w:r w:rsidR="002920D9">
        <w:t>ommendation</w:t>
      </w:r>
      <w:r w:rsidRPr="002E3526">
        <w:t xml:space="preserve"> 4.1).</w:t>
      </w:r>
    </w:p>
    <w:p w14:paraId="362A630E" w14:textId="6D901A1A" w:rsidR="00EC6523" w:rsidRPr="002E3526" w:rsidRDefault="00EC6523" w:rsidP="00EC6523">
      <w:pPr>
        <w:pStyle w:val="BodyText"/>
        <w:rPr>
          <w:sz w:val="20"/>
          <w:szCs w:val="20"/>
        </w:rPr>
      </w:pPr>
      <w:r w:rsidRPr="002E3526">
        <w:rPr>
          <w:sz w:val="20"/>
          <w:szCs w:val="20"/>
        </w:rPr>
        <w:t xml:space="preserve">Better </w:t>
      </w:r>
      <w:r w:rsidRPr="002E3526">
        <w:rPr>
          <w:b/>
          <w:bCs/>
          <w:sz w:val="20"/>
          <w:szCs w:val="20"/>
        </w:rPr>
        <w:t>use and sharing of data</w:t>
      </w:r>
      <w:r w:rsidRPr="002E3526">
        <w:rPr>
          <w:sz w:val="20"/>
          <w:szCs w:val="20"/>
        </w:rPr>
        <w:t xml:space="preserve"> can improve product and service quality, cut costs, </w:t>
      </w:r>
      <w:r w:rsidR="00EF26E6">
        <w:rPr>
          <w:sz w:val="20"/>
          <w:szCs w:val="20"/>
        </w:rPr>
        <w:t xml:space="preserve">and </w:t>
      </w:r>
      <w:r w:rsidRPr="002E3526">
        <w:rPr>
          <w:sz w:val="20"/>
          <w:szCs w:val="20"/>
        </w:rPr>
        <w:t xml:space="preserve">generate new products and services. </w:t>
      </w:r>
    </w:p>
    <w:p w14:paraId="1326ECA0" w14:textId="74B1BA73" w:rsidR="00EC6523" w:rsidRPr="002E3526" w:rsidRDefault="00EC6523" w:rsidP="00EC6523">
      <w:pPr>
        <w:pStyle w:val="ListBullet"/>
        <w:numPr>
          <w:ilvl w:val="0"/>
          <w:numId w:val="3"/>
        </w:numPr>
      </w:pPr>
      <w:r w:rsidRPr="002E3526">
        <w:t xml:space="preserve">The Consumer Data Right rollout is underway (implemented in banking and energy, and soon in telecommunications). Upcoming changes will allow approved third parties to initiate actions on behalf of consumers with their consent, such as </w:t>
      </w:r>
      <w:r w:rsidR="00101745">
        <w:t xml:space="preserve">to </w:t>
      </w:r>
      <w:r w:rsidRPr="002E3526">
        <w:t>mak</w:t>
      </w:r>
      <w:r w:rsidR="00101745">
        <w:t>e</w:t>
      </w:r>
      <w:r w:rsidRPr="002E3526">
        <w:t xml:space="preserve"> payments and switch providers. </w:t>
      </w:r>
    </w:p>
    <w:p w14:paraId="5750761D" w14:textId="2B1E59AE" w:rsidR="00EC6523" w:rsidRPr="00122340" w:rsidRDefault="00EC6523" w:rsidP="00EC6523">
      <w:pPr>
        <w:pStyle w:val="ListBullet"/>
        <w:numPr>
          <w:ilvl w:val="0"/>
          <w:numId w:val="3"/>
        </w:numPr>
        <w:rPr>
          <w:spacing w:val="-4"/>
        </w:rPr>
      </w:pPr>
      <w:r w:rsidRPr="00122340">
        <w:rPr>
          <w:spacing w:val="-4"/>
        </w:rPr>
        <w:t xml:space="preserve">A </w:t>
      </w:r>
      <w:r w:rsidR="00C422BB" w:rsidRPr="00122340">
        <w:rPr>
          <w:spacing w:val="-4"/>
        </w:rPr>
        <w:t xml:space="preserve">secure </w:t>
      </w:r>
      <w:r w:rsidRPr="00122340">
        <w:rPr>
          <w:b/>
          <w:bCs/>
          <w:spacing w:val="-4"/>
        </w:rPr>
        <w:t xml:space="preserve">single digital identity </w:t>
      </w:r>
      <w:r w:rsidR="00C422BB" w:rsidRPr="00122340">
        <w:rPr>
          <w:b/>
          <w:bCs/>
          <w:spacing w:val="-4"/>
        </w:rPr>
        <w:t>for individuals</w:t>
      </w:r>
      <w:r w:rsidR="00161035" w:rsidRPr="00122340">
        <w:rPr>
          <w:b/>
          <w:bCs/>
          <w:spacing w:val="-4"/>
        </w:rPr>
        <w:t>,</w:t>
      </w:r>
      <w:r w:rsidR="00C422BB" w:rsidRPr="00122340">
        <w:rPr>
          <w:b/>
          <w:bCs/>
          <w:spacing w:val="-4"/>
        </w:rPr>
        <w:t xml:space="preserve"> </w:t>
      </w:r>
      <w:r w:rsidRPr="00122340">
        <w:rPr>
          <w:b/>
          <w:bCs/>
          <w:spacing w:val="-4"/>
        </w:rPr>
        <w:t xml:space="preserve">with expanded </w:t>
      </w:r>
      <w:r w:rsidR="00C422BB" w:rsidRPr="00122340">
        <w:rPr>
          <w:b/>
          <w:bCs/>
          <w:spacing w:val="-4"/>
        </w:rPr>
        <w:t>applications</w:t>
      </w:r>
      <w:r w:rsidR="009D1942" w:rsidRPr="00122340">
        <w:rPr>
          <w:b/>
          <w:bCs/>
          <w:spacing w:val="-4"/>
        </w:rPr>
        <w:t xml:space="preserve"> </w:t>
      </w:r>
      <w:r w:rsidR="009D1942" w:rsidRPr="00122340">
        <w:rPr>
          <w:spacing w:val="-4"/>
        </w:rPr>
        <w:t>(</w:t>
      </w:r>
      <w:r w:rsidRPr="00122340">
        <w:rPr>
          <w:spacing w:val="-4"/>
        </w:rPr>
        <w:t>includ</w:t>
      </w:r>
      <w:r w:rsidR="00C422BB" w:rsidRPr="00122340">
        <w:rPr>
          <w:spacing w:val="-4"/>
        </w:rPr>
        <w:t>ing</w:t>
      </w:r>
      <w:r w:rsidRPr="00122340">
        <w:rPr>
          <w:spacing w:val="-4"/>
        </w:rPr>
        <w:t xml:space="preserve"> </w:t>
      </w:r>
      <w:r w:rsidR="00EF26E6" w:rsidRPr="00122340">
        <w:rPr>
          <w:spacing w:val="-4"/>
        </w:rPr>
        <w:t>s</w:t>
      </w:r>
      <w:r w:rsidRPr="00122340">
        <w:rPr>
          <w:spacing w:val="-4"/>
        </w:rPr>
        <w:t xml:space="preserve">tate </w:t>
      </w:r>
      <w:r w:rsidR="00EF26E6" w:rsidRPr="00122340">
        <w:rPr>
          <w:spacing w:val="-4"/>
        </w:rPr>
        <w:t>g</w:t>
      </w:r>
      <w:r w:rsidRPr="00122340">
        <w:rPr>
          <w:spacing w:val="-4"/>
        </w:rPr>
        <w:t>overnment and private sector uses</w:t>
      </w:r>
      <w:r w:rsidR="009D1942" w:rsidRPr="00122340">
        <w:rPr>
          <w:spacing w:val="-4"/>
        </w:rPr>
        <w:t>)</w:t>
      </w:r>
      <w:r w:rsidR="00C422BB" w:rsidRPr="00122340">
        <w:rPr>
          <w:spacing w:val="-4"/>
        </w:rPr>
        <w:t>,</w:t>
      </w:r>
      <w:r w:rsidRPr="00122340">
        <w:rPr>
          <w:spacing w:val="-4"/>
        </w:rPr>
        <w:t xml:space="preserve"> would improve services (by streamlining identity verification) and security (by reducing the need for third parties to store personal information, which can lead to breaches) (rec</w:t>
      </w:r>
      <w:r w:rsidR="00885A4A" w:rsidRPr="00122340">
        <w:rPr>
          <w:spacing w:val="-4"/>
        </w:rPr>
        <w:t>ommendation</w:t>
      </w:r>
      <w:r w:rsidRPr="00122340">
        <w:rPr>
          <w:spacing w:val="-4"/>
        </w:rPr>
        <w:t xml:space="preserve"> 4.2).</w:t>
      </w:r>
    </w:p>
    <w:p w14:paraId="44D01505" w14:textId="4FE9CC5A" w:rsidR="00EC6523" w:rsidRPr="002E3526" w:rsidRDefault="00EC6523" w:rsidP="00EC6523">
      <w:pPr>
        <w:pStyle w:val="ListBullet"/>
        <w:numPr>
          <w:ilvl w:val="0"/>
          <w:numId w:val="3"/>
        </w:numPr>
      </w:pPr>
      <w:r w:rsidRPr="002E3526">
        <w:rPr>
          <w:b/>
          <w:bCs/>
        </w:rPr>
        <w:t>More access to and use of public data</w:t>
      </w:r>
      <w:r w:rsidR="00C422BB">
        <w:rPr>
          <w:b/>
          <w:bCs/>
        </w:rPr>
        <w:t xml:space="preserve"> by trusted private parties</w:t>
      </w:r>
      <w:r w:rsidRPr="002E3526">
        <w:t xml:space="preserve"> could benefit businesses and consumers by streamlining processes and improving </w:t>
      </w:r>
      <w:r w:rsidR="00BF204D">
        <w:t xml:space="preserve">products and </w:t>
      </w:r>
      <w:r w:rsidRPr="002E3526">
        <w:t xml:space="preserve">service delivery. The </w:t>
      </w:r>
      <w:r w:rsidRPr="002E3526">
        <w:rPr>
          <w:i/>
          <w:iCs/>
        </w:rPr>
        <w:t>Data Availability and Transparency Act 2022</w:t>
      </w:r>
      <w:r w:rsidRPr="002E3526">
        <w:t xml:space="preserve"> (</w:t>
      </w:r>
      <w:proofErr w:type="spellStart"/>
      <w:r w:rsidRPr="002E3526">
        <w:t>Cth</w:t>
      </w:r>
      <w:proofErr w:type="spellEnd"/>
      <w:r w:rsidRPr="002E3526">
        <w:t>) should be gradually extended to achieve this (rec</w:t>
      </w:r>
      <w:r w:rsidR="00885A4A">
        <w:t>ommendation</w:t>
      </w:r>
      <w:r w:rsidRPr="002E3526">
        <w:t xml:space="preserve"> 4.3).</w:t>
      </w:r>
    </w:p>
    <w:p w14:paraId="7DC33C86" w14:textId="4C42F357" w:rsidR="00EC6523" w:rsidRPr="002E3526" w:rsidRDefault="00EC6523" w:rsidP="00EC6523">
      <w:pPr>
        <w:pStyle w:val="ListBullet"/>
        <w:numPr>
          <w:ilvl w:val="0"/>
          <w:numId w:val="3"/>
        </w:numPr>
      </w:pPr>
      <w:r w:rsidRPr="002E3526">
        <w:t xml:space="preserve">Increasing the </w:t>
      </w:r>
      <w:r w:rsidRPr="002E3526">
        <w:rPr>
          <w:b/>
          <w:bCs/>
        </w:rPr>
        <w:t>safe sharing and use of data collected by government-funded service providers</w:t>
      </w:r>
      <w:r w:rsidRPr="002E3526">
        <w:t xml:space="preserve"> should begin with publicly funded health data. This includes identifying relevant data that could be safely shared to benefit patients, setting technical standards for data sharing to promote interoperability, and using funding levers to incentivise service providers to gather and share data. Safe sharing of data held by other government-funded service providers (e.g. education, childcare, aged care, community services) should be investigated (rec</w:t>
      </w:r>
      <w:r w:rsidR="006E1B39">
        <w:t>ommendation</w:t>
      </w:r>
      <w:r w:rsidRPr="002E3526">
        <w:t xml:space="preserve"> 4.4).</w:t>
      </w:r>
    </w:p>
    <w:p w14:paraId="45F5ED78" w14:textId="77777777" w:rsidR="00EC6523" w:rsidRPr="002E3526" w:rsidRDefault="00EC6523" w:rsidP="00EC6523">
      <w:pPr>
        <w:pStyle w:val="BodyText"/>
        <w:rPr>
          <w:sz w:val="20"/>
          <w:szCs w:val="20"/>
        </w:rPr>
      </w:pPr>
      <w:r w:rsidRPr="002E3526">
        <w:rPr>
          <w:b/>
          <w:bCs/>
          <w:sz w:val="20"/>
          <w:szCs w:val="20"/>
        </w:rPr>
        <w:t>Good cyber security and</w:t>
      </w:r>
      <w:r w:rsidRPr="002E3526">
        <w:rPr>
          <w:sz w:val="20"/>
          <w:szCs w:val="20"/>
        </w:rPr>
        <w:t xml:space="preserve"> </w:t>
      </w:r>
      <w:r w:rsidRPr="002E3526">
        <w:rPr>
          <w:b/>
          <w:bCs/>
          <w:sz w:val="20"/>
          <w:szCs w:val="20"/>
        </w:rPr>
        <w:t xml:space="preserve">ethical practices </w:t>
      </w:r>
      <w:r w:rsidRPr="002E3526">
        <w:rPr>
          <w:sz w:val="20"/>
          <w:szCs w:val="20"/>
        </w:rPr>
        <w:t>in using technology and data are essential for supporting consumer trust and confidence, particularly in emerging technologies that may have significant productivity benefits. Government policy can facilitate this, but any intervention needs to be balanced against the risks of disincentivising investment and innovation.</w:t>
      </w:r>
    </w:p>
    <w:p w14:paraId="06A3FA20" w14:textId="77777777" w:rsidR="00EC6523" w:rsidRPr="002E3526" w:rsidRDefault="00EC6523" w:rsidP="00EC6523">
      <w:pPr>
        <w:pStyle w:val="ListBullet"/>
        <w:numPr>
          <w:ilvl w:val="0"/>
          <w:numId w:val="3"/>
        </w:numPr>
      </w:pPr>
      <w:r w:rsidRPr="002E3526">
        <w:lastRenderedPageBreak/>
        <w:t xml:space="preserve">As a ‘light touch’ measure, the Australian Cyber Security Centre is already providing information and training for business, but small business </w:t>
      </w:r>
      <w:proofErr w:type="gramStart"/>
      <w:r w:rsidRPr="002E3526">
        <w:t>take</w:t>
      </w:r>
      <w:proofErr w:type="gramEnd"/>
      <w:r w:rsidRPr="002E3526">
        <w:t xml:space="preserve"> up of cyber security software and guidance is low.</w:t>
      </w:r>
    </w:p>
    <w:p w14:paraId="5BBF55D2" w14:textId="23201D74" w:rsidR="00EC6523" w:rsidRPr="002E3526" w:rsidRDefault="00EC6523" w:rsidP="00EC6523">
      <w:pPr>
        <w:pStyle w:val="ListBullet"/>
        <w:numPr>
          <w:ilvl w:val="0"/>
          <w:numId w:val="3"/>
        </w:numPr>
      </w:pPr>
      <w:r w:rsidRPr="002E3526">
        <w:t>Regulation is required for high security risk situations</w:t>
      </w:r>
      <w:r w:rsidR="00AE59F8">
        <w:t>.</w:t>
      </w:r>
      <w:r w:rsidRPr="002E3526">
        <w:t xml:space="preserve"> </w:t>
      </w:r>
      <w:r w:rsidR="00AE59F8">
        <w:t>T</w:t>
      </w:r>
      <w:r w:rsidRPr="002E3526">
        <w:t xml:space="preserve">he </w:t>
      </w:r>
      <w:r w:rsidR="006E1B39">
        <w:t>G</w:t>
      </w:r>
      <w:r w:rsidRPr="002E3526">
        <w:t xml:space="preserve">overnment has implemented critical infrastructure security legislation, but more time and information </w:t>
      </w:r>
      <w:proofErr w:type="gramStart"/>
      <w:r w:rsidRPr="002E3526">
        <w:t>is</w:t>
      </w:r>
      <w:proofErr w:type="gramEnd"/>
      <w:r w:rsidRPr="002E3526">
        <w:t xml:space="preserve"> required to understand its appropriateness and effectiveness. There is no evaluation or review process included in the legislation.</w:t>
      </w:r>
    </w:p>
    <w:p w14:paraId="564C3BF8" w14:textId="7102DA0D" w:rsidR="00EC6523" w:rsidRPr="002E3526" w:rsidRDefault="00EC6523" w:rsidP="00EC6523">
      <w:pPr>
        <w:pStyle w:val="ListBullet"/>
        <w:numPr>
          <w:ilvl w:val="0"/>
          <w:numId w:val="3"/>
        </w:numPr>
      </w:pPr>
      <w:r w:rsidRPr="002E3526">
        <w:t xml:space="preserve">A </w:t>
      </w:r>
      <w:r w:rsidRPr="002E3526">
        <w:rPr>
          <w:b/>
          <w:bCs/>
        </w:rPr>
        <w:t>single online interface for cyber incident reporting</w:t>
      </w:r>
      <w:r w:rsidRPr="002E3526">
        <w:t xml:space="preserve"> would avoid unnecessary duplication and reduce the costs of regulatory compliance (rec</w:t>
      </w:r>
      <w:r w:rsidR="00DC52FE">
        <w:t>ommendation</w:t>
      </w:r>
      <w:r w:rsidRPr="002E3526">
        <w:t xml:space="preserve"> 4.5).</w:t>
      </w:r>
    </w:p>
    <w:p w14:paraId="45A57B66" w14:textId="77777777" w:rsidR="00EC6523" w:rsidRPr="002E3526" w:rsidRDefault="00EC6523" w:rsidP="00EC6523">
      <w:pPr>
        <w:pStyle w:val="ListBullet"/>
        <w:numPr>
          <w:ilvl w:val="0"/>
          <w:numId w:val="3"/>
        </w:numPr>
      </w:pPr>
      <w:r w:rsidRPr="002E3526">
        <w:t>Translating principles of ethical use of emerging technology into action will be a challenge for governments. Regulation involves trade-offs between avoiding potentially harmful outcomes and productivity gains. To strike the right balance, target intervention towards high-risk areas and implement in consultation with industry and technical experts.</w:t>
      </w:r>
    </w:p>
    <w:p w14:paraId="787BDDE1" w14:textId="5A9BD060" w:rsidR="00EC6523" w:rsidRPr="002E3526" w:rsidRDefault="00DC52FE" w:rsidP="00EC6523">
      <w:pPr>
        <w:pStyle w:val="BodyText"/>
        <w:rPr>
          <w:sz w:val="20"/>
          <w:szCs w:val="20"/>
        </w:rPr>
      </w:pPr>
      <w:r>
        <w:rPr>
          <w:sz w:val="20"/>
          <w:szCs w:val="20"/>
        </w:rPr>
        <w:t xml:space="preserve">Industry has highlighted </w:t>
      </w:r>
      <w:r w:rsidR="00EC6523" w:rsidRPr="002E3526">
        <w:rPr>
          <w:b/>
          <w:bCs/>
          <w:sz w:val="20"/>
          <w:szCs w:val="20"/>
        </w:rPr>
        <w:t>digital and data skills</w:t>
      </w:r>
      <w:r w:rsidR="00EC6523" w:rsidRPr="002E3526">
        <w:rPr>
          <w:sz w:val="20"/>
          <w:szCs w:val="20"/>
        </w:rPr>
        <w:t xml:space="preserve"> gaps </w:t>
      </w:r>
      <w:r>
        <w:rPr>
          <w:sz w:val="20"/>
          <w:szCs w:val="20"/>
        </w:rPr>
        <w:t xml:space="preserve">as an important issue </w:t>
      </w:r>
      <w:r w:rsidR="00EC6523" w:rsidRPr="002E3526">
        <w:rPr>
          <w:sz w:val="20"/>
          <w:szCs w:val="20"/>
        </w:rPr>
        <w:t>— forecasts suggest there will be demand for 1.2 million technology workers by 2035. The role for government in skills policy is broader than just this area, so relevant recommendations are covered in other inquiry volumes.</w:t>
      </w:r>
    </w:p>
    <w:p w14:paraId="42FBFB2C" w14:textId="2695EB70" w:rsidR="00EC6523" w:rsidRPr="002E3526" w:rsidRDefault="00EC6523" w:rsidP="00EC6523">
      <w:pPr>
        <w:pStyle w:val="ListBullet"/>
        <w:numPr>
          <w:ilvl w:val="0"/>
          <w:numId w:val="3"/>
        </w:numPr>
      </w:pPr>
      <w:r w:rsidRPr="002E3526">
        <w:t>Short courses and unaccredited training can be preferred by businesses for developing digital and data skills as they are often more relevant and flexible. Businesses and workers are already using options such as industry-delivered vendor certifications to upskill and reskill, and government support could further increase uptake where policies are targeted and evaluated for additionality (</w:t>
      </w:r>
      <w:r w:rsidR="00E4089A">
        <w:t>V</w:t>
      </w:r>
      <w:r w:rsidRPr="002E3526">
        <w:t>ol</w:t>
      </w:r>
      <w:r w:rsidR="00E4089A">
        <w:t>ume</w:t>
      </w:r>
      <w:r w:rsidRPr="002E3526">
        <w:t xml:space="preserve"> 8). </w:t>
      </w:r>
    </w:p>
    <w:p w14:paraId="380A1D42" w14:textId="3616A64F" w:rsidR="00EC6523" w:rsidRPr="002E3526" w:rsidRDefault="00EC6523" w:rsidP="00EC6523">
      <w:pPr>
        <w:pStyle w:val="ListBullet"/>
        <w:numPr>
          <w:ilvl w:val="0"/>
          <w:numId w:val="3"/>
        </w:numPr>
      </w:pPr>
      <w:r w:rsidRPr="002E3526">
        <w:t>Skilled migration enables businesses to access a deeper talent pool for digital and data skills that cannot be met locally or with education and training in the short term. However, the occupation lists that underpin much of Australia’s skilled migration system are not sufficiently flexible or up</w:t>
      </w:r>
      <w:r w:rsidR="00E4089A">
        <w:t xml:space="preserve"> </w:t>
      </w:r>
      <w:r w:rsidRPr="002E3526">
        <w:t>to</w:t>
      </w:r>
      <w:r w:rsidR="00E4089A">
        <w:t xml:space="preserve"> </w:t>
      </w:r>
      <w:r w:rsidRPr="002E3526">
        <w:t>date (</w:t>
      </w:r>
      <w:r w:rsidR="00E4089A">
        <w:t>V</w:t>
      </w:r>
      <w:r w:rsidRPr="002E3526">
        <w:t>ol</w:t>
      </w:r>
      <w:r w:rsidR="00E4089A">
        <w:t>ume</w:t>
      </w:r>
      <w:r w:rsidRPr="002E3526">
        <w:t xml:space="preserve"> 7).</w:t>
      </w:r>
    </w:p>
    <w:p w14:paraId="6EDAA0C4" w14:textId="77777777" w:rsidR="005629C7" w:rsidRDefault="005629C7" w:rsidP="005629C7">
      <w:pPr>
        <w:pStyle w:val="Heading2"/>
        <w:keepNext w:val="0"/>
        <w:keepLines w:val="0"/>
        <w:spacing w:after="0"/>
      </w:pPr>
      <w:bookmarkStart w:id="0" w:name="_Hlk94794966"/>
      <w:r>
        <w:t>Key figures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2552"/>
        <w:gridCol w:w="7086"/>
      </w:tblGrid>
      <w:tr w:rsidR="005629C7" w:rsidRPr="005550A0" w14:paraId="4D10EF3B" w14:textId="77777777" w:rsidTr="00A92AD0">
        <w:trPr>
          <w:trHeight w:val="3118"/>
          <w:tblHeader/>
        </w:trPr>
        <w:tc>
          <w:tcPr>
            <w:tcW w:w="1324" w:type="pct"/>
            <w:shd w:val="clear" w:color="auto" w:fill="FCEFD2" w:themeFill="accent3" w:themeFillTint="33"/>
          </w:tcPr>
          <w:p w14:paraId="1151F959" w14:textId="78CCD66E" w:rsidR="005629C7" w:rsidRDefault="005629C7" w:rsidP="005629C7">
            <w:pPr>
              <w:pStyle w:val="TableBody"/>
              <w:widowControl w:val="0"/>
              <w:rPr>
                <w:sz w:val="22"/>
                <w:szCs w:val="24"/>
              </w:rPr>
            </w:pPr>
            <w:r>
              <w:rPr>
                <w:sz w:val="20"/>
                <w:szCs w:val="22"/>
              </w:rPr>
              <w:t>U</w:t>
            </w:r>
            <w:r w:rsidRPr="00545E3A">
              <w:rPr>
                <w:sz w:val="20"/>
                <w:szCs w:val="22"/>
              </w:rPr>
              <w:t xml:space="preserve">se of </w:t>
            </w:r>
            <w:r>
              <w:rPr>
                <w:sz w:val="20"/>
                <w:szCs w:val="22"/>
              </w:rPr>
              <w:t>foundational</w:t>
            </w:r>
            <w:r w:rsidRPr="00545E3A">
              <w:rPr>
                <w:sz w:val="20"/>
                <w:szCs w:val="22"/>
              </w:rPr>
              <w:t xml:space="preserve"> technologies, like cloud, is good — but more </w:t>
            </w:r>
            <w:r>
              <w:rPr>
                <w:sz w:val="20"/>
                <w:szCs w:val="22"/>
              </w:rPr>
              <w:t>specialised technologies have lower adoption. Australian businesses trail other developed countries in the use of data analytics and artificial intelligence.</w:t>
            </w:r>
            <w:r w:rsidR="003A5567">
              <w:t xml:space="preserve"> (Volume 4, p. 11)</w:t>
            </w:r>
          </w:p>
        </w:tc>
        <w:tc>
          <w:tcPr>
            <w:tcW w:w="3676" w:type="pct"/>
            <w:shd w:val="clear" w:color="auto" w:fill="auto"/>
          </w:tcPr>
          <w:p w14:paraId="367BF91F" w14:textId="6074FDE2" w:rsidR="005629C7" w:rsidRPr="005616F3" w:rsidRDefault="00A92AD0" w:rsidP="00A92AD0">
            <w:pPr>
              <w:pStyle w:val="TableBody"/>
              <w:widowControl w:val="0"/>
              <w:spacing w:after="100" w:afterAutospacing="1"/>
              <w:ind w:left="0"/>
              <w:rPr>
                <w:i/>
                <w:iCs/>
                <w:sz w:val="20"/>
                <w:szCs w:val="22"/>
              </w:rPr>
            </w:pPr>
            <w:r w:rsidRPr="00A92AD0">
              <w:rPr>
                <w:i/>
                <w:iCs/>
                <w:noProof/>
                <w:sz w:val="20"/>
                <w:szCs w:val="22"/>
              </w:rPr>
              <w:drawing>
                <wp:inline distT="0" distB="0" distL="0" distR="0" wp14:anchorId="14D1899D" wp14:editId="128AA136">
                  <wp:extent cx="3852000" cy="2095898"/>
                  <wp:effectExtent l="0" t="0" r="0" b="0"/>
                  <wp:docPr id="5" name="Picture 5" descr="This chart shows the share of Australian businesses using different types of technology for 2019-20. Cloud technology and cybersecurity software had the highest take-up rat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chart shows the share of Australian businesses using different types of technology for 2019-20. Cloud technology and cybersecurity software had the highest take-up rates.&#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52000" cy="2095898"/>
                          </a:xfrm>
                          <a:prstGeom prst="rect">
                            <a:avLst/>
                          </a:prstGeom>
                          <a:noFill/>
                          <a:ln>
                            <a:noFill/>
                          </a:ln>
                        </pic:spPr>
                      </pic:pic>
                    </a:graphicData>
                  </a:graphic>
                </wp:inline>
              </w:drawing>
            </w:r>
          </w:p>
        </w:tc>
      </w:tr>
      <w:tr w:rsidR="005629C7" w:rsidRPr="005550A0" w14:paraId="12F9A1BE" w14:textId="77777777" w:rsidTr="00A92AD0">
        <w:trPr>
          <w:trHeight w:val="3118"/>
          <w:tblHeader/>
        </w:trPr>
        <w:tc>
          <w:tcPr>
            <w:tcW w:w="1324" w:type="pct"/>
            <w:shd w:val="clear" w:color="auto" w:fill="E7DCED" w:themeFill="accent6" w:themeFillTint="33"/>
          </w:tcPr>
          <w:p w14:paraId="7DE08464" w14:textId="77777777" w:rsidR="005629C7" w:rsidRPr="000459F7" w:rsidRDefault="005629C7" w:rsidP="005629C7">
            <w:pPr>
              <w:pStyle w:val="TableBody"/>
              <w:widowControl w:val="0"/>
              <w:rPr>
                <w:sz w:val="20"/>
                <w:szCs w:val="22"/>
              </w:rPr>
            </w:pPr>
            <w:r>
              <w:rPr>
                <w:sz w:val="20"/>
                <w:szCs w:val="22"/>
              </w:rPr>
              <w:t>F</w:t>
            </w:r>
            <w:r w:rsidRPr="002B45EB">
              <w:rPr>
                <w:sz w:val="20"/>
                <w:szCs w:val="22"/>
              </w:rPr>
              <w:t>actors limiting business uptake of ICT are</w:t>
            </w:r>
            <w:r>
              <w:rPr>
                <w:sz w:val="20"/>
                <w:szCs w:val="22"/>
              </w:rPr>
              <w:t xml:space="preserve"> </w:t>
            </w:r>
            <w:r w:rsidRPr="000459F7">
              <w:rPr>
                <w:sz w:val="20"/>
                <w:szCs w:val="22"/>
              </w:rPr>
              <w:t xml:space="preserve">inadequate internet, </w:t>
            </w:r>
          </w:p>
          <w:p w14:paraId="2943F2EE" w14:textId="77777777" w:rsidR="005629C7" w:rsidRPr="000459F7" w:rsidRDefault="005629C7" w:rsidP="005629C7">
            <w:pPr>
              <w:pStyle w:val="TableBody"/>
              <w:widowControl w:val="0"/>
              <w:rPr>
                <w:sz w:val="20"/>
                <w:szCs w:val="22"/>
              </w:rPr>
            </w:pPr>
            <w:r w:rsidRPr="000459F7">
              <w:rPr>
                <w:sz w:val="20"/>
                <w:szCs w:val="22"/>
              </w:rPr>
              <w:t xml:space="preserve">lack of skills, low awareness and uncertainty about benefits, security concerns, cost and legacy </w:t>
            </w:r>
          </w:p>
          <w:p w14:paraId="2ECB5F04" w14:textId="0530400A" w:rsidR="005629C7" w:rsidRPr="00CF746F" w:rsidRDefault="005629C7" w:rsidP="005629C7">
            <w:pPr>
              <w:pStyle w:val="TableBody"/>
              <w:widowControl w:val="0"/>
              <w:rPr>
                <w:sz w:val="22"/>
                <w:szCs w:val="22"/>
              </w:rPr>
            </w:pPr>
            <w:r w:rsidRPr="000459F7">
              <w:rPr>
                <w:sz w:val="20"/>
                <w:szCs w:val="22"/>
              </w:rPr>
              <w:t>systems</w:t>
            </w:r>
            <w:r>
              <w:rPr>
                <w:sz w:val="20"/>
                <w:szCs w:val="22"/>
              </w:rPr>
              <w:t>.</w:t>
            </w:r>
            <w:r w:rsidR="00112E98">
              <w:rPr>
                <w:sz w:val="20"/>
                <w:szCs w:val="22"/>
              </w:rPr>
              <w:t xml:space="preserve"> </w:t>
            </w:r>
            <w:r w:rsidR="00112E98">
              <w:t>(Volume 4, p. 22)</w:t>
            </w:r>
          </w:p>
        </w:tc>
        <w:tc>
          <w:tcPr>
            <w:tcW w:w="3676" w:type="pct"/>
            <w:shd w:val="clear" w:color="auto" w:fill="auto"/>
          </w:tcPr>
          <w:p w14:paraId="30539EA3" w14:textId="5BF328DC" w:rsidR="005629C7" w:rsidRPr="005550A0" w:rsidRDefault="00A92AD0" w:rsidP="00CF520B">
            <w:pPr>
              <w:pStyle w:val="TableBody"/>
              <w:widowControl w:val="0"/>
              <w:ind w:left="0"/>
            </w:pPr>
            <w:r w:rsidRPr="00A92AD0">
              <w:rPr>
                <w:noProof/>
              </w:rPr>
              <w:drawing>
                <wp:inline distT="0" distB="0" distL="0" distR="0" wp14:anchorId="26530B5C" wp14:editId="0D33A276">
                  <wp:extent cx="3852000" cy="2095898"/>
                  <wp:effectExtent l="0" t="0" r="0" b="0"/>
                  <wp:docPr id="4" name="Picture 4" descr="This chart shows the factors that Australian businesses nominated as limiting their use of technology in 2019-20. The biggest barriers identified were unsuitable internet speed and lack of skilled persons within the busine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chart shows the factors that Australian businesses nominated as limiting their use of technology in 2019-20. The biggest barriers identified were unsuitable internet speed and lack of skilled persons within the business.&#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52000" cy="2095898"/>
                          </a:xfrm>
                          <a:prstGeom prst="rect">
                            <a:avLst/>
                          </a:prstGeom>
                          <a:noFill/>
                          <a:ln>
                            <a:noFill/>
                          </a:ln>
                        </pic:spPr>
                      </pic:pic>
                    </a:graphicData>
                  </a:graphic>
                </wp:inline>
              </w:drawing>
            </w:r>
          </w:p>
        </w:tc>
      </w:tr>
    </w:tbl>
    <w:p w14:paraId="3CF098DC" w14:textId="2DCDBBCC" w:rsidR="00F76B0B" w:rsidRDefault="0015274A" w:rsidP="005629C7">
      <w:pPr>
        <w:spacing w:before="120" w:after="120" w:line="280" w:lineRule="atLeast"/>
        <w:rPr>
          <w:rFonts w:ascii="Arial" w:hAnsi="Arial" w:cs="Arial"/>
        </w:rPr>
      </w:pPr>
      <w:r w:rsidRPr="00CF4552">
        <w:rPr>
          <w:rFonts w:ascii="Arial" w:hAnsi="Arial" w:cs="Arial"/>
        </w:rPr>
        <w:t>The</w:t>
      </w:r>
      <w:r w:rsidR="00F67BF1">
        <w:rPr>
          <w:rFonts w:ascii="Arial" w:hAnsi="Arial" w:cs="Arial"/>
        </w:rPr>
        <w:t xml:space="preserve"> </w:t>
      </w:r>
      <w:r w:rsidR="00F67BF1">
        <w:rPr>
          <w:rFonts w:ascii="Arial" w:hAnsi="Arial" w:cs="Arial"/>
          <w:b/>
          <w:bCs/>
        </w:rPr>
        <w:t xml:space="preserve">5-year Productivity Inquiry: Advancing Prosperity </w:t>
      </w:r>
      <w:r w:rsidR="00F67BF1" w:rsidRPr="00F67BF1">
        <w:rPr>
          <w:rFonts w:ascii="Arial" w:hAnsi="Arial" w:cs="Arial"/>
        </w:rPr>
        <w:t>report</w:t>
      </w:r>
      <w:r w:rsidR="00F67BF1">
        <w:rPr>
          <w:rFonts w:ascii="Arial" w:hAnsi="Arial" w:cs="Arial"/>
          <w:b/>
          <w:bCs/>
        </w:rPr>
        <w:t xml:space="preserve"> </w:t>
      </w:r>
      <w:r w:rsidRPr="00CF4552">
        <w:rPr>
          <w:rFonts w:ascii="Arial" w:hAnsi="Arial" w:cs="Arial"/>
        </w:rPr>
        <w:t>can be found at:</w:t>
      </w:r>
      <w:r w:rsidRPr="00CF4552">
        <w:rPr>
          <w:rFonts w:ascii="Arial" w:hAnsi="Arial" w:cs="Arial"/>
          <w:color w:val="4D7028" w:themeColor="accent2"/>
        </w:rPr>
        <w:t xml:space="preserve"> </w:t>
      </w:r>
      <w:hyperlink r:id="rId14" w:history="1">
        <w:r w:rsidRPr="004D1CB9">
          <w:rPr>
            <w:rStyle w:val="Hyperlink"/>
          </w:rPr>
          <w:t>www.pc.gov.au</w:t>
        </w:r>
      </w:hyperlink>
      <w:bookmarkEnd w:id="0"/>
    </w:p>
    <w:sectPr w:rsidR="00F76B0B" w:rsidSect="00F67BF1">
      <w:headerReference w:type="default" r:id="rId15"/>
      <w:footerReference w:type="default" r:id="rId16"/>
      <w:headerReference w:type="first" r:id="rId17"/>
      <w:footerReference w:type="first" r:id="rId18"/>
      <w:pgSz w:w="11906" w:h="16838" w:code="9"/>
      <w:pgMar w:top="1843" w:right="1134" w:bottom="1134" w:left="1134" w:header="624"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07F9" w14:textId="77777777" w:rsidR="000C772E" w:rsidRDefault="000C772E" w:rsidP="00BF738A">
      <w:pPr>
        <w:spacing w:after="0" w:line="240" w:lineRule="auto"/>
      </w:pPr>
      <w:r>
        <w:separator/>
      </w:r>
    </w:p>
  </w:endnote>
  <w:endnote w:type="continuationSeparator" w:id="0">
    <w:p w14:paraId="16CAF234" w14:textId="77777777" w:rsidR="000C772E" w:rsidRDefault="000C772E" w:rsidP="00BF738A">
      <w:pPr>
        <w:spacing w:after="0" w:line="240" w:lineRule="auto"/>
      </w:pPr>
      <w:r>
        <w:continuationSeparator/>
      </w:r>
    </w:p>
  </w:endnote>
  <w:endnote w:type="continuationNotice" w:id="1">
    <w:p w14:paraId="445F6E87" w14:textId="77777777" w:rsidR="000C772E" w:rsidRDefault="000C77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CB8A" w14:textId="3D103EFD" w:rsidR="00F67BF1" w:rsidRPr="001D4262" w:rsidRDefault="001D4262" w:rsidP="001D4262">
    <w:pPr>
      <w:pStyle w:val="Footer"/>
      <w:spacing w:before="0" w:beforeAutospacing="0" w:after="0" w:afterAutospacing="0"/>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F289" w14:textId="601201E3" w:rsidR="009848AD" w:rsidRPr="00F67BF1" w:rsidRDefault="00F67BF1" w:rsidP="00F67BF1">
    <w:pPr>
      <w:pStyle w:val="Footer"/>
      <w:spacing w:before="0" w:beforeAutospacing="0" w:after="0" w:afterAutospacing="0"/>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77AA" w14:textId="77777777" w:rsidR="000C772E" w:rsidRDefault="000C772E" w:rsidP="00BF738A">
      <w:pPr>
        <w:spacing w:after="0" w:line="240" w:lineRule="auto"/>
      </w:pPr>
      <w:r>
        <w:separator/>
      </w:r>
    </w:p>
  </w:footnote>
  <w:footnote w:type="continuationSeparator" w:id="0">
    <w:p w14:paraId="3FDD9DFA" w14:textId="77777777" w:rsidR="000C772E" w:rsidRDefault="000C772E" w:rsidP="00BF738A">
      <w:pPr>
        <w:spacing w:after="0" w:line="240" w:lineRule="auto"/>
      </w:pPr>
      <w:r>
        <w:continuationSeparator/>
      </w:r>
    </w:p>
  </w:footnote>
  <w:footnote w:type="continuationNotice" w:id="1">
    <w:p w14:paraId="5A530D43" w14:textId="77777777" w:rsidR="000C772E" w:rsidRDefault="000C77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0FA1" w14:textId="12C3751F" w:rsidR="009848AD" w:rsidRPr="009848AD" w:rsidRDefault="009848AD" w:rsidP="009848AD">
    <w:pPr>
      <w:pStyle w:val="Header"/>
      <w:spacing w:before="120"/>
      <w:ind w:right="-454"/>
      <w:rPr>
        <w:b/>
        <w:bCs/>
      </w:rPr>
    </w:pPr>
    <w:r w:rsidRPr="009848AD">
      <w:rPr>
        <w:rFonts w:ascii="Arial Black" w:hAnsi="Arial Black"/>
        <w:b/>
        <w:bCs/>
        <w:color w:val="2D9AC2" w:themeColor="text2" w:themeShade="BF"/>
        <w:sz w:val="34"/>
        <w:szCs w:val="34"/>
      </w:rPr>
      <w:t>FACTSHEET</w:t>
    </w:r>
  </w:p>
  <w:p w14:paraId="65BA68B8" w14:textId="453B5110" w:rsidR="00BF738A" w:rsidRPr="00A326BA" w:rsidRDefault="0073286C" w:rsidP="00A326BA">
    <w:pPr>
      <w:pStyle w:val="Header"/>
      <w:spacing w:before="480"/>
      <w:ind w:right="-454"/>
      <w:rPr>
        <w:b/>
        <w:bCs/>
      </w:rPr>
    </w:pPr>
    <w:r w:rsidRPr="00A326BA">
      <w:rPr>
        <w:b/>
        <w:bCs/>
      </w:rPr>
      <w:t>#</w:t>
    </w:r>
    <w:r w:rsidR="002E3526">
      <w:rPr>
        <w:b/>
        <w:bCs/>
      </w:rPr>
      <w:t>2</w:t>
    </w:r>
    <w:r w:rsidRPr="00A326BA">
      <w:rPr>
        <w:b/>
        <w:bCs/>
      </w:rPr>
      <w:t xml:space="preserve"> – </w:t>
    </w:r>
    <w:r w:rsidR="009848AD">
      <w:rPr>
        <w:b/>
        <w:bCs/>
      </w:rPr>
      <w:t xml:space="preserve">Advancing Prosperity </w:t>
    </w:r>
    <w:r w:rsidR="003C6BF2">
      <w:rPr>
        <w:b/>
        <w:bCs/>
      </w:rPr>
      <w:t xml:space="preserve">| </w:t>
    </w:r>
    <w:r w:rsidR="009848AD">
      <w:rPr>
        <w:b/>
        <w:bCs/>
      </w:rPr>
      <w:t>Inquiry Report</w:t>
    </w:r>
    <w:r w:rsidR="00122340">
      <w:rPr>
        <w:b/>
        <w:bCs/>
      </w:rPr>
      <w:t xml:space="preserve"> | Volume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9798" w14:textId="1AF50CA3" w:rsidR="009848AD" w:rsidRPr="009848AD" w:rsidRDefault="009848AD" w:rsidP="009848AD">
    <w:pPr>
      <w:pStyle w:val="Header"/>
      <w:spacing w:before="480"/>
      <w:ind w:right="-454"/>
      <w:rPr>
        <w:b/>
        <w:bCs/>
      </w:rPr>
    </w:pPr>
    <w:r w:rsidRPr="00A326BA">
      <w:rPr>
        <w:rFonts w:ascii="Verdana" w:hAnsi="Verdana"/>
        <w:b/>
        <w:bCs/>
        <w:noProof/>
        <w:color w:val="FF0000"/>
        <w:sz w:val="28"/>
        <w:szCs w:val="28"/>
        <w:highlight w:val="yellow"/>
      </w:rPr>
      <w:drawing>
        <wp:anchor distT="0" distB="0" distL="114300" distR="114300" simplePos="0" relativeHeight="251658240" behindDoc="1" locked="0" layoutInCell="1" allowOverlap="1" wp14:anchorId="7256CDFB" wp14:editId="0728FBB7">
          <wp:simplePos x="0" y="0"/>
          <wp:positionH relativeFrom="page">
            <wp:posOffset>0</wp:posOffset>
          </wp:positionH>
          <wp:positionV relativeFrom="page">
            <wp:posOffset>-85725</wp:posOffset>
          </wp:positionV>
          <wp:extent cx="7561921" cy="1581150"/>
          <wp:effectExtent l="0" t="0" r="1270" b="0"/>
          <wp:wrapNone/>
          <wp:docPr id="165" name="Picture 165" descr="Productivity Commission fac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ductivity Commission factsheet"/>
                  <pic:cNvPicPr/>
                </pic:nvPicPr>
                <pic:blipFill>
                  <a:blip r:embed="rId1">
                    <a:extLst>
                      <a:ext uri="{28A0092B-C50C-407E-A947-70E740481C1C}">
                        <a14:useLocalDpi xmlns:a14="http://schemas.microsoft.com/office/drawing/2010/main" val="0"/>
                      </a:ext>
                    </a:extLst>
                  </a:blip>
                  <a:srcRect t="782" b="782"/>
                  <a:stretch>
                    <a:fillRect/>
                  </a:stretch>
                </pic:blipFill>
                <pic:spPr bwMode="auto">
                  <a:xfrm>
                    <a:off x="0" y="0"/>
                    <a:ext cx="7561921" cy="158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326BA">
      <w:rPr>
        <w:b/>
        <w:bCs/>
      </w:rPr>
      <w:t>#</w:t>
    </w:r>
    <w:r w:rsidR="002E3526">
      <w:rPr>
        <w:b/>
        <w:bCs/>
      </w:rPr>
      <w:t>2</w:t>
    </w:r>
    <w:r w:rsidRPr="00A326BA">
      <w:rPr>
        <w:b/>
        <w:bCs/>
      </w:rPr>
      <w:t xml:space="preserve"> – </w:t>
    </w:r>
    <w:r>
      <w:rPr>
        <w:b/>
        <w:bCs/>
      </w:rPr>
      <w:t>Advancing Prosperity | Inquiry Report</w:t>
    </w:r>
    <w:r w:rsidR="000C17D8">
      <w:rPr>
        <w:b/>
        <w:bCs/>
      </w:rPr>
      <w:t xml:space="preserve"> | Volume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00E104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BB885A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E20ED2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C3088772"/>
    <w:lvl w:ilvl="0">
      <w:start w:val="1"/>
      <w:numFmt w:val="bullet"/>
      <w:pStyle w:val="TableListBullet"/>
      <w:lvlText w:val=""/>
      <w:lvlJc w:val="left"/>
      <w:pPr>
        <w:tabs>
          <w:tab w:val="num" w:pos="360"/>
        </w:tabs>
        <w:ind w:left="360" w:hanging="360"/>
      </w:pPr>
      <w:rPr>
        <w:rFonts w:ascii="Symbol" w:hAnsi="Symbol" w:hint="default"/>
      </w:rPr>
    </w:lvl>
  </w:abstractNum>
  <w:abstractNum w:abstractNumId="4" w15:restartNumberingAfterBreak="0">
    <w:nsid w:val="031A37EF"/>
    <w:multiLevelType w:val="hybridMultilevel"/>
    <w:tmpl w:val="3EB88730"/>
    <w:lvl w:ilvl="0" w:tplc="AA2616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3E6C9D"/>
    <w:multiLevelType w:val="multilevel"/>
    <w:tmpl w:val="FF8069A4"/>
    <w:numStyleLink w:val="Bullets"/>
  </w:abstractNum>
  <w:abstractNum w:abstractNumId="6" w15:restartNumberingAfterBreak="0">
    <w:nsid w:val="60E1502C"/>
    <w:multiLevelType w:val="multilevel"/>
    <w:tmpl w:val="FF8069A4"/>
    <w:styleLink w:val="Bullets"/>
    <w:lvl w:ilvl="0">
      <w:start w:val="1"/>
      <w:numFmt w:val="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num w:numId="1" w16cid:durableId="1849828926">
    <w:abstractNumId w:val="4"/>
  </w:num>
  <w:num w:numId="2" w16cid:durableId="317923861">
    <w:abstractNumId w:val="3"/>
  </w:num>
  <w:num w:numId="3" w16cid:durableId="1228372660">
    <w:abstractNumId w:val="5"/>
  </w:num>
  <w:num w:numId="4" w16cid:durableId="2021546402">
    <w:abstractNumId w:val="1"/>
  </w:num>
  <w:num w:numId="5" w16cid:durableId="1958876224">
    <w:abstractNumId w:val="5"/>
  </w:num>
  <w:num w:numId="6" w16cid:durableId="779253751">
    <w:abstractNumId w:val="0"/>
  </w:num>
  <w:num w:numId="7" w16cid:durableId="230846041">
    <w:abstractNumId w:val="5"/>
  </w:num>
  <w:num w:numId="8" w16cid:durableId="833767088">
    <w:abstractNumId w:val="2"/>
  </w:num>
  <w:num w:numId="9" w16cid:durableId="617302055">
    <w:abstractNumId w:val="2"/>
  </w:num>
  <w:num w:numId="10" w16cid:durableId="176118987">
    <w:abstractNumId w:val="5"/>
  </w:num>
  <w:num w:numId="11" w16cid:durableId="1404641264">
    <w:abstractNumId w:val="5"/>
  </w:num>
  <w:num w:numId="12" w16cid:durableId="965233325">
    <w:abstractNumId w:val="5"/>
  </w:num>
  <w:num w:numId="13" w16cid:durableId="378168178">
    <w:abstractNumId w:val="2"/>
  </w:num>
  <w:num w:numId="14" w16cid:durableId="1952320758">
    <w:abstractNumId w:val="5"/>
  </w:num>
  <w:num w:numId="15" w16cid:durableId="179243797">
    <w:abstractNumId w:val="6"/>
  </w:num>
  <w:num w:numId="16" w16cid:durableId="2103646247">
    <w:abstractNumId w:val="5"/>
    <w:lvlOverride w:ilvl="0">
      <w:lvl w:ilvl="0">
        <w:start w:val="1"/>
        <w:numFmt w:val="bullet"/>
        <w:lvlText w:val="•"/>
        <w:lvlJc w:val="left"/>
        <w:pPr>
          <w:ind w:left="227" w:hanging="227"/>
        </w:pPr>
        <w:rPr>
          <w:rFonts w:ascii="Times New Roman" w:hAnsi="Times New Roman" w:cs="Times New Roman" w:hint="default"/>
          <w:color w:val="000000"/>
        </w:rPr>
      </w:lvl>
    </w:lvlOverride>
    <w:lvlOverride w:ilvl="1">
      <w:lvl w:ilvl="1">
        <w:start w:val="1"/>
        <w:numFmt w:val="bullet"/>
        <w:pStyle w:val="ListBullet2"/>
        <w:lvlText w:val="–"/>
        <w:lvlJc w:val="left"/>
        <w:pPr>
          <w:ind w:left="454" w:hanging="227"/>
        </w:pPr>
        <w:rPr>
          <w:rFonts w:ascii="Arial" w:hAnsi="Arial" w:hint="default"/>
          <w:color w:val="auto"/>
        </w:rPr>
      </w:lvl>
    </w:lvlOverride>
    <w:lvlOverride w:ilvl="2">
      <w:lvl w:ilvl="2">
        <w:start w:val="1"/>
        <w:numFmt w:val="bullet"/>
        <w:pStyle w:val="ListBullet3"/>
        <w:lvlText w:val="»"/>
        <w:lvlJc w:val="left"/>
        <w:pPr>
          <w:ind w:left="907" w:hanging="227"/>
        </w:pPr>
        <w:rPr>
          <w:rFonts w:ascii="Arial" w:hAnsi="Arial" w:hint="default"/>
          <w:color w:val="auto"/>
        </w:rPr>
      </w:lvl>
    </w:lvlOverride>
    <w:lvlOverride w:ilvl="3">
      <w:lvl w:ilvl="3">
        <w:start w:val="1"/>
        <w:numFmt w:val="bullet"/>
        <w:lvlText w:val="–"/>
        <w:lvlJc w:val="left"/>
        <w:pPr>
          <w:tabs>
            <w:tab w:val="num" w:pos="851"/>
          </w:tabs>
          <w:ind w:left="907" w:hanging="227"/>
        </w:pPr>
        <w:rPr>
          <w:rFonts w:ascii="Arial" w:hAnsi="Arial" w:hint="default"/>
          <w:color w:val="auto"/>
        </w:rPr>
      </w:lvl>
    </w:lvlOverride>
    <w:lvlOverride w:ilvl="4">
      <w:lvl w:ilvl="4">
        <w:start w:val="1"/>
        <w:numFmt w:val="bullet"/>
        <w:lvlText w:val="–"/>
        <w:lvlJc w:val="left"/>
        <w:pPr>
          <w:ind w:left="1134" w:hanging="227"/>
        </w:pPr>
        <w:rPr>
          <w:rFonts w:ascii="Arial" w:hAnsi="Arial" w:hint="default"/>
          <w:color w:val="auto"/>
        </w:rPr>
      </w:lvl>
    </w:lvlOverride>
    <w:lvlOverride w:ilvl="5">
      <w:lvl w:ilvl="5">
        <w:start w:val="1"/>
        <w:numFmt w:val="bullet"/>
        <w:lvlText w:val="–"/>
        <w:lvlJc w:val="left"/>
        <w:pPr>
          <w:ind w:left="1361" w:hanging="227"/>
        </w:pPr>
        <w:rPr>
          <w:rFonts w:ascii="Arial" w:hAnsi="Arial" w:hint="default"/>
        </w:rPr>
      </w:lvl>
    </w:lvlOverride>
    <w:lvlOverride w:ilvl="6">
      <w:lvl w:ilvl="6">
        <w:start w:val="1"/>
        <w:numFmt w:val="bullet"/>
        <w:lvlText w:val="–"/>
        <w:lvlJc w:val="left"/>
        <w:pPr>
          <w:ind w:left="1588" w:hanging="227"/>
        </w:pPr>
        <w:rPr>
          <w:rFonts w:ascii="Arial" w:hAnsi="Arial" w:hint="default"/>
        </w:rPr>
      </w:lvl>
    </w:lvlOverride>
    <w:lvlOverride w:ilvl="7">
      <w:lvl w:ilvl="7">
        <w:start w:val="1"/>
        <w:numFmt w:val="bullet"/>
        <w:lvlText w:val="–"/>
        <w:lvlJc w:val="left"/>
        <w:pPr>
          <w:ind w:left="1814" w:hanging="226"/>
        </w:pPr>
        <w:rPr>
          <w:rFonts w:ascii="Arial" w:hAnsi="Arial" w:hint="default"/>
        </w:rPr>
      </w:lvl>
    </w:lvlOverride>
    <w:lvlOverride w:ilvl="8">
      <w:lvl w:ilvl="8">
        <w:start w:val="1"/>
        <w:numFmt w:val="bullet"/>
        <w:lvlText w:val="–"/>
        <w:lvlJc w:val="left"/>
        <w:pPr>
          <w:tabs>
            <w:tab w:val="num" w:pos="2211"/>
          </w:tabs>
          <w:ind w:left="2041" w:hanging="227"/>
        </w:pPr>
        <w:rPr>
          <w:rFonts w:ascii="Arial" w:hAnsi="Arial" w:hint="default"/>
        </w:rPr>
      </w:lvl>
    </w:lvlOverride>
  </w:num>
  <w:num w:numId="17" w16cid:durableId="331690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AD"/>
    <w:rsid w:val="0003218F"/>
    <w:rsid w:val="00057037"/>
    <w:rsid w:val="00086E33"/>
    <w:rsid w:val="000872C3"/>
    <w:rsid w:val="000B4B90"/>
    <w:rsid w:val="000C17D8"/>
    <w:rsid w:val="000C772E"/>
    <w:rsid w:val="000E164A"/>
    <w:rsid w:val="00101745"/>
    <w:rsid w:val="00112E98"/>
    <w:rsid w:val="00122340"/>
    <w:rsid w:val="0015274A"/>
    <w:rsid w:val="00161035"/>
    <w:rsid w:val="001B46A7"/>
    <w:rsid w:val="001D4262"/>
    <w:rsid w:val="001E1748"/>
    <w:rsid w:val="001E1C8B"/>
    <w:rsid w:val="002350C9"/>
    <w:rsid w:val="00256ED3"/>
    <w:rsid w:val="002647C2"/>
    <w:rsid w:val="002920D9"/>
    <w:rsid w:val="002E3526"/>
    <w:rsid w:val="002F4D5F"/>
    <w:rsid w:val="0034243D"/>
    <w:rsid w:val="0038191A"/>
    <w:rsid w:val="0038260C"/>
    <w:rsid w:val="0039163C"/>
    <w:rsid w:val="003A1ABB"/>
    <w:rsid w:val="003A5567"/>
    <w:rsid w:val="003C0C27"/>
    <w:rsid w:val="003C6629"/>
    <w:rsid w:val="003C6BF2"/>
    <w:rsid w:val="003D5F85"/>
    <w:rsid w:val="003E011F"/>
    <w:rsid w:val="00421411"/>
    <w:rsid w:val="00423AF5"/>
    <w:rsid w:val="00425485"/>
    <w:rsid w:val="00430C34"/>
    <w:rsid w:val="004401EB"/>
    <w:rsid w:val="00442638"/>
    <w:rsid w:val="00452FB0"/>
    <w:rsid w:val="004661E8"/>
    <w:rsid w:val="0047509D"/>
    <w:rsid w:val="004830B7"/>
    <w:rsid w:val="00490D0C"/>
    <w:rsid w:val="00494DE7"/>
    <w:rsid w:val="004B1EAA"/>
    <w:rsid w:val="004B6518"/>
    <w:rsid w:val="004B7031"/>
    <w:rsid w:val="004D1CB9"/>
    <w:rsid w:val="004F28F5"/>
    <w:rsid w:val="00521423"/>
    <w:rsid w:val="005629C7"/>
    <w:rsid w:val="005F7BF9"/>
    <w:rsid w:val="00601569"/>
    <w:rsid w:val="00626F0D"/>
    <w:rsid w:val="006B5A29"/>
    <w:rsid w:val="006D7C2C"/>
    <w:rsid w:val="006E16F7"/>
    <w:rsid w:val="006E1B39"/>
    <w:rsid w:val="006F24AB"/>
    <w:rsid w:val="007144DA"/>
    <w:rsid w:val="00724381"/>
    <w:rsid w:val="0073286C"/>
    <w:rsid w:val="00733533"/>
    <w:rsid w:val="0075061B"/>
    <w:rsid w:val="00764412"/>
    <w:rsid w:val="007A4797"/>
    <w:rsid w:val="007D0634"/>
    <w:rsid w:val="007E64A4"/>
    <w:rsid w:val="007F4BD6"/>
    <w:rsid w:val="008413EB"/>
    <w:rsid w:val="00847BD4"/>
    <w:rsid w:val="00885A4A"/>
    <w:rsid w:val="008C1E20"/>
    <w:rsid w:val="008D5A05"/>
    <w:rsid w:val="009251C4"/>
    <w:rsid w:val="00934BEC"/>
    <w:rsid w:val="009414FB"/>
    <w:rsid w:val="00973096"/>
    <w:rsid w:val="00974F5B"/>
    <w:rsid w:val="00975997"/>
    <w:rsid w:val="009848AD"/>
    <w:rsid w:val="009D1942"/>
    <w:rsid w:val="009D1E4F"/>
    <w:rsid w:val="009E7965"/>
    <w:rsid w:val="009F696C"/>
    <w:rsid w:val="00A326BA"/>
    <w:rsid w:val="00A36781"/>
    <w:rsid w:val="00A52026"/>
    <w:rsid w:val="00A6285E"/>
    <w:rsid w:val="00A671CC"/>
    <w:rsid w:val="00A80EF3"/>
    <w:rsid w:val="00A92AD0"/>
    <w:rsid w:val="00AA3198"/>
    <w:rsid w:val="00AA517F"/>
    <w:rsid w:val="00AE59F8"/>
    <w:rsid w:val="00AF2B48"/>
    <w:rsid w:val="00AF5830"/>
    <w:rsid w:val="00AF5C1A"/>
    <w:rsid w:val="00B00048"/>
    <w:rsid w:val="00B040EA"/>
    <w:rsid w:val="00B43566"/>
    <w:rsid w:val="00B90309"/>
    <w:rsid w:val="00BC180F"/>
    <w:rsid w:val="00BC2B85"/>
    <w:rsid w:val="00BD6C22"/>
    <w:rsid w:val="00BF204D"/>
    <w:rsid w:val="00BF738A"/>
    <w:rsid w:val="00C06C50"/>
    <w:rsid w:val="00C14194"/>
    <w:rsid w:val="00C17A92"/>
    <w:rsid w:val="00C422BB"/>
    <w:rsid w:val="00C63A5F"/>
    <w:rsid w:val="00CC514D"/>
    <w:rsid w:val="00CD6563"/>
    <w:rsid w:val="00CE3956"/>
    <w:rsid w:val="00CF520B"/>
    <w:rsid w:val="00D353E1"/>
    <w:rsid w:val="00D86D6E"/>
    <w:rsid w:val="00DC52FE"/>
    <w:rsid w:val="00E12FC6"/>
    <w:rsid w:val="00E151AD"/>
    <w:rsid w:val="00E157A5"/>
    <w:rsid w:val="00E4089A"/>
    <w:rsid w:val="00EC6523"/>
    <w:rsid w:val="00ED57AE"/>
    <w:rsid w:val="00ED68D0"/>
    <w:rsid w:val="00EF26E6"/>
    <w:rsid w:val="00F67BF1"/>
    <w:rsid w:val="00F70E15"/>
    <w:rsid w:val="00F76B0B"/>
    <w:rsid w:val="00FC1C8B"/>
    <w:rsid w:val="00FE3664"/>
    <w:rsid w:val="00FE531F"/>
    <w:rsid w:val="00FF3B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86D2C"/>
  <w15:docId w15:val="{29459AFD-9445-4FFC-84B6-47A5F91F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8AD"/>
  </w:style>
  <w:style w:type="paragraph" w:styleId="Heading1">
    <w:name w:val="heading 1"/>
    <w:basedOn w:val="Normal"/>
    <w:next w:val="Normal"/>
    <w:link w:val="Heading1Char"/>
    <w:uiPriority w:val="9"/>
    <w:qFormat/>
    <w:rsid w:val="001E1748"/>
    <w:pPr>
      <w:keepNext/>
      <w:keepLines/>
      <w:spacing w:before="240" w:after="120"/>
      <w:outlineLvl w:val="0"/>
    </w:pPr>
    <w:rPr>
      <w:rFonts w:asciiTheme="majorHAnsi" w:eastAsiaTheme="majorEastAsia" w:hAnsiTheme="majorHAnsi" w:cstheme="majorBidi"/>
      <w:b/>
      <w:color w:val="26539D"/>
      <w:sz w:val="32"/>
      <w:szCs w:val="32"/>
    </w:rPr>
  </w:style>
  <w:style w:type="paragraph" w:styleId="Heading2">
    <w:name w:val="heading 2"/>
    <w:basedOn w:val="Normal"/>
    <w:next w:val="Normal"/>
    <w:link w:val="Heading2Char"/>
    <w:uiPriority w:val="9"/>
    <w:unhideWhenUsed/>
    <w:qFormat/>
    <w:rsid w:val="001E1748"/>
    <w:pPr>
      <w:keepNext/>
      <w:keepLines/>
      <w:spacing w:before="40" w:after="80"/>
      <w:outlineLvl w:val="1"/>
    </w:pPr>
    <w:rPr>
      <w:rFonts w:asciiTheme="majorHAnsi" w:eastAsiaTheme="majorEastAsia" w:hAnsiTheme="majorHAnsi" w:cstheme="majorBidi"/>
      <w:b/>
      <w:color w:val="31A2CF"/>
      <w:sz w:val="26"/>
      <w:szCs w:val="26"/>
    </w:rPr>
  </w:style>
  <w:style w:type="paragraph" w:styleId="Heading3">
    <w:name w:val="heading 3"/>
    <w:basedOn w:val="Normal"/>
    <w:next w:val="Normal"/>
    <w:link w:val="Heading3Char"/>
    <w:uiPriority w:val="9"/>
    <w:unhideWhenUsed/>
    <w:qFormat/>
    <w:rsid w:val="00CC514D"/>
    <w:pPr>
      <w:keepNext/>
      <w:keepLines/>
      <w:spacing w:before="40" w:after="0"/>
      <w:outlineLvl w:val="2"/>
    </w:pPr>
    <w:rPr>
      <w:rFonts w:asciiTheme="majorHAnsi" w:eastAsiaTheme="majorEastAsia" w:hAnsiTheme="majorHAnsi" w:cstheme="majorBidi"/>
      <w:b/>
      <w:color w:val="000000"/>
      <w:sz w:val="24"/>
      <w:szCs w:val="24"/>
    </w:rPr>
  </w:style>
  <w:style w:type="paragraph" w:styleId="Heading4">
    <w:name w:val="heading 4"/>
    <w:basedOn w:val="Normal"/>
    <w:next w:val="Normal"/>
    <w:link w:val="Heading4Char"/>
    <w:uiPriority w:val="9"/>
    <w:semiHidden/>
    <w:unhideWhenUsed/>
    <w:qFormat/>
    <w:rsid w:val="00CC514D"/>
    <w:pPr>
      <w:keepNext/>
      <w:keepLines/>
      <w:spacing w:before="40" w:after="0"/>
      <w:outlineLvl w:val="3"/>
    </w:pPr>
    <w:rPr>
      <w:rFonts w:asciiTheme="majorHAnsi" w:eastAsiaTheme="majorEastAsia" w:hAnsiTheme="majorHAnsi" w:cstheme="majorBidi"/>
      <w:i/>
      <w:iCs/>
      <w:color w:val="265A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748"/>
    <w:rPr>
      <w:rFonts w:ascii="Tahoma" w:hAnsi="Tahoma" w:cs="Tahoma"/>
      <w:sz w:val="16"/>
      <w:szCs w:val="16"/>
    </w:rPr>
  </w:style>
  <w:style w:type="character" w:styleId="BookTitle">
    <w:name w:val="Book Title"/>
    <w:basedOn w:val="DefaultParagraphFont"/>
    <w:uiPriority w:val="33"/>
    <w:semiHidden/>
    <w:rsid w:val="001E1748"/>
    <w:rPr>
      <w:b/>
      <w:bCs/>
      <w:i/>
      <w:iCs/>
      <w:spacing w:val="5"/>
    </w:rPr>
  </w:style>
  <w:style w:type="character" w:styleId="FollowedHyperlink">
    <w:name w:val="FollowedHyperlink"/>
    <w:basedOn w:val="DefaultParagraphFont"/>
    <w:uiPriority w:val="99"/>
    <w:semiHidden/>
    <w:unhideWhenUsed/>
    <w:rsid w:val="001E1748"/>
    <w:rPr>
      <w:color w:val="BFBFBF" w:themeColor="followedHyperlink"/>
      <w:u w:val="single"/>
    </w:rPr>
  </w:style>
  <w:style w:type="paragraph" w:styleId="Footer">
    <w:name w:val="footer"/>
    <w:basedOn w:val="Normal"/>
    <w:link w:val="FooterChar"/>
    <w:uiPriority w:val="99"/>
    <w:unhideWhenUsed/>
    <w:rsid w:val="001E1748"/>
    <w:pPr>
      <w:tabs>
        <w:tab w:val="left" w:pos="2552"/>
        <w:tab w:val="right" w:pos="9072"/>
      </w:tabs>
      <w:spacing w:before="100" w:beforeAutospacing="1" w:after="100" w:afterAutospacing="1" w:line="260" w:lineRule="atLeast"/>
      <w:ind w:left="284" w:right="-427"/>
    </w:pPr>
    <w:rPr>
      <w:rFonts w:ascii="Arial" w:eastAsia="Times New Roman" w:hAnsi="Arial" w:cs="Arial"/>
      <w:noProof/>
      <w:kern w:val="16"/>
      <w:sz w:val="20"/>
      <w:szCs w:val="20"/>
      <w:lang w:eastAsia="en-AU"/>
    </w:rPr>
  </w:style>
  <w:style w:type="character" w:customStyle="1" w:styleId="FooterChar">
    <w:name w:val="Footer Char"/>
    <w:basedOn w:val="DefaultParagraphFont"/>
    <w:link w:val="Footer"/>
    <w:uiPriority w:val="99"/>
    <w:rsid w:val="001E1748"/>
    <w:rPr>
      <w:rFonts w:ascii="Arial" w:eastAsia="Times New Roman" w:hAnsi="Arial" w:cs="Arial"/>
      <w:noProof/>
      <w:kern w:val="16"/>
      <w:sz w:val="20"/>
      <w:szCs w:val="20"/>
      <w:lang w:eastAsia="en-AU"/>
    </w:rPr>
  </w:style>
  <w:style w:type="paragraph" w:styleId="Header">
    <w:name w:val="header"/>
    <w:basedOn w:val="Normal"/>
    <w:link w:val="HeaderChar"/>
    <w:uiPriority w:val="99"/>
    <w:unhideWhenUsed/>
    <w:rsid w:val="001E1748"/>
    <w:pPr>
      <w:spacing w:before="200" w:after="0" w:line="240" w:lineRule="auto"/>
      <w:ind w:right="-794"/>
      <w:contextualSpacing/>
      <w:jc w:val="right"/>
    </w:pPr>
    <w:rPr>
      <w:rFonts w:ascii="Arial" w:eastAsia="Times New Roman" w:hAnsi="Arial" w:cs="Arial"/>
      <w:color w:val="000000" w:themeColor="text1"/>
      <w:spacing w:val="2"/>
      <w:lang w:eastAsia="en-AU"/>
    </w:rPr>
  </w:style>
  <w:style w:type="character" w:customStyle="1" w:styleId="Heading1Char">
    <w:name w:val="Heading 1 Char"/>
    <w:basedOn w:val="DefaultParagraphFont"/>
    <w:link w:val="Heading1"/>
    <w:uiPriority w:val="9"/>
    <w:rsid w:val="001E1748"/>
    <w:rPr>
      <w:rFonts w:asciiTheme="majorHAnsi" w:eastAsiaTheme="majorEastAsia" w:hAnsiTheme="majorHAnsi" w:cstheme="majorBidi"/>
      <w:b/>
      <w:color w:val="26539D"/>
      <w:sz w:val="32"/>
      <w:szCs w:val="32"/>
    </w:rPr>
  </w:style>
  <w:style w:type="character" w:customStyle="1" w:styleId="Heading2Char">
    <w:name w:val="Heading 2 Char"/>
    <w:basedOn w:val="DefaultParagraphFont"/>
    <w:link w:val="Heading2"/>
    <w:uiPriority w:val="9"/>
    <w:rsid w:val="001E1748"/>
    <w:rPr>
      <w:rFonts w:asciiTheme="majorHAnsi" w:eastAsiaTheme="majorEastAsia" w:hAnsiTheme="majorHAnsi" w:cstheme="majorBidi"/>
      <w:b/>
      <w:color w:val="31A2CF"/>
      <w:sz w:val="26"/>
      <w:szCs w:val="26"/>
    </w:rPr>
  </w:style>
  <w:style w:type="character" w:customStyle="1" w:styleId="Heading3Char">
    <w:name w:val="Heading 3 Char"/>
    <w:basedOn w:val="DefaultParagraphFont"/>
    <w:link w:val="Heading3"/>
    <w:uiPriority w:val="9"/>
    <w:rsid w:val="00CC514D"/>
    <w:rPr>
      <w:rFonts w:asciiTheme="majorHAnsi" w:eastAsiaTheme="majorEastAsia" w:hAnsiTheme="majorHAnsi" w:cstheme="majorBidi"/>
      <w:b/>
      <w:color w:val="000000"/>
      <w:sz w:val="24"/>
      <w:szCs w:val="24"/>
    </w:rPr>
  </w:style>
  <w:style w:type="character" w:customStyle="1" w:styleId="HeaderChar">
    <w:name w:val="Header Char"/>
    <w:basedOn w:val="DefaultParagraphFont"/>
    <w:link w:val="Header"/>
    <w:uiPriority w:val="99"/>
    <w:rsid w:val="001E1748"/>
    <w:rPr>
      <w:rFonts w:ascii="Arial" w:eastAsia="Times New Roman" w:hAnsi="Arial" w:cs="Arial"/>
      <w:color w:val="000000" w:themeColor="text1"/>
      <w:spacing w:val="2"/>
      <w:lang w:eastAsia="en-AU"/>
    </w:rPr>
  </w:style>
  <w:style w:type="character" w:styleId="Hyperlink">
    <w:name w:val="Hyperlink"/>
    <w:basedOn w:val="DefaultParagraphFont"/>
    <w:uiPriority w:val="99"/>
    <w:qFormat/>
    <w:rsid w:val="001E1748"/>
    <w:rPr>
      <w:color w:val="265A9A"/>
      <w:u w:val="single"/>
    </w:rPr>
  </w:style>
  <w:style w:type="character" w:styleId="IntenseEmphasis">
    <w:name w:val="Intense Emphasis"/>
    <w:basedOn w:val="DefaultParagraphFont"/>
    <w:uiPriority w:val="21"/>
    <w:rsid w:val="001E1748"/>
    <w:rPr>
      <w:i/>
      <w:iCs/>
      <w:color w:val="265A9A" w:themeColor="background2"/>
    </w:rPr>
  </w:style>
  <w:style w:type="paragraph" w:styleId="IntenseQuote">
    <w:name w:val="Intense Quote"/>
    <w:basedOn w:val="Normal"/>
    <w:next w:val="Normal"/>
    <w:link w:val="IntenseQuoteChar"/>
    <w:uiPriority w:val="30"/>
    <w:semiHidden/>
    <w:rsid w:val="001E1748"/>
    <w:pPr>
      <w:pBdr>
        <w:top w:val="single" w:sz="4" w:space="10" w:color="265A9A" w:themeColor="background2"/>
        <w:bottom w:val="single" w:sz="4" w:space="10" w:color="265A9A" w:themeColor="background2"/>
      </w:pBdr>
      <w:spacing w:before="360" w:after="360"/>
      <w:ind w:left="864" w:right="864"/>
      <w:jc w:val="center"/>
    </w:pPr>
    <w:rPr>
      <w:i/>
      <w:iCs/>
      <w:color w:val="265A9A"/>
    </w:rPr>
  </w:style>
  <w:style w:type="character" w:customStyle="1" w:styleId="IntenseQuoteChar">
    <w:name w:val="Intense Quote Char"/>
    <w:basedOn w:val="DefaultParagraphFont"/>
    <w:link w:val="IntenseQuote"/>
    <w:uiPriority w:val="30"/>
    <w:semiHidden/>
    <w:rsid w:val="00CC514D"/>
    <w:rPr>
      <w:i/>
      <w:iCs/>
      <w:color w:val="265A9A"/>
    </w:rPr>
  </w:style>
  <w:style w:type="character" w:styleId="IntenseReference">
    <w:name w:val="Intense Reference"/>
    <w:basedOn w:val="DefaultParagraphFont"/>
    <w:uiPriority w:val="32"/>
    <w:semiHidden/>
    <w:rsid w:val="001E1748"/>
    <w:rPr>
      <w:b/>
      <w:bCs/>
      <w:smallCaps/>
      <w:color w:val="265A9A" w:themeColor="background2"/>
      <w:spacing w:val="5"/>
    </w:rPr>
  </w:style>
  <w:style w:type="paragraph" w:styleId="ListBullet">
    <w:name w:val="List Bullet"/>
    <w:basedOn w:val="Normal"/>
    <w:link w:val="ListBulletChar"/>
    <w:uiPriority w:val="1"/>
    <w:qFormat/>
    <w:rsid w:val="009848AD"/>
    <w:pPr>
      <w:spacing w:before="120" w:after="120" w:line="280" w:lineRule="atLeast"/>
      <w:contextualSpacing/>
    </w:pPr>
    <w:rPr>
      <w:sz w:val="20"/>
      <w:szCs w:val="20"/>
    </w:rPr>
  </w:style>
  <w:style w:type="character" w:customStyle="1" w:styleId="ListBulletChar">
    <w:name w:val="List Bullet Char"/>
    <w:basedOn w:val="DefaultParagraphFont"/>
    <w:link w:val="ListBullet"/>
    <w:uiPriority w:val="1"/>
    <w:rsid w:val="009848AD"/>
    <w:rPr>
      <w:sz w:val="20"/>
      <w:szCs w:val="20"/>
    </w:rPr>
  </w:style>
  <w:style w:type="paragraph" w:styleId="ListBullet2">
    <w:name w:val="List Bullet 2"/>
    <w:basedOn w:val="Normal"/>
    <w:uiPriority w:val="1"/>
    <w:qFormat/>
    <w:rsid w:val="00425485"/>
    <w:pPr>
      <w:numPr>
        <w:ilvl w:val="1"/>
        <w:numId w:val="17"/>
      </w:numPr>
      <w:spacing w:before="60" w:after="60"/>
      <w:contextualSpacing/>
    </w:pPr>
    <w:rPr>
      <w:szCs w:val="20"/>
    </w:rPr>
  </w:style>
  <w:style w:type="paragraph" w:styleId="ListBullet3">
    <w:name w:val="List Bullet 3"/>
    <w:basedOn w:val="Normal"/>
    <w:uiPriority w:val="1"/>
    <w:qFormat/>
    <w:rsid w:val="001E1748"/>
    <w:pPr>
      <w:numPr>
        <w:ilvl w:val="2"/>
        <w:numId w:val="17"/>
      </w:numPr>
      <w:spacing w:before="60" w:after="60" w:line="274" w:lineRule="auto"/>
      <w:contextualSpacing/>
    </w:pPr>
    <w:rPr>
      <w:szCs w:val="20"/>
    </w:rPr>
  </w:style>
  <w:style w:type="paragraph" w:styleId="ListNumber">
    <w:name w:val="List Number"/>
    <w:basedOn w:val="Normal"/>
    <w:uiPriority w:val="2"/>
    <w:qFormat/>
    <w:rsid w:val="001E1748"/>
    <w:pPr>
      <w:numPr>
        <w:numId w:val="13"/>
      </w:numPr>
      <w:ind w:left="227" w:hanging="227"/>
      <w:contextualSpacing/>
    </w:pPr>
  </w:style>
  <w:style w:type="paragraph" w:styleId="ListParagraph">
    <w:name w:val="List Paragraph"/>
    <w:basedOn w:val="Normal"/>
    <w:uiPriority w:val="34"/>
    <w:semiHidden/>
    <w:rsid w:val="001E1748"/>
    <w:pPr>
      <w:ind w:left="720"/>
      <w:contextualSpacing/>
    </w:pPr>
  </w:style>
  <w:style w:type="paragraph" w:styleId="NoSpacing">
    <w:name w:val="No Spacing"/>
    <w:uiPriority w:val="2"/>
    <w:unhideWhenUsed/>
    <w:rsid w:val="001E1748"/>
    <w:pPr>
      <w:spacing w:after="0" w:line="240" w:lineRule="auto"/>
    </w:pPr>
  </w:style>
  <w:style w:type="paragraph" w:styleId="Quote">
    <w:name w:val="Quote"/>
    <w:basedOn w:val="Normal"/>
    <w:next w:val="Normal"/>
    <w:link w:val="QuoteChar"/>
    <w:uiPriority w:val="29"/>
    <w:rsid w:val="001E1748"/>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1E1748"/>
    <w:rPr>
      <w:iCs/>
      <w:color w:val="404040" w:themeColor="text1" w:themeTint="BF"/>
    </w:rPr>
  </w:style>
  <w:style w:type="paragraph" w:styleId="Subtitle">
    <w:name w:val="Subtitle"/>
    <w:basedOn w:val="Normal"/>
    <w:next w:val="Normal"/>
    <w:link w:val="SubtitleChar"/>
    <w:uiPriority w:val="11"/>
    <w:semiHidden/>
    <w:rsid w:val="001E174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CC514D"/>
    <w:rPr>
      <w:rFonts w:eastAsiaTheme="minorEastAsia"/>
      <w:color w:val="5A5A5A" w:themeColor="text1" w:themeTint="A5"/>
      <w:spacing w:val="15"/>
    </w:rPr>
  </w:style>
  <w:style w:type="character" w:styleId="SubtleEmphasis">
    <w:name w:val="Subtle Emphasis"/>
    <w:basedOn w:val="DefaultParagraphFont"/>
    <w:uiPriority w:val="19"/>
    <w:rsid w:val="001E1748"/>
    <w:rPr>
      <w:i/>
      <w:iCs/>
      <w:color w:val="404040" w:themeColor="text1" w:themeTint="BF"/>
    </w:rPr>
  </w:style>
  <w:style w:type="paragraph" w:styleId="Title">
    <w:name w:val="Title"/>
    <w:basedOn w:val="Normal"/>
    <w:next w:val="Normal"/>
    <w:link w:val="TitleChar"/>
    <w:uiPriority w:val="10"/>
    <w:semiHidden/>
    <w:rsid w:val="001E17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CC514D"/>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CC514D"/>
    <w:rPr>
      <w:rFonts w:asciiTheme="majorHAnsi" w:eastAsiaTheme="majorEastAsia" w:hAnsiTheme="majorHAnsi" w:cstheme="majorBidi"/>
      <w:i/>
      <w:iCs/>
      <w:color w:val="265A9A"/>
    </w:rPr>
  </w:style>
  <w:style w:type="paragraph" w:customStyle="1" w:styleId="PullQuote">
    <w:name w:val="Pull Quote"/>
    <w:basedOn w:val="BodyText"/>
    <w:next w:val="BodyText"/>
    <w:uiPriority w:val="30"/>
    <w:qFormat/>
    <w:rsid w:val="00A6285E"/>
    <w:pPr>
      <w:spacing w:before="120" w:line="280" w:lineRule="atLeast"/>
      <w:ind w:left="284" w:right="284"/>
    </w:pPr>
    <w:rPr>
      <w:rFonts w:ascii="Arial Black" w:hAnsi="Arial Black"/>
      <w:color w:val="265A9A"/>
      <w:sz w:val="24"/>
      <w:szCs w:val="20"/>
    </w:rPr>
  </w:style>
  <w:style w:type="paragraph" w:styleId="BodyText">
    <w:name w:val="Body Text"/>
    <w:basedOn w:val="Normal"/>
    <w:link w:val="BodyTextChar"/>
    <w:unhideWhenUsed/>
    <w:qFormat/>
    <w:rsid w:val="00A6285E"/>
    <w:pPr>
      <w:spacing w:after="120"/>
    </w:pPr>
  </w:style>
  <w:style w:type="character" w:customStyle="1" w:styleId="BodyTextChar">
    <w:name w:val="Body Text Char"/>
    <w:basedOn w:val="DefaultParagraphFont"/>
    <w:link w:val="BodyText"/>
    <w:rsid w:val="00A6285E"/>
  </w:style>
  <w:style w:type="numbering" w:customStyle="1" w:styleId="Bullets">
    <w:name w:val="Bullets"/>
    <w:uiPriority w:val="99"/>
    <w:rsid w:val="009848AD"/>
    <w:pPr>
      <w:numPr>
        <w:numId w:val="15"/>
      </w:numPr>
    </w:pPr>
  </w:style>
  <w:style w:type="table" w:styleId="TableGrid">
    <w:name w:val="Table Grid"/>
    <w:basedOn w:val="TableNormal"/>
    <w:uiPriority w:val="39"/>
    <w:rsid w:val="00984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Spacing"/>
    <w:uiPriority w:val="4"/>
    <w:qFormat/>
    <w:rsid w:val="009848AD"/>
    <w:pPr>
      <w:spacing w:after="20" w:line="280" w:lineRule="atLeast"/>
      <w:ind w:left="57"/>
    </w:pPr>
    <w:rPr>
      <w:sz w:val="18"/>
      <w:szCs w:val="20"/>
    </w:rPr>
  </w:style>
  <w:style w:type="paragraph" w:customStyle="1" w:styleId="TableListBullet">
    <w:name w:val="Table List Bullet"/>
    <w:basedOn w:val="ListBullet"/>
    <w:uiPriority w:val="10"/>
    <w:qFormat/>
    <w:rsid w:val="009848AD"/>
    <w:pPr>
      <w:numPr>
        <w:numId w:val="2"/>
      </w:numPr>
      <w:spacing w:before="0" w:after="20"/>
    </w:pPr>
  </w:style>
  <w:style w:type="numbering" w:customStyle="1" w:styleId="Bullets1">
    <w:name w:val="Bullets1"/>
    <w:uiPriority w:val="99"/>
    <w:rsid w:val="009848AD"/>
  </w:style>
  <w:style w:type="paragraph" w:styleId="Revision">
    <w:name w:val="Revision"/>
    <w:hidden/>
    <w:uiPriority w:val="99"/>
    <w:semiHidden/>
    <w:rsid w:val="00ED57AE"/>
    <w:pPr>
      <w:spacing w:after="0" w:line="240" w:lineRule="auto"/>
    </w:pPr>
  </w:style>
  <w:style w:type="character" w:styleId="CommentReference">
    <w:name w:val="annotation reference"/>
    <w:basedOn w:val="DefaultParagraphFont"/>
    <w:uiPriority w:val="99"/>
    <w:semiHidden/>
    <w:unhideWhenUsed/>
    <w:rsid w:val="00C422BB"/>
    <w:rPr>
      <w:sz w:val="16"/>
      <w:szCs w:val="16"/>
    </w:rPr>
  </w:style>
  <w:style w:type="paragraph" w:styleId="CommentText">
    <w:name w:val="annotation text"/>
    <w:basedOn w:val="Normal"/>
    <w:link w:val="CommentTextChar"/>
    <w:uiPriority w:val="99"/>
    <w:semiHidden/>
    <w:unhideWhenUsed/>
    <w:rsid w:val="00C422BB"/>
    <w:pPr>
      <w:spacing w:line="240" w:lineRule="auto"/>
    </w:pPr>
    <w:rPr>
      <w:sz w:val="20"/>
      <w:szCs w:val="20"/>
    </w:rPr>
  </w:style>
  <w:style w:type="character" w:customStyle="1" w:styleId="CommentTextChar">
    <w:name w:val="Comment Text Char"/>
    <w:basedOn w:val="DefaultParagraphFont"/>
    <w:link w:val="CommentText"/>
    <w:uiPriority w:val="99"/>
    <w:semiHidden/>
    <w:rsid w:val="00C422BB"/>
    <w:rPr>
      <w:sz w:val="20"/>
      <w:szCs w:val="20"/>
    </w:rPr>
  </w:style>
  <w:style w:type="paragraph" w:styleId="CommentSubject">
    <w:name w:val="annotation subject"/>
    <w:basedOn w:val="CommentText"/>
    <w:next w:val="CommentText"/>
    <w:link w:val="CommentSubjectChar"/>
    <w:uiPriority w:val="99"/>
    <w:semiHidden/>
    <w:unhideWhenUsed/>
    <w:rsid w:val="00C422BB"/>
    <w:rPr>
      <w:b/>
      <w:bCs/>
    </w:rPr>
  </w:style>
  <w:style w:type="character" w:customStyle="1" w:styleId="CommentSubjectChar">
    <w:name w:val="Comment Subject Char"/>
    <w:basedOn w:val="CommentTextChar"/>
    <w:link w:val="CommentSubject"/>
    <w:uiPriority w:val="99"/>
    <w:semiHidden/>
    <w:rsid w:val="00C422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mpw/FormServerTemplates/PC-report-template.dotx"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TemplateConfiguration><![CDATA[{"elementsMetadata":[],"transformationConfigurations":[],"templateName":"Fact sheet","templateDescription":"","enableDocumentContentUpdater":false,"version":"2.0"}]]></TemplafyTemplate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FormConfiguration><![CDATA[{"formFields":[],"formDataEntries":[]}]]></TemplafyFormConfiguration>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ab9bf696-b976-42ed-b50a-48004ee2da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4999a062-bf25-4e1b-bf40-d0ceaadde115">
      <Terms xmlns="http://schemas.microsoft.com/office/infopath/2007/PartnerControls"/>
    </lcf76f155ced4ddcb4097134ff3c332f>
    <TaxCatchAll xmlns="ab9bf696-b976-42ed-b50a-48004ee2daad">
      <Value>1</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F5ADB003E5349499F1DC840A3748441" ma:contentTypeVersion="18" ma:contentTypeDescription="Create a new document." ma:contentTypeScope="" ma:versionID="ae79436fdbe6c49ee2cb8aadcce0c88a">
  <xsd:schema xmlns:xsd="http://www.w3.org/2001/XMLSchema" xmlns:xs="http://www.w3.org/2001/XMLSchema" xmlns:p="http://schemas.microsoft.com/office/2006/metadata/properties" xmlns:ns2="4999a062-bf25-4e1b-bf40-d0ceaadde115" xmlns:ns3="ab9bf696-b976-42ed-b50a-48004ee2daad" targetNamespace="http://schemas.microsoft.com/office/2006/metadata/properties" ma:root="true" ma:fieldsID="30e8318bbbe8124869152e34116709fc" ns2:_="" ns3:_="">
    <xsd:import namespace="4999a062-bf25-4e1b-bf40-d0ceaadde115"/>
    <xsd:import namespace="ab9bf696-b976-42ed-b50a-48004ee2daad"/>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9a062-bf25-4e1b-bf40-d0ceaadde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bf696-b976-42ed-b50a-48004ee2daad"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3679ecb-4789-4df4-b2e8-2dc9b4aacb86}" ma:internalName="TaxCatchAll" ma:showField="CatchAllData" ma:web="ab9bf696-b976-42ed-b50a-48004ee2daa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1EFDB-C4E3-4BD1-B6FD-1F3EF20E8211}">
  <ds:schemaRefs/>
</ds:datastoreItem>
</file>

<file path=customXml/itemProps2.xml><?xml version="1.0" encoding="utf-8"?>
<ds:datastoreItem xmlns:ds="http://schemas.openxmlformats.org/officeDocument/2006/customXml" ds:itemID="{129C2D3B-6650-4FD6-8775-A3310997A844}">
  <ds:schemaRefs>
    <ds:schemaRef ds:uri="http://schemas.microsoft.com/sharepoint/v3/contenttype/forms"/>
  </ds:schemaRefs>
</ds:datastoreItem>
</file>

<file path=customXml/itemProps3.xml><?xml version="1.0" encoding="utf-8"?>
<ds:datastoreItem xmlns:ds="http://schemas.openxmlformats.org/officeDocument/2006/customXml" ds:itemID="{52EDF02A-B8FF-46BF-BAF0-A1E8BE8BF93E}">
  <ds:schemaRefs/>
</ds:datastoreItem>
</file>

<file path=customXml/itemProps4.xml><?xml version="1.0" encoding="utf-8"?>
<ds:datastoreItem xmlns:ds="http://schemas.openxmlformats.org/officeDocument/2006/customXml" ds:itemID="{44818B29-FA2E-4FF0-8244-A0EF70C5CDE0}">
  <ds:schemaRefs>
    <ds:schemaRef ds:uri="http://schemas.microsoft.com/office/2006/metadata/properties"/>
    <ds:schemaRef ds:uri="http://schemas.microsoft.com/office/infopath/2007/PartnerControls"/>
    <ds:schemaRef ds:uri="ab9bf696-b976-42ed-b50a-48004ee2daad"/>
    <ds:schemaRef ds:uri="4999a062-bf25-4e1b-bf40-d0ceaadde115"/>
  </ds:schemaRefs>
</ds:datastoreItem>
</file>

<file path=customXml/itemProps5.xml><?xml version="1.0" encoding="utf-8"?>
<ds:datastoreItem xmlns:ds="http://schemas.openxmlformats.org/officeDocument/2006/customXml" ds:itemID="{9A456C24-0B27-489C-AA70-D962A6394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9a062-bf25-4e1b-bf40-d0ceaadde115"/>
    <ds:schemaRef ds:uri="ab9bf696-b976-42ed-b50a-48004ee2d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PC-report-template</Template>
  <TotalTime>70</TotalTime>
  <Pages>2</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Fact sheet 2: Australia’s data and digital dividend - Advancing Prosperity</vt:lpstr>
    </vt:vector>
  </TitlesOfParts>
  <Company>Productivity Commission</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2: Australia’s data and digital dividend - Advancing Prosperity</dc:title>
  <dc:subject/>
  <dc:creator>Productivity Commission</dc:creator>
  <cp:keywords/>
  <cp:lastModifiedBy>Chris Alston</cp:lastModifiedBy>
  <cp:revision>23</cp:revision>
  <dcterms:created xsi:type="dcterms:W3CDTF">2023-03-13T06:43:00Z</dcterms:created>
  <dcterms:modified xsi:type="dcterms:W3CDTF">2023-03-16T07:49:00Z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637346222824850435</vt:lpwstr>
  </property>
  <property fmtid="{D5CDD505-2E9C-101B-9397-08002B2CF9AE}" pid="4" name="TemplafyUserProfileId">
    <vt:lpwstr>637610559223843913</vt:lpwstr>
  </property>
  <property fmtid="{D5CDD505-2E9C-101B-9397-08002B2CF9AE}" pid="5" name="TemplafyFromBlank">
    <vt:bool>false</vt:bool>
  </property>
  <property fmtid="{D5CDD505-2E9C-101B-9397-08002B2CF9AE}" pid="6" name="ContentTypeId">
    <vt:lpwstr>0x010100AF5ADB003E5349499F1DC840A3748441</vt:lpwstr>
  </property>
  <property fmtid="{D5CDD505-2E9C-101B-9397-08002B2CF9AE}" pid="7" name="MediaServiceImageTags">
    <vt:lpwstr/>
  </property>
  <property fmtid="{D5CDD505-2E9C-101B-9397-08002B2CF9AE}" pid="8" name="RevIMBCS">
    <vt:lpwstr>1;#Unclassified|3955eeb1-2d18-4582-aeb2-00144ec3aaf5</vt:lpwstr>
  </property>
</Properties>
</file>