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EA57E" w14:textId="3EE0915D" w:rsidR="00BF738A" w:rsidRPr="00ED57AE" w:rsidRDefault="00EC6B55" w:rsidP="00F67BF1">
      <w:pPr>
        <w:pStyle w:val="Heading1"/>
        <w:spacing w:before="720"/>
      </w:pPr>
      <w:r>
        <w:t>Climate transition</w:t>
      </w:r>
    </w:p>
    <w:p w14:paraId="1C9BF925" w14:textId="77777777" w:rsidR="008318AE" w:rsidRPr="008318AE" w:rsidRDefault="008318AE" w:rsidP="008318AE">
      <w:pPr>
        <w:pStyle w:val="ListBullet"/>
      </w:pPr>
      <w:r w:rsidRPr="008318AE">
        <w:t xml:space="preserve">Climate change looms large over Australia’s future productivity performance. These impacts will principally be through three channels: </w:t>
      </w:r>
    </w:p>
    <w:p w14:paraId="26B1BEB5" w14:textId="67A5C64C" w:rsidR="008318AE" w:rsidRPr="008318AE" w:rsidRDefault="009D1DB5" w:rsidP="005732AD">
      <w:pPr>
        <w:pStyle w:val="ListBullet2"/>
      </w:pPr>
      <w:r>
        <w:t>t</w:t>
      </w:r>
      <w:r w:rsidR="008318AE" w:rsidRPr="008318AE">
        <w:t>he projected physical impacts of climate change will directly impact productivity in agriculture, fisheries, tourism, and those sectors that rely on physical labour in heat-exposed environments</w:t>
      </w:r>
    </w:p>
    <w:p w14:paraId="0BEDFD6C" w14:textId="0CC07064" w:rsidR="008318AE" w:rsidRPr="008318AE" w:rsidRDefault="009D1DB5" w:rsidP="005732AD">
      <w:pPr>
        <w:pStyle w:val="ListBullet2"/>
      </w:pPr>
      <w:r>
        <w:t>p</w:t>
      </w:r>
      <w:r w:rsidR="008318AE" w:rsidRPr="008318AE">
        <w:t>olicy efforts to contain the costs of climate change, by both reducing emissions and adapting to a changing climate, will also impose costs</w:t>
      </w:r>
    </w:p>
    <w:p w14:paraId="441FDFA4" w14:textId="4DA45371" w:rsidR="008318AE" w:rsidRPr="008318AE" w:rsidRDefault="009D1DB5" w:rsidP="005732AD">
      <w:pPr>
        <w:pStyle w:val="ListBullet2"/>
      </w:pPr>
      <w:r>
        <w:t>c</w:t>
      </w:r>
      <w:r w:rsidR="008318AE" w:rsidRPr="008318AE">
        <w:t>limate policies of the world’s major economies risk reducing demand for key Australian exports.</w:t>
      </w:r>
    </w:p>
    <w:p w14:paraId="6C24E3B0" w14:textId="77777777" w:rsidR="008318AE" w:rsidRPr="008318AE" w:rsidRDefault="008318AE" w:rsidP="008318AE">
      <w:pPr>
        <w:pStyle w:val="ListBullet"/>
      </w:pPr>
      <w:r w:rsidRPr="008318AE">
        <w:t>The productivity costs of global emissions reductions will be lower than the productivity costs of unmitigated climate change.</w:t>
      </w:r>
    </w:p>
    <w:p w14:paraId="5E3FBC17" w14:textId="77777777" w:rsidR="008318AE" w:rsidRPr="008318AE" w:rsidRDefault="008318AE" w:rsidP="008318AE">
      <w:pPr>
        <w:pStyle w:val="ListBullet"/>
      </w:pPr>
      <w:r w:rsidRPr="008318AE">
        <w:t xml:space="preserve">Domestic emissions reduction policy is part of Australia’s contribution to global efforts to avoid the worst effects of climate change. </w:t>
      </w:r>
    </w:p>
    <w:p w14:paraId="4E1FA096" w14:textId="35BD70E0" w:rsidR="008318AE" w:rsidRPr="008318AE" w:rsidRDefault="008318AE" w:rsidP="008318AE">
      <w:pPr>
        <w:pStyle w:val="ListBullet"/>
      </w:pPr>
      <w:r w:rsidRPr="008318AE">
        <w:t xml:space="preserve">Having committed </w:t>
      </w:r>
      <w:r w:rsidR="004A7CE9">
        <w:t xml:space="preserve">to </w:t>
      </w:r>
      <w:r w:rsidRPr="008318AE">
        <w:t xml:space="preserve">100% emissions reduction by 2050 (and an interim reduction of 43% of 2005 levels by 2030), Australia should put in place policy settings that will encourage least-cost abatement. </w:t>
      </w:r>
    </w:p>
    <w:p w14:paraId="2E60795A" w14:textId="1320429B" w:rsidR="008318AE" w:rsidRPr="008318AE" w:rsidRDefault="00877C4E" w:rsidP="006C4AE8">
      <w:pPr>
        <w:pStyle w:val="ListBullet"/>
        <w:spacing w:after="240"/>
      </w:pPr>
      <w:r>
        <w:t>Australia also need</w:t>
      </w:r>
      <w:r w:rsidR="00F543EE">
        <w:t>s</w:t>
      </w:r>
      <w:r>
        <w:t xml:space="preserve"> e</w:t>
      </w:r>
      <w:r w:rsidR="008318AE" w:rsidRPr="008318AE">
        <w:t xml:space="preserve">fficient adaptation policy </w:t>
      </w:r>
      <w:r>
        <w:t xml:space="preserve">that </w:t>
      </w:r>
      <w:r w:rsidR="008318AE" w:rsidRPr="008318AE">
        <w:t>will help to manage the costs of the climate change that is already ‘locked-in’, even if global greenhouse gas emissions were eliminated</w:t>
      </w:r>
      <w:r w:rsidR="00B56EA9">
        <w:t xml:space="preserve"> today</w:t>
      </w:r>
      <w:r w:rsidR="008318AE" w:rsidRPr="008318AE">
        <w:t>.</w:t>
      </w:r>
    </w:p>
    <w:p w14:paraId="461C49E3" w14:textId="36FECF27" w:rsidR="008318AE" w:rsidRPr="008318AE" w:rsidRDefault="00350DA8" w:rsidP="008318AE">
      <w:pPr>
        <w:pStyle w:val="Heading2"/>
        <w:spacing w:after="0"/>
        <w:rPr>
          <w:b w:val="0"/>
        </w:rPr>
      </w:pPr>
      <w:r>
        <w:rPr>
          <w:b w:val="0"/>
        </w:rPr>
        <w:t>R</w:t>
      </w:r>
      <w:r w:rsidR="008318AE" w:rsidRPr="008318AE">
        <w:rPr>
          <w:b w:val="0"/>
        </w:rPr>
        <w:t>ecommendations</w:t>
      </w:r>
    </w:p>
    <w:p w14:paraId="772D30D6" w14:textId="77777777" w:rsidR="0081715A" w:rsidRPr="008318AE" w:rsidRDefault="0081715A" w:rsidP="0081715A">
      <w:pPr>
        <w:pStyle w:val="Heading3"/>
        <w:rPr>
          <w:rFonts w:eastAsia="Arial"/>
        </w:rPr>
      </w:pPr>
      <w:r w:rsidRPr="008318AE">
        <w:rPr>
          <w:rFonts w:eastAsia="Arial"/>
        </w:rPr>
        <w:t>Efficient adaptation policy</w:t>
      </w:r>
    </w:p>
    <w:p w14:paraId="1BB76FBD" w14:textId="77777777" w:rsidR="0081715A" w:rsidRPr="00D67EF1" w:rsidRDefault="0081715A" w:rsidP="00957481">
      <w:pPr>
        <w:pStyle w:val="ListBullet"/>
      </w:pPr>
      <w:r w:rsidRPr="00D67EF1">
        <w:t>Adaptation policy should support individual, household, and business decisions about what regions, sectors, and occupations they are best placed to transition into. Governments have a role in helping people make informed adaptation decisions and should avoid policy settings that inadvertently constrain them. This will involve:</w:t>
      </w:r>
    </w:p>
    <w:p w14:paraId="65AD9E3F" w14:textId="62F42BA6" w:rsidR="00D134F1" w:rsidRPr="00D43FB2" w:rsidRDefault="00D134F1" w:rsidP="00D134F1">
      <w:pPr>
        <w:pStyle w:val="ListBullet2"/>
      </w:pPr>
      <w:r>
        <w:t xml:space="preserve">avoiding the expansion of climate-related insurance sector interventions, </w:t>
      </w:r>
      <w:r w:rsidR="00F5249B">
        <w:t xml:space="preserve">and setting </w:t>
      </w:r>
      <w:r w:rsidRPr="00D43FB2">
        <w:t xml:space="preserve">a medium-term phase out date for the Northern Australia Reinsurance Pool </w:t>
      </w:r>
      <w:r>
        <w:t>(recommendation 6.1)</w:t>
      </w:r>
    </w:p>
    <w:p w14:paraId="0938CB48" w14:textId="5FC24027" w:rsidR="00DB45EC" w:rsidRDefault="0081715A" w:rsidP="00524C7F">
      <w:pPr>
        <w:pStyle w:val="ListBullet2"/>
      </w:pPr>
      <w:r>
        <w:t>g</w:t>
      </w:r>
      <w:r w:rsidRPr="00D43FB2">
        <w:t xml:space="preserve">iving people the information they need to make informed adaptation decisions – pre-sale </w:t>
      </w:r>
      <w:r w:rsidR="005076D1">
        <w:t>disclosure of physical climate risks facing individual residential and commercial properties should be made mandatory (recommendation 6.2)</w:t>
      </w:r>
    </w:p>
    <w:p w14:paraId="6FF9087E" w14:textId="6A62D637" w:rsidR="00DB45EC" w:rsidRDefault="00DB45EC" w:rsidP="00C54884">
      <w:pPr>
        <w:pStyle w:val="ListBullet2"/>
      </w:pPr>
      <w:r>
        <w:t xml:space="preserve">allowing individuals and households to face cost-reflective pricing when deciding where to locate </w:t>
      </w:r>
      <w:r w:rsidR="007C6305">
        <w:t>—</w:t>
      </w:r>
      <w:r>
        <w:t xml:space="preserve"> the costs of climate-defensive</w:t>
      </w:r>
      <w:r w:rsidR="00812F14">
        <w:t xml:space="preserve"> infrastructure (</w:t>
      </w:r>
      <w:proofErr w:type="spellStart"/>
      <w:r w:rsidR="00812F14">
        <w:t>eg.</w:t>
      </w:r>
      <w:proofErr w:type="spellEnd"/>
      <w:r w:rsidR="00812F14">
        <w:t xml:space="preserve"> sea walls and flood evacuation infrastructure) required by new developments should be incorporated into the cost of that new development (such as through</w:t>
      </w:r>
      <w:r w:rsidR="00426564">
        <w:t xml:space="preserve"> </w:t>
      </w:r>
      <w:r w:rsidR="00812F14">
        <w:t>developer levies) (recommendation 6.2)</w:t>
      </w:r>
    </w:p>
    <w:p w14:paraId="66ECF6F1" w14:textId="2B0CA5EB" w:rsidR="00C54884" w:rsidRDefault="00C54884" w:rsidP="00C54884">
      <w:pPr>
        <w:pStyle w:val="ListBullet2"/>
      </w:pPr>
      <w:r>
        <w:t>not inadvertently constraining the movement of businesses and households between regions, sectors, and occupations – transitional assistance packages should not be made conditional on recipients committing to stay in a particular region, or transitioning to a particular sector or occupation (recommendation 6.3)</w:t>
      </w:r>
    </w:p>
    <w:p w14:paraId="5B732FA2" w14:textId="77777777" w:rsidR="00FA71D1" w:rsidRPr="00FA71D1" w:rsidRDefault="00FA71D1" w:rsidP="00FA71D1">
      <w:pPr>
        <w:pStyle w:val="ListBullet2"/>
      </w:pPr>
      <w:r w:rsidRPr="00FA71D1">
        <w:t xml:space="preserve">using cost-benefit analysis to help plan where activity should be located and assess proposed adaptation-related infrastructure investments – location decisions for residential, commercial, and industrial developments should be informed by rigorous cost-benefit analysis that incorporates up-to-date climate projections (recommendation 6.4). </w:t>
      </w:r>
    </w:p>
    <w:p w14:paraId="464B5B49" w14:textId="4C2E4235" w:rsidR="008318AE" w:rsidRDefault="008318AE" w:rsidP="00D67EF1">
      <w:pPr>
        <w:pStyle w:val="Heading3"/>
        <w:spacing w:before="240"/>
        <w:rPr>
          <w:rFonts w:eastAsia="Arial"/>
        </w:rPr>
      </w:pPr>
      <w:r w:rsidRPr="008318AE">
        <w:rPr>
          <w:rFonts w:eastAsia="Arial"/>
        </w:rPr>
        <w:t>Efficient emissions reduction policy</w:t>
      </w:r>
    </w:p>
    <w:p w14:paraId="553B7A5E" w14:textId="77777777" w:rsidR="00447249" w:rsidRPr="00447249" w:rsidRDefault="00447249" w:rsidP="00447249">
      <w:pPr>
        <w:pStyle w:val="ListBullet"/>
      </w:pPr>
      <w:r w:rsidRPr="00447249">
        <w:t xml:space="preserve">Australia should build on its existing climate policy foundations to create a sustainable economy-wide approach to reducing our emissions. </w:t>
      </w:r>
    </w:p>
    <w:p w14:paraId="2C9945A9" w14:textId="77777777" w:rsidR="00324C41" w:rsidRDefault="00FB3D33" w:rsidP="00FB3D33">
      <w:pPr>
        <w:pStyle w:val="ListBullet"/>
      </w:pPr>
      <w:r>
        <w:rPr>
          <w:color w:val="1B2630"/>
          <w:sz w:val="22"/>
          <w:szCs w:val="22"/>
        </w:rPr>
        <w:lastRenderedPageBreak/>
        <w:t xml:space="preserve">A </w:t>
      </w:r>
      <w:r w:rsidRPr="00FB3D33">
        <w:t xml:space="preserve">key reform will be progressively turning the Safeguard Mechanism (SM) into Australia’s principal economy-wide emissions reduction mechanism by (recommendation 6.5): </w:t>
      </w:r>
    </w:p>
    <w:p w14:paraId="0EBCFCEE" w14:textId="6418F5C4" w:rsidR="00FB3D33" w:rsidRPr="00FB3D33" w:rsidRDefault="00FB3D33" w:rsidP="005B39E0">
      <w:pPr>
        <w:pStyle w:val="ListBullet2"/>
      </w:pPr>
      <w:r w:rsidRPr="00FB3D33">
        <w:t xml:space="preserve">expanding it to include both the electricity sector at facility level (or, failing that, reducing the bulk of the headroom between current electricity sector emissions and the current sectoral baseline), and the transport sector, with ground transport emissions imputed to upstream fuel wholesalers </w:t>
      </w:r>
    </w:p>
    <w:p w14:paraId="2644594C" w14:textId="77777777" w:rsidR="004008D8" w:rsidRDefault="00FB3D33" w:rsidP="005B39E0">
      <w:pPr>
        <w:pStyle w:val="ListBullet2"/>
      </w:pPr>
      <w:r w:rsidRPr="00FB3D33">
        <w:t>reducing facility thresholds from the current 100,000 tonne limit to 25,000 tonnes of carbon dioxide equivalent (CO</w:t>
      </w:r>
      <w:r w:rsidRPr="004E142D">
        <w:rPr>
          <w:vertAlign w:val="subscript"/>
        </w:rPr>
        <w:t>2</w:t>
      </w:r>
      <w:r w:rsidRPr="00FB3D33">
        <w:t xml:space="preserve">-e) </w:t>
      </w:r>
    </w:p>
    <w:p w14:paraId="50908F7D" w14:textId="77777777" w:rsidR="005B39E0" w:rsidRDefault="00FB3D33" w:rsidP="005B39E0">
      <w:pPr>
        <w:pStyle w:val="ListBullet2"/>
      </w:pPr>
      <w:r w:rsidRPr="00FB3D33">
        <w:t xml:space="preserve">setting baselines in absolute emissions terms, not emissions-intensity terms </w:t>
      </w:r>
    </w:p>
    <w:p w14:paraId="192634BB" w14:textId="1604C89B" w:rsidR="00FB3D33" w:rsidRPr="00FB3D33" w:rsidRDefault="00FB3D33" w:rsidP="005B39E0">
      <w:pPr>
        <w:pStyle w:val="ListBullet2"/>
      </w:pPr>
      <w:r w:rsidRPr="00FB3D33">
        <w:t xml:space="preserve">allowing facilities to generate emissions credits for sub-baseline abatement. </w:t>
      </w:r>
    </w:p>
    <w:p w14:paraId="54CBCDE0" w14:textId="77777777" w:rsidR="005B39E0" w:rsidRDefault="00FB3D33" w:rsidP="00FB3D33">
      <w:pPr>
        <w:pStyle w:val="ListBullet"/>
      </w:pPr>
      <w:r w:rsidRPr="00FB3D33">
        <w:t xml:space="preserve">The integrity of Australian Carbon Credit Unit (ACCU) offsets recognised by the SM should be increased by (recommendation 6.6): </w:t>
      </w:r>
    </w:p>
    <w:p w14:paraId="47193047" w14:textId="2E6FDA45" w:rsidR="00FB3D33" w:rsidRPr="00FB3D33" w:rsidRDefault="00FB3D33" w:rsidP="00A7167B">
      <w:pPr>
        <w:pStyle w:val="ListBullet2"/>
      </w:pPr>
      <w:r w:rsidRPr="00FB3D33">
        <w:t>eliminating the 25-year permanence period for sequestration-related offset projects and designing a new class of sequestration-based offsets that align with the more perpetuity-based approach to permanence taken in the biodiversity market</w:t>
      </w:r>
    </w:p>
    <w:p w14:paraId="27D0D2A4" w14:textId="77777777" w:rsidR="00A7167B" w:rsidRPr="00A7167B" w:rsidRDefault="00A7167B" w:rsidP="001548A5">
      <w:pPr>
        <w:pStyle w:val="ListBullet2"/>
      </w:pPr>
      <w:r w:rsidRPr="00A7167B">
        <w:t xml:space="preserve">state and territory regulators stipulating the amount or proportion of biogas that existing regulations require of landfill gas project operators </w:t>
      </w:r>
    </w:p>
    <w:p w14:paraId="112D927B" w14:textId="1FB1C9BC" w:rsidR="00A7167B" w:rsidRPr="00A7167B" w:rsidRDefault="00A7167B" w:rsidP="001548A5">
      <w:pPr>
        <w:pStyle w:val="ListBullet2"/>
      </w:pPr>
      <w:r w:rsidRPr="00A7167B">
        <w:t xml:space="preserve">the Clean Energy Regulator (CER) publishing the offset reports submitted to them by ACCU project operators and audit reports of those projects. </w:t>
      </w:r>
    </w:p>
    <w:p w14:paraId="255EA2CA" w14:textId="59667FC0" w:rsidR="00A7167B" w:rsidRPr="00A7167B" w:rsidRDefault="00A7167B" w:rsidP="001548A5">
      <w:pPr>
        <w:pStyle w:val="ListBullet"/>
      </w:pPr>
      <w:r w:rsidRPr="00A7167B">
        <w:t xml:space="preserve">Australia’s existing climate policies should be reviewed to assess their complementarity to an expanding Safeguard Mechanism, phasing out those found not to be complementary, and independently estimating and publishing the indirect carbon price of remaining measures (recommendation 6.7). </w:t>
      </w:r>
    </w:p>
    <w:p w14:paraId="3A97F4BA" w14:textId="16ADF405" w:rsidR="00A7167B" w:rsidRPr="00A7167B" w:rsidRDefault="00A7167B" w:rsidP="001548A5">
      <w:pPr>
        <w:pStyle w:val="ListBullet"/>
      </w:pPr>
      <w:r w:rsidRPr="00A7167B">
        <w:t xml:space="preserve">Governments should pursue a least cost approach to securing electricity supply, with a Capacity Investment Scheme that allows participation by both households and businesses, implemented with a five year sunset clause (recommendation 6.8). </w:t>
      </w:r>
    </w:p>
    <w:p w14:paraId="20FA3EEA" w14:textId="5380BDC5" w:rsidR="008318AE" w:rsidRPr="008318AE" w:rsidRDefault="00A7167B" w:rsidP="001548A5">
      <w:pPr>
        <w:pStyle w:val="ListBullet"/>
      </w:pPr>
      <w:r w:rsidRPr="00A7167B">
        <w:t xml:space="preserve">Focusing support for research and development on frontier technologies where market failures are most apparent. The emissions abatement policy infrastructure set out above should be sufficient to drive commercial application of more immediately feasible technologies. </w:t>
      </w:r>
    </w:p>
    <w:tbl>
      <w:tblPr>
        <w:tblW w:w="0" w:type="auto"/>
        <w:tblLook w:val="0000" w:firstRow="0" w:lastRow="0" w:firstColumn="0" w:lastColumn="0" w:noHBand="0" w:noVBand="0"/>
      </w:tblPr>
      <w:tblGrid>
        <w:gridCol w:w="9638"/>
      </w:tblGrid>
      <w:tr w:rsidR="001925AF" w:rsidRPr="00991A40" w14:paraId="3BEC9F57" w14:textId="77777777" w:rsidTr="009565C0">
        <w:tc>
          <w:tcPr>
            <w:tcW w:w="9638" w:type="dxa"/>
            <w:shd w:val="clear" w:color="auto" w:fill="FCEFD2" w:themeFill="accent3" w:themeFillTint="33"/>
          </w:tcPr>
          <w:p w14:paraId="745D5757" w14:textId="66E7B4D8" w:rsidR="001925AF" w:rsidRPr="00991A40" w:rsidRDefault="00240283" w:rsidP="00240283">
            <w:pPr>
              <w:pStyle w:val="CaptionPagecontent"/>
              <w:keepNext/>
              <w:keepLines/>
              <w:spacing w:before="40" w:after="40"/>
              <w:rPr>
                <w:b w:val="0"/>
                <w:bCs w:val="0"/>
                <w:spacing w:val="-2"/>
                <w:sz w:val="20"/>
                <w:szCs w:val="20"/>
              </w:rPr>
            </w:pPr>
            <w:r w:rsidRPr="00240283">
              <w:rPr>
                <w:b w:val="0"/>
                <w:bCs w:val="0"/>
                <w:spacing w:val="-2"/>
                <w:sz w:val="20"/>
                <w:szCs w:val="20"/>
              </w:rPr>
              <w:t>Australia should extend its existing climate policy</w:t>
            </w:r>
            <w:r>
              <w:rPr>
                <w:b w:val="0"/>
                <w:bCs w:val="0"/>
                <w:spacing w:val="-2"/>
                <w:sz w:val="20"/>
                <w:szCs w:val="20"/>
              </w:rPr>
              <w:t xml:space="preserve"> </w:t>
            </w:r>
            <w:r w:rsidRPr="00240283">
              <w:rPr>
                <w:b w:val="0"/>
                <w:bCs w:val="0"/>
                <w:spacing w:val="-2"/>
                <w:sz w:val="20"/>
                <w:szCs w:val="20"/>
              </w:rPr>
              <w:t>foundations to create a sustainable economy-wide</w:t>
            </w:r>
            <w:r>
              <w:rPr>
                <w:b w:val="0"/>
                <w:bCs w:val="0"/>
                <w:spacing w:val="-2"/>
                <w:sz w:val="20"/>
                <w:szCs w:val="20"/>
              </w:rPr>
              <w:t xml:space="preserve"> </w:t>
            </w:r>
            <w:r w:rsidRPr="00240283">
              <w:rPr>
                <w:b w:val="0"/>
                <w:bCs w:val="0"/>
                <w:spacing w:val="-2"/>
                <w:sz w:val="20"/>
                <w:szCs w:val="20"/>
              </w:rPr>
              <w:t>approach to reducing our emission</w:t>
            </w:r>
            <w:r w:rsidR="0072778A">
              <w:rPr>
                <w:b w:val="0"/>
                <w:bCs w:val="0"/>
                <w:spacing w:val="-2"/>
                <w:sz w:val="20"/>
                <w:szCs w:val="20"/>
              </w:rPr>
              <w:t>s</w:t>
            </w:r>
            <w:r w:rsidRPr="00240283">
              <w:rPr>
                <w:b w:val="0"/>
                <w:bCs w:val="0"/>
                <w:spacing w:val="-2"/>
                <w:sz w:val="20"/>
                <w:szCs w:val="20"/>
              </w:rPr>
              <w:t xml:space="preserve">, that </w:t>
            </w:r>
            <w:proofErr w:type="gramStart"/>
            <w:r w:rsidRPr="00240283">
              <w:rPr>
                <w:b w:val="0"/>
                <w:bCs w:val="0"/>
                <w:spacing w:val="-2"/>
                <w:sz w:val="20"/>
                <w:szCs w:val="20"/>
              </w:rPr>
              <w:t>is capable</w:t>
            </w:r>
            <w:r>
              <w:rPr>
                <w:b w:val="0"/>
                <w:bCs w:val="0"/>
                <w:spacing w:val="-2"/>
                <w:sz w:val="20"/>
                <w:szCs w:val="20"/>
              </w:rPr>
              <w:t xml:space="preserve"> </w:t>
            </w:r>
            <w:r w:rsidRPr="00240283">
              <w:rPr>
                <w:b w:val="0"/>
                <w:bCs w:val="0"/>
                <w:spacing w:val="-2"/>
                <w:sz w:val="20"/>
                <w:szCs w:val="20"/>
              </w:rPr>
              <w:t>of driving</w:t>
            </w:r>
            <w:proofErr w:type="gramEnd"/>
            <w:r w:rsidRPr="00240283">
              <w:rPr>
                <w:b w:val="0"/>
                <w:bCs w:val="0"/>
                <w:spacing w:val="-2"/>
                <w:sz w:val="20"/>
                <w:szCs w:val="20"/>
              </w:rPr>
              <w:t xml:space="preserve"> enduring emissions reductions across</w:t>
            </w:r>
            <w:r>
              <w:rPr>
                <w:b w:val="0"/>
                <w:bCs w:val="0"/>
                <w:spacing w:val="-2"/>
                <w:sz w:val="20"/>
                <w:szCs w:val="20"/>
              </w:rPr>
              <w:t xml:space="preserve"> </w:t>
            </w:r>
            <w:r w:rsidRPr="00240283">
              <w:rPr>
                <w:b w:val="0"/>
                <w:bCs w:val="0"/>
                <w:spacing w:val="-2"/>
                <w:sz w:val="20"/>
                <w:szCs w:val="20"/>
              </w:rPr>
              <w:t>our economy. (Volume 1, p. 40)</w:t>
            </w:r>
          </w:p>
        </w:tc>
      </w:tr>
      <w:tr w:rsidR="001925AF" w14:paraId="5FE66763" w14:textId="77777777">
        <w:tc>
          <w:tcPr>
            <w:tcW w:w="9638" w:type="dxa"/>
          </w:tcPr>
          <w:p w14:paraId="649915CE" w14:textId="768D82E1" w:rsidR="001925AF" w:rsidRPr="001925AF" w:rsidRDefault="00991A40" w:rsidP="00145182">
            <w:pPr>
              <w:pStyle w:val="CaptionPagecontent"/>
              <w:rPr>
                <w:b w:val="0"/>
                <w:bCs w:val="0"/>
              </w:rPr>
            </w:pPr>
            <w:r w:rsidRPr="00991A40">
              <w:rPr>
                <w:b w:val="0"/>
                <w:bCs w:val="0"/>
                <w:noProof/>
              </w:rPr>
              <w:drawing>
                <wp:inline distT="0" distB="0" distL="0" distR="0" wp14:anchorId="76A3AEBB" wp14:editId="486A1F05">
                  <wp:extent cx="6048000" cy="2961249"/>
                  <wp:effectExtent l="0" t="0" r="0" b="0"/>
                  <wp:docPr id="1" name="Picture 1" descr="Australia's projected marginal cost of abatement at 2030  showing abatement costs of particular industry grouping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s projected marginal cost of abatement at 2030  showing abatement costs of particular industry groupings.&#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48000" cy="2961249"/>
                          </a:xfrm>
                          <a:prstGeom prst="rect">
                            <a:avLst/>
                          </a:prstGeom>
                          <a:noFill/>
                          <a:ln>
                            <a:noFill/>
                          </a:ln>
                        </pic:spPr>
                      </pic:pic>
                    </a:graphicData>
                  </a:graphic>
                </wp:inline>
              </w:drawing>
            </w:r>
          </w:p>
        </w:tc>
      </w:tr>
    </w:tbl>
    <w:p w14:paraId="15A3DB49" w14:textId="4AC234A9" w:rsidR="00417BDE" w:rsidRPr="00417BDE" w:rsidRDefault="00417BDE" w:rsidP="00417BDE">
      <w:pPr>
        <w:spacing w:before="120" w:after="120" w:line="280" w:lineRule="atLeast"/>
        <w:rPr>
          <w:rFonts w:ascii="Arial" w:hAnsi="Arial" w:cs="Arial"/>
        </w:rPr>
      </w:pPr>
      <w:r w:rsidRPr="00CF4552">
        <w:rPr>
          <w:rFonts w:ascii="Arial" w:hAnsi="Arial" w:cs="Arial"/>
        </w:rPr>
        <w:t>The</w:t>
      </w:r>
      <w:r>
        <w:rPr>
          <w:rFonts w:ascii="Arial" w:hAnsi="Arial" w:cs="Arial"/>
        </w:rPr>
        <w:t xml:space="preserve"> </w:t>
      </w:r>
      <w:r>
        <w:rPr>
          <w:rFonts w:ascii="Arial" w:hAnsi="Arial" w:cs="Arial"/>
          <w:b/>
          <w:bCs/>
        </w:rPr>
        <w:t xml:space="preserve">5-year Productivity Inquiry: Advancing Prosperity </w:t>
      </w:r>
      <w:r w:rsidRPr="00F67BF1">
        <w:rPr>
          <w:rFonts w:ascii="Arial" w:hAnsi="Arial" w:cs="Arial"/>
        </w:rPr>
        <w:t>report</w:t>
      </w:r>
      <w:r>
        <w:rPr>
          <w:rFonts w:ascii="Arial" w:hAnsi="Arial" w:cs="Arial"/>
          <w:b/>
          <w:bCs/>
        </w:rPr>
        <w:t xml:space="preserve"> </w:t>
      </w:r>
      <w:r w:rsidRPr="00CF4552">
        <w:rPr>
          <w:rFonts w:ascii="Arial" w:hAnsi="Arial" w:cs="Arial"/>
        </w:rPr>
        <w:t>can be found at:</w:t>
      </w:r>
      <w:r w:rsidRPr="00CF4552">
        <w:rPr>
          <w:rFonts w:ascii="Arial" w:hAnsi="Arial" w:cs="Arial"/>
          <w:color w:val="4D7028" w:themeColor="accent2"/>
        </w:rPr>
        <w:t xml:space="preserve"> </w:t>
      </w:r>
      <w:hyperlink r:id="rId14" w:history="1">
        <w:r w:rsidRPr="004D1CB9">
          <w:rPr>
            <w:rStyle w:val="Hyperlink"/>
          </w:rPr>
          <w:t>www.pc.gov.au</w:t>
        </w:r>
      </w:hyperlink>
    </w:p>
    <w:sectPr w:rsidR="00417BDE" w:rsidRPr="00417BDE" w:rsidSect="00F67BF1">
      <w:headerReference w:type="default" r:id="rId15"/>
      <w:footerReference w:type="default" r:id="rId16"/>
      <w:headerReference w:type="first" r:id="rId17"/>
      <w:footerReference w:type="first" r:id="rId18"/>
      <w:pgSz w:w="11906" w:h="16838" w:code="9"/>
      <w:pgMar w:top="1843" w:right="1134" w:bottom="1134" w:left="1134" w:header="624" w:footer="5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74F14" w14:textId="77777777" w:rsidR="00E124F9" w:rsidRDefault="00E124F9" w:rsidP="00BF738A">
      <w:pPr>
        <w:spacing w:after="0" w:line="240" w:lineRule="auto"/>
      </w:pPr>
      <w:r>
        <w:separator/>
      </w:r>
    </w:p>
  </w:endnote>
  <w:endnote w:type="continuationSeparator" w:id="0">
    <w:p w14:paraId="25F2C3D4" w14:textId="77777777" w:rsidR="00E124F9" w:rsidRDefault="00E124F9" w:rsidP="00BF738A">
      <w:pPr>
        <w:spacing w:after="0" w:line="240" w:lineRule="auto"/>
      </w:pPr>
      <w:r>
        <w:continuationSeparator/>
      </w:r>
    </w:p>
  </w:endnote>
  <w:endnote w:type="continuationNotice" w:id="1">
    <w:p w14:paraId="1A01FFE9" w14:textId="77777777" w:rsidR="00E124F9" w:rsidRDefault="00E124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BCB8A" w14:textId="3D103EFD" w:rsidR="00F67BF1" w:rsidRPr="001D4262" w:rsidRDefault="001D4262" w:rsidP="001D4262">
    <w:pPr>
      <w:pStyle w:val="Footer"/>
      <w:spacing w:before="0" w:beforeAutospacing="0" w:after="0" w:afterAutospacing="0"/>
      <w:jc w:val="right"/>
    </w:pP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3F289" w14:textId="601201E3" w:rsidR="009848AD" w:rsidRPr="00F67BF1" w:rsidRDefault="00F67BF1" w:rsidP="00F67BF1">
    <w:pPr>
      <w:pStyle w:val="Footer"/>
      <w:spacing w:before="0" w:beforeAutospacing="0" w:after="0" w:afterAutospacing="0"/>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2A972" w14:textId="77777777" w:rsidR="00E124F9" w:rsidRDefault="00E124F9" w:rsidP="00BF738A">
      <w:pPr>
        <w:spacing w:after="0" w:line="240" w:lineRule="auto"/>
      </w:pPr>
      <w:r>
        <w:separator/>
      </w:r>
    </w:p>
  </w:footnote>
  <w:footnote w:type="continuationSeparator" w:id="0">
    <w:p w14:paraId="049560F1" w14:textId="77777777" w:rsidR="00E124F9" w:rsidRDefault="00E124F9" w:rsidP="00BF738A">
      <w:pPr>
        <w:spacing w:after="0" w:line="240" w:lineRule="auto"/>
      </w:pPr>
      <w:r>
        <w:continuationSeparator/>
      </w:r>
    </w:p>
  </w:footnote>
  <w:footnote w:type="continuationNotice" w:id="1">
    <w:p w14:paraId="3B71114B" w14:textId="77777777" w:rsidR="00E124F9" w:rsidRDefault="00E124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0FA1" w14:textId="12C3751F" w:rsidR="009848AD" w:rsidRPr="009848AD" w:rsidRDefault="009848AD" w:rsidP="00E0781F">
    <w:pPr>
      <w:pStyle w:val="Header"/>
      <w:spacing w:before="80"/>
      <w:ind w:right="-454"/>
      <w:rPr>
        <w:b/>
        <w:bCs/>
        <w:sz w:val="22"/>
      </w:rPr>
    </w:pPr>
    <w:r w:rsidRPr="009848AD">
      <w:rPr>
        <w:rFonts w:ascii="Arial Black" w:hAnsi="Arial Black"/>
        <w:b/>
        <w:bCs/>
        <w:color w:val="2D9AC2" w:themeColor="text2" w:themeShade="BF"/>
        <w:sz w:val="34"/>
        <w:szCs w:val="34"/>
      </w:rPr>
      <w:t>FACTSHEET</w:t>
    </w:r>
  </w:p>
  <w:p w14:paraId="65BA68B8" w14:textId="15827197" w:rsidR="00BF738A" w:rsidRPr="00A326BA" w:rsidRDefault="0073286C" w:rsidP="00E0781F">
    <w:pPr>
      <w:pStyle w:val="Header"/>
      <w:spacing w:before="400"/>
      <w:ind w:right="-454"/>
      <w:rPr>
        <w:b/>
        <w:bCs/>
      </w:rPr>
    </w:pPr>
    <w:r w:rsidRPr="00A326BA">
      <w:rPr>
        <w:b/>
        <w:bCs/>
      </w:rPr>
      <w:t>#</w:t>
    </w:r>
    <w:r w:rsidR="00EC6B55">
      <w:rPr>
        <w:b/>
        <w:bCs/>
      </w:rPr>
      <w:t>4</w:t>
    </w:r>
    <w:r w:rsidRPr="00A326BA">
      <w:rPr>
        <w:b/>
        <w:bCs/>
      </w:rPr>
      <w:t xml:space="preserve"> – </w:t>
    </w:r>
    <w:r w:rsidR="009848AD">
      <w:rPr>
        <w:b/>
        <w:bCs/>
      </w:rPr>
      <w:t xml:space="preserve">Advancing Prosperity </w:t>
    </w:r>
    <w:r w:rsidR="003C6BF2">
      <w:rPr>
        <w:b/>
        <w:bCs/>
      </w:rPr>
      <w:t xml:space="preserve">| </w:t>
    </w:r>
    <w:r w:rsidR="009848AD">
      <w:rPr>
        <w:b/>
        <w:bCs/>
      </w:rPr>
      <w:t>Inquiry Report</w:t>
    </w:r>
    <w:r w:rsidR="00D67EF1">
      <w:rPr>
        <w:b/>
        <w:bCs/>
      </w:rPr>
      <w:t xml:space="preserve"> | Volume 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79798" w14:textId="6531721D" w:rsidR="009848AD" w:rsidRPr="009848AD" w:rsidRDefault="009848AD" w:rsidP="009848AD">
    <w:pPr>
      <w:pStyle w:val="Header"/>
      <w:spacing w:before="480"/>
      <w:ind w:right="-454"/>
      <w:rPr>
        <w:b/>
        <w:bCs/>
      </w:rPr>
    </w:pPr>
    <w:r w:rsidRPr="00A326BA">
      <w:rPr>
        <w:rFonts w:ascii="Verdana" w:hAnsi="Verdana"/>
        <w:b/>
        <w:bCs/>
        <w:noProof/>
        <w:color w:val="FF0000"/>
        <w:sz w:val="28"/>
        <w:szCs w:val="28"/>
        <w:highlight w:val="yellow"/>
      </w:rPr>
      <w:drawing>
        <wp:anchor distT="0" distB="0" distL="114300" distR="114300" simplePos="0" relativeHeight="251658240" behindDoc="1" locked="0" layoutInCell="1" allowOverlap="1" wp14:anchorId="7256CDFB" wp14:editId="0728FBB7">
          <wp:simplePos x="0" y="0"/>
          <wp:positionH relativeFrom="page">
            <wp:posOffset>0</wp:posOffset>
          </wp:positionH>
          <wp:positionV relativeFrom="page">
            <wp:posOffset>-85725</wp:posOffset>
          </wp:positionV>
          <wp:extent cx="7561921" cy="1581150"/>
          <wp:effectExtent l="0" t="0" r="1270" b="0"/>
          <wp:wrapNone/>
          <wp:docPr id="165" name="Picture 165" descr="Productivity Commission fact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roductivity Commission factsheet"/>
                  <pic:cNvPicPr/>
                </pic:nvPicPr>
                <pic:blipFill>
                  <a:blip r:embed="rId1">
                    <a:extLst>
                      <a:ext uri="{28A0092B-C50C-407E-A947-70E740481C1C}">
                        <a14:useLocalDpi xmlns:a14="http://schemas.microsoft.com/office/drawing/2010/main" val="0"/>
                      </a:ext>
                    </a:extLst>
                  </a:blip>
                  <a:srcRect t="782" b="782"/>
                  <a:stretch>
                    <a:fillRect/>
                  </a:stretch>
                </pic:blipFill>
                <pic:spPr bwMode="auto">
                  <a:xfrm>
                    <a:off x="0" y="0"/>
                    <a:ext cx="7561921" cy="1581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326BA">
      <w:rPr>
        <w:b/>
        <w:bCs/>
      </w:rPr>
      <w:t>#</w:t>
    </w:r>
    <w:r w:rsidR="00EC6B55">
      <w:rPr>
        <w:b/>
        <w:bCs/>
      </w:rPr>
      <w:t>4</w:t>
    </w:r>
    <w:r w:rsidRPr="00A326BA">
      <w:rPr>
        <w:b/>
        <w:bCs/>
      </w:rPr>
      <w:t xml:space="preserve"> – </w:t>
    </w:r>
    <w:r>
      <w:rPr>
        <w:b/>
        <w:bCs/>
      </w:rPr>
      <w:t>Advancing Prosperity | Inquiry Report</w:t>
    </w:r>
    <w:r w:rsidR="00ED1BB1">
      <w:rPr>
        <w:b/>
        <w:bCs/>
      </w:rPr>
      <w:t xml:space="preserve"> | Volume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00E1042"/>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BB885A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B0506E98"/>
    <w:lvl w:ilvl="0">
      <w:start w:val="1"/>
      <w:numFmt w:val="decimal"/>
      <w:pStyle w:val="ListNumber"/>
      <w:lvlText w:val="%1."/>
      <w:lvlJc w:val="left"/>
      <w:pPr>
        <w:tabs>
          <w:tab w:val="num" w:pos="360"/>
        </w:tabs>
        <w:ind w:left="360" w:hanging="360"/>
      </w:pPr>
      <w:rPr>
        <w:rFonts w:hint="default"/>
      </w:rPr>
    </w:lvl>
  </w:abstractNum>
  <w:abstractNum w:abstractNumId="3" w15:restartNumberingAfterBreak="0">
    <w:nsid w:val="FFFFFF89"/>
    <w:multiLevelType w:val="singleLevel"/>
    <w:tmpl w:val="C3088772"/>
    <w:lvl w:ilvl="0">
      <w:start w:val="1"/>
      <w:numFmt w:val="bullet"/>
      <w:pStyle w:val="TableListBullet"/>
      <w:lvlText w:val=""/>
      <w:lvlJc w:val="left"/>
      <w:pPr>
        <w:tabs>
          <w:tab w:val="num" w:pos="360"/>
        </w:tabs>
        <w:ind w:left="360" w:hanging="360"/>
      </w:pPr>
      <w:rPr>
        <w:rFonts w:ascii="Symbol" w:hAnsi="Symbol" w:hint="default"/>
      </w:rPr>
    </w:lvl>
  </w:abstractNum>
  <w:abstractNum w:abstractNumId="4" w15:restartNumberingAfterBreak="0">
    <w:nsid w:val="031A37EF"/>
    <w:multiLevelType w:val="hybridMultilevel"/>
    <w:tmpl w:val="3EB88730"/>
    <w:lvl w:ilvl="0" w:tplc="AA2616F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D36A07"/>
    <w:multiLevelType w:val="hybridMultilevel"/>
    <w:tmpl w:val="CD70F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F3E6C9D"/>
    <w:multiLevelType w:val="multilevel"/>
    <w:tmpl w:val="FF8069A4"/>
    <w:numStyleLink w:val="Bullets"/>
  </w:abstractNum>
  <w:abstractNum w:abstractNumId="7" w15:restartNumberingAfterBreak="0">
    <w:nsid w:val="35EA1F40"/>
    <w:multiLevelType w:val="hybridMultilevel"/>
    <w:tmpl w:val="B4780528"/>
    <w:lvl w:ilvl="0" w:tplc="A57E6EEC">
      <w:start w:val="1"/>
      <w:numFmt w:val="decimal"/>
      <w:lvlText w:val="%1."/>
      <w:lvlJc w:val="left"/>
      <w:pPr>
        <w:ind w:left="775" w:hanging="360"/>
      </w:pPr>
      <w:rPr>
        <w:rFonts w:hint="default"/>
      </w:rPr>
    </w:lvl>
    <w:lvl w:ilvl="1" w:tplc="0C090019" w:tentative="1">
      <w:start w:val="1"/>
      <w:numFmt w:val="lowerLetter"/>
      <w:lvlText w:val="%2."/>
      <w:lvlJc w:val="left"/>
      <w:pPr>
        <w:ind w:left="1495" w:hanging="360"/>
      </w:pPr>
    </w:lvl>
    <w:lvl w:ilvl="2" w:tplc="0C09001B" w:tentative="1">
      <w:start w:val="1"/>
      <w:numFmt w:val="lowerRoman"/>
      <w:lvlText w:val="%3."/>
      <w:lvlJc w:val="right"/>
      <w:pPr>
        <w:ind w:left="2215" w:hanging="180"/>
      </w:pPr>
    </w:lvl>
    <w:lvl w:ilvl="3" w:tplc="0C09000F" w:tentative="1">
      <w:start w:val="1"/>
      <w:numFmt w:val="decimal"/>
      <w:lvlText w:val="%4."/>
      <w:lvlJc w:val="left"/>
      <w:pPr>
        <w:ind w:left="2935" w:hanging="360"/>
      </w:pPr>
    </w:lvl>
    <w:lvl w:ilvl="4" w:tplc="0C090019" w:tentative="1">
      <w:start w:val="1"/>
      <w:numFmt w:val="lowerLetter"/>
      <w:lvlText w:val="%5."/>
      <w:lvlJc w:val="left"/>
      <w:pPr>
        <w:ind w:left="3655" w:hanging="360"/>
      </w:pPr>
    </w:lvl>
    <w:lvl w:ilvl="5" w:tplc="0C09001B" w:tentative="1">
      <w:start w:val="1"/>
      <w:numFmt w:val="lowerRoman"/>
      <w:lvlText w:val="%6."/>
      <w:lvlJc w:val="right"/>
      <w:pPr>
        <w:ind w:left="4375" w:hanging="180"/>
      </w:pPr>
    </w:lvl>
    <w:lvl w:ilvl="6" w:tplc="0C09000F" w:tentative="1">
      <w:start w:val="1"/>
      <w:numFmt w:val="decimal"/>
      <w:lvlText w:val="%7."/>
      <w:lvlJc w:val="left"/>
      <w:pPr>
        <w:ind w:left="5095" w:hanging="360"/>
      </w:pPr>
    </w:lvl>
    <w:lvl w:ilvl="7" w:tplc="0C090019" w:tentative="1">
      <w:start w:val="1"/>
      <w:numFmt w:val="lowerLetter"/>
      <w:lvlText w:val="%8."/>
      <w:lvlJc w:val="left"/>
      <w:pPr>
        <w:ind w:left="5815" w:hanging="360"/>
      </w:pPr>
    </w:lvl>
    <w:lvl w:ilvl="8" w:tplc="0C09001B" w:tentative="1">
      <w:start w:val="1"/>
      <w:numFmt w:val="lowerRoman"/>
      <w:lvlText w:val="%9."/>
      <w:lvlJc w:val="right"/>
      <w:pPr>
        <w:ind w:left="6535" w:hanging="180"/>
      </w:pPr>
    </w:lvl>
  </w:abstractNum>
  <w:abstractNum w:abstractNumId="8" w15:restartNumberingAfterBreak="0">
    <w:nsid w:val="4B565A11"/>
    <w:multiLevelType w:val="hybridMultilevel"/>
    <w:tmpl w:val="2DEE58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0E05515"/>
    <w:multiLevelType w:val="hybridMultilevel"/>
    <w:tmpl w:val="98E03F46"/>
    <w:lvl w:ilvl="0" w:tplc="0C09000F">
      <w:start w:val="1"/>
      <w:numFmt w:val="decimal"/>
      <w:lvlText w:val="%1."/>
      <w:lvlJc w:val="left"/>
      <w:pPr>
        <w:ind w:left="775" w:hanging="360"/>
      </w:pPr>
    </w:lvl>
    <w:lvl w:ilvl="1" w:tplc="0C090019">
      <w:start w:val="1"/>
      <w:numFmt w:val="lowerLetter"/>
      <w:lvlText w:val="%2."/>
      <w:lvlJc w:val="left"/>
      <w:pPr>
        <w:ind w:left="1495" w:hanging="360"/>
      </w:pPr>
    </w:lvl>
    <w:lvl w:ilvl="2" w:tplc="0C09001B" w:tentative="1">
      <w:start w:val="1"/>
      <w:numFmt w:val="lowerRoman"/>
      <w:lvlText w:val="%3."/>
      <w:lvlJc w:val="right"/>
      <w:pPr>
        <w:ind w:left="2215" w:hanging="180"/>
      </w:pPr>
    </w:lvl>
    <w:lvl w:ilvl="3" w:tplc="0C09000F" w:tentative="1">
      <w:start w:val="1"/>
      <w:numFmt w:val="decimal"/>
      <w:lvlText w:val="%4."/>
      <w:lvlJc w:val="left"/>
      <w:pPr>
        <w:ind w:left="2935" w:hanging="360"/>
      </w:pPr>
    </w:lvl>
    <w:lvl w:ilvl="4" w:tplc="0C090019" w:tentative="1">
      <w:start w:val="1"/>
      <w:numFmt w:val="lowerLetter"/>
      <w:lvlText w:val="%5."/>
      <w:lvlJc w:val="left"/>
      <w:pPr>
        <w:ind w:left="3655" w:hanging="360"/>
      </w:pPr>
    </w:lvl>
    <w:lvl w:ilvl="5" w:tplc="0C09001B" w:tentative="1">
      <w:start w:val="1"/>
      <w:numFmt w:val="lowerRoman"/>
      <w:lvlText w:val="%6."/>
      <w:lvlJc w:val="right"/>
      <w:pPr>
        <w:ind w:left="4375" w:hanging="180"/>
      </w:pPr>
    </w:lvl>
    <w:lvl w:ilvl="6" w:tplc="0C09000F" w:tentative="1">
      <w:start w:val="1"/>
      <w:numFmt w:val="decimal"/>
      <w:lvlText w:val="%7."/>
      <w:lvlJc w:val="left"/>
      <w:pPr>
        <w:ind w:left="5095" w:hanging="360"/>
      </w:pPr>
    </w:lvl>
    <w:lvl w:ilvl="7" w:tplc="0C090019" w:tentative="1">
      <w:start w:val="1"/>
      <w:numFmt w:val="lowerLetter"/>
      <w:lvlText w:val="%8."/>
      <w:lvlJc w:val="left"/>
      <w:pPr>
        <w:ind w:left="5815" w:hanging="360"/>
      </w:pPr>
    </w:lvl>
    <w:lvl w:ilvl="8" w:tplc="0C09001B" w:tentative="1">
      <w:start w:val="1"/>
      <w:numFmt w:val="lowerRoman"/>
      <w:lvlText w:val="%9."/>
      <w:lvlJc w:val="right"/>
      <w:pPr>
        <w:ind w:left="6535" w:hanging="180"/>
      </w:pPr>
    </w:lvl>
  </w:abstractNum>
  <w:abstractNum w:abstractNumId="10"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1" w15:restartNumberingAfterBreak="0">
    <w:nsid w:val="615142CF"/>
    <w:multiLevelType w:val="hybridMultilevel"/>
    <w:tmpl w:val="FFFFFFFF"/>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63E1C42"/>
    <w:multiLevelType w:val="hybridMultilevel"/>
    <w:tmpl w:val="CAC8F8FA"/>
    <w:lvl w:ilvl="0" w:tplc="0C090001">
      <w:start w:val="1"/>
      <w:numFmt w:val="bullet"/>
      <w:lvlText w:val=""/>
      <w:lvlJc w:val="left"/>
      <w:pPr>
        <w:ind w:left="360" w:hanging="360"/>
      </w:pPr>
      <w:rPr>
        <w:rFonts w:ascii="Symbol" w:hAnsi="Symbol" w:hint="default"/>
      </w:rPr>
    </w:lvl>
    <w:lvl w:ilvl="1" w:tplc="42F075AE">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7A8389B"/>
    <w:multiLevelType w:val="hybridMultilevel"/>
    <w:tmpl w:val="CE8690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49828926">
    <w:abstractNumId w:val="4"/>
  </w:num>
  <w:num w:numId="2" w16cid:durableId="317923861">
    <w:abstractNumId w:val="3"/>
  </w:num>
  <w:num w:numId="3" w16cid:durableId="1228372660">
    <w:abstractNumId w:val="6"/>
  </w:num>
  <w:num w:numId="4" w16cid:durableId="2021546402">
    <w:abstractNumId w:val="1"/>
  </w:num>
  <w:num w:numId="5" w16cid:durableId="1958876224">
    <w:abstractNumId w:val="6"/>
  </w:num>
  <w:num w:numId="6" w16cid:durableId="779253751">
    <w:abstractNumId w:val="0"/>
  </w:num>
  <w:num w:numId="7" w16cid:durableId="230846041">
    <w:abstractNumId w:val="6"/>
  </w:num>
  <w:num w:numId="8" w16cid:durableId="833767088">
    <w:abstractNumId w:val="2"/>
  </w:num>
  <w:num w:numId="9" w16cid:durableId="617302055">
    <w:abstractNumId w:val="2"/>
  </w:num>
  <w:num w:numId="10" w16cid:durableId="176118987">
    <w:abstractNumId w:val="6"/>
  </w:num>
  <w:num w:numId="11" w16cid:durableId="1404641264">
    <w:abstractNumId w:val="6"/>
  </w:num>
  <w:num w:numId="12" w16cid:durableId="965233325">
    <w:abstractNumId w:val="6"/>
  </w:num>
  <w:num w:numId="13" w16cid:durableId="378168178">
    <w:abstractNumId w:val="2"/>
  </w:num>
  <w:num w:numId="14" w16cid:durableId="1952320758">
    <w:abstractNumId w:val="6"/>
  </w:num>
  <w:num w:numId="15" w16cid:durableId="179243797">
    <w:abstractNumId w:val="10"/>
  </w:num>
  <w:num w:numId="16" w16cid:durableId="2103646247">
    <w:abstractNumId w:val="6"/>
    <w:lvlOverride w:ilvl="0">
      <w:lvl w:ilvl="0">
        <w:start w:val="1"/>
        <w:numFmt w:val="bullet"/>
        <w:pStyle w:val="ListBullet"/>
        <w:lvlText w:val="•"/>
        <w:lvlJc w:val="left"/>
        <w:pPr>
          <w:ind w:left="227" w:hanging="227"/>
        </w:pPr>
        <w:rPr>
          <w:rFonts w:ascii="Times New Roman" w:hAnsi="Times New Roman" w:cs="Times New Roman" w:hint="default"/>
          <w:color w:val="000000"/>
        </w:rPr>
      </w:lvl>
    </w:lvlOverride>
    <w:lvlOverride w:ilvl="1">
      <w:lvl w:ilvl="1">
        <w:start w:val="1"/>
        <w:numFmt w:val="bullet"/>
        <w:pStyle w:val="ListBullet2"/>
        <w:lvlText w:val="–"/>
        <w:lvlJc w:val="left"/>
        <w:pPr>
          <w:ind w:left="454" w:hanging="227"/>
        </w:pPr>
        <w:rPr>
          <w:rFonts w:ascii="Arial" w:hAnsi="Arial" w:hint="default"/>
          <w:color w:val="auto"/>
        </w:rPr>
      </w:lvl>
    </w:lvlOverride>
    <w:lvlOverride w:ilvl="2">
      <w:lvl w:ilvl="2">
        <w:start w:val="1"/>
        <w:numFmt w:val="bullet"/>
        <w:pStyle w:val="ListBullet3"/>
        <w:lvlText w:val="»"/>
        <w:lvlJc w:val="left"/>
        <w:pPr>
          <w:ind w:left="907" w:hanging="227"/>
        </w:pPr>
        <w:rPr>
          <w:rFonts w:ascii="Arial" w:hAnsi="Arial" w:hint="default"/>
          <w:color w:val="auto"/>
        </w:rPr>
      </w:lvl>
    </w:lvlOverride>
    <w:lvlOverride w:ilvl="3">
      <w:lvl w:ilvl="3">
        <w:start w:val="1"/>
        <w:numFmt w:val="bullet"/>
        <w:lvlText w:val="–"/>
        <w:lvlJc w:val="left"/>
        <w:pPr>
          <w:tabs>
            <w:tab w:val="num" w:pos="851"/>
          </w:tabs>
          <w:ind w:left="907" w:hanging="227"/>
        </w:pPr>
        <w:rPr>
          <w:rFonts w:ascii="Arial" w:hAnsi="Arial" w:hint="default"/>
          <w:color w:val="auto"/>
        </w:rPr>
      </w:lvl>
    </w:lvlOverride>
    <w:lvlOverride w:ilvl="4">
      <w:lvl w:ilvl="4">
        <w:start w:val="1"/>
        <w:numFmt w:val="bullet"/>
        <w:lvlText w:val="–"/>
        <w:lvlJc w:val="left"/>
        <w:pPr>
          <w:ind w:left="1134" w:hanging="227"/>
        </w:pPr>
        <w:rPr>
          <w:rFonts w:ascii="Arial" w:hAnsi="Arial" w:hint="default"/>
          <w:color w:val="auto"/>
        </w:rPr>
      </w:lvl>
    </w:lvlOverride>
    <w:lvlOverride w:ilvl="5">
      <w:lvl w:ilvl="5">
        <w:start w:val="1"/>
        <w:numFmt w:val="bullet"/>
        <w:lvlText w:val="–"/>
        <w:lvlJc w:val="left"/>
        <w:pPr>
          <w:ind w:left="1361" w:hanging="227"/>
        </w:pPr>
        <w:rPr>
          <w:rFonts w:ascii="Arial" w:hAnsi="Arial" w:hint="default"/>
        </w:rPr>
      </w:lvl>
    </w:lvlOverride>
    <w:lvlOverride w:ilvl="6">
      <w:lvl w:ilvl="6">
        <w:start w:val="1"/>
        <w:numFmt w:val="bullet"/>
        <w:lvlText w:val="–"/>
        <w:lvlJc w:val="left"/>
        <w:pPr>
          <w:ind w:left="1588" w:hanging="227"/>
        </w:pPr>
        <w:rPr>
          <w:rFonts w:ascii="Arial" w:hAnsi="Arial" w:hint="default"/>
        </w:rPr>
      </w:lvl>
    </w:lvlOverride>
    <w:lvlOverride w:ilvl="7">
      <w:lvl w:ilvl="7">
        <w:start w:val="1"/>
        <w:numFmt w:val="bullet"/>
        <w:lvlText w:val="–"/>
        <w:lvlJc w:val="left"/>
        <w:pPr>
          <w:ind w:left="1814" w:hanging="226"/>
        </w:pPr>
        <w:rPr>
          <w:rFonts w:ascii="Arial" w:hAnsi="Arial" w:hint="default"/>
        </w:rPr>
      </w:lvl>
    </w:lvlOverride>
    <w:lvlOverride w:ilvl="8">
      <w:lvl w:ilvl="8">
        <w:start w:val="1"/>
        <w:numFmt w:val="bullet"/>
        <w:lvlText w:val="–"/>
        <w:lvlJc w:val="left"/>
        <w:pPr>
          <w:tabs>
            <w:tab w:val="num" w:pos="2211"/>
          </w:tabs>
          <w:ind w:left="2041" w:hanging="227"/>
        </w:pPr>
        <w:rPr>
          <w:rFonts w:ascii="Arial" w:hAnsi="Arial" w:hint="default"/>
        </w:rPr>
      </w:lvl>
    </w:lvlOverride>
  </w:num>
  <w:num w:numId="17" w16cid:durableId="331690661">
    <w:abstractNumId w:val="6"/>
  </w:num>
  <w:num w:numId="18" w16cid:durableId="1568492710">
    <w:abstractNumId w:val="6"/>
  </w:num>
  <w:num w:numId="19" w16cid:durableId="368183068">
    <w:abstractNumId w:val="6"/>
  </w:num>
  <w:num w:numId="20" w16cid:durableId="1741630660">
    <w:abstractNumId w:val="6"/>
  </w:num>
  <w:num w:numId="21" w16cid:durableId="1359546544">
    <w:abstractNumId w:val="9"/>
  </w:num>
  <w:num w:numId="22" w16cid:durableId="31223978">
    <w:abstractNumId w:val="5"/>
  </w:num>
  <w:num w:numId="23" w16cid:durableId="2145851519">
    <w:abstractNumId w:val="12"/>
  </w:num>
  <w:num w:numId="24" w16cid:durableId="1769498788">
    <w:abstractNumId w:val="8"/>
  </w:num>
  <w:num w:numId="25" w16cid:durableId="711198264">
    <w:abstractNumId w:val="13"/>
  </w:num>
  <w:num w:numId="26" w16cid:durableId="878397308">
    <w:abstractNumId w:val="7"/>
  </w:num>
  <w:num w:numId="27" w16cid:durableId="701589596">
    <w:abstractNumId w:val="2"/>
  </w:num>
  <w:num w:numId="28" w16cid:durableId="1138957465">
    <w:abstractNumId w:val="2"/>
  </w:num>
  <w:num w:numId="29" w16cid:durableId="1629387896">
    <w:abstractNumId w:val="2"/>
    <w:lvlOverride w:ilvl="0">
      <w:startOverride w:val="1"/>
    </w:lvlOverride>
  </w:num>
  <w:num w:numId="30" w16cid:durableId="1836846455">
    <w:abstractNumId w:val="2"/>
    <w:lvlOverride w:ilvl="0">
      <w:startOverride w:val="1"/>
    </w:lvlOverride>
  </w:num>
  <w:num w:numId="31" w16cid:durableId="1023167337">
    <w:abstractNumId w:val="2"/>
  </w:num>
  <w:num w:numId="32" w16cid:durableId="198395903">
    <w:abstractNumId w:val="2"/>
    <w:lvlOverride w:ilvl="0">
      <w:startOverride w:val="1"/>
    </w:lvlOverride>
  </w:num>
  <w:num w:numId="33" w16cid:durableId="1349067657">
    <w:abstractNumId w:val="2"/>
    <w:lvlOverride w:ilvl="0">
      <w:startOverride w:val="1"/>
    </w:lvlOverride>
  </w:num>
  <w:num w:numId="34" w16cid:durableId="1633753311">
    <w:abstractNumId w:val="2"/>
  </w:num>
  <w:num w:numId="35" w16cid:durableId="154037459">
    <w:abstractNumId w:val="2"/>
    <w:lvlOverride w:ilvl="0">
      <w:startOverride w:val="1"/>
    </w:lvlOverride>
  </w:num>
  <w:num w:numId="36" w16cid:durableId="671685811">
    <w:abstractNumId w:val="6"/>
  </w:num>
  <w:num w:numId="37" w16cid:durableId="218174625">
    <w:abstractNumId w:val="6"/>
  </w:num>
  <w:num w:numId="38" w16cid:durableId="1532643728">
    <w:abstractNumId w:val="6"/>
  </w:num>
  <w:num w:numId="39" w16cid:durableId="198278806">
    <w:abstractNumId w:val="6"/>
  </w:num>
  <w:num w:numId="40" w16cid:durableId="2061829105">
    <w:abstractNumId w:val="11"/>
  </w:num>
  <w:num w:numId="41" w16cid:durableId="1657756537">
    <w:abstractNumId w:val="6"/>
  </w:num>
  <w:num w:numId="42" w16cid:durableId="1639266630">
    <w:abstractNumId w:val="6"/>
  </w:num>
  <w:num w:numId="43" w16cid:durableId="1593004604">
    <w:abstractNumId w:val="6"/>
  </w:num>
  <w:num w:numId="44" w16cid:durableId="860388533">
    <w:abstractNumId w:val="6"/>
  </w:num>
  <w:num w:numId="45" w16cid:durableId="950016460">
    <w:abstractNumId w:val="6"/>
  </w:num>
  <w:num w:numId="46" w16cid:durableId="8900752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8AD"/>
    <w:rsid w:val="0003218F"/>
    <w:rsid w:val="00042BC8"/>
    <w:rsid w:val="00057037"/>
    <w:rsid w:val="00061B88"/>
    <w:rsid w:val="00063DB4"/>
    <w:rsid w:val="000872C3"/>
    <w:rsid w:val="000B2383"/>
    <w:rsid w:val="000D53CD"/>
    <w:rsid w:val="000E13D1"/>
    <w:rsid w:val="000E164A"/>
    <w:rsid w:val="000F253F"/>
    <w:rsid w:val="00122D06"/>
    <w:rsid w:val="00127A31"/>
    <w:rsid w:val="00145182"/>
    <w:rsid w:val="0014708D"/>
    <w:rsid w:val="001503D6"/>
    <w:rsid w:val="0015274A"/>
    <w:rsid w:val="001548A5"/>
    <w:rsid w:val="00162DB3"/>
    <w:rsid w:val="00162DDB"/>
    <w:rsid w:val="001925AF"/>
    <w:rsid w:val="001B57ED"/>
    <w:rsid w:val="001C6955"/>
    <w:rsid w:val="001D4262"/>
    <w:rsid w:val="001D54F1"/>
    <w:rsid w:val="001D7FFC"/>
    <w:rsid w:val="001E1748"/>
    <w:rsid w:val="001E1C8B"/>
    <w:rsid w:val="00222096"/>
    <w:rsid w:val="00232D60"/>
    <w:rsid w:val="00240283"/>
    <w:rsid w:val="00256ED3"/>
    <w:rsid w:val="002647C2"/>
    <w:rsid w:val="002828EB"/>
    <w:rsid w:val="002D0A77"/>
    <w:rsid w:val="002E3526"/>
    <w:rsid w:val="002F09A3"/>
    <w:rsid w:val="002F0A41"/>
    <w:rsid w:val="00324C41"/>
    <w:rsid w:val="00342886"/>
    <w:rsid w:val="00350DA8"/>
    <w:rsid w:val="003675CE"/>
    <w:rsid w:val="0038191A"/>
    <w:rsid w:val="00386E59"/>
    <w:rsid w:val="003A2C62"/>
    <w:rsid w:val="003C0C27"/>
    <w:rsid w:val="003C199B"/>
    <w:rsid w:val="003C2472"/>
    <w:rsid w:val="003C6629"/>
    <w:rsid w:val="003C6BF2"/>
    <w:rsid w:val="003D5F85"/>
    <w:rsid w:val="003E011F"/>
    <w:rsid w:val="003E3EAC"/>
    <w:rsid w:val="004008D8"/>
    <w:rsid w:val="00417BDE"/>
    <w:rsid w:val="00421411"/>
    <w:rsid w:val="00425485"/>
    <w:rsid w:val="00426564"/>
    <w:rsid w:val="00430C34"/>
    <w:rsid w:val="004401EB"/>
    <w:rsid w:val="00447249"/>
    <w:rsid w:val="00452FB0"/>
    <w:rsid w:val="004661E8"/>
    <w:rsid w:val="0047509D"/>
    <w:rsid w:val="00490D0C"/>
    <w:rsid w:val="00494DE7"/>
    <w:rsid w:val="004A7CE9"/>
    <w:rsid w:val="004B1EAA"/>
    <w:rsid w:val="004B371B"/>
    <w:rsid w:val="004B7031"/>
    <w:rsid w:val="004C2100"/>
    <w:rsid w:val="004C56CC"/>
    <w:rsid w:val="004C7F56"/>
    <w:rsid w:val="004D1CB9"/>
    <w:rsid w:val="004E142D"/>
    <w:rsid w:val="004F28F5"/>
    <w:rsid w:val="005076D1"/>
    <w:rsid w:val="00524C7F"/>
    <w:rsid w:val="00556CAC"/>
    <w:rsid w:val="0055719D"/>
    <w:rsid w:val="005629C7"/>
    <w:rsid w:val="005732AD"/>
    <w:rsid w:val="00591DBB"/>
    <w:rsid w:val="005B39E0"/>
    <w:rsid w:val="005B5523"/>
    <w:rsid w:val="005C5962"/>
    <w:rsid w:val="005C6B17"/>
    <w:rsid w:val="005F7BF9"/>
    <w:rsid w:val="00600744"/>
    <w:rsid w:val="00626F0D"/>
    <w:rsid w:val="00642A6B"/>
    <w:rsid w:val="0064568C"/>
    <w:rsid w:val="00654676"/>
    <w:rsid w:val="00657045"/>
    <w:rsid w:val="0066362D"/>
    <w:rsid w:val="0068423A"/>
    <w:rsid w:val="00697853"/>
    <w:rsid w:val="006B5B1F"/>
    <w:rsid w:val="006C4AE8"/>
    <w:rsid w:val="006D7C2C"/>
    <w:rsid w:val="006E16F7"/>
    <w:rsid w:val="006E36C5"/>
    <w:rsid w:val="006F24AB"/>
    <w:rsid w:val="006F63EA"/>
    <w:rsid w:val="007144DA"/>
    <w:rsid w:val="00724381"/>
    <w:rsid w:val="0072778A"/>
    <w:rsid w:val="00730839"/>
    <w:rsid w:val="0073286C"/>
    <w:rsid w:val="007342CE"/>
    <w:rsid w:val="00740656"/>
    <w:rsid w:val="00753F9C"/>
    <w:rsid w:val="0079219A"/>
    <w:rsid w:val="007A10C6"/>
    <w:rsid w:val="007A4797"/>
    <w:rsid w:val="007C1CC9"/>
    <w:rsid w:val="007C6305"/>
    <w:rsid w:val="007D0634"/>
    <w:rsid w:val="007E3FB4"/>
    <w:rsid w:val="007F4BD6"/>
    <w:rsid w:val="00812F14"/>
    <w:rsid w:val="0081715A"/>
    <w:rsid w:val="00817E78"/>
    <w:rsid w:val="008318AE"/>
    <w:rsid w:val="008413EB"/>
    <w:rsid w:val="00847BD4"/>
    <w:rsid w:val="008725F7"/>
    <w:rsid w:val="00877C4E"/>
    <w:rsid w:val="00890C01"/>
    <w:rsid w:val="008C1E20"/>
    <w:rsid w:val="008C3716"/>
    <w:rsid w:val="008D4C03"/>
    <w:rsid w:val="008D5A05"/>
    <w:rsid w:val="009251C4"/>
    <w:rsid w:val="00934BEC"/>
    <w:rsid w:val="00934C0A"/>
    <w:rsid w:val="009414FB"/>
    <w:rsid w:val="0094441F"/>
    <w:rsid w:val="009565C0"/>
    <w:rsid w:val="00957481"/>
    <w:rsid w:val="00973054"/>
    <w:rsid w:val="00973096"/>
    <w:rsid w:val="0097331F"/>
    <w:rsid w:val="00975997"/>
    <w:rsid w:val="009848AD"/>
    <w:rsid w:val="00991A40"/>
    <w:rsid w:val="00991A8D"/>
    <w:rsid w:val="00995918"/>
    <w:rsid w:val="00996E18"/>
    <w:rsid w:val="009C43A2"/>
    <w:rsid w:val="009D1DB5"/>
    <w:rsid w:val="009E4136"/>
    <w:rsid w:val="009F696C"/>
    <w:rsid w:val="009F73E9"/>
    <w:rsid w:val="00A10A0A"/>
    <w:rsid w:val="00A326BA"/>
    <w:rsid w:val="00A36206"/>
    <w:rsid w:val="00A36781"/>
    <w:rsid w:val="00A41D4E"/>
    <w:rsid w:val="00A449C3"/>
    <w:rsid w:val="00A44E05"/>
    <w:rsid w:val="00A52026"/>
    <w:rsid w:val="00A6285E"/>
    <w:rsid w:val="00A671CC"/>
    <w:rsid w:val="00A714F8"/>
    <w:rsid w:val="00A7167B"/>
    <w:rsid w:val="00A80EF3"/>
    <w:rsid w:val="00A83117"/>
    <w:rsid w:val="00AA3AC6"/>
    <w:rsid w:val="00AB2111"/>
    <w:rsid w:val="00AF5830"/>
    <w:rsid w:val="00AF5C1A"/>
    <w:rsid w:val="00B00048"/>
    <w:rsid w:val="00B040EA"/>
    <w:rsid w:val="00B32FCD"/>
    <w:rsid w:val="00B34846"/>
    <w:rsid w:val="00B3775D"/>
    <w:rsid w:val="00B43566"/>
    <w:rsid w:val="00B5323D"/>
    <w:rsid w:val="00B55AC8"/>
    <w:rsid w:val="00B56EA9"/>
    <w:rsid w:val="00B6703E"/>
    <w:rsid w:val="00B67835"/>
    <w:rsid w:val="00B979DA"/>
    <w:rsid w:val="00BA3B26"/>
    <w:rsid w:val="00BC2B85"/>
    <w:rsid w:val="00BE384A"/>
    <w:rsid w:val="00BF738A"/>
    <w:rsid w:val="00C008B0"/>
    <w:rsid w:val="00C06C50"/>
    <w:rsid w:val="00C10D45"/>
    <w:rsid w:val="00C12656"/>
    <w:rsid w:val="00C17A92"/>
    <w:rsid w:val="00C2187A"/>
    <w:rsid w:val="00C54884"/>
    <w:rsid w:val="00C63A5F"/>
    <w:rsid w:val="00C71F57"/>
    <w:rsid w:val="00CC514D"/>
    <w:rsid w:val="00CD6563"/>
    <w:rsid w:val="00D02F97"/>
    <w:rsid w:val="00D134F1"/>
    <w:rsid w:val="00D353E1"/>
    <w:rsid w:val="00D376A2"/>
    <w:rsid w:val="00D43FB2"/>
    <w:rsid w:val="00D55647"/>
    <w:rsid w:val="00D67EF1"/>
    <w:rsid w:val="00D72F62"/>
    <w:rsid w:val="00D86D6E"/>
    <w:rsid w:val="00D87588"/>
    <w:rsid w:val="00DB45EC"/>
    <w:rsid w:val="00DF1F1A"/>
    <w:rsid w:val="00E0781F"/>
    <w:rsid w:val="00E124F9"/>
    <w:rsid w:val="00E1253D"/>
    <w:rsid w:val="00E12FC6"/>
    <w:rsid w:val="00E151AD"/>
    <w:rsid w:val="00E30B2D"/>
    <w:rsid w:val="00E346AD"/>
    <w:rsid w:val="00E6323D"/>
    <w:rsid w:val="00E8329A"/>
    <w:rsid w:val="00EC53FF"/>
    <w:rsid w:val="00EC6523"/>
    <w:rsid w:val="00EC6B55"/>
    <w:rsid w:val="00ED1BB1"/>
    <w:rsid w:val="00ED57AE"/>
    <w:rsid w:val="00EF264A"/>
    <w:rsid w:val="00EF324B"/>
    <w:rsid w:val="00F1737E"/>
    <w:rsid w:val="00F21C4D"/>
    <w:rsid w:val="00F50679"/>
    <w:rsid w:val="00F5249B"/>
    <w:rsid w:val="00F543EE"/>
    <w:rsid w:val="00F5633C"/>
    <w:rsid w:val="00F67BF1"/>
    <w:rsid w:val="00F800A0"/>
    <w:rsid w:val="00F95977"/>
    <w:rsid w:val="00FA71D1"/>
    <w:rsid w:val="00FB3D33"/>
    <w:rsid w:val="00FD6B73"/>
    <w:rsid w:val="00FE3664"/>
    <w:rsid w:val="00FE531F"/>
    <w:rsid w:val="00FF3B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86D2C"/>
  <w15:docId w15:val="{F7E3FD64-83F6-478B-B1D7-02CD21BCA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2CE"/>
    <w:rPr>
      <w:sz w:val="20"/>
    </w:rPr>
  </w:style>
  <w:style w:type="paragraph" w:styleId="Heading1">
    <w:name w:val="heading 1"/>
    <w:basedOn w:val="Normal"/>
    <w:next w:val="Normal"/>
    <w:link w:val="Heading1Char"/>
    <w:uiPriority w:val="9"/>
    <w:qFormat/>
    <w:rsid w:val="001E1748"/>
    <w:pPr>
      <w:keepNext/>
      <w:keepLines/>
      <w:spacing w:before="240" w:after="120"/>
      <w:outlineLvl w:val="0"/>
    </w:pPr>
    <w:rPr>
      <w:rFonts w:asciiTheme="majorHAnsi" w:eastAsiaTheme="majorEastAsia" w:hAnsiTheme="majorHAnsi" w:cstheme="majorBidi"/>
      <w:b/>
      <w:color w:val="26539D"/>
      <w:sz w:val="32"/>
      <w:szCs w:val="32"/>
    </w:rPr>
  </w:style>
  <w:style w:type="paragraph" w:styleId="Heading2">
    <w:name w:val="heading 2"/>
    <w:basedOn w:val="Normal"/>
    <w:next w:val="Normal"/>
    <w:link w:val="Heading2Char"/>
    <w:uiPriority w:val="9"/>
    <w:unhideWhenUsed/>
    <w:qFormat/>
    <w:rsid w:val="001E1748"/>
    <w:pPr>
      <w:keepNext/>
      <w:keepLines/>
      <w:spacing w:before="40" w:after="80"/>
      <w:outlineLvl w:val="1"/>
    </w:pPr>
    <w:rPr>
      <w:rFonts w:asciiTheme="majorHAnsi" w:eastAsiaTheme="majorEastAsia" w:hAnsiTheme="majorHAnsi" w:cstheme="majorBidi"/>
      <w:b/>
      <w:color w:val="31A2CF"/>
      <w:sz w:val="26"/>
      <w:szCs w:val="26"/>
    </w:rPr>
  </w:style>
  <w:style w:type="paragraph" w:styleId="Heading3">
    <w:name w:val="heading 3"/>
    <w:basedOn w:val="Normal"/>
    <w:next w:val="Normal"/>
    <w:link w:val="Heading3Char"/>
    <w:uiPriority w:val="9"/>
    <w:unhideWhenUsed/>
    <w:qFormat/>
    <w:rsid w:val="006C4AE8"/>
    <w:pPr>
      <w:keepNext/>
      <w:keepLines/>
      <w:spacing w:before="120" w:after="0"/>
      <w:outlineLvl w:val="2"/>
    </w:pPr>
    <w:rPr>
      <w:rFonts w:asciiTheme="majorHAnsi" w:eastAsiaTheme="majorEastAsia" w:hAnsiTheme="majorHAnsi" w:cstheme="majorBidi"/>
      <w:b/>
      <w:color w:val="000000"/>
      <w:sz w:val="24"/>
      <w:szCs w:val="24"/>
    </w:rPr>
  </w:style>
  <w:style w:type="paragraph" w:styleId="Heading4">
    <w:name w:val="heading 4"/>
    <w:basedOn w:val="Normal"/>
    <w:next w:val="Normal"/>
    <w:link w:val="Heading4Char"/>
    <w:uiPriority w:val="9"/>
    <w:semiHidden/>
    <w:unhideWhenUsed/>
    <w:qFormat/>
    <w:rsid w:val="00CC514D"/>
    <w:pPr>
      <w:keepNext/>
      <w:keepLines/>
      <w:spacing w:before="40" w:after="0"/>
      <w:outlineLvl w:val="3"/>
    </w:pPr>
    <w:rPr>
      <w:rFonts w:asciiTheme="majorHAnsi" w:eastAsiaTheme="majorEastAsia" w:hAnsiTheme="majorHAnsi" w:cstheme="majorBidi"/>
      <w:i/>
      <w:iCs/>
      <w:color w:val="265A9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17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748"/>
    <w:rPr>
      <w:rFonts w:ascii="Tahoma" w:hAnsi="Tahoma" w:cs="Tahoma"/>
      <w:sz w:val="16"/>
      <w:szCs w:val="16"/>
    </w:rPr>
  </w:style>
  <w:style w:type="character" w:styleId="BookTitle">
    <w:name w:val="Book Title"/>
    <w:basedOn w:val="DefaultParagraphFont"/>
    <w:uiPriority w:val="33"/>
    <w:semiHidden/>
    <w:rsid w:val="001E1748"/>
    <w:rPr>
      <w:b/>
      <w:bCs/>
      <w:i/>
      <w:iCs/>
      <w:spacing w:val="5"/>
    </w:rPr>
  </w:style>
  <w:style w:type="character" w:styleId="FollowedHyperlink">
    <w:name w:val="FollowedHyperlink"/>
    <w:basedOn w:val="DefaultParagraphFont"/>
    <w:uiPriority w:val="99"/>
    <w:semiHidden/>
    <w:unhideWhenUsed/>
    <w:rsid w:val="001E1748"/>
    <w:rPr>
      <w:color w:val="BFBFBF" w:themeColor="followedHyperlink"/>
      <w:u w:val="single"/>
    </w:rPr>
  </w:style>
  <w:style w:type="paragraph" w:styleId="Footer">
    <w:name w:val="footer"/>
    <w:basedOn w:val="Normal"/>
    <w:link w:val="FooterChar"/>
    <w:uiPriority w:val="99"/>
    <w:unhideWhenUsed/>
    <w:rsid w:val="001E1748"/>
    <w:pPr>
      <w:tabs>
        <w:tab w:val="left" w:pos="2552"/>
        <w:tab w:val="right" w:pos="9072"/>
      </w:tabs>
      <w:spacing w:before="100" w:beforeAutospacing="1" w:after="100" w:afterAutospacing="1" w:line="260" w:lineRule="atLeast"/>
      <w:ind w:left="284" w:right="-427"/>
    </w:pPr>
    <w:rPr>
      <w:rFonts w:ascii="Arial" w:eastAsia="Times New Roman" w:hAnsi="Arial" w:cs="Arial"/>
      <w:noProof/>
      <w:kern w:val="16"/>
      <w:szCs w:val="20"/>
      <w:lang w:eastAsia="en-AU"/>
    </w:rPr>
  </w:style>
  <w:style w:type="character" w:customStyle="1" w:styleId="FooterChar">
    <w:name w:val="Footer Char"/>
    <w:basedOn w:val="DefaultParagraphFont"/>
    <w:link w:val="Footer"/>
    <w:uiPriority w:val="99"/>
    <w:rsid w:val="001E1748"/>
    <w:rPr>
      <w:rFonts w:ascii="Arial" w:eastAsia="Times New Roman" w:hAnsi="Arial" w:cs="Arial"/>
      <w:noProof/>
      <w:kern w:val="16"/>
      <w:sz w:val="20"/>
      <w:szCs w:val="20"/>
      <w:lang w:eastAsia="en-AU"/>
    </w:rPr>
  </w:style>
  <w:style w:type="paragraph" w:styleId="Header">
    <w:name w:val="header"/>
    <w:basedOn w:val="Normal"/>
    <w:link w:val="HeaderChar"/>
    <w:uiPriority w:val="99"/>
    <w:unhideWhenUsed/>
    <w:rsid w:val="001E1748"/>
    <w:pPr>
      <w:spacing w:before="200" w:after="0" w:line="240" w:lineRule="auto"/>
      <w:ind w:right="-794"/>
      <w:contextualSpacing/>
      <w:jc w:val="right"/>
    </w:pPr>
    <w:rPr>
      <w:rFonts w:ascii="Arial" w:eastAsia="Times New Roman" w:hAnsi="Arial" w:cs="Arial"/>
      <w:color w:val="000000" w:themeColor="text1"/>
      <w:spacing w:val="2"/>
      <w:lang w:eastAsia="en-AU"/>
    </w:rPr>
  </w:style>
  <w:style w:type="character" w:customStyle="1" w:styleId="Heading1Char">
    <w:name w:val="Heading 1 Char"/>
    <w:basedOn w:val="DefaultParagraphFont"/>
    <w:link w:val="Heading1"/>
    <w:uiPriority w:val="9"/>
    <w:rsid w:val="001E1748"/>
    <w:rPr>
      <w:rFonts w:asciiTheme="majorHAnsi" w:eastAsiaTheme="majorEastAsia" w:hAnsiTheme="majorHAnsi" w:cstheme="majorBidi"/>
      <w:b/>
      <w:color w:val="26539D"/>
      <w:sz w:val="32"/>
      <w:szCs w:val="32"/>
    </w:rPr>
  </w:style>
  <w:style w:type="character" w:customStyle="1" w:styleId="Heading2Char">
    <w:name w:val="Heading 2 Char"/>
    <w:basedOn w:val="DefaultParagraphFont"/>
    <w:link w:val="Heading2"/>
    <w:uiPriority w:val="9"/>
    <w:rsid w:val="001E1748"/>
    <w:rPr>
      <w:rFonts w:asciiTheme="majorHAnsi" w:eastAsiaTheme="majorEastAsia" w:hAnsiTheme="majorHAnsi" w:cstheme="majorBidi"/>
      <w:b/>
      <w:color w:val="31A2CF"/>
      <w:sz w:val="26"/>
      <w:szCs w:val="26"/>
    </w:rPr>
  </w:style>
  <w:style w:type="character" w:customStyle="1" w:styleId="Heading3Char">
    <w:name w:val="Heading 3 Char"/>
    <w:basedOn w:val="DefaultParagraphFont"/>
    <w:link w:val="Heading3"/>
    <w:uiPriority w:val="9"/>
    <w:rsid w:val="006C4AE8"/>
    <w:rPr>
      <w:rFonts w:asciiTheme="majorHAnsi" w:eastAsiaTheme="majorEastAsia" w:hAnsiTheme="majorHAnsi" w:cstheme="majorBidi"/>
      <w:b/>
      <w:color w:val="000000"/>
      <w:sz w:val="24"/>
      <w:szCs w:val="24"/>
    </w:rPr>
  </w:style>
  <w:style w:type="character" w:customStyle="1" w:styleId="HeaderChar">
    <w:name w:val="Header Char"/>
    <w:basedOn w:val="DefaultParagraphFont"/>
    <w:link w:val="Header"/>
    <w:uiPriority w:val="99"/>
    <w:rsid w:val="001E1748"/>
    <w:rPr>
      <w:rFonts w:ascii="Arial" w:eastAsia="Times New Roman" w:hAnsi="Arial" w:cs="Arial"/>
      <w:color w:val="000000" w:themeColor="text1"/>
      <w:spacing w:val="2"/>
      <w:lang w:eastAsia="en-AU"/>
    </w:rPr>
  </w:style>
  <w:style w:type="character" w:styleId="Hyperlink">
    <w:name w:val="Hyperlink"/>
    <w:basedOn w:val="DefaultParagraphFont"/>
    <w:uiPriority w:val="99"/>
    <w:qFormat/>
    <w:rsid w:val="001E1748"/>
    <w:rPr>
      <w:color w:val="265A9A"/>
      <w:u w:val="single"/>
    </w:rPr>
  </w:style>
  <w:style w:type="character" w:styleId="IntenseEmphasis">
    <w:name w:val="Intense Emphasis"/>
    <w:basedOn w:val="DefaultParagraphFont"/>
    <w:uiPriority w:val="21"/>
    <w:rsid w:val="001E1748"/>
    <w:rPr>
      <w:i/>
      <w:iCs/>
      <w:color w:val="265A9A" w:themeColor="background2"/>
    </w:rPr>
  </w:style>
  <w:style w:type="paragraph" w:styleId="IntenseQuote">
    <w:name w:val="Intense Quote"/>
    <w:basedOn w:val="Normal"/>
    <w:next w:val="Normal"/>
    <w:link w:val="IntenseQuoteChar"/>
    <w:uiPriority w:val="30"/>
    <w:semiHidden/>
    <w:rsid w:val="001E1748"/>
    <w:pPr>
      <w:pBdr>
        <w:top w:val="single" w:sz="4" w:space="10" w:color="265A9A" w:themeColor="background2"/>
        <w:bottom w:val="single" w:sz="4" w:space="10" w:color="265A9A" w:themeColor="background2"/>
      </w:pBdr>
      <w:spacing w:before="360" w:after="360"/>
      <w:ind w:left="864" w:right="864"/>
      <w:jc w:val="center"/>
    </w:pPr>
    <w:rPr>
      <w:i/>
      <w:iCs/>
      <w:color w:val="265A9A"/>
    </w:rPr>
  </w:style>
  <w:style w:type="character" w:customStyle="1" w:styleId="IntenseQuoteChar">
    <w:name w:val="Intense Quote Char"/>
    <w:basedOn w:val="DefaultParagraphFont"/>
    <w:link w:val="IntenseQuote"/>
    <w:uiPriority w:val="30"/>
    <w:semiHidden/>
    <w:rsid w:val="00CC514D"/>
    <w:rPr>
      <w:i/>
      <w:iCs/>
      <w:color w:val="265A9A"/>
    </w:rPr>
  </w:style>
  <w:style w:type="character" w:styleId="IntenseReference">
    <w:name w:val="Intense Reference"/>
    <w:basedOn w:val="DefaultParagraphFont"/>
    <w:uiPriority w:val="32"/>
    <w:semiHidden/>
    <w:rsid w:val="001E1748"/>
    <w:rPr>
      <w:b/>
      <w:bCs/>
      <w:smallCaps/>
      <w:color w:val="265A9A" w:themeColor="background2"/>
      <w:spacing w:val="5"/>
    </w:rPr>
  </w:style>
  <w:style w:type="paragraph" w:styleId="ListBullet">
    <w:name w:val="List Bullet"/>
    <w:basedOn w:val="Normal"/>
    <w:link w:val="ListBulletChar"/>
    <w:uiPriority w:val="1"/>
    <w:qFormat/>
    <w:rsid w:val="00B5323D"/>
    <w:pPr>
      <w:numPr>
        <w:numId w:val="19"/>
      </w:numPr>
      <w:spacing w:before="120" w:after="120" w:line="280" w:lineRule="atLeast"/>
      <w:contextualSpacing/>
    </w:pPr>
    <w:rPr>
      <w:szCs w:val="20"/>
    </w:rPr>
  </w:style>
  <w:style w:type="character" w:customStyle="1" w:styleId="ListBulletChar">
    <w:name w:val="List Bullet Char"/>
    <w:basedOn w:val="DefaultParagraphFont"/>
    <w:link w:val="ListBullet"/>
    <w:uiPriority w:val="1"/>
    <w:rsid w:val="00B5323D"/>
    <w:rPr>
      <w:sz w:val="20"/>
      <w:szCs w:val="20"/>
    </w:rPr>
  </w:style>
  <w:style w:type="paragraph" w:styleId="ListBullet2">
    <w:name w:val="List Bullet 2"/>
    <w:basedOn w:val="Normal"/>
    <w:uiPriority w:val="1"/>
    <w:qFormat/>
    <w:rsid w:val="00425485"/>
    <w:pPr>
      <w:numPr>
        <w:ilvl w:val="1"/>
        <w:numId w:val="19"/>
      </w:numPr>
      <w:spacing w:before="60" w:after="60"/>
      <w:contextualSpacing/>
    </w:pPr>
    <w:rPr>
      <w:szCs w:val="20"/>
    </w:rPr>
  </w:style>
  <w:style w:type="paragraph" w:styleId="ListBullet3">
    <w:name w:val="List Bullet 3"/>
    <w:basedOn w:val="Normal"/>
    <w:uiPriority w:val="1"/>
    <w:qFormat/>
    <w:rsid w:val="001E1748"/>
    <w:pPr>
      <w:numPr>
        <w:ilvl w:val="2"/>
        <w:numId w:val="19"/>
      </w:numPr>
      <w:spacing w:before="60" w:after="60" w:line="274" w:lineRule="auto"/>
      <w:contextualSpacing/>
    </w:pPr>
    <w:rPr>
      <w:szCs w:val="20"/>
    </w:rPr>
  </w:style>
  <w:style w:type="paragraph" w:styleId="ListNumber">
    <w:name w:val="List Number"/>
    <w:basedOn w:val="Normal"/>
    <w:uiPriority w:val="2"/>
    <w:qFormat/>
    <w:rsid w:val="00E6323D"/>
    <w:pPr>
      <w:numPr>
        <w:numId w:val="13"/>
      </w:numPr>
      <w:spacing w:after="120"/>
      <w:ind w:left="454" w:hanging="227"/>
      <w:contextualSpacing/>
    </w:pPr>
  </w:style>
  <w:style w:type="paragraph" w:styleId="ListParagraph">
    <w:name w:val="List Paragraph"/>
    <w:basedOn w:val="Normal"/>
    <w:uiPriority w:val="34"/>
    <w:semiHidden/>
    <w:rsid w:val="001E1748"/>
    <w:pPr>
      <w:ind w:left="720"/>
      <w:contextualSpacing/>
    </w:pPr>
  </w:style>
  <w:style w:type="paragraph" w:styleId="NoSpacing">
    <w:name w:val="No Spacing"/>
    <w:uiPriority w:val="2"/>
    <w:unhideWhenUsed/>
    <w:rsid w:val="001E1748"/>
    <w:pPr>
      <w:spacing w:after="0" w:line="240" w:lineRule="auto"/>
    </w:pPr>
  </w:style>
  <w:style w:type="paragraph" w:styleId="Quote">
    <w:name w:val="Quote"/>
    <w:basedOn w:val="Normal"/>
    <w:next w:val="Normal"/>
    <w:link w:val="QuoteChar"/>
    <w:uiPriority w:val="29"/>
    <w:rsid w:val="001E1748"/>
    <w:pPr>
      <w:spacing w:before="200" w:after="160"/>
      <w:ind w:left="1134" w:right="1134"/>
    </w:pPr>
    <w:rPr>
      <w:iCs/>
      <w:color w:val="404040" w:themeColor="text1" w:themeTint="BF"/>
    </w:rPr>
  </w:style>
  <w:style w:type="character" w:customStyle="1" w:styleId="QuoteChar">
    <w:name w:val="Quote Char"/>
    <w:basedOn w:val="DefaultParagraphFont"/>
    <w:link w:val="Quote"/>
    <w:uiPriority w:val="29"/>
    <w:rsid w:val="001E1748"/>
    <w:rPr>
      <w:iCs/>
      <w:color w:val="404040" w:themeColor="text1" w:themeTint="BF"/>
    </w:rPr>
  </w:style>
  <w:style w:type="paragraph" w:styleId="Subtitle">
    <w:name w:val="Subtitle"/>
    <w:basedOn w:val="Normal"/>
    <w:next w:val="Normal"/>
    <w:link w:val="SubtitleChar"/>
    <w:uiPriority w:val="11"/>
    <w:semiHidden/>
    <w:rsid w:val="001E1748"/>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CC514D"/>
    <w:rPr>
      <w:rFonts w:eastAsiaTheme="minorEastAsia"/>
      <w:color w:val="5A5A5A" w:themeColor="text1" w:themeTint="A5"/>
      <w:spacing w:val="15"/>
    </w:rPr>
  </w:style>
  <w:style w:type="character" w:styleId="SubtleEmphasis">
    <w:name w:val="Subtle Emphasis"/>
    <w:basedOn w:val="DefaultParagraphFont"/>
    <w:uiPriority w:val="19"/>
    <w:rsid w:val="001E1748"/>
    <w:rPr>
      <w:i/>
      <w:iCs/>
      <w:color w:val="404040" w:themeColor="text1" w:themeTint="BF"/>
    </w:rPr>
  </w:style>
  <w:style w:type="paragraph" w:styleId="Title">
    <w:name w:val="Title"/>
    <w:basedOn w:val="Normal"/>
    <w:next w:val="Normal"/>
    <w:link w:val="TitleChar"/>
    <w:uiPriority w:val="10"/>
    <w:semiHidden/>
    <w:rsid w:val="001E174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CC514D"/>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semiHidden/>
    <w:rsid w:val="00CC514D"/>
    <w:rPr>
      <w:rFonts w:asciiTheme="majorHAnsi" w:eastAsiaTheme="majorEastAsia" w:hAnsiTheme="majorHAnsi" w:cstheme="majorBidi"/>
      <w:i/>
      <w:iCs/>
      <w:color w:val="265A9A"/>
    </w:rPr>
  </w:style>
  <w:style w:type="paragraph" w:customStyle="1" w:styleId="PullQuote">
    <w:name w:val="Pull Quote"/>
    <w:basedOn w:val="BodyText"/>
    <w:next w:val="BodyText"/>
    <w:uiPriority w:val="30"/>
    <w:qFormat/>
    <w:rsid w:val="00A6285E"/>
    <w:pPr>
      <w:spacing w:before="120" w:line="280" w:lineRule="atLeast"/>
      <w:ind w:left="284" w:right="284"/>
    </w:pPr>
    <w:rPr>
      <w:rFonts w:ascii="Arial Black" w:hAnsi="Arial Black"/>
      <w:color w:val="265A9A"/>
      <w:sz w:val="24"/>
      <w:szCs w:val="20"/>
    </w:rPr>
  </w:style>
  <w:style w:type="paragraph" w:styleId="BodyText">
    <w:name w:val="Body Text"/>
    <w:basedOn w:val="Normal"/>
    <w:link w:val="BodyTextChar"/>
    <w:unhideWhenUsed/>
    <w:qFormat/>
    <w:rsid w:val="00A6285E"/>
    <w:pPr>
      <w:spacing w:after="120"/>
    </w:pPr>
  </w:style>
  <w:style w:type="character" w:customStyle="1" w:styleId="BodyTextChar">
    <w:name w:val="Body Text Char"/>
    <w:basedOn w:val="DefaultParagraphFont"/>
    <w:link w:val="BodyText"/>
    <w:rsid w:val="00A6285E"/>
  </w:style>
  <w:style w:type="numbering" w:customStyle="1" w:styleId="Bullets">
    <w:name w:val="Bullets"/>
    <w:uiPriority w:val="99"/>
    <w:rsid w:val="009848AD"/>
    <w:pPr>
      <w:numPr>
        <w:numId w:val="15"/>
      </w:numPr>
    </w:pPr>
  </w:style>
  <w:style w:type="table" w:styleId="TableGrid">
    <w:name w:val="Table Grid"/>
    <w:basedOn w:val="TableNormal"/>
    <w:uiPriority w:val="39"/>
    <w:rsid w:val="00984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NoSpacing"/>
    <w:uiPriority w:val="4"/>
    <w:qFormat/>
    <w:rsid w:val="009848AD"/>
    <w:pPr>
      <w:spacing w:after="20" w:line="280" w:lineRule="atLeast"/>
      <w:ind w:left="57"/>
    </w:pPr>
    <w:rPr>
      <w:sz w:val="18"/>
      <w:szCs w:val="20"/>
    </w:rPr>
  </w:style>
  <w:style w:type="paragraph" w:customStyle="1" w:styleId="TableListBullet">
    <w:name w:val="Table List Bullet"/>
    <w:basedOn w:val="ListBullet"/>
    <w:uiPriority w:val="10"/>
    <w:qFormat/>
    <w:rsid w:val="009848AD"/>
    <w:pPr>
      <w:numPr>
        <w:numId w:val="2"/>
      </w:numPr>
      <w:spacing w:before="0" w:after="20"/>
    </w:pPr>
  </w:style>
  <w:style w:type="numbering" w:customStyle="1" w:styleId="Bullets1">
    <w:name w:val="Bullets1"/>
    <w:uiPriority w:val="99"/>
    <w:rsid w:val="009848AD"/>
  </w:style>
  <w:style w:type="paragraph" w:styleId="Revision">
    <w:name w:val="Revision"/>
    <w:hidden/>
    <w:uiPriority w:val="99"/>
    <w:semiHidden/>
    <w:rsid w:val="00ED57AE"/>
    <w:pPr>
      <w:spacing w:after="0" w:line="240" w:lineRule="auto"/>
    </w:pPr>
  </w:style>
  <w:style w:type="character" w:styleId="CommentReference">
    <w:name w:val="annotation reference"/>
    <w:basedOn w:val="DefaultParagraphFont"/>
    <w:uiPriority w:val="99"/>
    <w:semiHidden/>
    <w:unhideWhenUsed/>
    <w:rsid w:val="0066362D"/>
    <w:rPr>
      <w:sz w:val="16"/>
      <w:szCs w:val="16"/>
    </w:rPr>
  </w:style>
  <w:style w:type="paragraph" w:styleId="CommentText">
    <w:name w:val="annotation text"/>
    <w:basedOn w:val="Normal"/>
    <w:link w:val="CommentTextChar"/>
    <w:uiPriority w:val="99"/>
    <w:unhideWhenUsed/>
    <w:rsid w:val="0066362D"/>
    <w:pPr>
      <w:spacing w:line="240" w:lineRule="auto"/>
    </w:pPr>
    <w:rPr>
      <w:szCs w:val="20"/>
    </w:rPr>
  </w:style>
  <w:style w:type="character" w:customStyle="1" w:styleId="CommentTextChar">
    <w:name w:val="Comment Text Char"/>
    <w:basedOn w:val="DefaultParagraphFont"/>
    <w:link w:val="CommentText"/>
    <w:uiPriority w:val="99"/>
    <w:rsid w:val="0066362D"/>
    <w:rPr>
      <w:sz w:val="20"/>
      <w:szCs w:val="20"/>
    </w:rPr>
  </w:style>
  <w:style w:type="paragraph" w:styleId="CommentSubject">
    <w:name w:val="annotation subject"/>
    <w:basedOn w:val="CommentText"/>
    <w:next w:val="CommentText"/>
    <w:link w:val="CommentSubjectChar"/>
    <w:uiPriority w:val="99"/>
    <w:semiHidden/>
    <w:unhideWhenUsed/>
    <w:rsid w:val="0066362D"/>
    <w:rPr>
      <w:b/>
      <w:bCs/>
    </w:rPr>
  </w:style>
  <w:style w:type="character" w:customStyle="1" w:styleId="CommentSubjectChar">
    <w:name w:val="Comment Subject Char"/>
    <w:basedOn w:val="CommentTextChar"/>
    <w:link w:val="CommentSubject"/>
    <w:uiPriority w:val="99"/>
    <w:semiHidden/>
    <w:rsid w:val="0066362D"/>
    <w:rPr>
      <w:b/>
      <w:bCs/>
      <w:sz w:val="20"/>
      <w:szCs w:val="20"/>
    </w:rPr>
  </w:style>
  <w:style w:type="paragraph" w:customStyle="1" w:styleId="CaptionPagecontent">
    <w:name w:val="Caption (Page content)"/>
    <w:basedOn w:val="Normal"/>
    <w:uiPriority w:val="99"/>
    <w:rsid w:val="00C12656"/>
    <w:pPr>
      <w:suppressAutoHyphens/>
      <w:autoSpaceDE w:val="0"/>
      <w:autoSpaceDN w:val="0"/>
      <w:adjustRightInd w:val="0"/>
      <w:spacing w:after="85" w:line="230" w:lineRule="atLeast"/>
      <w:textAlignment w:val="center"/>
    </w:pPr>
    <w:rPr>
      <w:rFonts w:ascii="Arial" w:hAnsi="Arial" w:cs="Arial"/>
      <w:b/>
      <w:bCs/>
      <w:color w:val="000000"/>
      <w:sz w:val="18"/>
      <w:szCs w:val="18"/>
      <w:lang w:val="en-US"/>
    </w:rPr>
  </w:style>
  <w:style w:type="paragraph" w:customStyle="1" w:styleId="Default">
    <w:name w:val="Default"/>
    <w:rsid w:val="00FA71D1"/>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rsid w:val="00FB3D33"/>
    <w:rPr>
      <w:color w:val="1B263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pc.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pcgov.sharepoint.com/sites/mpw/FormServerTemplates/PC-report-template.dotx"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mplafyFormConfiguration><![CDATA[{"formFields":[],"formDataEntries":[]}]]></TemplafyFormConfiguration>
</file>

<file path=customXml/item2.xml><?xml version="1.0" encoding="utf-8"?>
<ct:contentTypeSchema xmlns:ct="http://schemas.microsoft.com/office/2006/metadata/contentType" xmlns:ma="http://schemas.microsoft.com/office/2006/metadata/properties/metaAttributes" ct:_="" ma:_="" ma:contentTypeName="Document" ma:contentTypeID="0x010100AF5ADB003E5349499F1DC840A3748441" ma:contentTypeVersion="18" ma:contentTypeDescription="Create a new document." ma:contentTypeScope="" ma:versionID="7be5c994e1b2318558a73cf32ee14abc">
  <xsd:schema xmlns:xsd="http://www.w3.org/2001/XMLSchema" xmlns:xs="http://www.w3.org/2001/XMLSchema" xmlns:p="http://schemas.microsoft.com/office/2006/metadata/properties" xmlns:ns2="4999a062-bf25-4e1b-bf40-d0ceaadde115" xmlns:ns3="ab9bf696-b976-42ed-b50a-48004ee2daad" targetNamespace="http://schemas.microsoft.com/office/2006/metadata/properties" ma:root="true" ma:fieldsID="47ebfa8b51f209822f50301222253475" ns2:_="" ns3:_="">
    <xsd:import namespace="4999a062-bf25-4e1b-bf40-d0ceaadde115"/>
    <xsd:import namespace="ab9bf696-b976-42ed-b50a-48004ee2daad"/>
    <xsd:element name="properties">
      <xsd:complexType>
        <xsd:sequence>
          <xsd:element name="documentManagement">
            <xsd:complexType>
              <xsd:all>
                <xsd:element ref="ns2:MediaServiceMetadata" minOccurs="0"/>
                <xsd:element ref="ns2:MediaServiceFastMetadata" minOccurs="0"/>
                <xsd:element ref="ns3:i0f84bba906045b4af568ee102a52dcb" minOccurs="0"/>
                <xsd:element ref="ns3:TaxCatchAll"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99a062-bf25-4e1b-bf40-d0ceaadde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bf696-b976-42ed-b50a-48004ee2daad" elementFormDefault="qualified">
    <xsd:import namespace="http://schemas.microsoft.com/office/2006/documentManagement/types"/>
    <xsd:import namespace="http://schemas.microsoft.com/office/infopath/2007/PartnerControls"/>
    <xsd:element name="i0f84bba906045b4af568ee102a52dcb" ma:index="11"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3679ecb-4789-4df4-b2e8-2dc9b4aacb86}" ma:internalName="TaxCatchAll" ma:showField="CatchAllData" ma:web="ab9bf696-b976-42ed-b50a-48004ee2daad">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0f84bba906045b4af568ee102a52dcb xmlns="ab9bf696-b976-42ed-b50a-48004ee2daa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4999a062-bf25-4e1b-bf40-d0ceaadde115">
      <Terms xmlns="http://schemas.microsoft.com/office/infopath/2007/PartnerControls"/>
    </lcf76f155ced4ddcb4097134ff3c332f>
    <TaxCatchAll xmlns="ab9bf696-b976-42ed-b50a-48004ee2daad">
      <Value>1</Value>
    </TaxCatchAll>
  </documentManagement>
</p:properties>
</file>

<file path=customXml/item5.xml><?xml version="1.0" encoding="utf-8"?>
<TemplafyTemplateConfiguration><![CDATA[{"elementsMetadata":[],"transformationConfigurations":[],"templateName":"Fact sheet","templateDescription":"","enableDocumentContentUpdater":false,"version":"2.0"}]]></TemplafyTemplateConfiguration>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EDF02A-B8FF-46BF-BAF0-A1E8BE8BF93E}">
  <ds:schemaRefs/>
</ds:datastoreItem>
</file>

<file path=customXml/itemProps2.xml><?xml version="1.0" encoding="utf-8"?>
<ds:datastoreItem xmlns:ds="http://schemas.openxmlformats.org/officeDocument/2006/customXml" ds:itemID="{7288D418-E639-409F-943D-9DE3D914C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99a062-bf25-4e1b-bf40-d0ceaadde115"/>
    <ds:schemaRef ds:uri="ab9bf696-b976-42ed-b50a-48004ee2d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DA32F2-0615-4BB1-8605-016D51A6B5B4}">
  <ds:schemaRefs>
    <ds:schemaRef ds:uri="http://schemas.openxmlformats.org/officeDocument/2006/bibliography"/>
  </ds:schemaRefs>
</ds:datastoreItem>
</file>

<file path=customXml/itemProps4.xml><?xml version="1.0" encoding="utf-8"?>
<ds:datastoreItem xmlns:ds="http://schemas.openxmlformats.org/officeDocument/2006/customXml" ds:itemID="{FB5D7FDC-A6EB-48A6-9057-AFCDF340D847}">
  <ds:schemaRefs>
    <ds:schemaRef ds:uri="http://schemas.microsoft.com/office/2006/metadata/properties"/>
    <ds:schemaRef ds:uri="http://schemas.microsoft.com/office/infopath/2007/PartnerControls"/>
    <ds:schemaRef ds:uri="ab9bf696-b976-42ed-b50a-48004ee2daad"/>
    <ds:schemaRef ds:uri="4999a062-bf25-4e1b-bf40-d0ceaadde115"/>
  </ds:schemaRefs>
</ds:datastoreItem>
</file>

<file path=customXml/itemProps5.xml><?xml version="1.0" encoding="utf-8"?>
<ds:datastoreItem xmlns:ds="http://schemas.openxmlformats.org/officeDocument/2006/customXml" ds:itemID="{E311EFDB-C4E3-4BD1-B6FD-1F3EF20E8211}">
  <ds:schemaRefs/>
</ds:datastoreItem>
</file>

<file path=customXml/itemProps6.xml><?xml version="1.0" encoding="utf-8"?>
<ds:datastoreItem xmlns:ds="http://schemas.openxmlformats.org/officeDocument/2006/customXml" ds:itemID="{E104AB50-D46F-4DAB-B75F-90437CF606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PC-report-template</Template>
  <TotalTime>119</TotalTime>
  <Pages>2</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Fact sheet 4: Climate transition - Advancing Prosperity</vt:lpstr>
    </vt:vector>
  </TitlesOfParts>
  <Company>Productivity Commission</Company>
  <LinksUpToDate>false</LinksUpToDate>
  <CharactersWithSpaces>5768</CharactersWithSpaces>
  <SharedDoc>false</SharedDoc>
  <HLinks>
    <vt:vector size="6" baseType="variant">
      <vt:variant>
        <vt:i4>7602218</vt:i4>
      </vt:variant>
      <vt:variant>
        <vt:i4>0</vt:i4>
      </vt:variant>
      <vt:variant>
        <vt:i4>0</vt:i4>
      </vt:variant>
      <vt:variant>
        <vt:i4>5</vt:i4>
      </vt:variant>
      <vt:variant>
        <vt:lpwstr>https://www.pc.gov.au/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4: Climate transition - Advancing Prosperity</dc:title>
  <dc:subject/>
  <dc:creator>Productivity Commission</dc:creator>
  <cp:keywords/>
  <cp:lastModifiedBy>Chris Alston</cp:lastModifiedBy>
  <cp:revision>37</cp:revision>
  <dcterms:created xsi:type="dcterms:W3CDTF">2023-03-17T15:52:00Z</dcterms:created>
  <dcterms:modified xsi:type="dcterms:W3CDTF">2023-03-17T00:57:00Z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637346222824850435</vt:lpwstr>
  </property>
  <property fmtid="{D5CDD505-2E9C-101B-9397-08002B2CF9AE}" pid="4" name="TemplafyUserProfileId">
    <vt:lpwstr>637610559223843913</vt:lpwstr>
  </property>
  <property fmtid="{D5CDD505-2E9C-101B-9397-08002B2CF9AE}" pid="5" name="TemplafyFromBlank">
    <vt:bool>false</vt:bool>
  </property>
  <property fmtid="{D5CDD505-2E9C-101B-9397-08002B2CF9AE}" pid="6" name="ContentTypeId">
    <vt:lpwstr>0x010100AF5ADB003E5349499F1DC840A3748441</vt:lpwstr>
  </property>
  <property fmtid="{D5CDD505-2E9C-101B-9397-08002B2CF9AE}" pid="7" name="MediaServiceImageTags">
    <vt:lpwstr/>
  </property>
  <property fmtid="{D5CDD505-2E9C-101B-9397-08002B2CF9AE}" pid="8" name="RevIMBCS">
    <vt:lpwstr>1;#Unclassified|3955eeb1-2d18-4582-aeb2-00144ec3aaf5</vt:lpwstr>
  </property>
</Properties>
</file>