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EA57E" w14:textId="2F8CFB96" w:rsidR="00BF738A" w:rsidRPr="00ED57AE" w:rsidRDefault="00765CB6" w:rsidP="00F67BF1">
      <w:pPr>
        <w:pStyle w:val="Heading1"/>
        <w:spacing w:before="720"/>
      </w:pPr>
      <w:r>
        <w:t>Migration and occupational licensing</w:t>
      </w:r>
    </w:p>
    <w:p w14:paraId="15F8AB0E" w14:textId="49AE5F34" w:rsidR="00A9384D" w:rsidRPr="00636C41" w:rsidRDefault="00A9384D" w:rsidP="00A9384D">
      <w:pPr>
        <w:pStyle w:val="BodyText"/>
      </w:pPr>
      <w:r w:rsidRPr="009869D5">
        <w:rPr>
          <w:b/>
          <w:bCs/>
        </w:rPr>
        <w:t>Skilled migration</w:t>
      </w:r>
      <w:r>
        <w:t xml:space="preserve">: </w:t>
      </w:r>
      <w:r w:rsidR="00EB2A20">
        <w:t>M</w:t>
      </w:r>
      <w:r w:rsidRPr="00B05A59">
        <w:t xml:space="preserve">igration policy </w:t>
      </w:r>
      <w:r w:rsidR="00EB2A20">
        <w:t xml:space="preserve">should be set </w:t>
      </w:r>
      <w:r w:rsidRPr="00B05A59">
        <w:t xml:space="preserve">within a broader framework of public wellbeing, </w:t>
      </w:r>
      <w:r w:rsidR="00667D4E">
        <w:t>considering a range of economic and social policy objectives</w:t>
      </w:r>
      <w:r w:rsidRPr="00B05A59">
        <w:t xml:space="preserve">. </w:t>
      </w:r>
      <w:r w:rsidRPr="00636C41">
        <w:t xml:space="preserve">Through a productivity lens, migration is an important avenue for attracting skills and knowledge, allocating labour to where it is most productive and diffusing best practice from overseas. </w:t>
      </w:r>
      <w:r w:rsidR="00733D55" w:rsidRPr="00636C41">
        <w:t xml:space="preserve">To maximise productivity, </w:t>
      </w:r>
      <w:r w:rsidRPr="00636C41">
        <w:t xml:space="preserve">migration settings </w:t>
      </w:r>
      <w:r w:rsidR="00FC3634" w:rsidRPr="00636C41">
        <w:t>should</w:t>
      </w:r>
      <w:r w:rsidRPr="00636C41">
        <w:t xml:space="preserve"> improve </w:t>
      </w:r>
      <w:r w:rsidR="00B05A59" w:rsidRPr="00636C41">
        <w:t xml:space="preserve">the </w:t>
      </w:r>
      <w:r w:rsidR="00FC3634" w:rsidRPr="00636C41">
        <w:t xml:space="preserve">match between jobs and skills </w:t>
      </w:r>
      <w:r w:rsidRPr="00636C41">
        <w:t>and produce fiscal benefits over migrants’ lifetimes. Both objectives are heavily influenced by migrants’ labour market outcomes.</w:t>
      </w:r>
    </w:p>
    <w:p w14:paraId="7FC6EC62" w14:textId="5E41C352" w:rsidR="00A9384D" w:rsidRDefault="00A9384D" w:rsidP="00A9384D">
      <w:r w:rsidRPr="00375309">
        <w:rPr>
          <w:b/>
          <w:bCs/>
        </w:rPr>
        <w:t>Occupational licensing</w:t>
      </w:r>
      <w:r>
        <w:t xml:space="preserve">: </w:t>
      </w:r>
      <w:r w:rsidRPr="00636C41">
        <w:rPr>
          <w:rStyle w:val="BodyTextChar"/>
        </w:rPr>
        <w:t xml:space="preserve">Formal licensing, registration, or regulated statutory minimum requirements </w:t>
      </w:r>
      <w:r w:rsidR="00B05A59">
        <w:rPr>
          <w:rStyle w:val="BodyTextChar"/>
        </w:rPr>
        <w:t>are</w:t>
      </w:r>
      <w:r w:rsidRPr="00636C41">
        <w:rPr>
          <w:rStyle w:val="BodyTextChar"/>
        </w:rPr>
        <w:t xml:space="preserve"> a signal of proficiency and quality of work output to employers and consumers. When working efficiently, licensing helps to address externalities and decrease information asymmetries. At the same time, by </w:t>
      </w:r>
      <w:r w:rsidR="00DC0339" w:rsidRPr="00636C41">
        <w:rPr>
          <w:rStyle w:val="BodyTextChar"/>
        </w:rPr>
        <w:t>re</w:t>
      </w:r>
      <w:r w:rsidR="00DC0339">
        <w:rPr>
          <w:rStyle w:val="BodyTextChar"/>
        </w:rPr>
        <w:t>ducing</w:t>
      </w:r>
      <w:r w:rsidR="00DC0339" w:rsidRPr="00636C41">
        <w:rPr>
          <w:rStyle w:val="BodyTextChar"/>
        </w:rPr>
        <w:t xml:space="preserve"> </w:t>
      </w:r>
      <w:r w:rsidRPr="00636C41">
        <w:rPr>
          <w:rStyle w:val="BodyTextChar"/>
        </w:rPr>
        <w:t>the pool of workers who can provide particular services, licensing can limit entry into a market, restrict choice and increase prices.</w:t>
      </w:r>
      <w:r>
        <w:t xml:space="preserve"> </w:t>
      </w:r>
    </w:p>
    <w:p w14:paraId="461C49E3" w14:textId="250752A7" w:rsidR="008318AE" w:rsidRPr="002A5935" w:rsidRDefault="00A9384D" w:rsidP="002A5935">
      <w:pPr>
        <w:pStyle w:val="Heading2"/>
      </w:pPr>
      <w:r w:rsidRPr="002A5935">
        <w:t>R</w:t>
      </w:r>
      <w:r w:rsidR="008318AE" w:rsidRPr="002A5935">
        <w:t>ecommendations</w:t>
      </w:r>
    </w:p>
    <w:p w14:paraId="07C4877F" w14:textId="7258B99C" w:rsidR="00497115" w:rsidRPr="00DE6142" w:rsidRDefault="00497115" w:rsidP="00942D5E">
      <w:pPr>
        <w:spacing w:before="120" w:after="0"/>
      </w:pPr>
      <w:bookmarkStart w:id="0" w:name="_Hlk94794966"/>
      <w:r>
        <w:t xml:space="preserve">Regarding </w:t>
      </w:r>
      <w:r w:rsidRPr="00562879">
        <w:rPr>
          <w:b/>
          <w:bCs/>
        </w:rPr>
        <w:t>skilled migration</w:t>
      </w:r>
      <w:r w:rsidR="00A5282B">
        <w:rPr>
          <w:b/>
          <w:bCs/>
        </w:rPr>
        <w:t xml:space="preserve"> </w:t>
      </w:r>
      <w:r w:rsidR="00A5282B" w:rsidRPr="00FC13D9">
        <w:t>(recommendations 7.1 to 7.6)</w:t>
      </w:r>
      <w:r w:rsidRPr="00A5282B">
        <w:t>,</w:t>
      </w:r>
      <w:r>
        <w:t xml:space="preserve"> t</w:t>
      </w:r>
      <w:r w:rsidRPr="00DE6142">
        <w:t>he Australian Government should:</w:t>
      </w:r>
    </w:p>
    <w:p w14:paraId="198EC232" w14:textId="1B6DEF9E" w:rsidR="00497115" w:rsidRPr="00636C41" w:rsidRDefault="00DC0339" w:rsidP="00636C41">
      <w:pPr>
        <w:pStyle w:val="ListBullet"/>
      </w:pPr>
      <w:r w:rsidRPr="00636C41">
        <w:t>A</w:t>
      </w:r>
      <w:r w:rsidR="00497115" w:rsidRPr="00636C41">
        <w:t>bolish the Business Innovation &amp; Investment visa program. Temporary migration should be facilitated for people with genuine plans to start a business in Australia, while pathways to permanent residency should involve the revised Skilled Independent</w:t>
      </w:r>
      <w:r w:rsidR="00D47CFA">
        <w:t xml:space="preserve"> visa</w:t>
      </w:r>
      <w:r w:rsidR="00BE7BCF">
        <w:t xml:space="preserve"> (subclass 189)</w:t>
      </w:r>
      <w:r w:rsidR="00497115" w:rsidRPr="00636C41">
        <w:t>, based on a points test that better accounts for income levels and age</w:t>
      </w:r>
      <w:r w:rsidR="00D47CFA">
        <w:t>.</w:t>
      </w:r>
    </w:p>
    <w:p w14:paraId="14BCAE57" w14:textId="073BD595" w:rsidR="00497115" w:rsidRPr="00DC0339" w:rsidRDefault="00DC0339" w:rsidP="00636C41">
      <w:pPr>
        <w:pStyle w:val="ListBullet"/>
      </w:pPr>
      <w:r w:rsidRPr="00DC0339">
        <w:t>R</w:t>
      </w:r>
      <w:r w:rsidR="00497115" w:rsidRPr="00DC0339">
        <w:t>emove current list</w:t>
      </w:r>
      <w:r w:rsidR="00497115" w:rsidRPr="00DC0339">
        <w:noBreakHyphen/>
        <w:t>based restrictions for employer</w:t>
      </w:r>
      <w:r w:rsidR="00497115" w:rsidRPr="00DC0339">
        <w:noBreakHyphen/>
        <w:t xml:space="preserve">sponsored temporary and permanent skilled visas and set an income threshold well above the </w:t>
      </w:r>
      <w:r w:rsidR="00497115" w:rsidRPr="00636C41">
        <w:t>Temporary Skilled Migration Income Threshold (</w:t>
      </w:r>
      <w:r w:rsidR="00497115" w:rsidRPr="00DC0339">
        <w:t>TSMIT) rate. The income threshold that applies to temporary migration should be lower than for permanent</w:t>
      </w:r>
      <w:r w:rsidR="00283BAA">
        <w:t xml:space="preserve"> migration</w:t>
      </w:r>
      <w:r w:rsidR="00497115" w:rsidRPr="00DC0339">
        <w:t>. The income threshold for the employer</w:t>
      </w:r>
      <w:r w:rsidR="00497115" w:rsidRPr="00DC0339">
        <w:noBreakHyphen/>
        <w:t>sponsored permanent visa should increase with age</w:t>
      </w:r>
      <w:r w:rsidR="00042BF6">
        <w:t xml:space="preserve">, with </w:t>
      </w:r>
      <w:r w:rsidR="00735B47">
        <w:t xml:space="preserve">people ineligible for </w:t>
      </w:r>
      <w:r w:rsidR="002F02F4">
        <w:t xml:space="preserve">this visa </w:t>
      </w:r>
      <w:r w:rsidR="00735B47">
        <w:t>after</w:t>
      </w:r>
      <w:r w:rsidR="002F02F4">
        <w:t xml:space="preserve"> </w:t>
      </w:r>
      <w:r w:rsidR="00735B47">
        <w:t xml:space="preserve">reaching </w:t>
      </w:r>
      <w:r w:rsidR="002F02F4">
        <w:t>a certain age.</w:t>
      </w:r>
    </w:p>
    <w:p w14:paraId="2578FF99" w14:textId="6DC9E37F" w:rsidR="00497115" w:rsidRPr="00DC0339" w:rsidRDefault="00D44A08" w:rsidP="00636C41">
      <w:pPr>
        <w:pStyle w:val="ListBullet"/>
      </w:pPr>
      <w:r>
        <w:t>Remove current list-based restrictions f</w:t>
      </w:r>
      <w:r w:rsidR="00497115" w:rsidRPr="00DC0339">
        <w:t xml:space="preserve">or the Skilled Independent visa. Additional points should be awarded for ongoing employment in Australia according to income level, with different income benchmarks for different age groups. The design of the points system should be updated regularly based on research, </w:t>
      </w:r>
      <w:r w:rsidR="00A4408D">
        <w:t>with</w:t>
      </w:r>
      <w:r w:rsidR="00497115" w:rsidRPr="00DC0339">
        <w:t xml:space="preserve"> points awarded for factors associated with fiscal and employment benefits.</w:t>
      </w:r>
    </w:p>
    <w:p w14:paraId="2DF248B4" w14:textId="35FB8D7D" w:rsidR="00497115" w:rsidRPr="00DC0339" w:rsidRDefault="004C2138" w:rsidP="00636C41">
      <w:pPr>
        <w:pStyle w:val="ListBullet"/>
      </w:pPr>
      <w:r>
        <w:t>I</w:t>
      </w:r>
      <w:r w:rsidR="00497115" w:rsidRPr="00DC0339">
        <w:t>ntroduce a pilot of a special permanent visa subclass for occupations in human services sectors that are largely funded by government (such as aged and disability care), but only if these are facing likely enduring and significant labour shortages that are weakly responsive to wage increases. The visa subclass should be subject to the current</w:t>
      </w:r>
      <w:r w:rsidR="00583206">
        <w:t xml:space="preserve"> </w:t>
      </w:r>
      <w:r w:rsidR="00583206" w:rsidRPr="00636C41">
        <w:t>Temporary Skilled Migration Income Threshold</w:t>
      </w:r>
      <w:r w:rsidR="00497115" w:rsidRPr="00DC0339">
        <w:t xml:space="preserve"> and require that the applicant remain employed in the relevant sector for 4 years. The pilot should be evaluated for its impacts and abandoned if labour shortages can be better met through wage increases and more sustainable alternative funding</w:t>
      </w:r>
      <w:r w:rsidR="00313EB3">
        <w:t>.</w:t>
      </w:r>
    </w:p>
    <w:p w14:paraId="0C89B4E0" w14:textId="737D0B1B" w:rsidR="00497115" w:rsidRPr="00DC0339" w:rsidRDefault="00313EB3" w:rsidP="00636C41">
      <w:pPr>
        <w:pStyle w:val="ListBullet"/>
      </w:pPr>
      <w:r>
        <w:t>A</w:t>
      </w:r>
      <w:r w:rsidR="00497115" w:rsidRPr="00DC0339">
        <w:t>mend settings for temporary skilled migration</w:t>
      </w:r>
      <w:r>
        <w:t xml:space="preserve"> visas</w:t>
      </w:r>
      <w:r w:rsidR="00497115" w:rsidRPr="00DC0339">
        <w:t xml:space="preserve"> to increase their duration to 6 years</w:t>
      </w:r>
      <w:r>
        <w:t>.</w:t>
      </w:r>
      <w:r w:rsidR="00577F84">
        <w:t xml:space="preserve"> </w:t>
      </w:r>
      <w:r w:rsidR="000E4CEE">
        <w:t>For g</w:t>
      </w:r>
      <w:r w:rsidR="00497115" w:rsidRPr="00DC0339">
        <w:t>raduate visa holders with Bachelor and higher</w:t>
      </w:r>
      <w:r w:rsidR="00497115" w:rsidRPr="00DC0339">
        <w:noBreakHyphen/>
        <w:t xml:space="preserve">level degrees, </w:t>
      </w:r>
      <w:r w:rsidR="000E4CEE">
        <w:t xml:space="preserve">the duration of stay should be </w:t>
      </w:r>
      <w:r w:rsidR="00426CF7">
        <w:t>extended</w:t>
      </w:r>
      <w:r w:rsidR="00546FDE">
        <w:t xml:space="preserve"> to</w:t>
      </w:r>
      <w:r w:rsidR="00497115" w:rsidRPr="00DC0339">
        <w:t xml:space="preserve"> 5 years</w:t>
      </w:r>
      <w:r w:rsidR="00177E30">
        <w:t>,</w:t>
      </w:r>
      <w:r w:rsidR="00497115" w:rsidRPr="00DC0339">
        <w:t xml:space="preserve"> subject to proof of ongoing employment above a set wage threshold. </w:t>
      </w:r>
      <w:r w:rsidR="00CB3F46">
        <w:t>O</w:t>
      </w:r>
      <w:r w:rsidR="00497115" w:rsidRPr="00DC0339">
        <w:t xml:space="preserve">btaining a qualification from an Australian tertiary education provider should be associated with an expectation </w:t>
      </w:r>
      <w:r w:rsidR="00EF176E">
        <w:t xml:space="preserve">for international students </w:t>
      </w:r>
      <w:r w:rsidR="00497115" w:rsidRPr="00DC0339">
        <w:t>of being able to test their skills in the Australian labour market, but not an expectation that their qualification alone will qualify them for permanent residency (which will increasingly depend on labour market outcomes, including income levels, and age)</w:t>
      </w:r>
      <w:r w:rsidR="003736C3">
        <w:t>.</w:t>
      </w:r>
    </w:p>
    <w:p w14:paraId="19ECB478" w14:textId="6D7B4DF0" w:rsidR="00497115" w:rsidRPr="00DC0339" w:rsidRDefault="003736C3" w:rsidP="00636C41">
      <w:pPr>
        <w:pStyle w:val="ListBullet"/>
      </w:pPr>
      <w:r>
        <w:t>A</w:t>
      </w:r>
      <w:r w:rsidR="00497115" w:rsidRPr="00DC0339">
        <w:t>mend settings for employer</w:t>
      </w:r>
      <w:r>
        <w:t>-</w:t>
      </w:r>
      <w:r w:rsidR="00497115" w:rsidRPr="00DC0339">
        <w:t>sponsored temporary and permanent visas to better allow workers to switch employer sponsors</w:t>
      </w:r>
      <w:r>
        <w:t>,</w:t>
      </w:r>
      <w:r w:rsidR="00497115" w:rsidRPr="00DC0339">
        <w:t xml:space="preserve"> including by permitting a short period of unemployment to look for a new sponsor.</w:t>
      </w:r>
    </w:p>
    <w:p w14:paraId="28D410D3" w14:textId="106D8B01" w:rsidR="00497115" w:rsidRDefault="00497115" w:rsidP="00942D5E">
      <w:pPr>
        <w:spacing w:before="120" w:after="0"/>
      </w:pPr>
      <w:r>
        <w:t xml:space="preserve">Regarding </w:t>
      </w:r>
      <w:r w:rsidRPr="00562879">
        <w:rPr>
          <w:b/>
          <w:bCs/>
        </w:rPr>
        <w:t>occupational licensing</w:t>
      </w:r>
      <w:r w:rsidRPr="00562879">
        <w:t xml:space="preserve"> </w:t>
      </w:r>
      <w:r w:rsidR="00BD211F">
        <w:t xml:space="preserve">(recommendations 7.7 to </w:t>
      </w:r>
      <w:r w:rsidR="00FC13D9">
        <w:t xml:space="preserve">7.12), </w:t>
      </w:r>
      <w:r>
        <w:t>t</w:t>
      </w:r>
      <w:r w:rsidRPr="00DE6142">
        <w:t>he Australian Government should</w:t>
      </w:r>
      <w:r>
        <w:t>:</w:t>
      </w:r>
    </w:p>
    <w:p w14:paraId="6A962F17" w14:textId="3A68F59E" w:rsidR="00497115" w:rsidRDefault="00C30B28" w:rsidP="00942D5E">
      <w:pPr>
        <w:pStyle w:val="ListBullet"/>
        <w:numPr>
          <w:ilvl w:val="0"/>
          <w:numId w:val="3"/>
        </w:numPr>
        <w:spacing w:before="0"/>
      </w:pPr>
      <w:r>
        <w:lastRenderedPageBreak/>
        <w:t xml:space="preserve">Facilitate collaboration between </w:t>
      </w:r>
      <w:r w:rsidR="001E6AE3">
        <w:t xml:space="preserve">national </w:t>
      </w:r>
      <w:r w:rsidR="00497115">
        <w:t xml:space="preserve">licensing bodies (such as in health) </w:t>
      </w:r>
      <w:r>
        <w:t xml:space="preserve">and </w:t>
      </w:r>
      <w:r w:rsidR="00497115">
        <w:t>regulators and/or other institutions (e.g. medical colleges) from selected countries</w:t>
      </w:r>
      <w:r w:rsidR="00920391">
        <w:t>,</w:t>
      </w:r>
      <w:r w:rsidR="00497115">
        <w:t xml:space="preserve"> with the aim of establishing a default recognition</w:t>
      </w:r>
      <w:r w:rsidR="006B7209">
        <w:t xml:space="preserve"> and making the process of recognising international qualifications more efficient</w:t>
      </w:r>
      <w:r w:rsidR="00497115">
        <w:t xml:space="preserve"> (e.g. requiring the migrant to undertake further study to fill any knowledge gaps rather than to re</w:t>
      </w:r>
      <w:r w:rsidR="00497115">
        <w:noBreakHyphen/>
        <w:t>take their qualification).</w:t>
      </w:r>
    </w:p>
    <w:p w14:paraId="1E99674A" w14:textId="3284CD4B" w:rsidR="00497115" w:rsidRDefault="00497115" w:rsidP="00497115">
      <w:pPr>
        <w:pStyle w:val="ListBullet"/>
        <w:numPr>
          <w:ilvl w:val="0"/>
          <w:numId w:val="3"/>
        </w:numPr>
        <w:spacing w:before="0" w:after="0"/>
      </w:pPr>
      <w:r>
        <w:t>Take an occupation</w:t>
      </w:r>
      <w:r>
        <w:noBreakHyphen/>
        <w:t>by</w:t>
      </w:r>
      <w:r>
        <w:noBreakHyphen/>
        <w:t>occupation approach to deciding whether the skills assessment undertaken for migration purposes (generally by VETASSESS) is warranted</w:t>
      </w:r>
      <w:r w:rsidR="009543F4">
        <w:t>,</w:t>
      </w:r>
      <w:r>
        <w:t xml:space="preserve"> given that migrants usually have proof of qualifications and the assessment is often undertaken by non</w:t>
      </w:r>
      <w:r>
        <w:noBreakHyphen/>
        <w:t>experts. In many cases, it would likely be possible to rely on the assessment of the regulator/licensing body for the purposes of migration.</w:t>
      </w:r>
    </w:p>
    <w:p w14:paraId="7E1C44DE" w14:textId="77777777" w:rsidR="00497115" w:rsidRPr="00E568C4" w:rsidRDefault="00497115" w:rsidP="00497115">
      <w:pPr>
        <w:pStyle w:val="ListBullet"/>
        <w:numPr>
          <w:ilvl w:val="0"/>
          <w:numId w:val="3"/>
        </w:numPr>
      </w:pPr>
      <w:r>
        <w:t>Australian governments should work with the relevant regulators to re</w:t>
      </w:r>
      <w:r>
        <w:noBreakHyphen/>
        <w:t xml:space="preserve">examine boundary issues relating to occupational licenses, particularly where independent reviews have already highlighted potential gains. </w:t>
      </w:r>
    </w:p>
    <w:p w14:paraId="1D8AE153" w14:textId="2BC47A0F" w:rsidR="00497115" w:rsidRPr="00273F28" w:rsidRDefault="00497115" w:rsidP="00497115">
      <w:pPr>
        <w:pStyle w:val="ListBullet"/>
        <w:numPr>
          <w:ilvl w:val="0"/>
          <w:numId w:val="3"/>
        </w:numPr>
      </w:pPr>
      <w:r>
        <w:t>Australian governments should undertake trials for expanded scope of practice in health services. Where service funding is determined by a Commonwealth</w:t>
      </w:r>
      <w:r>
        <w:noBreakHyphen/>
      </w:r>
      <w:r w:rsidR="00F47B72">
        <w:t>s</w:t>
      </w:r>
      <w:r>
        <w:t>tate intergovernmental agreement, the Australian Government should allow the funding arrangement to encourage evidence</w:t>
      </w:r>
      <w:r>
        <w:noBreakHyphen/>
        <w:t xml:space="preserve">based trials (e.g. ensuring trials of novel arrangements in healthcare are appropriately funded through Medicare and/or PBS). </w:t>
      </w:r>
    </w:p>
    <w:p w14:paraId="73F2FD8C" w14:textId="4FE887F4" w:rsidR="00497115" w:rsidRDefault="00497115" w:rsidP="00497115">
      <w:pPr>
        <w:pStyle w:val="ListBullet"/>
        <w:numPr>
          <w:ilvl w:val="0"/>
          <w:numId w:val="3"/>
        </w:numPr>
      </w:pPr>
      <w:r>
        <w:t xml:space="preserve">In developing digital licensing platforms, Australian governments should prioritise choices in technology and design that enable data collection that can inform effective licensing policy and future information sharing between jurisdictions. </w:t>
      </w:r>
    </w:p>
    <w:p w14:paraId="43FDC6C7" w14:textId="4ADFA8C9" w:rsidR="003261DF" w:rsidRPr="002A5935" w:rsidRDefault="003261DF" w:rsidP="00BB43D0">
      <w:pPr>
        <w:pStyle w:val="Heading2"/>
        <w:spacing w:before="200"/>
      </w:pPr>
      <w:r w:rsidRPr="002A5935">
        <w:t>Key figures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9638"/>
      </w:tblGrid>
      <w:tr w:rsidR="006428DA" w:rsidRPr="005550A0" w14:paraId="4C29D2FF" w14:textId="77777777" w:rsidTr="00FB0EA0">
        <w:trPr>
          <w:tblHeader/>
        </w:trPr>
        <w:tc>
          <w:tcPr>
            <w:tcW w:w="5000" w:type="pct"/>
            <w:shd w:val="clear" w:color="auto" w:fill="FCEFD2" w:themeFill="accent3" w:themeFillTint="33"/>
          </w:tcPr>
          <w:p w14:paraId="1B3B4745" w14:textId="0B7C02B2" w:rsidR="006428DA" w:rsidRPr="00DA421F" w:rsidRDefault="006428DA">
            <w:pPr>
              <w:pStyle w:val="TableBody"/>
              <w:rPr>
                <w:noProof/>
              </w:rPr>
            </w:pPr>
            <w:r>
              <w:t>Assuming migrants’ fiscal interactions are similar to the broader population, most of the risk of negative fiscal outcomes occurs during childhood and after retirement. As such, the fiscal risk associated with migration relates mainly to permanent migration of older age groups. (Volume 7, p. 19)</w:t>
            </w:r>
          </w:p>
        </w:tc>
      </w:tr>
      <w:tr w:rsidR="006428DA" w:rsidRPr="005550A0" w14:paraId="308981CA" w14:textId="77777777" w:rsidTr="006428DA">
        <w:trPr>
          <w:tblHeader/>
        </w:trPr>
        <w:tc>
          <w:tcPr>
            <w:tcW w:w="5000" w:type="pct"/>
            <w:shd w:val="clear" w:color="auto" w:fill="auto"/>
          </w:tcPr>
          <w:p w14:paraId="3E0FCA01" w14:textId="456D558B" w:rsidR="006428DA" w:rsidRDefault="00FE3872">
            <w:pPr>
              <w:pStyle w:val="TableBody"/>
            </w:pPr>
            <w:r w:rsidRPr="00FE3872">
              <w:rPr>
                <w:noProof/>
              </w:rPr>
              <w:drawing>
                <wp:inline distT="0" distB="0" distL="0" distR="0" wp14:anchorId="6DB5A9CB" wp14:editId="30AB6D96">
                  <wp:extent cx="6120130" cy="3410585"/>
                  <wp:effectExtent l="0" t="0" r="0" b="0"/>
                  <wp:docPr id="2" name="Picture 2" descr="This figure shows the estimated lifetime profile of fiscal revenues and expenses for an Australian born in 2018–19. The net fiscal impact varies by age: it is negative from childhood until the early twenties, then most strongly positive in the early to mid 40s, then becomes negative again in the mid 6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figure shows the estimated lifetime profile of fiscal revenues and expenses for an Australian born in 2018–19. The net fiscal impact varies by age: it is negative from childhood until the early twenties, then most strongly positive in the early to mid 40s, then becomes negative again in the mid 60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130" cy="3410585"/>
                          </a:xfrm>
                          <a:prstGeom prst="rect">
                            <a:avLst/>
                          </a:prstGeom>
                          <a:noFill/>
                          <a:ln>
                            <a:noFill/>
                          </a:ln>
                        </pic:spPr>
                      </pic:pic>
                    </a:graphicData>
                  </a:graphic>
                </wp:inline>
              </w:drawing>
            </w:r>
          </w:p>
          <w:p w14:paraId="486046D0" w14:textId="02D8465B" w:rsidR="006428DA" w:rsidRPr="005550A0" w:rsidRDefault="006428DA">
            <w:pPr>
              <w:pStyle w:val="TableBody"/>
            </w:pPr>
          </w:p>
        </w:tc>
      </w:tr>
    </w:tbl>
    <w:p w14:paraId="3DDB2EB2" w14:textId="77777777" w:rsidR="00FB0EA0" w:rsidRDefault="00FB0EA0"/>
    <w:p w14:paraId="0A3C14BD" w14:textId="409E4E79" w:rsidR="00FB0EA0" w:rsidRDefault="00FB0EA0" w:rsidP="00FB0EA0">
      <w:pPr>
        <w:jc w:val="center"/>
      </w:pPr>
      <w:r>
        <w:t>[MORE]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9638"/>
      </w:tblGrid>
      <w:tr w:rsidR="006428DA" w:rsidRPr="005550A0" w14:paraId="29C3DB73" w14:textId="77777777" w:rsidTr="00FB0EA0">
        <w:trPr>
          <w:tblHeader/>
        </w:trPr>
        <w:tc>
          <w:tcPr>
            <w:tcW w:w="5000" w:type="pct"/>
            <w:shd w:val="clear" w:color="auto" w:fill="E7DCED" w:themeFill="accent6" w:themeFillTint="33"/>
          </w:tcPr>
          <w:p w14:paraId="5074BEAD" w14:textId="61BBC11C" w:rsidR="006428DA" w:rsidRPr="00DA421F" w:rsidRDefault="006428DA">
            <w:pPr>
              <w:pStyle w:val="TableBody"/>
              <w:rPr>
                <w:noProof/>
              </w:rPr>
            </w:pPr>
            <w:r>
              <w:lastRenderedPageBreak/>
              <w:t>Employer</w:t>
            </w:r>
            <w:r>
              <w:noBreakHyphen/>
              <w:t>sponsored migration has high fiscal impacts over the lifetime, but is not always used for higher</w:t>
            </w:r>
            <w:r>
              <w:noBreakHyphen/>
              <w:t>skilled occupations. Cooks were a common occupation among Employer Nominated visas awarded up to 2019</w:t>
            </w:r>
            <w:r>
              <w:noBreakHyphen/>
              <w:t>20, with chefs and software and applications programmers more common in recent years. (Volume 7, p. 32)</w:t>
            </w:r>
          </w:p>
        </w:tc>
      </w:tr>
      <w:tr w:rsidR="006428DA" w:rsidRPr="005550A0" w14:paraId="16261B8C" w14:textId="77777777" w:rsidTr="006428DA">
        <w:trPr>
          <w:tblHeader/>
        </w:trPr>
        <w:tc>
          <w:tcPr>
            <w:tcW w:w="5000" w:type="pct"/>
            <w:shd w:val="clear" w:color="auto" w:fill="auto"/>
          </w:tcPr>
          <w:p w14:paraId="3D9B9EC1" w14:textId="47F3EAA4" w:rsidR="006428DA" w:rsidRPr="00DA421F" w:rsidRDefault="00FB0EA0">
            <w:pPr>
              <w:pStyle w:val="TableBody"/>
              <w:rPr>
                <w:noProof/>
              </w:rPr>
            </w:pPr>
            <w:r w:rsidRPr="00FB0EA0">
              <w:rPr>
                <w:noProof/>
              </w:rPr>
              <w:drawing>
                <wp:inline distT="0" distB="0" distL="0" distR="0" wp14:anchorId="4210B523" wp14:editId="06838A3F">
                  <wp:extent cx="6120130" cy="4469765"/>
                  <wp:effectExtent l="0" t="0" r="0" b="6985"/>
                  <wp:docPr id="3" name="Picture 3" descr="Figure 2.7, panel b – This figure shows the top 10 nominated occupations for Employer Nominated visas before and after the pandemic. Cooks were the most common nominated occupation in the Employer Nominated visa program prior to the pandemic, before being overtaken by software and application programmers. The top 10 occupations for this visa program show a mix of skill levels, including chefs, accountants, cooks, and motor mechan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2.7, panel b – This figure shows the top 10 nominated occupations for Employer Nominated visas before and after the pandemic. Cooks were the most common nominated occupation in the Employer Nominated visa program prior to the pandemic, before being overtaken by software and application programmers. The top 10 occupations for this visa program show a mix of skill levels, including chefs, accountants, cooks, and motor mechanics.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130" cy="4469765"/>
                          </a:xfrm>
                          <a:prstGeom prst="rect">
                            <a:avLst/>
                          </a:prstGeom>
                          <a:noFill/>
                          <a:ln>
                            <a:noFill/>
                          </a:ln>
                        </pic:spPr>
                      </pic:pic>
                    </a:graphicData>
                  </a:graphic>
                </wp:inline>
              </w:drawing>
            </w:r>
          </w:p>
        </w:tc>
      </w:tr>
    </w:tbl>
    <w:p w14:paraId="3CF098DC" w14:textId="1C413F71" w:rsidR="008C14FE" w:rsidRDefault="0015274A" w:rsidP="007342CE">
      <w:pPr>
        <w:spacing w:before="240"/>
      </w:pPr>
      <w:r w:rsidRPr="00CF4552">
        <w:t>The</w:t>
      </w:r>
      <w:r w:rsidR="00F67BF1">
        <w:t xml:space="preserve"> </w:t>
      </w:r>
      <w:r w:rsidR="00F67BF1">
        <w:rPr>
          <w:b/>
          <w:bCs/>
        </w:rPr>
        <w:t xml:space="preserve">5-year Productivity Inquiry: Advancing Prosperity </w:t>
      </w:r>
      <w:r w:rsidR="00F67BF1" w:rsidRPr="00F67BF1">
        <w:t>report</w:t>
      </w:r>
      <w:r w:rsidR="00F67BF1">
        <w:rPr>
          <w:b/>
          <w:bCs/>
        </w:rPr>
        <w:t xml:space="preserve"> </w:t>
      </w:r>
      <w:r w:rsidRPr="00CF4552">
        <w:t>can be found at:</w:t>
      </w:r>
      <w:r w:rsidRPr="00CF4552">
        <w:rPr>
          <w:color w:val="4D7028" w:themeColor="accent2"/>
        </w:rPr>
        <w:t xml:space="preserve"> </w:t>
      </w:r>
      <w:hyperlink r:id="rId14" w:history="1">
        <w:r w:rsidRPr="004D1CB9">
          <w:rPr>
            <w:rStyle w:val="Hyperlink"/>
          </w:rPr>
          <w:t>www.pc.gov.au</w:t>
        </w:r>
      </w:hyperlink>
      <w:bookmarkEnd w:id="0"/>
    </w:p>
    <w:sectPr w:rsidR="008C14FE" w:rsidSect="00EB3B9F">
      <w:headerReference w:type="default" r:id="rId15"/>
      <w:footerReference w:type="even" r:id="rId16"/>
      <w:footerReference w:type="default" r:id="rId17"/>
      <w:headerReference w:type="first" r:id="rId18"/>
      <w:footerReference w:type="first" r:id="rId19"/>
      <w:pgSz w:w="11906" w:h="16838" w:code="9"/>
      <w:pgMar w:top="1843" w:right="1134" w:bottom="1134" w:left="1134" w:header="624" w:footer="5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4DFBD" w14:textId="77777777" w:rsidR="008A4F66" w:rsidRDefault="008A4F66" w:rsidP="00BF738A">
      <w:pPr>
        <w:spacing w:after="0" w:line="240" w:lineRule="auto"/>
      </w:pPr>
      <w:r>
        <w:separator/>
      </w:r>
    </w:p>
  </w:endnote>
  <w:endnote w:type="continuationSeparator" w:id="0">
    <w:p w14:paraId="3EB43D97" w14:textId="77777777" w:rsidR="008A4F66" w:rsidRDefault="008A4F66" w:rsidP="00BF738A">
      <w:pPr>
        <w:spacing w:after="0" w:line="240" w:lineRule="auto"/>
      </w:pPr>
      <w:r>
        <w:continuationSeparator/>
      </w:r>
    </w:p>
  </w:endnote>
  <w:endnote w:type="continuationNotice" w:id="1">
    <w:p w14:paraId="0BFB6699" w14:textId="77777777" w:rsidR="008A4F66" w:rsidRDefault="008A4F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0F992" w14:textId="458CB2F5" w:rsidR="00EB3B9F" w:rsidRDefault="00322D65">
    <w:pPr>
      <w:pStyle w:val="Footer"/>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BCB8A" w14:textId="1D9622FE" w:rsidR="00F67BF1" w:rsidRPr="001D4262" w:rsidRDefault="00322D65" w:rsidP="001D4262">
    <w:pPr>
      <w:pStyle w:val="Footer"/>
      <w:spacing w:before="0" w:beforeAutospacing="0" w:after="0" w:afterAutospacing="0"/>
      <w:jc w:val="right"/>
    </w:pPr>
    <w: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3F289" w14:textId="601201E3" w:rsidR="009848AD" w:rsidRPr="00F67BF1" w:rsidRDefault="00F67BF1" w:rsidP="00F67BF1">
    <w:pPr>
      <w:pStyle w:val="Footer"/>
      <w:spacing w:before="0" w:beforeAutospacing="0" w:after="0" w:afterAutospacing="0"/>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A72D4" w14:textId="77777777" w:rsidR="008A4F66" w:rsidRDefault="008A4F66" w:rsidP="00BF738A">
      <w:pPr>
        <w:spacing w:after="0" w:line="240" w:lineRule="auto"/>
      </w:pPr>
      <w:r>
        <w:separator/>
      </w:r>
    </w:p>
  </w:footnote>
  <w:footnote w:type="continuationSeparator" w:id="0">
    <w:p w14:paraId="23D57FBD" w14:textId="77777777" w:rsidR="008A4F66" w:rsidRDefault="008A4F66" w:rsidP="00BF738A">
      <w:pPr>
        <w:spacing w:after="0" w:line="240" w:lineRule="auto"/>
      </w:pPr>
      <w:r>
        <w:continuationSeparator/>
      </w:r>
    </w:p>
  </w:footnote>
  <w:footnote w:type="continuationNotice" w:id="1">
    <w:p w14:paraId="15B64D8F" w14:textId="77777777" w:rsidR="008A4F66" w:rsidRDefault="008A4F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0FA1" w14:textId="12C3751F" w:rsidR="009848AD" w:rsidRPr="009848AD" w:rsidRDefault="009848AD" w:rsidP="00E0781F">
    <w:pPr>
      <w:pStyle w:val="Header"/>
      <w:spacing w:before="80"/>
      <w:ind w:right="-454"/>
      <w:rPr>
        <w:b/>
        <w:bCs/>
        <w:sz w:val="22"/>
      </w:rPr>
    </w:pPr>
    <w:r w:rsidRPr="009848AD">
      <w:rPr>
        <w:rFonts w:ascii="Arial Black" w:hAnsi="Arial Black"/>
        <w:b/>
        <w:bCs/>
        <w:color w:val="2D9AC2" w:themeColor="text2" w:themeShade="BF"/>
        <w:sz w:val="34"/>
        <w:szCs w:val="34"/>
      </w:rPr>
      <w:t>FACTSHEET</w:t>
    </w:r>
  </w:p>
  <w:p w14:paraId="65BA68B8" w14:textId="6817B6AD" w:rsidR="00BF738A" w:rsidRPr="00A326BA" w:rsidRDefault="0073286C" w:rsidP="00E0781F">
    <w:pPr>
      <w:pStyle w:val="Header"/>
      <w:spacing w:before="400"/>
      <w:ind w:right="-454"/>
      <w:rPr>
        <w:b/>
        <w:bCs/>
      </w:rPr>
    </w:pPr>
    <w:r w:rsidRPr="00A326BA">
      <w:rPr>
        <w:b/>
        <w:bCs/>
      </w:rPr>
      <w:t>#</w:t>
    </w:r>
    <w:r w:rsidR="000D14F2">
      <w:rPr>
        <w:b/>
        <w:bCs/>
      </w:rPr>
      <w:t>5</w:t>
    </w:r>
    <w:r w:rsidRPr="00A326BA">
      <w:rPr>
        <w:b/>
        <w:bCs/>
      </w:rPr>
      <w:t xml:space="preserve"> – </w:t>
    </w:r>
    <w:r w:rsidR="009848AD">
      <w:rPr>
        <w:b/>
        <w:bCs/>
      </w:rPr>
      <w:t xml:space="preserve">Advancing Prosperity </w:t>
    </w:r>
    <w:r w:rsidR="003C6BF2">
      <w:rPr>
        <w:b/>
        <w:bCs/>
      </w:rPr>
      <w:t xml:space="preserve">| </w:t>
    </w:r>
    <w:r w:rsidR="009848AD">
      <w:rPr>
        <w:b/>
        <w:bCs/>
      </w:rPr>
      <w:t>Inquiry Report</w:t>
    </w:r>
    <w:r w:rsidR="002F10E9">
      <w:rPr>
        <w:b/>
        <w:bCs/>
      </w:rPr>
      <w:t xml:space="preserve"> | Volume 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9798" w14:textId="5C11AC0C" w:rsidR="009848AD" w:rsidRPr="009848AD" w:rsidRDefault="009848AD" w:rsidP="009848AD">
    <w:pPr>
      <w:pStyle w:val="Header"/>
      <w:spacing w:before="480"/>
      <w:ind w:right="-454"/>
      <w:rPr>
        <w:b/>
        <w:bCs/>
      </w:rPr>
    </w:pPr>
    <w:r w:rsidRPr="00A326BA">
      <w:rPr>
        <w:rFonts w:ascii="Verdana" w:hAnsi="Verdana"/>
        <w:b/>
        <w:bCs/>
        <w:noProof/>
        <w:color w:val="FF0000"/>
        <w:sz w:val="28"/>
        <w:szCs w:val="28"/>
        <w:highlight w:val="yellow"/>
      </w:rPr>
      <w:drawing>
        <wp:anchor distT="0" distB="0" distL="114300" distR="114300" simplePos="0" relativeHeight="251658240" behindDoc="1" locked="0" layoutInCell="1" allowOverlap="1" wp14:anchorId="7256CDFB" wp14:editId="0728FBB7">
          <wp:simplePos x="0" y="0"/>
          <wp:positionH relativeFrom="page">
            <wp:posOffset>0</wp:posOffset>
          </wp:positionH>
          <wp:positionV relativeFrom="page">
            <wp:posOffset>-85725</wp:posOffset>
          </wp:positionV>
          <wp:extent cx="7561921" cy="1581150"/>
          <wp:effectExtent l="0" t="0" r="1270" b="0"/>
          <wp:wrapNone/>
          <wp:docPr id="165" name="Picture 165" descr="Productivity Commission fact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roductivity Commission factsheet"/>
                  <pic:cNvPicPr/>
                </pic:nvPicPr>
                <pic:blipFill>
                  <a:blip r:embed="rId1">
                    <a:extLst>
                      <a:ext uri="{28A0092B-C50C-407E-A947-70E740481C1C}">
                        <a14:useLocalDpi xmlns:a14="http://schemas.microsoft.com/office/drawing/2010/main" val="0"/>
                      </a:ext>
                    </a:extLst>
                  </a:blip>
                  <a:srcRect t="782" b="782"/>
                  <a:stretch>
                    <a:fillRect/>
                  </a:stretch>
                </pic:blipFill>
                <pic:spPr bwMode="auto">
                  <a:xfrm>
                    <a:off x="0" y="0"/>
                    <a:ext cx="7561921" cy="1581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326BA">
      <w:rPr>
        <w:b/>
        <w:bCs/>
      </w:rPr>
      <w:t>#</w:t>
    </w:r>
    <w:r w:rsidR="000D14F2">
      <w:rPr>
        <w:b/>
        <w:bCs/>
      </w:rPr>
      <w:t>5</w:t>
    </w:r>
    <w:r w:rsidRPr="00A326BA">
      <w:rPr>
        <w:b/>
        <w:bCs/>
      </w:rPr>
      <w:t xml:space="preserve"> – </w:t>
    </w:r>
    <w:r>
      <w:rPr>
        <w:b/>
        <w:bCs/>
      </w:rPr>
      <w:t>Advancing Prosperity | Inquiry Report</w:t>
    </w:r>
    <w:r w:rsidR="00DC551D">
      <w:rPr>
        <w:b/>
        <w:bCs/>
      </w:rPr>
      <w:t xml:space="preserve"> | Volume</w:t>
    </w:r>
    <w:r w:rsidR="00713B81">
      <w:rPr>
        <w:b/>
        <w:bCs/>
      </w:rPr>
      <w:t xml:space="preserve"> </w:t>
    </w:r>
    <w:r w:rsidR="006C4716">
      <w:rPr>
        <w:b/>
        <w:bCs/>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00E104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BB885A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B0506E98"/>
    <w:lvl w:ilvl="0">
      <w:start w:val="1"/>
      <w:numFmt w:val="decimal"/>
      <w:pStyle w:val="ListNumber"/>
      <w:lvlText w:val="%1."/>
      <w:lvlJc w:val="left"/>
      <w:pPr>
        <w:tabs>
          <w:tab w:val="num" w:pos="360"/>
        </w:tabs>
        <w:ind w:left="360" w:hanging="360"/>
      </w:pPr>
      <w:rPr>
        <w:rFonts w:hint="default"/>
      </w:rPr>
    </w:lvl>
  </w:abstractNum>
  <w:abstractNum w:abstractNumId="3" w15:restartNumberingAfterBreak="0">
    <w:nsid w:val="FFFFFF89"/>
    <w:multiLevelType w:val="singleLevel"/>
    <w:tmpl w:val="C3088772"/>
    <w:lvl w:ilvl="0">
      <w:start w:val="1"/>
      <w:numFmt w:val="bullet"/>
      <w:pStyle w:val="TableListBullet"/>
      <w:lvlText w:val=""/>
      <w:lvlJc w:val="left"/>
      <w:pPr>
        <w:tabs>
          <w:tab w:val="num" w:pos="360"/>
        </w:tabs>
        <w:ind w:left="360" w:hanging="360"/>
      </w:pPr>
      <w:rPr>
        <w:rFonts w:ascii="Symbol" w:hAnsi="Symbol" w:hint="default"/>
      </w:rPr>
    </w:lvl>
  </w:abstractNum>
  <w:abstractNum w:abstractNumId="4" w15:restartNumberingAfterBreak="0">
    <w:nsid w:val="031A37EF"/>
    <w:multiLevelType w:val="hybridMultilevel"/>
    <w:tmpl w:val="3EB88730"/>
    <w:lvl w:ilvl="0" w:tplc="AA2616F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D36A07"/>
    <w:multiLevelType w:val="hybridMultilevel"/>
    <w:tmpl w:val="CD70F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F3E6C9D"/>
    <w:multiLevelType w:val="multilevel"/>
    <w:tmpl w:val="FF8069A4"/>
    <w:numStyleLink w:val="Bullets"/>
  </w:abstractNum>
  <w:abstractNum w:abstractNumId="7" w15:restartNumberingAfterBreak="0">
    <w:nsid w:val="35EA1F40"/>
    <w:multiLevelType w:val="hybridMultilevel"/>
    <w:tmpl w:val="B4780528"/>
    <w:lvl w:ilvl="0" w:tplc="A57E6EEC">
      <w:start w:val="1"/>
      <w:numFmt w:val="decimal"/>
      <w:lvlText w:val="%1."/>
      <w:lvlJc w:val="left"/>
      <w:pPr>
        <w:ind w:left="775" w:hanging="360"/>
      </w:pPr>
      <w:rPr>
        <w:rFonts w:hint="default"/>
      </w:rPr>
    </w:lvl>
    <w:lvl w:ilvl="1" w:tplc="0C090019" w:tentative="1">
      <w:start w:val="1"/>
      <w:numFmt w:val="lowerLetter"/>
      <w:lvlText w:val="%2."/>
      <w:lvlJc w:val="left"/>
      <w:pPr>
        <w:ind w:left="1495" w:hanging="360"/>
      </w:pPr>
    </w:lvl>
    <w:lvl w:ilvl="2" w:tplc="0C09001B" w:tentative="1">
      <w:start w:val="1"/>
      <w:numFmt w:val="lowerRoman"/>
      <w:lvlText w:val="%3."/>
      <w:lvlJc w:val="right"/>
      <w:pPr>
        <w:ind w:left="2215" w:hanging="180"/>
      </w:pPr>
    </w:lvl>
    <w:lvl w:ilvl="3" w:tplc="0C09000F" w:tentative="1">
      <w:start w:val="1"/>
      <w:numFmt w:val="decimal"/>
      <w:lvlText w:val="%4."/>
      <w:lvlJc w:val="left"/>
      <w:pPr>
        <w:ind w:left="2935" w:hanging="360"/>
      </w:pPr>
    </w:lvl>
    <w:lvl w:ilvl="4" w:tplc="0C090019" w:tentative="1">
      <w:start w:val="1"/>
      <w:numFmt w:val="lowerLetter"/>
      <w:lvlText w:val="%5."/>
      <w:lvlJc w:val="left"/>
      <w:pPr>
        <w:ind w:left="3655" w:hanging="360"/>
      </w:pPr>
    </w:lvl>
    <w:lvl w:ilvl="5" w:tplc="0C09001B" w:tentative="1">
      <w:start w:val="1"/>
      <w:numFmt w:val="lowerRoman"/>
      <w:lvlText w:val="%6."/>
      <w:lvlJc w:val="right"/>
      <w:pPr>
        <w:ind w:left="4375" w:hanging="180"/>
      </w:pPr>
    </w:lvl>
    <w:lvl w:ilvl="6" w:tplc="0C09000F" w:tentative="1">
      <w:start w:val="1"/>
      <w:numFmt w:val="decimal"/>
      <w:lvlText w:val="%7."/>
      <w:lvlJc w:val="left"/>
      <w:pPr>
        <w:ind w:left="5095" w:hanging="360"/>
      </w:pPr>
    </w:lvl>
    <w:lvl w:ilvl="7" w:tplc="0C090019" w:tentative="1">
      <w:start w:val="1"/>
      <w:numFmt w:val="lowerLetter"/>
      <w:lvlText w:val="%8."/>
      <w:lvlJc w:val="left"/>
      <w:pPr>
        <w:ind w:left="5815" w:hanging="360"/>
      </w:pPr>
    </w:lvl>
    <w:lvl w:ilvl="8" w:tplc="0C09001B" w:tentative="1">
      <w:start w:val="1"/>
      <w:numFmt w:val="lowerRoman"/>
      <w:lvlText w:val="%9."/>
      <w:lvlJc w:val="right"/>
      <w:pPr>
        <w:ind w:left="6535" w:hanging="180"/>
      </w:pPr>
    </w:lvl>
  </w:abstractNum>
  <w:abstractNum w:abstractNumId="8" w15:restartNumberingAfterBreak="0">
    <w:nsid w:val="4B565A11"/>
    <w:multiLevelType w:val="hybridMultilevel"/>
    <w:tmpl w:val="2DEE58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0E05515"/>
    <w:multiLevelType w:val="hybridMultilevel"/>
    <w:tmpl w:val="98E03F46"/>
    <w:lvl w:ilvl="0" w:tplc="0C09000F">
      <w:start w:val="1"/>
      <w:numFmt w:val="decimal"/>
      <w:lvlText w:val="%1."/>
      <w:lvlJc w:val="left"/>
      <w:pPr>
        <w:ind w:left="775" w:hanging="360"/>
      </w:pPr>
    </w:lvl>
    <w:lvl w:ilvl="1" w:tplc="0C090019">
      <w:start w:val="1"/>
      <w:numFmt w:val="lowerLetter"/>
      <w:lvlText w:val="%2."/>
      <w:lvlJc w:val="left"/>
      <w:pPr>
        <w:ind w:left="1495" w:hanging="360"/>
      </w:pPr>
    </w:lvl>
    <w:lvl w:ilvl="2" w:tplc="0C09001B" w:tentative="1">
      <w:start w:val="1"/>
      <w:numFmt w:val="lowerRoman"/>
      <w:lvlText w:val="%3."/>
      <w:lvlJc w:val="right"/>
      <w:pPr>
        <w:ind w:left="2215" w:hanging="180"/>
      </w:pPr>
    </w:lvl>
    <w:lvl w:ilvl="3" w:tplc="0C09000F" w:tentative="1">
      <w:start w:val="1"/>
      <w:numFmt w:val="decimal"/>
      <w:lvlText w:val="%4."/>
      <w:lvlJc w:val="left"/>
      <w:pPr>
        <w:ind w:left="2935" w:hanging="360"/>
      </w:pPr>
    </w:lvl>
    <w:lvl w:ilvl="4" w:tplc="0C090019" w:tentative="1">
      <w:start w:val="1"/>
      <w:numFmt w:val="lowerLetter"/>
      <w:lvlText w:val="%5."/>
      <w:lvlJc w:val="left"/>
      <w:pPr>
        <w:ind w:left="3655" w:hanging="360"/>
      </w:pPr>
    </w:lvl>
    <w:lvl w:ilvl="5" w:tplc="0C09001B" w:tentative="1">
      <w:start w:val="1"/>
      <w:numFmt w:val="lowerRoman"/>
      <w:lvlText w:val="%6."/>
      <w:lvlJc w:val="right"/>
      <w:pPr>
        <w:ind w:left="4375" w:hanging="180"/>
      </w:pPr>
    </w:lvl>
    <w:lvl w:ilvl="6" w:tplc="0C09000F" w:tentative="1">
      <w:start w:val="1"/>
      <w:numFmt w:val="decimal"/>
      <w:lvlText w:val="%7."/>
      <w:lvlJc w:val="left"/>
      <w:pPr>
        <w:ind w:left="5095" w:hanging="360"/>
      </w:pPr>
    </w:lvl>
    <w:lvl w:ilvl="7" w:tplc="0C090019" w:tentative="1">
      <w:start w:val="1"/>
      <w:numFmt w:val="lowerLetter"/>
      <w:lvlText w:val="%8."/>
      <w:lvlJc w:val="left"/>
      <w:pPr>
        <w:ind w:left="5815" w:hanging="360"/>
      </w:pPr>
    </w:lvl>
    <w:lvl w:ilvl="8" w:tplc="0C09001B" w:tentative="1">
      <w:start w:val="1"/>
      <w:numFmt w:val="lowerRoman"/>
      <w:lvlText w:val="%9."/>
      <w:lvlJc w:val="right"/>
      <w:pPr>
        <w:ind w:left="6535" w:hanging="180"/>
      </w:pPr>
    </w:lvl>
  </w:abstractNum>
  <w:abstractNum w:abstractNumId="10"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1" w15:restartNumberingAfterBreak="0">
    <w:nsid w:val="663E1C42"/>
    <w:multiLevelType w:val="hybridMultilevel"/>
    <w:tmpl w:val="CAC8F8FA"/>
    <w:lvl w:ilvl="0" w:tplc="0C090001">
      <w:start w:val="1"/>
      <w:numFmt w:val="bullet"/>
      <w:lvlText w:val=""/>
      <w:lvlJc w:val="left"/>
      <w:pPr>
        <w:ind w:left="360" w:hanging="360"/>
      </w:pPr>
      <w:rPr>
        <w:rFonts w:ascii="Symbol" w:hAnsi="Symbol" w:hint="default"/>
      </w:rPr>
    </w:lvl>
    <w:lvl w:ilvl="1" w:tplc="42F075AE">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7A8389B"/>
    <w:multiLevelType w:val="hybridMultilevel"/>
    <w:tmpl w:val="CE8690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49828926">
    <w:abstractNumId w:val="4"/>
  </w:num>
  <w:num w:numId="2" w16cid:durableId="317923861">
    <w:abstractNumId w:val="3"/>
  </w:num>
  <w:num w:numId="3" w16cid:durableId="1228372660">
    <w:abstractNumId w:val="6"/>
  </w:num>
  <w:num w:numId="4" w16cid:durableId="2021546402">
    <w:abstractNumId w:val="1"/>
  </w:num>
  <w:num w:numId="5" w16cid:durableId="1958876224">
    <w:abstractNumId w:val="6"/>
  </w:num>
  <w:num w:numId="6" w16cid:durableId="779253751">
    <w:abstractNumId w:val="0"/>
  </w:num>
  <w:num w:numId="7" w16cid:durableId="230846041">
    <w:abstractNumId w:val="6"/>
  </w:num>
  <w:num w:numId="8" w16cid:durableId="833767088">
    <w:abstractNumId w:val="2"/>
  </w:num>
  <w:num w:numId="9" w16cid:durableId="617302055">
    <w:abstractNumId w:val="2"/>
  </w:num>
  <w:num w:numId="10" w16cid:durableId="176118987">
    <w:abstractNumId w:val="6"/>
  </w:num>
  <w:num w:numId="11" w16cid:durableId="1404641264">
    <w:abstractNumId w:val="6"/>
  </w:num>
  <w:num w:numId="12" w16cid:durableId="965233325">
    <w:abstractNumId w:val="6"/>
  </w:num>
  <w:num w:numId="13" w16cid:durableId="378168178">
    <w:abstractNumId w:val="2"/>
  </w:num>
  <w:num w:numId="14" w16cid:durableId="1952320758">
    <w:abstractNumId w:val="6"/>
  </w:num>
  <w:num w:numId="15" w16cid:durableId="179243797">
    <w:abstractNumId w:val="10"/>
  </w:num>
  <w:num w:numId="16" w16cid:durableId="2103646247">
    <w:abstractNumId w:val="6"/>
    <w:lvlOverride w:ilvl="0">
      <w:lvl w:ilvl="0">
        <w:start w:val="1"/>
        <w:numFmt w:val="bullet"/>
        <w:pStyle w:val="ListBullet"/>
        <w:lvlText w:val="•"/>
        <w:lvlJc w:val="left"/>
        <w:pPr>
          <w:ind w:left="227" w:hanging="227"/>
        </w:pPr>
        <w:rPr>
          <w:rFonts w:ascii="Times New Roman" w:hAnsi="Times New Roman" w:cs="Times New Roman" w:hint="default"/>
          <w:color w:val="000000"/>
        </w:rPr>
      </w:lvl>
    </w:lvlOverride>
    <w:lvlOverride w:ilvl="1">
      <w:lvl w:ilvl="1">
        <w:start w:val="1"/>
        <w:numFmt w:val="bullet"/>
        <w:pStyle w:val="ListBullet2"/>
        <w:lvlText w:val="–"/>
        <w:lvlJc w:val="left"/>
        <w:pPr>
          <w:ind w:left="454" w:hanging="227"/>
        </w:pPr>
        <w:rPr>
          <w:rFonts w:ascii="Arial" w:hAnsi="Arial" w:hint="default"/>
          <w:color w:val="auto"/>
        </w:rPr>
      </w:lvl>
    </w:lvlOverride>
    <w:lvlOverride w:ilvl="2">
      <w:lvl w:ilvl="2">
        <w:start w:val="1"/>
        <w:numFmt w:val="bullet"/>
        <w:pStyle w:val="ListBullet3"/>
        <w:lvlText w:val="»"/>
        <w:lvlJc w:val="left"/>
        <w:pPr>
          <w:ind w:left="907" w:hanging="227"/>
        </w:pPr>
        <w:rPr>
          <w:rFonts w:ascii="Arial" w:hAnsi="Arial" w:hint="default"/>
          <w:color w:val="auto"/>
        </w:rPr>
      </w:lvl>
    </w:lvlOverride>
    <w:lvlOverride w:ilvl="3">
      <w:lvl w:ilvl="3">
        <w:start w:val="1"/>
        <w:numFmt w:val="bullet"/>
        <w:lvlText w:val="–"/>
        <w:lvlJc w:val="left"/>
        <w:pPr>
          <w:tabs>
            <w:tab w:val="num" w:pos="851"/>
          </w:tabs>
          <w:ind w:left="907" w:hanging="227"/>
        </w:pPr>
        <w:rPr>
          <w:rFonts w:ascii="Arial" w:hAnsi="Arial" w:hint="default"/>
          <w:color w:val="auto"/>
        </w:rPr>
      </w:lvl>
    </w:lvlOverride>
    <w:lvlOverride w:ilvl="4">
      <w:lvl w:ilvl="4">
        <w:start w:val="1"/>
        <w:numFmt w:val="bullet"/>
        <w:lvlText w:val="–"/>
        <w:lvlJc w:val="left"/>
        <w:pPr>
          <w:ind w:left="1134" w:hanging="227"/>
        </w:pPr>
        <w:rPr>
          <w:rFonts w:ascii="Arial" w:hAnsi="Arial" w:hint="default"/>
          <w:color w:val="auto"/>
        </w:rPr>
      </w:lvl>
    </w:lvlOverride>
    <w:lvlOverride w:ilvl="5">
      <w:lvl w:ilvl="5">
        <w:start w:val="1"/>
        <w:numFmt w:val="bullet"/>
        <w:lvlText w:val="–"/>
        <w:lvlJc w:val="left"/>
        <w:pPr>
          <w:ind w:left="1361" w:hanging="227"/>
        </w:pPr>
        <w:rPr>
          <w:rFonts w:ascii="Arial" w:hAnsi="Arial" w:hint="default"/>
        </w:rPr>
      </w:lvl>
    </w:lvlOverride>
    <w:lvlOverride w:ilvl="6">
      <w:lvl w:ilvl="6">
        <w:start w:val="1"/>
        <w:numFmt w:val="bullet"/>
        <w:lvlText w:val="–"/>
        <w:lvlJc w:val="left"/>
        <w:pPr>
          <w:ind w:left="1588" w:hanging="227"/>
        </w:pPr>
        <w:rPr>
          <w:rFonts w:ascii="Arial" w:hAnsi="Arial" w:hint="default"/>
        </w:rPr>
      </w:lvl>
    </w:lvlOverride>
    <w:lvlOverride w:ilvl="7">
      <w:lvl w:ilvl="7">
        <w:start w:val="1"/>
        <w:numFmt w:val="bullet"/>
        <w:lvlText w:val="–"/>
        <w:lvlJc w:val="left"/>
        <w:pPr>
          <w:ind w:left="1814" w:hanging="226"/>
        </w:pPr>
        <w:rPr>
          <w:rFonts w:ascii="Arial" w:hAnsi="Arial" w:hint="default"/>
        </w:rPr>
      </w:lvl>
    </w:lvlOverride>
    <w:lvlOverride w:ilvl="8">
      <w:lvl w:ilvl="8">
        <w:start w:val="1"/>
        <w:numFmt w:val="bullet"/>
        <w:lvlText w:val="–"/>
        <w:lvlJc w:val="left"/>
        <w:pPr>
          <w:tabs>
            <w:tab w:val="num" w:pos="2211"/>
          </w:tabs>
          <w:ind w:left="2041" w:hanging="227"/>
        </w:pPr>
        <w:rPr>
          <w:rFonts w:ascii="Arial" w:hAnsi="Arial" w:hint="default"/>
        </w:rPr>
      </w:lvl>
    </w:lvlOverride>
  </w:num>
  <w:num w:numId="17" w16cid:durableId="331690661">
    <w:abstractNumId w:val="6"/>
  </w:num>
  <w:num w:numId="18" w16cid:durableId="1568492710">
    <w:abstractNumId w:val="6"/>
  </w:num>
  <w:num w:numId="19" w16cid:durableId="368183068">
    <w:abstractNumId w:val="6"/>
  </w:num>
  <w:num w:numId="20" w16cid:durableId="1741630660">
    <w:abstractNumId w:val="6"/>
  </w:num>
  <w:num w:numId="21" w16cid:durableId="1359546544">
    <w:abstractNumId w:val="9"/>
  </w:num>
  <w:num w:numId="22" w16cid:durableId="31223978">
    <w:abstractNumId w:val="5"/>
  </w:num>
  <w:num w:numId="23" w16cid:durableId="2145851519">
    <w:abstractNumId w:val="11"/>
  </w:num>
  <w:num w:numId="24" w16cid:durableId="1769498788">
    <w:abstractNumId w:val="8"/>
  </w:num>
  <w:num w:numId="25" w16cid:durableId="711198264">
    <w:abstractNumId w:val="12"/>
  </w:num>
  <w:num w:numId="26" w16cid:durableId="878397308">
    <w:abstractNumId w:val="7"/>
  </w:num>
  <w:num w:numId="27" w16cid:durableId="701589596">
    <w:abstractNumId w:val="2"/>
  </w:num>
  <w:num w:numId="28" w16cid:durableId="1138957465">
    <w:abstractNumId w:val="2"/>
  </w:num>
  <w:num w:numId="29" w16cid:durableId="1629387896">
    <w:abstractNumId w:val="2"/>
    <w:lvlOverride w:ilvl="0">
      <w:startOverride w:val="1"/>
    </w:lvlOverride>
  </w:num>
  <w:num w:numId="30" w16cid:durableId="1836846455">
    <w:abstractNumId w:val="2"/>
    <w:lvlOverride w:ilvl="0">
      <w:startOverride w:val="1"/>
    </w:lvlOverride>
  </w:num>
  <w:num w:numId="31" w16cid:durableId="1023167337">
    <w:abstractNumId w:val="2"/>
  </w:num>
  <w:num w:numId="32" w16cid:durableId="198395903">
    <w:abstractNumId w:val="2"/>
    <w:lvlOverride w:ilvl="0">
      <w:startOverride w:val="1"/>
    </w:lvlOverride>
  </w:num>
  <w:num w:numId="33" w16cid:durableId="1349067657">
    <w:abstractNumId w:val="2"/>
    <w:lvlOverride w:ilvl="0">
      <w:startOverride w:val="1"/>
    </w:lvlOverride>
  </w:num>
  <w:num w:numId="34" w16cid:durableId="1633753311">
    <w:abstractNumId w:val="2"/>
  </w:num>
  <w:num w:numId="35" w16cid:durableId="15403745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8AD"/>
    <w:rsid w:val="00011F1B"/>
    <w:rsid w:val="00012056"/>
    <w:rsid w:val="00014480"/>
    <w:rsid w:val="000233EC"/>
    <w:rsid w:val="0003218F"/>
    <w:rsid w:val="0003328B"/>
    <w:rsid w:val="00042BF6"/>
    <w:rsid w:val="000553FC"/>
    <w:rsid w:val="00057037"/>
    <w:rsid w:val="00073E9A"/>
    <w:rsid w:val="00080D04"/>
    <w:rsid w:val="000872C3"/>
    <w:rsid w:val="00091966"/>
    <w:rsid w:val="000B0458"/>
    <w:rsid w:val="000D14F2"/>
    <w:rsid w:val="000D6529"/>
    <w:rsid w:val="000E164A"/>
    <w:rsid w:val="000E4CEE"/>
    <w:rsid w:val="00103AE6"/>
    <w:rsid w:val="00127A31"/>
    <w:rsid w:val="00130F0A"/>
    <w:rsid w:val="00136501"/>
    <w:rsid w:val="0015274A"/>
    <w:rsid w:val="00177E30"/>
    <w:rsid w:val="00186FBD"/>
    <w:rsid w:val="001D2488"/>
    <w:rsid w:val="001D4262"/>
    <w:rsid w:val="001E1748"/>
    <w:rsid w:val="001E17C3"/>
    <w:rsid w:val="001E1A57"/>
    <w:rsid w:val="001E1C8B"/>
    <w:rsid w:val="001E2F35"/>
    <w:rsid w:val="001E6AE3"/>
    <w:rsid w:val="00212E1F"/>
    <w:rsid w:val="0022186B"/>
    <w:rsid w:val="00222096"/>
    <w:rsid w:val="00256ED3"/>
    <w:rsid w:val="002647C2"/>
    <w:rsid w:val="00271D77"/>
    <w:rsid w:val="002828EB"/>
    <w:rsid w:val="00283BAA"/>
    <w:rsid w:val="002A1CFF"/>
    <w:rsid w:val="002A5935"/>
    <w:rsid w:val="002A5F8A"/>
    <w:rsid w:val="002B23B4"/>
    <w:rsid w:val="002E3526"/>
    <w:rsid w:val="002E6755"/>
    <w:rsid w:val="002F02F4"/>
    <w:rsid w:val="002F10E9"/>
    <w:rsid w:val="003021FE"/>
    <w:rsid w:val="00313EB3"/>
    <w:rsid w:val="00322D65"/>
    <w:rsid w:val="003261DF"/>
    <w:rsid w:val="00330843"/>
    <w:rsid w:val="00336885"/>
    <w:rsid w:val="00343A97"/>
    <w:rsid w:val="0036024E"/>
    <w:rsid w:val="003736C3"/>
    <w:rsid w:val="00375F75"/>
    <w:rsid w:val="0038191A"/>
    <w:rsid w:val="003C0C27"/>
    <w:rsid w:val="003C0FF7"/>
    <w:rsid w:val="003C2472"/>
    <w:rsid w:val="003C6629"/>
    <w:rsid w:val="003C6BF2"/>
    <w:rsid w:val="003D5F85"/>
    <w:rsid w:val="003E011F"/>
    <w:rsid w:val="003F6CE3"/>
    <w:rsid w:val="00421411"/>
    <w:rsid w:val="00421EF6"/>
    <w:rsid w:val="00425485"/>
    <w:rsid w:val="00426CF7"/>
    <w:rsid w:val="00430C34"/>
    <w:rsid w:val="004401EB"/>
    <w:rsid w:val="00443FEC"/>
    <w:rsid w:val="00452FB0"/>
    <w:rsid w:val="00461CBF"/>
    <w:rsid w:val="004661E8"/>
    <w:rsid w:val="0047509D"/>
    <w:rsid w:val="00490D0C"/>
    <w:rsid w:val="00494DE7"/>
    <w:rsid w:val="00497115"/>
    <w:rsid w:val="004B1EAA"/>
    <w:rsid w:val="004B371B"/>
    <w:rsid w:val="004B7031"/>
    <w:rsid w:val="004C2138"/>
    <w:rsid w:val="004D1CB9"/>
    <w:rsid w:val="004F28F5"/>
    <w:rsid w:val="004F293F"/>
    <w:rsid w:val="00511E22"/>
    <w:rsid w:val="005176D4"/>
    <w:rsid w:val="00534098"/>
    <w:rsid w:val="00546FDE"/>
    <w:rsid w:val="005629C7"/>
    <w:rsid w:val="005732AD"/>
    <w:rsid w:val="00577CDD"/>
    <w:rsid w:val="00577F84"/>
    <w:rsid w:val="00583206"/>
    <w:rsid w:val="00590554"/>
    <w:rsid w:val="00591DBB"/>
    <w:rsid w:val="005A0A21"/>
    <w:rsid w:val="005B1A11"/>
    <w:rsid w:val="005D69B5"/>
    <w:rsid w:val="005F7BF9"/>
    <w:rsid w:val="00626F0D"/>
    <w:rsid w:val="006321AF"/>
    <w:rsid w:val="006339B4"/>
    <w:rsid w:val="00636C41"/>
    <w:rsid w:val="006428DA"/>
    <w:rsid w:val="006466B8"/>
    <w:rsid w:val="00652D82"/>
    <w:rsid w:val="00662399"/>
    <w:rsid w:val="00667D4E"/>
    <w:rsid w:val="00667E43"/>
    <w:rsid w:val="006735D5"/>
    <w:rsid w:val="00674FB1"/>
    <w:rsid w:val="006833AC"/>
    <w:rsid w:val="006931F9"/>
    <w:rsid w:val="006A131D"/>
    <w:rsid w:val="006A7BB5"/>
    <w:rsid w:val="006B2D9C"/>
    <w:rsid w:val="006B7209"/>
    <w:rsid w:val="006C4716"/>
    <w:rsid w:val="006C4AE8"/>
    <w:rsid w:val="006D7C2C"/>
    <w:rsid w:val="006E104B"/>
    <w:rsid w:val="006E16F7"/>
    <w:rsid w:val="006E2481"/>
    <w:rsid w:val="006F24AB"/>
    <w:rsid w:val="006F63EA"/>
    <w:rsid w:val="00702C94"/>
    <w:rsid w:val="00713B81"/>
    <w:rsid w:val="007144DA"/>
    <w:rsid w:val="00724381"/>
    <w:rsid w:val="00724521"/>
    <w:rsid w:val="007273DC"/>
    <w:rsid w:val="0073254B"/>
    <w:rsid w:val="0073286C"/>
    <w:rsid w:val="00733D55"/>
    <w:rsid w:val="007342CE"/>
    <w:rsid w:val="00735B47"/>
    <w:rsid w:val="00740656"/>
    <w:rsid w:val="00744145"/>
    <w:rsid w:val="00751880"/>
    <w:rsid w:val="0075473F"/>
    <w:rsid w:val="00764DC0"/>
    <w:rsid w:val="00765CB6"/>
    <w:rsid w:val="00774668"/>
    <w:rsid w:val="00786068"/>
    <w:rsid w:val="007A2FE5"/>
    <w:rsid w:val="007A4797"/>
    <w:rsid w:val="007D0634"/>
    <w:rsid w:val="007D7204"/>
    <w:rsid w:val="007E7761"/>
    <w:rsid w:val="007E776D"/>
    <w:rsid w:val="007F4BD6"/>
    <w:rsid w:val="00814A2A"/>
    <w:rsid w:val="00824431"/>
    <w:rsid w:val="008318AE"/>
    <w:rsid w:val="008413EB"/>
    <w:rsid w:val="00847BD4"/>
    <w:rsid w:val="00851367"/>
    <w:rsid w:val="00865238"/>
    <w:rsid w:val="008744C3"/>
    <w:rsid w:val="008916E4"/>
    <w:rsid w:val="008A4F66"/>
    <w:rsid w:val="008C14FE"/>
    <w:rsid w:val="008C1E20"/>
    <w:rsid w:val="008D5A05"/>
    <w:rsid w:val="008E7FC9"/>
    <w:rsid w:val="00920391"/>
    <w:rsid w:val="009251C4"/>
    <w:rsid w:val="00934BEC"/>
    <w:rsid w:val="00934C0A"/>
    <w:rsid w:val="009414FB"/>
    <w:rsid w:val="00942D5E"/>
    <w:rsid w:val="009543F4"/>
    <w:rsid w:val="00973096"/>
    <w:rsid w:val="00975997"/>
    <w:rsid w:val="009848AD"/>
    <w:rsid w:val="00987F8A"/>
    <w:rsid w:val="009B0021"/>
    <w:rsid w:val="009B55D1"/>
    <w:rsid w:val="009F0095"/>
    <w:rsid w:val="009F2BA2"/>
    <w:rsid w:val="009F696C"/>
    <w:rsid w:val="00A10A0A"/>
    <w:rsid w:val="00A326BA"/>
    <w:rsid w:val="00A36781"/>
    <w:rsid w:val="00A41D4E"/>
    <w:rsid w:val="00A4408D"/>
    <w:rsid w:val="00A449C3"/>
    <w:rsid w:val="00A45795"/>
    <w:rsid w:val="00A52026"/>
    <w:rsid w:val="00A5282B"/>
    <w:rsid w:val="00A5757B"/>
    <w:rsid w:val="00A6285E"/>
    <w:rsid w:val="00A671CC"/>
    <w:rsid w:val="00A80EF3"/>
    <w:rsid w:val="00A9384D"/>
    <w:rsid w:val="00AA3AC6"/>
    <w:rsid w:val="00AB1D68"/>
    <w:rsid w:val="00AF5830"/>
    <w:rsid w:val="00AF5C1A"/>
    <w:rsid w:val="00B00048"/>
    <w:rsid w:val="00B040EA"/>
    <w:rsid w:val="00B05A59"/>
    <w:rsid w:val="00B1662E"/>
    <w:rsid w:val="00B370C0"/>
    <w:rsid w:val="00B43566"/>
    <w:rsid w:val="00B5323D"/>
    <w:rsid w:val="00B979DA"/>
    <w:rsid w:val="00BA141A"/>
    <w:rsid w:val="00BB43D0"/>
    <w:rsid w:val="00BC2B85"/>
    <w:rsid w:val="00BC4E4E"/>
    <w:rsid w:val="00BC5F9A"/>
    <w:rsid w:val="00BD211F"/>
    <w:rsid w:val="00BE4860"/>
    <w:rsid w:val="00BE7BCF"/>
    <w:rsid w:val="00BF738A"/>
    <w:rsid w:val="00C008B0"/>
    <w:rsid w:val="00C009C4"/>
    <w:rsid w:val="00C06C50"/>
    <w:rsid w:val="00C17A92"/>
    <w:rsid w:val="00C30B28"/>
    <w:rsid w:val="00C40845"/>
    <w:rsid w:val="00C445E5"/>
    <w:rsid w:val="00C53AB6"/>
    <w:rsid w:val="00C614BB"/>
    <w:rsid w:val="00C63A5F"/>
    <w:rsid w:val="00C82634"/>
    <w:rsid w:val="00C91119"/>
    <w:rsid w:val="00CA196D"/>
    <w:rsid w:val="00CB3F46"/>
    <w:rsid w:val="00CC514D"/>
    <w:rsid w:val="00CC7226"/>
    <w:rsid w:val="00CD6563"/>
    <w:rsid w:val="00D205EA"/>
    <w:rsid w:val="00D353E1"/>
    <w:rsid w:val="00D43FB2"/>
    <w:rsid w:val="00D44A08"/>
    <w:rsid w:val="00D47CFA"/>
    <w:rsid w:val="00D51A6A"/>
    <w:rsid w:val="00D84E87"/>
    <w:rsid w:val="00D86D6E"/>
    <w:rsid w:val="00DC0339"/>
    <w:rsid w:val="00DC551D"/>
    <w:rsid w:val="00DD6359"/>
    <w:rsid w:val="00E000CF"/>
    <w:rsid w:val="00E0781F"/>
    <w:rsid w:val="00E12FC6"/>
    <w:rsid w:val="00E151AD"/>
    <w:rsid w:val="00E20F6F"/>
    <w:rsid w:val="00E6323D"/>
    <w:rsid w:val="00E8329A"/>
    <w:rsid w:val="00E86ACA"/>
    <w:rsid w:val="00EB2A20"/>
    <w:rsid w:val="00EB3B9F"/>
    <w:rsid w:val="00EB5314"/>
    <w:rsid w:val="00EC6523"/>
    <w:rsid w:val="00EC6B55"/>
    <w:rsid w:val="00ED57AE"/>
    <w:rsid w:val="00ED5F44"/>
    <w:rsid w:val="00EF176E"/>
    <w:rsid w:val="00F1737E"/>
    <w:rsid w:val="00F36144"/>
    <w:rsid w:val="00F44CE8"/>
    <w:rsid w:val="00F47B72"/>
    <w:rsid w:val="00F552C6"/>
    <w:rsid w:val="00F67BF1"/>
    <w:rsid w:val="00F92ED8"/>
    <w:rsid w:val="00FB0EA0"/>
    <w:rsid w:val="00FC0C62"/>
    <w:rsid w:val="00FC13D9"/>
    <w:rsid w:val="00FC3634"/>
    <w:rsid w:val="00FE1AB1"/>
    <w:rsid w:val="00FE3664"/>
    <w:rsid w:val="00FE3872"/>
    <w:rsid w:val="00FE531F"/>
    <w:rsid w:val="00FF3B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86D2C"/>
  <w15:docId w15:val="{26C55C6A-EAC2-440D-B7A5-61259DC20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2CE"/>
    <w:rPr>
      <w:sz w:val="20"/>
    </w:rPr>
  </w:style>
  <w:style w:type="paragraph" w:styleId="Heading1">
    <w:name w:val="heading 1"/>
    <w:basedOn w:val="Normal"/>
    <w:next w:val="Normal"/>
    <w:link w:val="Heading1Char"/>
    <w:uiPriority w:val="9"/>
    <w:qFormat/>
    <w:rsid w:val="001E1748"/>
    <w:pPr>
      <w:keepNext/>
      <w:keepLines/>
      <w:spacing w:before="240" w:after="120"/>
      <w:outlineLvl w:val="0"/>
    </w:pPr>
    <w:rPr>
      <w:rFonts w:asciiTheme="majorHAnsi" w:eastAsiaTheme="majorEastAsia" w:hAnsiTheme="majorHAnsi" w:cstheme="majorBidi"/>
      <w:b/>
      <w:color w:val="26539D"/>
      <w:sz w:val="32"/>
      <w:szCs w:val="32"/>
    </w:rPr>
  </w:style>
  <w:style w:type="paragraph" w:styleId="Heading2">
    <w:name w:val="heading 2"/>
    <w:basedOn w:val="Normal"/>
    <w:next w:val="Normal"/>
    <w:link w:val="Heading2Char"/>
    <w:uiPriority w:val="9"/>
    <w:unhideWhenUsed/>
    <w:qFormat/>
    <w:rsid w:val="002A5935"/>
    <w:pPr>
      <w:keepNext/>
      <w:keepLines/>
      <w:spacing w:before="40" w:after="0"/>
      <w:outlineLvl w:val="1"/>
    </w:pPr>
    <w:rPr>
      <w:rFonts w:asciiTheme="majorHAnsi" w:eastAsiaTheme="majorEastAsia" w:hAnsiTheme="majorHAnsi" w:cstheme="majorBidi"/>
      <w:b/>
      <w:color w:val="31A2CF"/>
      <w:sz w:val="26"/>
      <w:szCs w:val="26"/>
    </w:rPr>
  </w:style>
  <w:style w:type="paragraph" w:styleId="Heading3">
    <w:name w:val="heading 3"/>
    <w:basedOn w:val="Normal"/>
    <w:next w:val="Normal"/>
    <w:link w:val="Heading3Char"/>
    <w:uiPriority w:val="9"/>
    <w:unhideWhenUsed/>
    <w:qFormat/>
    <w:rsid w:val="006C4AE8"/>
    <w:pPr>
      <w:keepNext/>
      <w:keepLines/>
      <w:spacing w:before="120" w:after="0"/>
      <w:outlineLvl w:val="2"/>
    </w:pPr>
    <w:rPr>
      <w:rFonts w:asciiTheme="majorHAnsi" w:eastAsiaTheme="majorEastAsia" w:hAnsiTheme="majorHAnsi" w:cstheme="majorBidi"/>
      <w:b/>
      <w:color w:val="000000"/>
      <w:sz w:val="24"/>
      <w:szCs w:val="24"/>
    </w:rPr>
  </w:style>
  <w:style w:type="paragraph" w:styleId="Heading4">
    <w:name w:val="heading 4"/>
    <w:basedOn w:val="Normal"/>
    <w:next w:val="Normal"/>
    <w:link w:val="Heading4Char"/>
    <w:uiPriority w:val="9"/>
    <w:semiHidden/>
    <w:unhideWhenUsed/>
    <w:qFormat/>
    <w:rsid w:val="00CC514D"/>
    <w:pPr>
      <w:keepNext/>
      <w:keepLines/>
      <w:spacing w:before="40" w:after="0"/>
      <w:outlineLvl w:val="3"/>
    </w:pPr>
    <w:rPr>
      <w:rFonts w:asciiTheme="majorHAnsi" w:eastAsiaTheme="majorEastAsia" w:hAnsiTheme="majorHAnsi" w:cstheme="majorBidi"/>
      <w:i/>
      <w:iCs/>
      <w:color w:val="265A9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17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748"/>
    <w:rPr>
      <w:rFonts w:ascii="Tahoma" w:hAnsi="Tahoma" w:cs="Tahoma"/>
      <w:sz w:val="16"/>
      <w:szCs w:val="16"/>
    </w:rPr>
  </w:style>
  <w:style w:type="character" w:styleId="BookTitle">
    <w:name w:val="Book Title"/>
    <w:basedOn w:val="DefaultParagraphFont"/>
    <w:uiPriority w:val="33"/>
    <w:semiHidden/>
    <w:rsid w:val="001E1748"/>
    <w:rPr>
      <w:b/>
      <w:bCs/>
      <w:i/>
      <w:iCs/>
      <w:spacing w:val="5"/>
    </w:rPr>
  </w:style>
  <w:style w:type="character" w:styleId="FollowedHyperlink">
    <w:name w:val="FollowedHyperlink"/>
    <w:basedOn w:val="DefaultParagraphFont"/>
    <w:uiPriority w:val="99"/>
    <w:semiHidden/>
    <w:unhideWhenUsed/>
    <w:rsid w:val="001E1748"/>
    <w:rPr>
      <w:color w:val="BFBFBF" w:themeColor="followedHyperlink"/>
      <w:u w:val="single"/>
    </w:rPr>
  </w:style>
  <w:style w:type="paragraph" w:styleId="Footer">
    <w:name w:val="footer"/>
    <w:basedOn w:val="Normal"/>
    <w:link w:val="FooterChar"/>
    <w:uiPriority w:val="99"/>
    <w:unhideWhenUsed/>
    <w:rsid w:val="001E1748"/>
    <w:pPr>
      <w:tabs>
        <w:tab w:val="left" w:pos="2552"/>
        <w:tab w:val="right" w:pos="9072"/>
      </w:tabs>
      <w:spacing w:before="100" w:beforeAutospacing="1" w:after="100" w:afterAutospacing="1" w:line="260" w:lineRule="atLeast"/>
      <w:ind w:left="284" w:right="-427"/>
    </w:pPr>
    <w:rPr>
      <w:rFonts w:ascii="Arial" w:eastAsia="Times New Roman" w:hAnsi="Arial" w:cs="Arial"/>
      <w:noProof/>
      <w:kern w:val="16"/>
      <w:szCs w:val="20"/>
      <w:lang w:eastAsia="en-AU"/>
    </w:rPr>
  </w:style>
  <w:style w:type="character" w:customStyle="1" w:styleId="FooterChar">
    <w:name w:val="Footer Char"/>
    <w:basedOn w:val="DefaultParagraphFont"/>
    <w:link w:val="Footer"/>
    <w:uiPriority w:val="99"/>
    <w:rsid w:val="001E1748"/>
    <w:rPr>
      <w:rFonts w:ascii="Arial" w:eastAsia="Times New Roman" w:hAnsi="Arial" w:cs="Arial"/>
      <w:noProof/>
      <w:kern w:val="16"/>
      <w:sz w:val="20"/>
      <w:szCs w:val="20"/>
      <w:lang w:eastAsia="en-AU"/>
    </w:rPr>
  </w:style>
  <w:style w:type="paragraph" w:styleId="Header">
    <w:name w:val="header"/>
    <w:basedOn w:val="Normal"/>
    <w:link w:val="HeaderChar"/>
    <w:uiPriority w:val="99"/>
    <w:unhideWhenUsed/>
    <w:rsid w:val="001E1748"/>
    <w:pPr>
      <w:spacing w:before="200" w:after="0" w:line="240" w:lineRule="auto"/>
      <w:ind w:right="-794"/>
      <w:contextualSpacing/>
      <w:jc w:val="right"/>
    </w:pPr>
    <w:rPr>
      <w:rFonts w:ascii="Arial" w:eastAsia="Times New Roman" w:hAnsi="Arial" w:cs="Arial"/>
      <w:color w:val="000000" w:themeColor="text1"/>
      <w:spacing w:val="2"/>
      <w:lang w:eastAsia="en-AU"/>
    </w:rPr>
  </w:style>
  <w:style w:type="character" w:customStyle="1" w:styleId="Heading1Char">
    <w:name w:val="Heading 1 Char"/>
    <w:basedOn w:val="DefaultParagraphFont"/>
    <w:link w:val="Heading1"/>
    <w:uiPriority w:val="9"/>
    <w:rsid w:val="001E1748"/>
    <w:rPr>
      <w:rFonts w:asciiTheme="majorHAnsi" w:eastAsiaTheme="majorEastAsia" w:hAnsiTheme="majorHAnsi" w:cstheme="majorBidi"/>
      <w:b/>
      <w:color w:val="26539D"/>
      <w:sz w:val="32"/>
      <w:szCs w:val="32"/>
    </w:rPr>
  </w:style>
  <w:style w:type="character" w:customStyle="1" w:styleId="Heading2Char">
    <w:name w:val="Heading 2 Char"/>
    <w:basedOn w:val="DefaultParagraphFont"/>
    <w:link w:val="Heading2"/>
    <w:uiPriority w:val="9"/>
    <w:rsid w:val="002A5935"/>
    <w:rPr>
      <w:rFonts w:asciiTheme="majorHAnsi" w:eastAsiaTheme="majorEastAsia" w:hAnsiTheme="majorHAnsi" w:cstheme="majorBidi"/>
      <w:b/>
      <w:color w:val="31A2CF"/>
      <w:sz w:val="26"/>
      <w:szCs w:val="26"/>
    </w:rPr>
  </w:style>
  <w:style w:type="character" w:customStyle="1" w:styleId="Heading3Char">
    <w:name w:val="Heading 3 Char"/>
    <w:basedOn w:val="DefaultParagraphFont"/>
    <w:link w:val="Heading3"/>
    <w:uiPriority w:val="9"/>
    <w:rsid w:val="006C4AE8"/>
    <w:rPr>
      <w:rFonts w:asciiTheme="majorHAnsi" w:eastAsiaTheme="majorEastAsia" w:hAnsiTheme="majorHAnsi" w:cstheme="majorBidi"/>
      <w:b/>
      <w:color w:val="000000"/>
      <w:sz w:val="24"/>
      <w:szCs w:val="24"/>
    </w:rPr>
  </w:style>
  <w:style w:type="character" w:customStyle="1" w:styleId="HeaderChar">
    <w:name w:val="Header Char"/>
    <w:basedOn w:val="DefaultParagraphFont"/>
    <w:link w:val="Header"/>
    <w:uiPriority w:val="99"/>
    <w:rsid w:val="001E1748"/>
    <w:rPr>
      <w:rFonts w:ascii="Arial" w:eastAsia="Times New Roman" w:hAnsi="Arial" w:cs="Arial"/>
      <w:color w:val="000000" w:themeColor="text1"/>
      <w:spacing w:val="2"/>
      <w:lang w:eastAsia="en-AU"/>
    </w:rPr>
  </w:style>
  <w:style w:type="character" w:styleId="Hyperlink">
    <w:name w:val="Hyperlink"/>
    <w:basedOn w:val="DefaultParagraphFont"/>
    <w:uiPriority w:val="99"/>
    <w:qFormat/>
    <w:rsid w:val="001E1748"/>
    <w:rPr>
      <w:color w:val="265A9A"/>
      <w:u w:val="single"/>
    </w:rPr>
  </w:style>
  <w:style w:type="character" w:styleId="IntenseEmphasis">
    <w:name w:val="Intense Emphasis"/>
    <w:basedOn w:val="DefaultParagraphFont"/>
    <w:uiPriority w:val="21"/>
    <w:rsid w:val="001E1748"/>
    <w:rPr>
      <w:i/>
      <w:iCs/>
      <w:color w:val="265A9A" w:themeColor="background2"/>
    </w:rPr>
  </w:style>
  <w:style w:type="paragraph" w:styleId="IntenseQuote">
    <w:name w:val="Intense Quote"/>
    <w:basedOn w:val="Normal"/>
    <w:next w:val="Normal"/>
    <w:link w:val="IntenseQuoteChar"/>
    <w:uiPriority w:val="30"/>
    <w:semiHidden/>
    <w:rsid w:val="001E1748"/>
    <w:pPr>
      <w:pBdr>
        <w:top w:val="single" w:sz="4" w:space="10" w:color="265A9A" w:themeColor="background2"/>
        <w:bottom w:val="single" w:sz="4" w:space="10" w:color="265A9A" w:themeColor="background2"/>
      </w:pBdr>
      <w:spacing w:before="360" w:after="360"/>
      <w:ind w:left="864" w:right="864"/>
      <w:jc w:val="center"/>
    </w:pPr>
    <w:rPr>
      <w:i/>
      <w:iCs/>
      <w:color w:val="265A9A"/>
    </w:rPr>
  </w:style>
  <w:style w:type="character" w:customStyle="1" w:styleId="IntenseQuoteChar">
    <w:name w:val="Intense Quote Char"/>
    <w:basedOn w:val="DefaultParagraphFont"/>
    <w:link w:val="IntenseQuote"/>
    <w:uiPriority w:val="30"/>
    <w:semiHidden/>
    <w:rsid w:val="00CC514D"/>
    <w:rPr>
      <w:i/>
      <w:iCs/>
      <w:color w:val="265A9A"/>
    </w:rPr>
  </w:style>
  <w:style w:type="character" w:styleId="IntenseReference">
    <w:name w:val="Intense Reference"/>
    <w:basedOn w:val="DefaultParagraphFont"/>
    <w:uiPriority w:val="32"/>
    <w:semiHidden/>
    <w:rsid w:val="001E1748"/>
    <w:rPr>
      <w:b/>
      <w:bCs/>
      <w:smallCaps/>
      <w:color w:val="265A9A" w:themeColor="background2"/>
      <w:spacing w:val="5"/>
    </w:rPr>
  </w:style>
  <w:style w:type="paragraph" w:styleId="ListBullet">
    <w:name w:val="List Bullet"/>
    <w:basedOn w:val="Normal"/>
    <w:link w:val="ListBulletChar"/>
    <w:uiPriority w:val="1"/>
    <w:qFormat/>
    <w:rsid w:val="00B5323D"/>
    <w:pPr>
      <w:numPr>
        <w:numId w:val="19"/>
      </w:numPr>
      <w:spacing w:before="120" w:after="120" w:line="280" w:lineRule="atLeast"/>
      <w:contextualSpacing/>
    </w:pPr>
    <w:rPr>
      <w:szCs w:val="20"/>
    </w:rPr>
  </w:style>
  <w:style w:type="character" w:customStyle="1" w:styleId="ListBulletChar">
    <w:name w:val="List Bullet Char"/>
    <w:basedOn w:val="DefaultParagraphFont"/>
    <w:link w:val="ListBullet"/>
    <w:uiPriority w:val="1"/>
    <w:rsid w:val="00B5323D"/>
    <w:rPr>
      <w:sz w:val="20"/>
      <w:szCs w:val="20"/>
    </w:rPr>
  </w:style>
  <w:style w:type="paragraph" w:styleId="ListBullet2">
    <w:name w:val="List Bullet 2"/>
    <w:basedOn w:val="Normal"/>
    <w:uiPriority w:val="1"/>
    <w:qFormat/>
    <w:rsid w:val="00425485"/>
    <w:pPr>
      <w:numPr>
        <w:ilvl w:val="1"/>
        <w:numId w:val="19"/>
      </w:numPr>
      <w:spacing w:before="60" w:after="60"/>
      <w:contextualSpacing/>
    </w:pPr>
    <w:rPr>
      <w:szCs w:val="20"/>
    </w:rPr>
  </w:style>
  <w:style w:type="paragraph" w:styleId="ListBullet3">
    <w:name w:val="List Bullet 3"/>
    <w:basedOn w:val="Normal"/>
    <w:uiPriority w:val="1"/>
    <w:qFormat/>
    <w:rsid w:val="001E1748"/>
    <w:pPr>
      <w:numPr>
        <w:ilvl w:val="2"/>
        <w:numId w:val="19"/>
      </w:numPr>
      <w:spacing w:before="60" w:after="60" w:line="274" w:lineRule="auto"/>
      <w:contextualSpacing/>
    </w:pPr>
    <w:rPr>
      <w:szCs w:val="20"/>
    </w:rPr>
  </w:style>
  <w:style w:type="paragraph" w:styleId="ListNumber">
    <w:name w:val="List Number"/>
    <w:basedOn w:val="Normal"/>
    <w:uiPriority w:val="2"/>
    <w:qFormat/>
    <w:rsid w:val="00E6323D"/>
    <w:pPr>
      <w:numPr>
        <w:numId w:val="13"/>
      </w:numPr>
      <w:spacing w:after="120"/>
      <w:ind w:left="454" w:hanging="227"/>
      <w:contextualSpacing/>
    </w:pPr>
  </w:style>
  <w:style w:type="paragraph" w:styleId="ListParagraph">
    <w:name w:val="List Paragraph"/>
    <w:basedOn w:val="Normal"/>
    <w:uiPriority w:val="34"/>
    <w:semiHidden/>
    <w:rsid w:val="001E1748"/>
    <w:pPr>
      <w:ind w:left="720"/>
      <w:contextualSpacing/>
    </w:pPr>
  </w:style>
  <w:style w:type="paragraph" w:styleId="NoSpacing">
    <w:name w:val="No Spacing"/>
    <w:uiPriority w:val="2"/>
    <w:unhideWhenUsed/>
    <w:rsid w:val="001E1748"/>
    <w:pPr>
      <w:spacing w:after="0" w:line="240" w:lineRule="auto"/>
    </w:pPr>
  </w:style>
  <w:style w:type="paragraph" w:styleId="Quote">
    <w:name w:val="Quote"/>
    <w:basedOn w:val="Normal"/>
    <w:next w:val="Normal"/>
    <w:link w:val="QuoteChar"/>
    <w:uiPriority w:val="29"/>
    <w:rsid w:val="001E1748"/>
    <w:pPr>
      <w:spacing w:before="200" w:after="160"/>
      <w:ind w:left="1134" w:right="1134"/>
    </w:pPr>
    <w:rPr>
      <w:iCs/>
      <w:color w:val="404040" w:themeColor="text1" w:themeTint="BF"/>
    </w:rPr>
  </w:style>
  <w:style w:type="character" w:customStyle="1" w:styleId="QuoteChar">
    <w:name w:val="Quote Char"/>
    <w:basedOn w:val="DefaultParagraphFont"/>
    <w:link w:val="Quote"/>
    <w:uiPriority w:val="29"/>
    <w:rsid w:val="001E1748"/>
    <w:rPr>
      <w:iCs/>
      <w:color w:val="404040" w:themeColor="text1" w:themeTint="BF"/>
    </w:rPr>
  </w:style>
  <w:style w:type="paragraph" w:styleId="Subtitle">
    <w:name w:val="Subtitle"/>
    <w:basedOn w:val="Normal"/>
    <w:next w:val="Normal"/>
    <w:link w:val="SubtitleChar"/>
    <w:uiPriority w:val="11"/>
    <w:semiHidden/>
    <w:rsid w:val="001E174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CC514D"/>
    <w:rPr>
      <w:rFonts w:eastAsiaTheme="minorEastAsia"/>
      <w:color w:val="5A5A5A" w:themeColor="text1" w:themeTint="A5"/>
      <w:spacing w:val="15"/>
    </w:rPr>
  </w:style>
  <w:style w:type="character" w:styleId="SubtleEmphasis">
    <w:name w:val="Subtle Emphasis"/>
    <w:basedOn w:val="DefaultParagraphFont"/>
    <w:uiPriority w:val="19"/>
    <w:rsid w:val="001E1748"/>
    <w:rPr>
      <w:i/>
      <w:iCs/>
      <w:color w:val="404040" w:themeColor="text1" w:themeTint="BF"/>
    </w:rPr>
  </w:style>
  <w:style w:type="paragraph" w:styleId="Title">
    <w:name w:val="Title"/>
    <w:basedOn w:val="Normal"/>
    <w:next w:val="Normal"/>
    <w:link w:val="TitleChar"/>
    <w:uiPriority w:val="10"/>
    <w:semiHidden/>
    <w:rsid w:val="001E17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CC514D"/>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CC514D"/>
    <w:rPr>
      <w:rFonts w:asciiTheme="majorHAnsi" w:eastAsiaTheme="majorEastAsia" w:hAnsiTheme="majorHAnsi" w:cstheme="majorBidi"/>
      <w:i/>
      <w:iCs/>
      <w:color w:val="265A9A"/>
    </w:rPr>
  </w:style>
  <w:style w:type="paragraph" w:customStyle="1" w:styleId="PullQuote">
    <w:name w:val="Pull Quote"/>
    <w:basedOn w:val="BodyText"/>
    <w:next w:val="BodyText"/>
    <w:uiPriority w:val="30"/>
    <w:qFormat/>
    <w:rsid w:val="00A6285E"/>
    <w:pPr>
      <w:spacing w:before="120" w:line="280" w:lineRule="atLeast"/>
      <w:ind w:left="284" w:right="284"/>
    </w:pPr>
    <w:rPr>
      <w:rFonts w:ascii="Arial Black" w:hAnsi="Arial Black"/>
      <w:color w:val="265A9A"/>
      <w:sz w:val="24"/>
      <w:szCs w:val="20"/>
    </w:rPr>
  </w:style>
  <w:style w:type="paragraph" w:styleId="BodyText">
    <w:name w:val="Body Text"/>
    <w:basedOn w:val="Normal"/>
    <w:link w:val="BodyTextChar"/>
    <w:unhideWhenUsed/>
    <w:qFormat/>
    <w:rsid w:val="00A6285E"/>
    <w:pPr>
      <w:spacing w:after="120"/>
    </w:pPr>
  </w:style>
  <w:style w:type="character" w:customStyle="1" w:styleId="BodyTextChar">
    <w:name w:val="Body Text Char"/>
    <w:basedOn w:val="DefaultParagraphFont"/>
    <w:link w:val="BodyText"/>
    <w:rsid w:val="00A6285E"/>
  </w:style>
  <w:style w:type="numbering" w:customStyle="1" w:styleId="Bullets">
    <w:name w:val="Bullets"/>
    <w:uiPriority w:val="99"/>
    <w:rsid w:val="009848AD"/>
    <w:pPr>
      <w:numPr>
        <w:numId w:val="15"/>
      </w:numPr>
    </w:pPr>
  </w:style>
  <w:style w:type="table" w:styleId="TableGrid">
    <w:name w:val="Table Grid"/>
    <w:basedOn w:val="TableNormal"/>
    <w:uiPriority w:val="39"/>
    <w:rsid w:val="00984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Spacing"/>
    <w:uiPriority w:val="4"/>
    <w:qFormat/>
    <w:rsid w:val="009848AD"/>
    <w:pPr>
      <w:spacing w:after="20" w:line="280" w:lineRule="atLeast"/>
      <w:ind w:left="57"/>
    </w:pPr>
    <w:rPr>
      <w:sz w:val="18"/>
      <w:szCs w:val="20"/>
    </w:rPr>
  </w:style>
  <w:style w:type="paragraph" w:customStyle="1" w:styleId="TableListBullet">
    <w:name w:val="Table List Bullet"/>
    <w:basedOn w:val="ListBullet"/>
    <w:uiPriority w:val="10"/>
    <w:qFormat/>
    <w:rsid w:val="009848AD"/>
    <w:pPr>
      <w:numPr>
        <w:numId w:val="2"/>
      </w:numPr>
      <w:spacing w:before="0" w:after="20"/>
    </w:pPr>
  </w:style>
  <w:style w:type="numbering" w:customStyle="1" w:styleId="Bullets1">
    <w:name w:val="Bullets1"/>
    <w:uiPriority w:val="99"/>
    <w:rsid w:val="009848AD"/>
  </w:style>
  <w:style w:type="paragraph" w:styleId="Revision">
    <w:name w:val="Revision"/>
    <w:hidden/>
    <w:uiPriority w:val="99"/>
    <w:semiHidden/>
    <w:rsid w:val="00ED57AE"/>
    <w:pPr>
      <w:spacing w:after="0" w:line="240" w:lineRule="auto"/>
    </w:pPr>
  </w:style>
  <w:style w:type="character" w:styleId="CommentReference">
    <w:name w:val="annotation reference"/>
    <w:basedOn w:val="DefaultParagraphFont"/>
    <w:uiPriority w:val="99"/>
    <w:semiHidden/>
    <w:unhideWhenUsed/>
    <w:rsid w:val="00D47CFA"/>
    <w:rPr>
      <w:sz w:val="16"/>
      <w:szCs w:val="16"/>
    </w:rPr>
  </w:style>
  <w:style w:type="paragraph" w:styleId="CommentText">
    <w:name w:val="annotation text"/>
    <w:basedOn w:val="Normal"/>
    <w:link w:val="CommentTextChar"/>
    <w:uiPriority w:val="99"/>
    <w:unhideWhenUsed/>
    <w:rsid w:val="00D47CFA"/>
    <w:pPr>
      <w:spacing w:line="240" w:lineRule="auto"/>
    </w:pPr>
    <w:rPr>
      <w:szCs w:val="20"/>
    </w:rPr>
  </w:style>
  <w:style w:type="character" w:customStyle="1" w:styleId="CommentTextChar">
    <w:name w:val="Comment Text Char"/>
    <w:basedOn w:val="DefaultParagraphFont"/>
    <w:link w:val="CommentText"/>
    <w:uiPriority w:val="99"/>
    <w:rsid w:val="00D47CFA"/>
    <w:rPr>
      <w:sz w:val="20"/>
      <w:szCs w:val="20"/>
    </w:rPr>
  </w:style>
  <w:style w:type="paragraph" w:styleId="CommentSubject">
    <w:name w:val="annotation subject"/>
    <w:basedOn w:val="CommentText"/>
    <w:next w:val="CommentText"/>
    <w:link w:val="CommentSubjectChar"/>
    <w:uiPriority w:val="99"/>
    <w:semiHidden/>
    <w:unhideWhenUsed/>
    <w:rsid w:val="00D47CFA"/>
    <w:rPr>
      <w:b/>
      <w:bCs/>
    </w:rPr>
  </w:style>
  <w:style w:type="character" w:customStyle="1" w:styleId="CommentSubjectChar">
    <w:name w:val="Comment Subject Char"/>
    <w:basedOn w:val="CommentTextChar"/>
    <w:link w:val="CommentSubject"/>
    <w:uiPriority w:val="99"/>
    <w:semiHidden/>
    <w:rsid w:val="00D47C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pcgov.sharepoint.com/sites/mpw/FormServerTemplates/PC-report-template.dotx"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5ADB003E5349499F1DC840A3748441" ma:contentTypeVersion="18" ma:contentTypeDescription="Create a new document." ma:contentTypeScope="" ma:versionID="ae79436fdbe6c49ee2cb8aadcce0c88a">
  <xsd:schema xmlns:xsd="http://www.w3.org/2001/XMLSchema" xmlns:xs="http://www.w3.org/2001/XMLSchema" xmlns:p="http://schemas.microsoft.com/office/2006/metadata/properties" xmlns:ns2="4999a062-bf25-4e1b-bf40-d0ceaadde115" xmlns:ns3="ab9bf696-b976-42ed-b50a-48004ee2daad" targetNamespace="http://schemas.microsoft.com/office/2006/metadata/properties" ma:root="true" ma:fieldsID="30e8318bbbe8124869152e34116709fc" ns2:_="" ns3:_="">
    <xsd:import namespace="4999a062-bf25-4e1b-bf40-d0ceaadde115"/>
    <xsd:import namespace="ab9bf696-b976-42ed-b50a-48004ee2daad"/>
    <xsd:element name="properties">
      <xsd:complexType>
        <xsd:sequence>
          <xsd:element name="documentManagement">
            <xsd:complexType>
              <xsd:all>
                <xsd:element ref="ns2:MediaServiceMetadata" minOccurs="0"/>
                <xsd:element ref="ns2:MediaServiceFastMetadata" minOccurs="0"/>
                <xsd:element ref="ns3:i0f84bba906045b4af568ee102a52dcb"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9a062-bf25-4e1b-bf40-d0ceaadde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bf696-b976-42ed-b50a-48004ee2daad" elementFormDefault="qualified">
    <xsd:import namespace="http://schemas.microsoft.com/office/2006/documentManagement/types"/>
    <xsd:import namespace="http://schemas.microsoft.com/office/infopath/2007/PartnerControls"/>
    <xsd:element name="i0f84bba906045b4af568ee102a52dcb" ma:index="11"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3679ecb-4789-4df4-b2e8-2dc9b4aacb86}" ma:internalName="TaxCatchAll" ma:showField="CatchAllData" ma:web="ab9bf696-b976-42ed-b50a-48004ee2daad">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mplafyTemplateConfiguration><![CDATA[{"elementsMetadata":[],"transformationConfigurations":[],"templateName":"Fact sheet","templateDescription":"","enableDocumentContentUpdater":false,"version":"2.0"}]]></TemplafyTemplateConfiguration>
</file>

<file path=customXml/item4.xml><?xml version="1.0" encoding="utf-8"?>
<p:properties xmlns:p="http://schemas.microsoft.com/office/2006/metadata/properties" xmlns:xsi="http://www.w3.org/2001/XMLSchema-instance" xmlns:pc="http://schemas.microsoft.com/office/infopath/2007/PartnerControls">
  <documentManagement>
    <i0f84bba906045b4af568ee102a52dcb xmlns="ab9bf696-b976-42ed-b50a-48004ee2daa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4999a062-bf25-4e1b-bf40-d0ceaadde115">
      <Terms xmlns="http://schemas.microsoft.com/office/infopath/2007/PartnerControls"/>
    </lcf76f155ced4ddcb4097134ff3c332f>
    <TaxCatchAll xmlns="ab9bf696-b976-42ed-b50a-48004ee2daad">
      <Value>1</Value>
    </TaxCatchAll>
  </documentManagement>
</p:properties>
</file>

<file path=customXml/item5.xml><?xml version="1.0" encoding="utf-8"?>
<TemplafyFormConfiguration><![CDATA[{"formFields":[],"formDataEntries":[]}]]></TemplafyFormConfiguration>
</file>

<file path=customXml/itemProps1.xml><?xml version="1.0" encoding="utf-8"?>
<ds:datastoreItem xmlns:ds="http://schemas.openxmlformats.org/officeDocument/2006/customXml" ds:itemID="{1B27C1A1-8894-4768-AF07-21282CF09E11}">
  <ds:schemaRefs>
    <ds:schemaRef ds:uri="http://schemas.microsoft.com/sharepoint/v3/contenttype/forms"/>
  </ds:schemaRefs>
</ds:datastoreItem>
</file>

<file path=customXml/itemProps2.xml><?xml version="1.0" encoding="utf-8"?>
<ds:datastoreItem xmlns:ds="http://schemas.openxmlformats.org/officeDocument/2006/customXml" ds:itemID="{02BE43A3-7827-4C48-9C18-C81931AE3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9a062-bf25-4e1b-bf40-d0ceaadde115"/>
    <ds:schemaRef ds:uri="ab9bf696-b976-42ed-b50a-48004ee2d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11EFDB-C4E3-4BD1-B6FD-1F3EF20E8211}">
  <ds:schemaRefs/>
</ds:datastoreItem>
</file>

<file path=customXml/itemProps4.xml><?xml version="1.0" encoding="utf-8"?>
<ds:datastoreItem xmlns:ds="http://schemas.openxmlformats.org/officeDocument/2006/customXml" ds:itemID="{29C6D4F5-F759-4B60-BD7F-49077EC9AE3E}">
  <ds:schemaRefs>
    <ds:schemaRef ds:uri="http://schemas.microsoft.com/office/2006/documentManagement/types"/>
    <ds:schemaRef ds:uri="http://purl.org/dc/elements/1.1/"/>
    <ds:schemaRef ds:uri="http://schemas.microsoft.com/office/infopath/2007/PartnerControls"/>
    <ds:schemaRef ds:uri="http://purl.org/dc/terms/"/>
    <ds:schemaRef ds:uri="4999a062-bf25-4e1b-bf40-d0ceaadde115"/>
    <ds:schemaRef ds:uri="http://purl.org/dc/dcmitype/"/>
    <ds:schemaRef ds:uri="http://schemas.openxmlformats.org/package/2006/metadata/core-properties"/>
    <ds:schemaRef ds:uri="http://schemas.microsoft.com/office/2006/metadata/properties"/>
    <ds:schemaRef ds:uri="ab9bf696-b976-42ed-b50a-48004ee2daad"/>
    <ds:schemaRef ds:uri="http://www.w3.org/XML/1998/namespace"/>
  </ds:schemaRefs>
</ds:datastoreItem>
</file>

<file path=customXml/itemProps5.xml><?xml version="1.0" encoding="utf-8"?>
<ds:datastoreItem xmlns:ds="http://schemas.openxmlformats.org/officeDocument/2006/customXml" ds:itemID="{52EDF02A-B8FF-46BF-BAF0-A1E8BE8BF93E}">
  <ds:schemaRefs/>
</ds:datastoreItem>
</file>

<file path=docProps/app.xml><?xml version="1.0" encoding="utf-8"?>
<Properties xmlns="http://schemas.openxmlformats.org/officeDocument/2006/extended-properties" xmlns:vt="http://schemas.openxmlformats.org/officeDocument/2006/docPropsVTypes">
  <Template>PC-report-template</Template>
  <TotalTime>117</TotalTime>
  <Pages>3</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Fact sheet 3: Migration and occupational licensing - Advancing Prosperity</vt:lpstr>
    </vt:vector>
  </TitlesOfParts>
  <Company>Productivity Commission</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5: Migration and occupational licensing - Advancing Prosperity</dc:title>
  <dc:subject/>
  <dc:creator>Productivity Commission</dc:creator>
  <cp:keywords/>
  <cp:lastModifiedBy>Chris Alston</cp:lastModifiedBy>
  <cp:revision>78</cp:revision>
  <dcterms:created xsi:type="dcterms:W3CDTF">2023-03-16T12:17:00Z</dcterms:created>
  <dcterms:modified xsi:type="dcterms:W3CDTF">2023-03-16T23:36:00Z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637346222824850435</vt:lpwstr>
  </property>
  <property fmtid="{D5CDD505-2E9C-101B-9397-08002B2CF9AE}" pid="4" name="TemplafyUserProfileId">
    <vt:lpwstr>637610559223843913</vt:lpwstr>
  </property>
  <property fmtid="{D5CDD505-2E9C-101B-9397-08002B2CF9AE}" pid="5" name="TemplafyFromBlank">
    <vt:bool>false</vt:bool>
  </property>
  <property fmtid="{D5CDD505-2E9C-101B-9397-08002B2CF9AE}" pid="6" name="ContentTypeId">
    <vt:lpwstr>0x010100AF5ADB003E5349499F1DC840A3748441</vt:lpwstr>
  </property>
  <property fmtid="{D5CDD505-2E9C-101B-9397-08002B2CF9AE}" pid="7" name="MediaServiceImageTags">
    <vt:lpwstr/>
  </property>
  <property fmtid="{D5CDD505-2E9C-101B-9397-08002B2CF9AE}" pid="8" name="RevIMBCS">
    <vt:lpwstr>1;#Unclassified|3955eeb1-2d18-4582-aeb2-00144ec3aaf5</vt:lpwstr>
  </property>
</Properties>
</file>