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A57E" w14:textId="10B3FBA6" w:rsidR="00BF738A" w:rsidRPr="00ED57AE" w:rsidRDefault="00C16500" w:rsidP="00F67BF1">
      <w:pPr>
        <w:pStyle w:val="Heading1"/>
        <w:spacing w:before="720"/>
      </w:pPr>
      <w:r>
        <w:t>Workplace relations and platform work</w:t>
      </w:r>
    </w:p>
    <w:p w14:paraId="283B2826" w14:textId="6E8C1F23" w:rsidR="00D67A9F" w:rsidRPr="009A608E" w:rsidRDefault="00D67A9F" w:rsidP="00D67A9F">
      <w:pPr>
        <w:pStyle w:val="BodyText"/>
        <w:rPr>
          <w:spacing w:val="2"/>
        </w:rPr>
      </w:pPr>
      <w:bookmarkStart w:id="0" w:name="_Hlk94794966"/>
      <w:r w:rsidRPr="009A608E">
        <w:rPr>
          <w:spacing w:val="2"/>
        </w:rPr>
        <w:t xml:space="preserve">Workplace relations regulation has a bearing on </w:t>
      </w:r>
      <w:r w:rsidR="00591762">
        <w:rPr>
          <w:spacing w:val="2"/>
        </w:rPr>
        <w:t>productivity through</w:t>
      </w:r>
      <w:r w:rsidRPr="009A608E">
        <w:rPr>
          <w:spacing w:val="2"/>
        </w:rPr>
        <w:t xml:space="preserve"> both the use of efficient practices in the workplace and the </w:t>
      </w:r>
      <w:r w:rsidR="00DA5E46">
        <w:rPr>
          <w:spacing w:val="2"/>
        </w:rPr>
        <w:t>improved matching of workers with employers.</w:t>
      </w:r>
    </w:p>
    <w:p w14:paraId="008013DF" w14:textId="3E50B426" w:rsidR="00D67A9F" w:rsidRDefault="00D67A9F" w:rsidP="00D67A9F">
      <w:pPr>
        <w:pStyle w:val="BodyText"/>
      </w:pPr>
      <w:r>
        <w:t>While platform work involves some challenges for workplace relations policy, it promises significant productivity and other efficiency benefits</w:t>
      </w:r>
      <w:r w:rsidR="00DA5E46">
        <w:t xml:space="preserve">. It can directly link workers and consumers, avoiding </w:t>
      </w:r>
      <w:r w:rsidR="00054700">
        <w:t>search costs</w:t>
      </w:r>
      <w:r w:rsidR="00DA5E46">
        <w:t xml:space="preserve">. It provides flexibility for those workers who value it, </w:t>
      </w:r>
      <w:r>
        <w:t>higher quality on</w:t>
      </w:r>
      <w:r>
        <w:noBreakHyphen/>
        <w:t xml:space="preserve">demand services </w:t>
      </w:r>
      <w:r w:rsidR="00DA5E46">
        <w:t xml:space="preserve">for consumers </w:t>
      </w:r>
      <w:r>
        <w:t xml:space="preserve">and </w:t>
      </w:r>
      <w:r w:rsidR="00035612">
        <w:t>greater</w:t>
      </w:r>
      <w:r>
        <w:t xml:space="preserve"> competition between firms. Although there are regulatory challenges associated with platform work, policy should not seek to</w:t>
      </w:r>
      <w:r w:rsidR="00DA5E46">
        <w:t xml:space="preserve"> force </w:t>
      </w:r>
      <w:r>
        <w:t xml:space="preserve">platform workers </w:t>
      </w:r>
      <w:r w:rsidR="00DA5E46">
        <w:t>to be</w:t>
      </w:r>
      <w:r>
        <w:t xml:space="preserve"> employees</w:t>
      </w:r>
      <w:r w:rsidR="00DA5E46">
        <w:t xml:space="preserve">. This would harm the workers who value platform work and </w:t>
      </w:r>
      <w:r>
        <w:t>risk reducing or removing key productivity benefits, including labour flexibility</w:t>
      </w:r>
      <w:r w:rsidR="00DA5E46">
        <w:t xml:space="preserve">. </w:t>
      </w:r>
      <w:r w:rsidR="00054700">
        <w:t>That said, balanced</w:t>
      </w:r>
      <w:r w:rsidR="00DA5E46">
        <w:t xml:space="preserve"> safeguards are needed for platform workers.</w:t>
      </w:r>
    </w:p>
    <w:p w14:paraId="765744D5" w14:textId="77777777" w:rsidR="00012F5F" w:rsidRDefault="00012F5F" w:rsidP="00452D00">
      <w:pPr>
        <w:pStyle w:val="Heading2"/>
        <w:spacing w:after="0"/>
      </w:pPr>
      <w:r>
        <w:t>Recommendations</w:t>
      </w:r>
    </w:p>
    <w:p w14:paraId="0CF89DCA" w14:textId="72723CF4" w:rsidR="00012F5F" w:rsidRDefault="00012F5F" w:rsidP="00780387">
      <w:pPr>
        <w:pStyle w:val="BodyText"/>
        <w:spacing w:before="120"/>
      </w:pPr>
      <w:r>
        <w:t xml:space="preserve">Regarding </w:t>
      </w:r>
      <w:r>
        <w:rPr>
          <w:b/>
          <w:bCs/>
        </w:rPr>
        <w:t>workplace relations</w:t>
      </w:r>
      <w:r w:rsidR="00844831">
        <w:rPr>
          <w:b/>
          <w:bCs/>
        </w:rPr>
        <w:t xml:space="preserve"> </w:t>
      </w:r>
      <w:r w:rsidR="00BC5914" w:rsidRPr="00BC5914">
        <w:t>(recommendations 7.13 to 7.</w:t>
      </w:r>
      <w:r w:rsidR="00C264FC">
        <w:t>17</w:t>
      </w:r>
      <w:r w:rsidR="00BC5914" w:rsidRPr="00BC5914">
        <w:t>),</w:t>
      </w:r>
      <w:r w:rsidRPr="00562879">
        <w:t xml:space="preserve"> </w:t>
      </w:r>
      <w:r>
        <w:t>t</w:t>
      </w:r>
      <w:r w:rsidRPr="00DE6142">
        <w:t>he Australian Government should</w:t>
      </w:r>
      <w:r>
        <w:t>:</w:t>
      </w:r>
    </w:p>
    <w:p w14:paraId="38C9F785" w14:textId="77777777" w:rsidR="00012F5F" w:rsidRPr="001D6B7C" w:rsidRDefault="00012F5F" w:rsidP="00012F5F">
      <w:pPr>
        <w:pStyle w:val="ListBullet"/>
        <w:numPr>
          <w:ilvl w:val="0"/>
          <w:numId w:val="3"/>
        </w:numPr>
        <w:rPr>
          <w:spacing w:val="-2"/>
        </w:rPr>
      </w:pPr>
      <w:r w:rsidRPr="001D6B7C">
        <w:rPr>
          <w:spacing w:val="-2"/>
        </w:rPr>
        <w:t>Amend section 134 of t</w:t>
      </w:r>
      <w:r w:rsidRPr="00A467EB">
        <w:rPr>
          <w:i/>
          <w:iCs/>
          <w:spacing w:val="-2"/>
        </w:rPr>
        <w:t>he Fair Work Act 2009</w:t>
      </w:r>
      <w:r w:rsidRPr="001D6B7C">
        <w:rPr>
          <w:spacing w:val="-2"/>
        </w:rPr>
        <w:t xml:space="preserve"> (C</w:t>
      </w:r>
      <w:r>
        <w:rPr>
          <w:spacing w:val="-2"/>
        </w:rPr>
        <w:t>wl</w:t>
      </w:r>
      <w:r w:rsidRPr="001D6B7C">
        <w:rPr>
          <w:spacing w:val="-2"/>
        </w:rPr>
        <w:t>th) to clarify the modern award objective, focusing on the needs of the employed; the need to increase employment; the needs of employers; the need to achieve gender equality in the workforce; the needs of consumers; the need to ensure that modern awards are easy to understand; and the likely impact of any exercise of modern award powers on efficiency and productivity.</w:t>
      </w:r>
    </w:p>
    <w:p w14:paraId="37297871" w14:textId="77777777" w:rsidR="00012F5F" w:rsidRDefault="00012F5F" w:rsidP="00012F5F">
      <w:pPr>
        <w:pStyle w:val="ListBullet"/>
        <w:numPr>
          <w:ilvl w:val="0"/>
          <w:numId w:val="3"/>
        </w:numPr>
      </w:pPr>
      <w:r>
        <w:t>Improve the Fair Work Commission’s (FWC) ability to vary awards to better achieve the modern awards objective, removing some of the rigidities of the current system and targeting those awards with the greatest potential for improvement</w:t>
      </w:r>
      <w:r>
        <w:rPr>
          <w:rStyle w:val="ui-provider"/>
        </w:rPr>
        <w:t>.</w:t>
      </w:r>
    </w:p>
    <w:p w14:paraId="4CFE59B2" w14:textId="0A4173EC" w:rsidR="00012F5F" w:rsidRDefault="00012F5F" w:rsidP="00012F5F">
      <w:pPr>
        <w:pStyle w:val="ListBullet"/>
        <w:numPr>
          <w:ilvl w:val="0"/>
          <w:numId w:val="3"/>
        </w:numPr>
      </w:pPr>
      <w:r>
        <w:t>In making variations to modern awards, the FWC should consider options that allow employers some choice about how they can meet award requirements, subject to meeting the modern awards objective and undertaking appropriate consultation with employees.</w:t>
      </w:r>
    </w:p>
    <w:p w14:paraId="54C3E8EA" w14:textId="77777777" w:rsidR="00012F5F" w:rsidRDefault="00012F5F" w:rsidP="00012F5F">
      <w:pPr>
        <w:pStyle w:val="ListBullet"/>
        <w:numPr>
          <w:ilvl w:val="0"/>
          <w:numId w:val="3"/>
        </w:numPr>
      </w:pPr>
      <w:r>
        <w:t>Limit the ability for enterprise agreements to restrict productivity enhancing changes to technology or workplace practices that are best left to managerial prerogative. This includes amending the Fair Work Act so that the model consultation term would be the only legally enforceable consultation term in enterprise agreements. A mechanism that enables the FWC to specifically authorise an alternative enforceable term should be explored.</w:t>
      </w:r>
    </w:p>
    <w:p w14:paraId="0CBDF8AA" w14:textId="33CAEAA8" w:rsidR="00CB4AA8" w:rsidRDefault="00012F5F" w:rsidP="00012F5F">
      <w:pPr>
        <w:pStyle w:val="ListBullet"/>
        <w:numPr>
          <w:ilvl w:val="0"/>
          <w:numId w:val="3"/>
        </w:numPr>
        <w:spacing w:before="0" w:after="0"/>
      </w:pPr>
      <w:r>
        <w:rPr>
          <w:rStyle w:val="ui-provider"/>
        </w:rPr>
        <w:t xml:space="preserve">Further loosen the relationship of enterprise agreements with awards by allowing the FWC to approve agreements that do not pass the Better Off Overall Test if a range of public and private interest tests are met. Any changes should have adequate protections in place to avoid undesirable outcomes as exemplified by the </w:t>
      </w:r>
      <w:r w:rsidRPr="00AB117B">
        <w:rPr>
          <w:rStyle w:val="ui-provider"/>
          <w:i/>
          <w:iCs/>
        </w:rPr>
        <w:t>Construction, Forestry, Mining and Energy Union v One Key Workforce Pty Ltd.</w:t>
      </w:r>
    </w:p>
    <w:p w14:paraId="62252C96" w14:textId="08D64678" w:rsidR="00012F5F" w:rsidRPr="00780387" w:rsidRDefault="00012F5F" w:rsidP="00780387">
      <w:pPr>
        <w:pStyle w:val="BodyText"/>
        <w:spacing w:before="200"/>
        <w:rPr>
          <w:spacing w:val="-4"/>
        </w:rPr>
      </w:pPr>
      <w:r w:rsidRPr="00780387">
        <w:rPr>
          <w:spacing w:val="-4"/>
        </w:rPr>
        <w:t xml:space="preserve">Regarding the </w:t>
      </w:r>
      <w:r w:rsidRPr="00780387">
        <w:rPr>
          <w:b/>
          <w:bCs/>
          <w:spacing w:val="-4"/>
        </w:rPr>
        <w:t>regulation of</w:t>
      </w:r>
      <w:r w:rsidRPr="00780387">
        <w:rPr>
          <w:spacing w:val="-4"/>
        </w:rPr>
        <w:t xml:space="preserve"> </w:t>
      </w:r>
      <w:r w:rsidRPr="00780387">
        <w:rPr>
          <w:b/>
          <w:bCs/>
          <w:spacing w:val="-4"/>
        </w:rPr>
        <w:t>platform work</w:t>
      </w:r>
      <w:r w:rsidR="00C264FC" w:rsidRPr="00780387">
        <w:rPr>
          <w:b/>
          <w:bCs/>
          <w:spacing w:val="-4"/>
        </w:rPr>
        <w:t xml:space="preserve"> </w:t>
      </w:r>
      <w:r w:rsidR="00C264FC" w:rsidRPr="00780387">
        <w:rPr>
          <w:spacing w:val="-4"/>
        </w:rPr>
        <w:t>(recommendations 7.18 to 7.1</w:t>
      </w:r>
      <w:r w:rsidR="006C285E" w:rsidRPr="00780387">
        <w:rPr>
          <w:spacing w:val="-4"/>
        </w:rPr>
        <w:t>9</w:t>
      </w:r>
      <w:r w:rsidR="00C264FC" w:rsidRPr="00780387">
        <w:rPr>
          <w:spacing w:val="-4"/>
        </w:rPr>
        <w:t>)</w:t>
      </w:r>
      <w:r w:rsidRPr="00780387">
        <w:rPr>
          <w:spacing w:val="-4"/>
        </w:rPr>
        <w:t>, the Australian Government should:</w:t>
      </w:r>
    </w:p>
    <w:p w14:paraId="472C616A" w14:textId="7CD4407E" w:rsidR="00012F5F" w:rsidRPr="00780387" w:rsidRDefault="00E02DC3" w:rsidP="00A617C4">
      <w:pPr>
        <w:pStyle w:val="ListBullet"/>
        <w:rPr>
          <w:spacing w:val="2"/>
        </w:rPr>
      </w:pPr>
      <w:r w:rsidRPr="00780387">
        <w:rPr>
          <w:spacing w:val="2"/>
        </w:rPr>
        <w:t>I</w:t>
      </w:r>
      <w:r w:rsidR="00012F5F" w:rsidRPr="00780387">
        <w:rPr>
          <w:spacing w:val="2"/>
        </w:rPr>
        <w:t>ntroduce an external, independent dispute resolution function within the Fair Work Commission that can provide conciliation and arbitration services relating to suspension or termination disputes or non</w:t>
      </w:r>
      <w:r w:rsidR="00CB4AA8" w:rsidRPr="00780387">
        <w:rPr>
          <w:spacing w:val="2"/>
        </w:rPr>
        <w:t>-</w:t>
      </w:r>
      <w:r w:rsidR="00012F5F" w:rsidRPr="00780387">
        <w:rPr>
          <w:spacing w:val="2"/>
        </w:rPr>
        <w:t>payment of earnings. The function should be funded by platforms and should be designed to encourage platforms to improve internal processes, rather than relying on the external body as the primary method of resolving disputes.</w:t>
      </w:r>
    </w:p>
    <w:p w14:paraId="0CA20111" w14:textId="7414CCAC" w:rsidR="00012F5F" w:rsidRPr="00AA543D" w:rsidRDefault="00E02DC3" w:rsidP="00A617C4">
      <w:pPr>
        <w:pStyle w:val="ListBullet"/>
        <w:rPr>
          <w:spacing w:val="-2"/>
        </w:rPr>
      </w:pPr>
      <w:r>
        <w:t>E</w:t>
      </w:r>
      <w:r w:rsidR="00012F5F" w:rsidRPr="00A617C4">
        <w:t>valuate insurance arrangements for platform work where there are significant risks to workers, drawing on data and consultation with platforms, workers and their representatives. Classes of platform work that are likely to be of initial interest are those with many workers or total hours worked and those where there are material risks to work</w:t>
      </w:r>
      <w:r w:rsidR="00CB4AA8">
        <w:t>er</w:t>
      </w:r>
      <w:r w:rsidR="00012F5F" w:rsidRPr="00A617C4">
        <w:t xml:space="preserve"> health and safety. Where insurance arrangements are insufficient, governments should consider at minimum mandating a baseline level of insurance to be provided and </w:t>
      </w:r>
      <w:r w:rsidR="00012F5F" w:rsidRPr="00A617C4">
        <w:lastRenderedPageBreak/>
        <w:t>paid for by</w:t>
      </w:r>
      <w:r w:rsidR="00012F5F" w:rsidRPr="00AA543D">
        <w:rPr>
          <w:spacing w:val="-2"/>
        </w:rPr>
        <w:t xml:space="preserve"> platforms, creating an industry wide insurance scheme, or extending workers compensation. Each of </w:t>
      </w:r>
      <w:r w:rsidR="006F1B94" w:rsidRPr="00AA543D">
        <w:rPr>
          <w:spacing w:val="-2"/>
        </w:rPr>
        <w:t>the</w:t>
      </w:r>
      <w:r w:rsidR="006F1B94">
        <w:rPr>
          <w:spacing w:val="-2"/>
        </w:rPr>
        <w:t>se</w:t>
      </w:r>
      <w:r w:rsidR="00012F5F" w:rsidRPr="00AA543D">
        <w:rPr>
          <w:spacing w:val="-2"/>
        </w:rPr>
        <w:t xml:space="preserve"> policy options would be best funded by the covered platforms. </w:t>
      </w:r>
    </w:p>
    <w:p w14:paraId="43FDC6C7" w14:textId="1F5A2769" w:rsidR="003261DF" w:rsidRPr="00452D00" w:rsidRDefault="003261DF" w:rsidP="00780387">
      <w:pPr>
        <w:pStyle w:val="Heading2"/>
        <w:spacing w:before="240" w:after="0"/>
      </w:pPr>
      <w:r w:rsidRPr="00452D00">
        <w:t>Key figures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34E1F" w:rsidRPr="005550A0" w14:paraId="53F73F19" w14:textId="77777777" w:rsidTr="001B20DB">
        <w:tc>
          <w:tcPr>
            <w:tcW w:w="5000" w:type="pct"/>
            <w:shd w:val="clear" w:color="auto" w:fill="FCEFD2" w:themeFill="accent3" w:themeFillTint="33"/>
          </w:tcPr>
          <w:p w14:paraId="0945C084" w14:textId="6193E021" w:rsidR="00034E1F" w:rsidRPr="009F31F1" w:rsidRDefault="00034E1F" w:rsidP="00034E1F">
            <w:pPr>
              <w:pStyle w:val="TableListBullet"/>
              <w:numPr>
                <w:ilvl w:val="0"/>
                <w:numId w:val="0"/>
              </w:numPr>
              <w:ind w:left="57"/>
              <w:rPr>
                <w:noProof/>
              </w:rPr>
            </w:pPr>
            <w:r w:rsidRPr="001B5E28">
              <w:rPr>
                <w:spacing w:val="-2"/>
                <w:sz w:val="18"/>
                <w:szCs w:val="18"/>
              </w:rPr>
              <w:t>While only a minority of employees rely solely on awards to determine their wages and conditions, awards have grown in significance.</w:t>
            </w:r>
            <w:r>
              <w:rPr>
                <w:spacing w:val="-2"/>
                <w:sz w:val="18"/>
                <w:szCs w:val="18"/>
              </w:rPr>
              <w:t xml:space="preserve"> </w:t>
            </w:r>
            <w:r w:rsidRPr="001B5E28">
              <w:rPr>
                <w:sz w:val="18"/>
                <w:szCs w:val="18"/>
              </w:rPr>
              <w:t>Most EA covered employees are on an expired agreement.</w:t>
            </w:r>
            <w:r>
              <w:rPr>
                <w:sz w:val="18"/>
                <w:szCs w:val="18"/>
              </w:rPr>
              <w:t xml:space="preserve"> </w:t>
            </w:r>
            <w:r w:rsidRPr="00A66C3B">
              <w:rPr>
                <w:sz w:val="18"/>
                <w:szCs w:val="18"/>
              </w:rPr>
              <w:t>(Volume 7, p. 96)</w:t>
            </w:r>
          </w:p>
        </w:tc>
      </w:tr>
      <w:tr w:rsidR="00034E1F" w:rsidRPr="005550A0" w14:paraId="2EA5E191" w14:textId="77777777" w:rsidTr="00034E1F">
        <w:tc>
          <w:tcPr>
            <w:tcW w:w="5000" w:type="pct"/>
          </w:tcPr>
          <w:p w14:paraId="449BF8D5" w14:textId="630993AC" w:rsidR="00034E1F" w:rsidRPr="005550A0" w:rsidRDefault="00434F33" w:rsidP="001B20DB">
            <w:pPr>
              <w:pStyle w:val="TableBody"/>
              <w:ind w:left="0"/>
            </w:pPr>
            <w:r w:rsidRPr="00434F33">
              <w:rPr>
                <w:noProof/>
              </w:rPr>
              <w:drawing>
                <wp:inline distT="0" distB="0" distL="0" distR="0" wp14:anchorId="69EB5199" wp14:editId="6B8B88BC">
                  <wp:extent cx="6120130" cy="2900680"/>
                  <wp:effectExtent l="0" t="0" r="0" b="0"/>
                  <wp:docPr id="1" name="Picture 1" descr="The figure shows that from 2010 to 2021, the share of non‑managerial employees whose wages were determined by awards increased from 16.4% to 24.7%, while decreasing from 45.6% to 37.2% for enterprise agreements. In&#10; comparison, the share of non‑managerial employees whose wages were determined by individual arrangements stayed relatively constant at 38.0% to 3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igure shows that from 2010 to 2021, the share of non‑managerial employees whose wages were determined by awards increased from 16.4% to 24.7%, while decreasing from 45.6% to 37.2% for enterprise agreements. In&#10; comparison, the share of non‑managerial employees whose wages were determined by individual arrangements stayed relatively constant at 38.0% to 38.1%.&#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2900680"/>
                          </a:xfrm>
                          <a:prstGeom prst="rect">
                            <a:avLst/>
                          </a:prstGeom>
                          <a:noFill/>
                          <a:ln>
                            <a:noFill/>
                          </a:ln>
                        </pic:spPr>
                      </pic:pic>
                    </a:graphicData>
                  </a:graphic>
                </wp:inline>
              </w:drawing>
            </w:r>
          </w:p>
        </w:tc>
      </w:tr>
      <w:tr w:rsidR="00034E1F" w:rsidRPr="005550A0" w14:paraId="57399041" w14:textId="77777777" w:rsidTr="001B20DB">
        <w:tc>
          <w:tcPr>
            <w:tcW w:w="5000" w:type="pct"/>
            <w:shd w:val="clear" w:color="auto" w:fill="E7DCED" w:themeFill="accent6" w:themeFillTint="33"/>
          </w:tcPr>
          <w:p w14:paraId="5F9E4E95" w14:textId="5894A91D" w:rsidR="00034E1F" w:rsidRPr="00034E1F" w:rsidRDefault="00034E1F" w:rsidP="00A66C3B">
            <w:pPr>
              <w:pStyle w:val="TableBody"/>
              <w:rPr>
                <w:noProof/>
                <w:spacing w:val="-4"/>
              </w:rPr>
            </w:pPr>
            <w:r w:rsidRPr="00034E1F">
              <w:rPr>
                <w:spacing w:val="-4"/>
                <w:szCs w:val="18"/>
              </w:rPr>
              <w:t>Increasingly, employers and employees are leaving expired EAs in place, with 56% of employees covered by an agreement on an expired EA. By their nature, expired EAs cannot include new productivity enhancing clauses, so the scope for them to improve productivity depends on whether existing clauses leave room for future flexibility. (Volume 7, p. 115)</w:t>
            </w:r>
          </w:p>
        </w:tc>
      </w:tr>
      <w:tr w:rsidR="00034E1F" w:rsidRPr="005550A0" w14:paraId="08B07975" w14:textId="77777777" w:rsidTr="00034E1F">
        <w:tc>
          <w:tcPr>
            <w:tcW w:w="5000" w:type="pct"/>
          </w:tcPr>
          <w:p w14:paraId="0B1D9381" w14:textId="25023A1F" w:rsidR="00034E1F" w:rsidRPr="009F31F1" w:rsidRDefault="00E34BE4" w:rsidP="001B20DB">
            <w:pPr>
              <w:pStyle w:val="TableBody"/>
              <w:ind w:left="0"/>
              <w:rPr>
                <w:noProof/>
              </w:rPr>
            </w:pPr>
            <w:r w:rsidRPr="00E34BE4">
              <w:rPr>
                <w:noProof/>
              </w:rPr>
              <w:drawing>
                <wp:inline distT="0" distB="0" distL="0" distR="0" wp14:anchorId="499947D3" wp14:editId="6BF162CE">
                  <wp:extent cx="6041316" cy="3924000"/>
                  <wp:effectExtent l="0" t="0" r="0" b="0"/>
                  <wp:docPr id="2" name="Picture 2" descr="This figure shows that 56 per cent of employees are covered by an expired agreement. This varies between industries from 17 per cent of Manufacturing employees to 80 per cent of employees in Rental, hiring and real estat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igure shows that 56 per cent of employees are covered by an expired agreement. This varies between industries from 17 per cent of Manufacturing employees to 80 per cent of employees in Rental, hiring and real estate servi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41316" cy="3924000"/>
                          </a:xfrm>
                          <a:prstGeom prst="rect">
                            <a:avLst/>
                          </a:prstGeom>
                          <a:noFill/>
                          <a:ln>
                            <a:noFill/>
                          </a:ln>
                        </pic:spPr>
                      </pic:pic>
                    </a:graphicData>
                  </a:graphic>
                </wp:inline>
              </w:drawing>
            </w:r>
          </w:p>
        </w:tc>
      </w:tr>
    </w:tbl>
    <w:p w14:paraId="3CF098DC" w14:textId="3E397294" w:rsidR="00A66C3B" w:rsidRDefault="0015274A" w:rsidP="007342CE">
      <w:pPr>
        <w:spacing w:before="240"/>
      </w:pPr>
      <w:r w:rsidRPr="00CF4552">
        <w:t>The</w:t>
      </w:r>
      <w:r w:rsidR="00F67BF1">
        <w:t xml:space="preserve"> </w:t>
      </w:r>
      <w:r w:rsidR="00F67BF1">
        <w:rPr>
          <w:b/>
          <w:bCs/>
        </w:rPr>
        <w:t xml:space="preserve">5-year Productivity Inquiry: Advancing Prosperity </w:t>
      </w:r>
      <w:r w:rsidR="00F67BF1" w:rsidRPr="00F67BF1">
        <w:t>report</w:t>
      </w:r>
      <w:r w:rsidR="00F67BF1">
        <w:rPr>
          <w:b/>
          <w:bCs/>
        </w:rPr>
        <w:t xml:space="preserve"> </w:t>
      </w:r>
      <w:r w:rsidRPr="00CF4552">
        <w:t>can be found at:</w:t>
      </w:r>
      <w:r w:rsidRPr="00CF4552">
        <w:rPr>
          <w:color w:val="4D7028" w:themeColor="accent2"/>
        </w:rPr>
        <w:t xml:space="preserve"> </w:t>
      </w:r>
      <w:hyperlink r:id="rId14" w:history="1">
        <w:r w:rsidRPr="004D1CB9">
          <w:rPr>
            <w:rStyle w:val="Hyperlink"/>
          </w:rPr>
          <w:t>www.pc.gov.au</w:t>
        </w:r>
      </w:hyperlink>
      <w:bookmarkEnd w:id="0"/>
    </w:p>
    <w:sectPr w:rsidR="00A66C3B" w:rsidSect="00F67BF1">
      <w:headerReference w:type="default" r:id="rId15"/>
      <w:footerReference w:type="default" r:id="rId16"/>
      <w:headerReference w:type="first" r:id="rId17"/>
      <w:footerReference w:type="first" r:id="rId18"/>
      <w:pgSz w:w="11906" w:h="16838" w:code="9"/>
      <w:pgMar w:top="1843" w:right="1134" w:bottom="1134" w:left="1134" w:header="624"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2E16" w14:textId="77777777" w:rsidR="00231672" w:rsidRDefault="00231672" w:rsidP="00BF738A">
      <w:pPr>
        <w:spacing w:after="0" w:line="240" w:lineRule="auto"/>
      </w:pPr>
      <w:r>
        <w:separator/>
      </w:r>
    </w:p>
  </w:endnote>
  <w:endnote w:type="continuationSeparator" w:id="0">
    <w:p w14:paraId="5D4FEB9B" w14:textId="77777777" w:rsidR="00231672" w:rsidRDefault="00231672" w:rsidP="00BF738A">
      <w:pPr>
        <w:spacing w:after="0" w:line="240" w:lineRule="auto"/>
      </w:pPr>
      <w:r>
        <w:continuationSeparator/>
      </w:r>
    </w:p>
  </w:endnote>
  <w:endnote w:type="continuationNotice" w:id="1">
    <w:p w14:paraId="6C8F3D06" w14:textId="77777777" w:rsidR="002C03D4" w:rsidRDefault="002C0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CB8A" w14:textId="3D103EFD" w:rsidR="00F67BF1" w:rsidRPr="001D4262" w:rsidRDefault="001D4262" w:rsidP="001D4262">
    <w:pPr>
      <w:pStyle w:val="Footer"/>
      <w:spacing w:before="0" w:beforeAutospacing="0" w:after="0" w:afterAutospacing="0"/>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F289" w14:textId="601201E3" w:rsidR="009848AD" w:rsidRPr="00F67BF1" w:rsidRDefault="00F67BF1" w:rsidP="00F67BF1">
    <w:pPr>
      <w:pStyle w:val="Footer"/>
      <w:spacing w:before="0" w:beforeAutospacing="0" w:after="0" w:afterAutospacing="0"/>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A86A" w14:textId="77777777" w:rsidR="00231672" w:rsidRDefault="00231672" w:rsidP="00BF738A">
      <w:pPr>
        <w:spacing w:after="0" w:line="240" w:lineRule="auto"/>
      </w:pPr>
      <w:r>
        <w:separator/>
      </w:r>
    </w:p>
  </w:footnote>
  <w:footnote w:type="continuationSeparator" w:id="0">
    <w:p w14:paraId="33DEA5A2" w14:textId="77777777" w:rsidR="00231672" w:rsidRDefault="00231672" w:rsidP="00BF738A">
      <w:pPr>
        <w:spacing w:after="0" w:line="240" w:lineRule="auto"/>
      </w:pPr>
      <w:r>
        <w:continuationSeparator/>
      </w:r>
    </w:p>
  </w:footnote>
  <w:footnote w:type="continuationNotice" w:id="1">
    <w:p w14:paraId="2B97CC6B" w14:textId="77777777" w:rsidR="002C03D4" w:rsidRDefault="002C0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0FA1" w14:textId="12C3751F" w:rsidR="009848AD" w:rsidRPr="009848AD" w:rsidRDefault="009848AD" w:rsidP="00E0781F">
    <w:pPr>
      <w:pStyle w:val="Header"/>
      <w:spacing w:before="80"/>
      <w:ind w:right="-454"/>
      <w:rPr>
        <w:b/>
        <w:bCs/>
        <w:sz w:val="22"/>
      </w:rPr>
    </w:pPr>
    <w:r w:rsidRPr="009848AD">
      <w:rPr>
        <w:rFonts w:ascii="Arial Black" w:hAnsi="Arial Black"/>
        <w:b/>
        <w:bCs/>
        <w:color w:val="2D9AC2" w:themeColor="text2" w:themeShade="BF"/>
        <w:sz w:val="34"/>
        <w:szCs w:val="34"/>
      </w:rPr>
      <w:t>FACTSHEET</w:t>
    </w:r>
  </w:p>
  <w:p w14:paraId="65BA68B8" w14:textId="0D015023" w:rsidR="00BF738A" w:rsidRPr="004B63CF" w:rsidRDefault="0073286C" w:rsidP="00E0781F">
    <w:pPr>
      <w:pStyle w:val="Header"/>
      <w:spacing w:before="400"/>
      <w:ind w:right="-454"/>
    </w:pPr>
    <w:r w:rsidRPr="00A326BA">
      <w:rPr>
        <w:b/>
        <w:bCs/>
      </w:rPr>
      <w:t>#</w:t>
    </w:r>
    <w:r w:rsidR="0014137C">
      <w:rPr>
        <w:b/>
        <w:bCs/>
      </w:rPr>
      <w:t>6</w:t>
    </w:r>
    <w:r w:rsidRPr="00A326BA">
      <w:rPr>
        <w:b/>
        <w:bCs/>
      </w:rPr>
      <w:t xml:space="preserve"> – </w:t>
    </w:r>
    <w:r w:rsidR="009848AD">
      <w:rPr>
        <w:b/>
        <w:bCs/>
      </w:rPr>
      <w:t xml:space="preserve">Advancing Prosperity </w:t>
    </w:r>
    <w:r w:rsidR="003C6BF2">
      <w:rPr>
        <w:b/>
        <w:bCs/>
      </w:rPr>
      <w:t xml:space="preserve">| </w:t>
    </w:r>
    <w:r w:rsidR="009848AD">
      <w:rPr>
        <w:b/>
        <w:bCs/>
      </w:rPr>
      <w:t>Inquiry Report</w:t>
    </w:r>
    <w:r w:rsidR="004B63CF">
      <w:rPr>
        <w:b/>
        <w:bCs/>
      </w:rPr>
      <w:t xml:space="preserve"> | Volume </w:t>
    </w:r>
    <w:r w:rsidR="00780387">
      <w:rPr>
        <w:b/>
        <w:bC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9798" w14:textId="37EA50AB" w:rsidR="009848AD" w:rsidRPr="009848AD" w:rsidRDefault="009848AD" w:rsidP="009848AD">
    <w:pPr>
      <w:pStyle w:val="Header"/>
      <w:spacing w:before="480"/>
      <w:ind w:right="-454"/>
      <w:rPr>
        <w:b/>
        <w:bCs/>
      </w:rPr>
    </w:pPr>
    <w:r w:rsidRPr="00A326BA">
      <w:rPr>
        <w:rFonts w:ascii="Verdana" w:hAnsi="Verdana"/>
        <w:b/>
        <w:bCs/>
        <w:noProof/>
        <w:color w:val="FF0000"/>
        <w:sz w:val="28"/>
        <w:szCs w:val="28"/>
        <w:highlight w:val="yellow"/>
      </w:rPr>
      <w:drawing>
        <wp:anchor distT="0" distB="0" distL="114300" distR="114300" simplePos="0" relativeHeight="251658240" behindDoc="1" locked="0" layoutInCell="1" allowOverlap="1" wp14:anchorId="7256CDFB" wp14:editId="0728FBB7">
          <wp:simplePos x="0" y="0"/>
          <wp:positionH relativeFrom="page">
            <wp:posOffset>0</wp:posOffset>
          </wp:positionH>
          <wp:positionV relativeFrom="page">
            <wp:posOffset>-85725</wp:posOffset>
          </wp:positionV>
          <wp:extent cx="7561921" cy="1581150"/>
          <wp:effectExtent l="0" t="0" r="1270" b="0"/>
          <wp:wrapNone/>
          <wp:docPr id="165" name="Picture 165" descr="Productivity Commission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ductivity Commission factsheet"/>
                  <pic:cNvPicPr/>
                </pic:nvPicPr>
                <pic:blipFill>
                  <a:blip r:embed="rId1">
                    <a:extLst>
                      <a:ext uri="{28A0092B-C50C-407E-A947-70E740481C1C}">
                        <a14:useLocalDpi xmlns:a14="http://schemas.microsoft.com/office/drawing/2010/main" val="0"/>
                      </a:ext>
                    </a:extLst>
                  </a:blip>
                  <a:srcRect t="782" b="782"/>
                  <a:stretch>
                    <a:fillRect/>
                  </a:stretch>
                </pic:blipFill>
                <pic:spPr bwMode="auto">
                  <a:xfrm>
                    <a:off x="0" y="0"/>
                    <a:ext cx="7561921"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26BA">
      <w:rPr>
        <w:b/>
        <w:bCs/>
      </w:rPr>
      <w:t>#</w:t>
    </w:r>
    <w:r w:rsidR="0014137C">
      <w:rPr>
        <w:b/>
        <w:bCs/>
      </w:rPr>
      <w:t>6</w:t>
    </w:r>
    <w:r w:rsidRPr="00A326BA">
      <w:rPr>
        <w:b/>
        <w:bCs/>
      </w:rPr>
      <w:t xml:space="preserve"> – </w:t>
    </w:r>
    <w:r>
      <w:rPr>
        <w:b/>
        <w:bCs/>
      </w:rPr>
      <w:t>Advancing Prosperity | Inquiry Report</w:t>
    </w:r>
    <w:r w:rsidR="00E41F64">
      <w:rPr>
        <w:b/>
        <w:bCs/>
      </w:rPr>
      <w:t xml:space="preserve"> | Volume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00E104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BB885A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0506E98"/>
    <w:lvl w:ilvl="0">
      <w:start w:val="1"/>
      <w:numFmt w:val="decimal"/>
      <w:pStyle w:val="ListNumber"/>
      <w:lvlText w:val="%1."/>
      <w:lvlJc w:val="left"/>
      <w:pPr>
        <w:tabs>
          <w:tab w:val="num" w:pos="360"/>
        </w:tabs>
        <w:ind w:left="360" w:hanging="360"/>
      </w:pPr>
      <w:rPr>
        <w:rFonts w:hint="default"/>
      </w:rPr>
    </w:lvl>
  </w:abstractNum>
  <w:abstractNum w:abstractNumId="3" w15:restartNumberingAfterBreak="0">
    <w:nsid w:val="FFFFFF89"/>
    <w:multiLevelType w:val="singleLevel"/>
    <w:tmpl w:val="C3088772"/>
    <w:lvl w:ilvl="0">
      <w:start w:val="1"/>
      <w:numFmt w:val="bullet"/>
      <w:pStyle w:val="TableListBullet"/>
      <w:lvlText w:val=""/>
      <w:lvlJc w:val="left"/>
      <w:pPr>
        <w:tabs>
          <w:tab w:val="num" w:pos="360"/>
        </w:tabs>
        <w:ind w:left="360" w:hanging="360"/>
      </w:pPr>
      <w:rPr>
        <w:rFonts w:ascii="Symbol" w:hAnsi="Symbol" w:hint="default"/>
      </w:rPr>
    </w:lvl>
  </w:abstractNum>
  <w:abstractNum w:abstractNumId="4" w15:restartNumberingAfterBreak="0">
    <w:nsid w:val="031A37EF"/>
    <w:multiLevelType w:val="hybridMultilevel"/>
    <w:tmpl w:val="3EB88730"/>
    <w:lvl w:ilvl="0" w:tplc="AA2616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36A07"/>
    <w:multiLevelType w:val="hybridMultilevel"/>
    <w:tmpl w:val="CD70F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3E6C9D"/>
    <w:multiLevelType w:val="multilevel"/>
    <w:tmpl w:val="FF8069A4"/>
    <w:numStyleLink w:val="Bullets"/>
  </w:abstractNum>
  <w:abstractNum w:abstractNumId="7" w15:restartNumberingAfterBreak="0">
    <w:nsid w:val="35EA1F40"/>
    <w:multiLevelType w:val="hybridMultilevel"/>
    <w:tmpl w:val="B4780528"/>
    <w:lvl w:ilvl="0" w:tplc="A57E6EEC">
      <w:start w:val="1"/>
      <w:numFmt w:val="decimal"/>
      <w:lvlText w:val="%1."/>
      <w:lvlJc w:val="left"/>
      <w:pPr>
        <w:ind w:left="775" w:hanging="360"/>
      </w:pPr>
      <w:rPr>
        <w:rFonts w:hint="default"/>
      </w:r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8" w15:restartNumberingAfterBreak="0">
    <w:nsid w:val="4B565A11"/>
    <w:multiLevelType w:val="hybridMultilevel"/>
    <w:tmpl w:val="2DEE58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E05515"/>
    <w:multiLevelType w:val="hybridMultilevel"/>
    <w:tmpl w:val="98E03F46"/>
    <w:lvl w:ilvl="0" w:tplc="0C09000F">
      <w:start w:val="1"/>
      <w:numFmt w:val="decimal"/>
      <w:lvlText w:val="%1."/>
      <w:lvlJc w:val="left"/>
      <w:pPr>
        <w:ind w:left="775" w:hanging="360"/>
      </w:pPr>
    </w:lvl>
    <w:lvl w:ilvl="1" w:tplc="0C090019">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0"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1" w15:restartNumberingAfterBreak="0">
    <w:nsid w:val="663E1C42"/>
    <w:multiLevelType w:val="hybridMultilevel"/>
    <w:tmpl w:val="CAC8F8FA"/>
    <w:lvl w:ilvl="0" w:tplc="0C090001">
      <w:start w:val="1"/>
      <w:numFmt w:val="bullet"/>
      <w:lvlText w:val=""/>
      <w:lvlJc w:val="left"/>
      <w:pPr>
        <w:ind w:left="360" w:hanging="360"/>
      </w:pPr>
      <w:rPr>
        <w:rFonts w:ascii="Symbol" w:hAnsi="Symbol" w:hint="default"/>
      </w:rPr>
    </w:lvl>
    <w:lvl w:ilvl="1" w:tplc="42F075A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A8389B"/>
    <w:multiLevelType w:val="hybridMultilevel"/>
    <w:tmpl w:val="CE869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9828926">
    <w:abstractNumId w:val="4"/>
  </w:num>
  <w:num w:numId="2" w16cid:durableId="317923861">
    <w:abstractNumId w:val="3"/>
  </w:num>
  <w:num w:numId="3" w16cid:durableId="1228372660">
    <w:abstractNumId w:val="6"/>
  </w:num>
  <w:num w:numId="4" w16cid:durableId="2021546402">
    <w:abstractNumId w:val="1"/>
  </w:num>
  <w:num w:numId="5" w16cid:durableId="1958876224">
    <w:abstractNumId w:val="6"/>
  </w:num>
  <w:num w:numId="6" w16cid:durableId="779253751">
    <w:abstractNumId w:val="0"/>
  </w:num>
  <w:num w:numId="7" w16cid:durableId="230846041">
    <w:abstractNumId w:val="6"/>
  </w:num>
  <w:num w:numId="8" w16cid:durableId="833767088">
    <w:abstractNumId w:val="2"/>
  </w:num>
  <w:num w:numId="9" w16cid:durableId="617302055">
    <w:abstractNumId w:val="2"/>
  </w:num>
  <w:num w:numId="10" w16cid:durableId="176118987">
    <w:abstractNumId w:val="6"/>
  </w:num>
  <w:num w:numId="11" w16cid:durableId="1404641264">
    <w:abstractNumId w:val="6"/>
  </w:num>
  <w:num w:numId="12" w16cid:durableId="965233325">
    <w:abstractNumId w:val="6"/>
  </w:num>
  <w:num w:numId="13" w16cid:durableId="378168178">
    <w:abstractNumId w:val="2"/>
  </w:num>
  <w:num w:numId="14" w16cid:durableId="1952320758">
    <w:abstractNumId w:val="6"/>
  </w:num>
  <w:num w:numId="15" w16cid:durableId="179243797">
    <w:abstractNumId w:val="10"/>
  </w:num>
  <w:num w:numId="16" w16cid:durableId="2103646247">
    <w:abstractNumId w:val="6"/>
    <w:lvlOverride w:ilvl="0">
      <w:lvl w:ilvl="0">
        <w:start w:val="1"/>
        <w:numFmt w:val="bullet"/>
        <w:pStyle w:val="ListBullet"/>
        <w:lvlText w:val="•"/>
        <w:lvlJc w:val="left"/>
        <w:pPr>
          <w:ind w:left="227" w:hanging="227"/>
        </w:pPr>
        <w:rPr>
          <w:rFonts w:ascii="Times New Roman" w:hAnsi="Times New Roman" w:cs="Times New Roman" w:hint="default"/>
          <w:color w:val="000000"/>
        </w:rPr>
      </w:lvl>
    </w:lvlOverride>
    <w:lvlOverride w:ilvl="1">
      <w:lvl w:ilvl="1">
        <w:start w:val="1"/>
        <w:numFmt w:val="bullet"/>
        <w:pStyle w:val="ListBullet2"/>
        <w:lvlText w:val="–"/>
        <w:lvlJc w:val="left"/>
        <w:pPr>
          <w:ind w:left="454" w:hanging="227"/>
        </w:pPr>
        <w:rPr>
          <w:rFonts w:ascii="Arial" w:hAnsi="Arial" w:hint="default"/>
          <w:color w:val="auto"/>
        </w:rPr>
      </w:lvl>
    </w:lvlOverride>
    <w:lvlOverride w:ilvl="2">
      <w:lvl w:ilvl="2">
        <w:start w:val="1"/>
        <w:numFmt w:val="bullet"/>
        <w:pStyle w:val="ListBullet3"/>
        <w:lvlText w:val="»"/>
        <w:lvlJc w:val="left"/>
        <w:pPr>
          <w:ind w:left="907" w:hanging="227"/>
        </w:pPr>
        <w:rPr>
          <w:rFonts w:ascii="Arial" w:hAnsi="Arial" w:hint="default"/>
          <w:color w:val="auto"/>
        </w:rPr>
      </w:lvl>
    </w:lvlOverride>
    <w:lvlOverride w:ilvl="3">
      <w:lvl w:ilvl="3">
        <w:start w:val="1"/>
        <w:numFmt w:val="bullet"/>
        <w:lvlText w:val="–"/>
        <w:lvlJc w:val="left"/>
        <w:pPr>
          <w:tabs>
            <w:tab w:val="num" w:pos="851"/>
          </w:tabs>
          <w:ind w:left="907" w:hanging="227"/>
        </w:pPr>
        <w:rPr>
          <w:rFonts w:ascii="Arial" w:hAnsi="Arial" w:hint="default"/>
          <w:color w:val="auto"/>
        </w:rPr>
      </w:lvl>
    </w:lvlOverride>
    <w:lvlOverride w:ilvl="4">
      <w:lvl w:ilvl="4">
        <w:start w:val="1"/>
        <w:numFmt w:val="bullet"/>
        <w:lvlText w:val="–"/>
        <w:lvlJc w:val="left"/>
        <w:pPr>
          <w:ind w:left="1134" w:hanging="227"/>
        </w:pPr>
        <w:rPr>
          <w:rFonts w:ascii="Arial" w:hAnsi="Arial" w:hint="default"/>
          <w:color w:val="auto"/>
        </w:rPr>
      </w:lvl>
    </w:lvlOverride>
    <w:lvlOverride w:ilvl="5">
      <w:lvl w:ilvl="5">
        <w:start w:val="1"/>
        <w:numFmt w:val="bullet"/>
        <w:lvlText w:val="–"/>
        <w:lvlJc w:val="left"/>
        <w:pPr>
          <w:ind w:left="1361" w:hanging="227"/>
        </w:pPr>
        <w:rPr>
          <w:rFonts w:ascii="Arial" w:hAnsi="Arial" w:hint="default"/>
        </w:rPr>
      </w:lvl>
    </w:lvlOverride>
    <w:lvlOverride w:ilvl="6">
      <w:lvl w:ilvl="6">
        <w:start w:val="1"/>
        <w:numFmt w:val="bullet"/>
        <w:lvlText w:val="–"/>
        <w:lvlJc w:val="left"/>
        <w:pPr>
          <w:ind w:left="1588" w:hanging="227"/>
        </w:pPr>
        <w:rPr>
          <w:rFonts w:ascii="Arial" w:hAnsi="Arial" w:hint="default"/>
        </w:rPr>
      </w:lvl>
    </w:lvlOverride>
    <w:lvlOverride w:ilvl="7">
      <w:lvl w:ilvl="7">
        <w:start w:val="1"/>
        <w:numFmt w:val="bullet"/>
        <w:lvlText w:val="–"/>
        <w:lvlJc w:val="left"/>
        <w:pPr>
          <w:ind w:left="1814" w:hanging="226"/>
        </w:pPr>
        <w:rPr>
          <w:rFonts w:ascii="Arial" w:hAnsi="Arial" w:hint="default"/>
        </w:rPr>
      </w:lvl>
    </w:lvlOverride>
    <w:lvlOverride w:ilvl="8">
      <w:lvl w:ilvl="8">
        <w:start w:val="1"/>
        <w:numFmt w:val="bullet"/>
        <w:lvlText w:val="–"/>
        <w:lvlJc w:val="left"/>
        <w:pPr>
          <w:tabs>
            <w:tab w:val="num" w:pos="2211"/>
          </w:tabs>
          <w:ind w:left="2041" w:hanging="227"/>
        </w:pPr>
        <w:rPr>
          <w:rFonts w:ascii="Arial" w:hAnsi="Arial" w:hint="default"/>
        </w:rPr>
      </w:lvl>
    </w:lvlOverride>
  </w:num>
  <w:num w:numId="17" w16cid:durableId="331690661">
    <w:abstractNumId w:val="6"/>
  </w:num>
  <w:num w:numId="18" w16cid:durableId="1568492710">
    <w:abstractNumId w:val="6"/>
  </w:num>
  <w:num w:numId="19" w16cid:durableId="368183068">
    <w:abstractNumId w:val="6"/>
  </w:num>
  <w:num w:numId="20" w16cid:durableId="1741630660">
    <w:abstractNumId w:val="6"/>
  </w:num>
  <w:num w:numId="21" w16cid:durableId="1359546544">
    <w:abstractNumId w:val="9"/>
  </w:num>
  <w:num w:numId="22" w16cid:durableId="31223978">
    <w:abstractNumId w:val="5"/>
  </w:num>
  <w:num w:numId="23" w16cid:durableId="2145851519">
    <w:abstractNumId w:val="11"/>
  </w:num>
  <w:num w:numId="24" w16cid:durableId="1769498788">
    <w:abstractNumId w:val="8"/>
  </w:num>
  <w:num w:numId="25" w16cid:durableId="711198264">
    <w:abstractNumId w:val="12"/>
  </w:num>
  <w:num w:numId="26" w16cid:durableId="878397308">
    <w:abstractNumId w:val="7"/>
  </w:num>
  <w:num w:numId="27" w16cid:durableId="701589596">
    <w:abstractNumId w:val="2"/>
  </w:num>
  <w:num w:numId="28" w16cid:durableId="1138957465">
    <w:abstractNumId w:val="2"/>
  </w:num>
  <w:num w:numId="29" w16cid:durableId="1629387896">
    <w:abstractNumId w:val="2"/>
    <w:lvlOverride w:ilvl="0">
      <w:startOverride w:val="1"/>
    </w:lvlOverride>
  </w:num>
  <w:num w:numId="30" w16cid:durableId="1836846455">
    <w:abstractNumId w:val="2"/>
    <w:lvlOverride w:ilvl="0">
      <w:startOverride w:val="1"/>
    </w:lvlOverride>
  </w:num>
  <w:num w:numId="31" w16cid:durableId="1023167337">
    <w:abstractNumId w:val="2"/>
  </w:num>
  <w:num w:numId="32" w16cid:durableId="198395903">
    <w:abstractNumId w:val="2"/>
    <w:lvlOverride w:ilvl="0">
      <w:startOverride w:val="1"/>
    </w:lvlOverride>
  </w:num>
  <w:num w:numId="33" w16cid:durableId="1349067657">
    <w:abstractNumId w:val="2"/>
    <w:lvlOverride w:ilvl="0">
      <w:startOverride w:val="1"/>
    </w:lvlOverride>
  </w:num>
  <w:num w:numId="34" w16cid:durableId="1633753311">
    <w:abstractNumId w:val="2"/>
  </w:num>
  <w:num w:numId="35" w16cid:durableId="154037459">
    <w:abstractNumId w:val="2"/>
    <w:lvlOverride w:ilvl="0">
      <w:startOverride w:val="1"/>
    </w:lvlOverride>
  </w:num>
  <w:num w:numId="36" w16cid:durableId="2038194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D"/>
    <w:rsid w:val="00012F5F"/>
    <w:rsid w:val="0003218F"/>
    <w:rsid w:val="00034E1F"/>
    <w:rsid w:val="00035612"/>
    <w:rsid w:val="0003579A"/>
    <w:rsid w:val="00054700"/>
    <w:rsid w:val="00056C5A"/>
    <w:rsid w:val="00057037"/>
    <w:rsid w:val="000678A0"/>
    <w:rsid w:val="00083E3A"/>
    <w:rsid w:val="000872C3"/>
    <w:rsid w:val="000B4185"/>
    <w:rsid w:val="000D14F2"/>
    <w:rsid w:val="000D6529"/>
    <w:rsid w:val="000E164A"/>
    <w:rsid w:val="001043A0"/>
    <w:rsid w:val="00127A31"/>
    <w:rsid w:val="0014137C"/>
    <w:rsid w:val="0015274A"/>
    <w:rsid w:val="00167887"/>
    <w:rsid w:val="001B20DB"/>
    <w:rsid w:val="001B5E28"/>
    <w:rsid w:val="001D4262"/>
    <w:rsid w:val="001E1748"/>
    <w:rsid w:val="001E1C8B"/>
    <w:rsid w:val="00203D27"/>
    <w:rsid w:val="00213C0F"/>
    <w:rsid w:val="00222096"/>
    <w:rsid w:val="00231672"/>
    <w:rsid w:val="0025570F"/>
    <w:rsid w:val="00256ED3"/>
    <w:rsid w:val="002647C2"/>
    <w:rsid w:val="00274876"/>
    <w:rsid w:val="00275D79"/>
    <w:rsid w:val="002828EB"/>
    <w:rsid w:val="002C03D4"/>
    <w:rsid w:val="002E3526"/>
    <w:rsid w:val="002F7B7E"/>
    <w:rsid w:val="003261DF"/>
    <w:rsid w:val="0033557B"/>
    <w:rsid w:val="00347D79"/>
    <w:rsid w:val="00380B2E"/>
    <w:rsid w:val="0038191A"/>
    <w:rsid w:val="00382306"/>
    <w:rsid w:val="003A0FE4"/>
    <w:rsid w:val="003C0C27"/>
    <w:rsid w:val="003C2472"/>
    <w:rsid w:val="003C6629"/>
    <w:rsid w:val="003C6BF2"/>
    <w:rsid w:val="003D5F85"/>
    <w:rsid w:val="003E011F"/>
    <w:rsid w:val="003F6CE3"/>
    <w:rsid w:val="00421411"/>
    <w:rsid w:val="00425485"/>
    <w:rsid w:val="004256E1"/>
    <w:rsid w:val="00430C34"/>
    <w:rsid w:val="00434F33"/>
    <w:rsid w:val="004401EB"/>
    <w:rsid w:val="00441AE9"/>
    <w:rsid w:val="00452D00"/>
    <w:rsid w:val="00452FB0"/>
    <w:rsid w:val="00453CBF"/>
    <w:rsid w:val="004568D4"/>
    <w:rsid w:val="004661E8"/>
    <w:rsid w:val="0047509D"/>
    <w:rsid w:val="00490D0C"/>
    <w:rsid w:val="00493EB2"/>
    <w:rsid w:val="00494DE7"/>
    <w:rsid w:val="00497115"/>
    <w:rsid w:val="004B1EAA"/>
    <w:rsid w:val="004B371B"/>
    <w:rsid w:val="004B63CF"/>
    <w:rsid w:val="004B7031"/>
    <w:rsid w:val="004D1CB9"/>
    <w:rsid w:val="004F28F5"/>
    <w:rsid w:val="005176D4"/>
    <w:rsid w:val="0054589A"/>
    <w:rsid w:val="005629C7"/>
    <w:rsid w:val="005732AD"/>
    <w:rsid w:val="005744C7"/>
    <w:rsid w:val="00591762"/>
    <w:rsid w:val="00591DBB"/>
    <w:rsid w:val="005D5F79"/>
    <w:rsid w:val="005D7147"/>
    <w:rsid w:val="005F7BF9"/>
    <w:rsid w:val="00611100"/>
    <w:rsid w:val="00626F0D"/>
    <w:rsid w:val="0063634F"/>
    <w:rsid w:val="006B6BBA"/>
    <w:rsid w:val="006C285E"/>
    <w:rsid w:val="006C4AE8"/>
    <w:rsid w:val="006D7C2C"/>
    <w:rsid w:val="006E16F7"/>
    <w:rsid w:val="006F1B94"/>
    <w:rsid w:val="006F24AB"/>
    <w:rsid w:val="006F63EA"/>
    <w:rsid w:val="006F7B12"/>
    <w:rsid w:val="007144DA"/>
    <w:rsid w:val="00715AB7"/>
    <w:rsid w:val="00724381"/>
    <w:rsid w:val="007316BF"/>
    <w:rsid w:val="0073286C"/>
    <w:rsid w:val="007342CE"/>
    <w:rsid w:val="00740656"/>
    <w:rsid w:val="00742729"/>
    <w:rsid w:val="007657FC"/>
    <w:rsid w:val="00765CB6"/>
    <w:rsid w:val="00780387"/>
    <w:rsid w:val="007A4797"/>
    <w:rsid w:val="007B02BE"/>
    <w:rsid w:val="007D0634"/>
    <w:rsid w:val="007F4BD6"/>
    <w:rsid w:val="008318AE"/>
    <w:rsid w:val="008413EB"/>
    <w:rsid w:val="00844831"/>
    <w:rsid w:val="00847BD4"/>
    <w:rsid w:val="008C1A72"/>
    <w:rsid w:val="008C1E20"/>
    <w:rsid w:val="008D5A05"/>
    <w:rsid w:val="008D6AEC"/>
    <w:rsid w:val="00902D9B"/>
    <w:rsid w:val="009251C4"/>
    <w:rsid w:val="00934BEC"/>
    <w:rsid w:val="00934C0A"/>
    <w:rsid w:val="009414FB"/>
    <w:rsid w:val="00942D5E"/>
    <w:rsid w:val="00973096"/>
    <w:rsid w:val="00975997"/>
    <w:rsid w:val="009848AD"/>
    <w:rsid w:val="009A608E"/>
    <w:rsid w:val="009E68BD"/>
    <w:rsid w:val="009F696C"/>
    <w:rsid w:val="00A10A0A"/>
    <w:rsid w:val="00A12269"/>
    <w:rsid w:val="00A326BA"/>
    <w:rsid w:val="00A36781"/>
    <w:rsid w:val="00A41D4E"/>
    <w:rsid w:val="00A449C3"/>
    <w:rsid w:val="00A52026"/>
    <w:rsid w:val="00A617C4"/>
    <w:rsid w:val="00A6285E"/>
    <w:rsid w:val="00A66C3B"/>
    <w:rsid w:val="00A671CC"/>
    <w:rsid w:val="00A80EF3"/>
    <w:rsid w:val="00A9384D"/>
    <w:rsid w:val="00AA3AC6"/>
    <w:rsid w:val="00AE7DB4"/>
    <w:rsid w:val="00AF2EBB"/>
    <w:rsid w:val="00AF5830"/>
    <w:rsid w:val="00AF5C1A"/>
    <w:rsid w:val="00B00048"/>
    <w:rsid w:val="00B040EA"/>
    <w:rsid w:val="00B0415E"/>
    <w:rsid w:val="00B14592"/>
    <w:rsid w:val="00B43566"/>
    <w:rsid w:val="00B5323D"/>
    <w:rsid w:val="00B54E5C"/>
    <w:rsid w:val="00B622EE"/>
    <w:rsid w:val="00B979DA"/>
    <w:rsid w:val="00BC2B85"/>
    <w:rsid w:val="00BC5914"/>
    <w:rsid w:val="00BC78BD"/>
    <w:rsid w:val="00BE41C8"/>
    <w:rsid w:val="00BF738A"/>
    <w:rsid w:val="00C008B0"/>
    <w:rsid w:val="00C06C50"/>
    <w:rsid w:val="00C16500"/>
    <w:rsid w:val="00C17A92"/>
    <w:rsid w:val="00C23E74"/>
    <w:rsid w:val="00C264FC"/>
    <w:rsid w:val="00C63A5F"/>
    <w:rsid w:val="00C65D13"/>
    <w:rsid w:val="00C77A23"/>
    <w:rsid w:val="00CB1C9B"/>
    <w:rsid w:val="00CB4AA8"/>
    <w:rsid w:val="00CC514D"/>
    <w:rsid w:val="00CD6563"/>
    <w:rsid w:val="00CF551D"/>
    <w:rsid w:val="00D25C0F"/>
    <w:rsid w:val="00D353E1"/>
    <w:rsid w:val="00D43FB2"/>
    <w:rsid w:val="00D67A9F"/>
    <w:rsid w:val="00D8698A"/>
    <w:rsid w:val="00D86D6E"/>
    <w:rsid w:val="00D948FD"/>
    <w:rsid w:val="00DA5E46"/>
    <w:rsid w:val="00DD7482"/>
    <w:rsid w:val="00E02DC3"/>
    <w:rsid w:val="00E0781F"/>
    <w:rsid w:val="00E12FC6"/>
    <w:rsid w:val="00E151AD"/>
    <w:rsid w:val="00E34BE4"/>
    <w:rsid w:val="00E41F64"/>
    <w:rsid w:val="00E6323D"/>
    <w:rsid w:val="00E8329A"/>
    <w:rsid w:val="00EC6523"/>
    <w:rsid w:val="00EC6B55"/>
    <w:rsid w:val="00ED57AE"/>
    <w:rsid w:val="00F12C86"/>
    <w:rsid w:val="00F1737E"/>
    <w:rsid w:val="00F36907"/>
    <w:rsid w:val="00F36AF7"/>
    <w:rsid w:val="00F67BF1"/>
    <w:rsid w:val="00F94BB2"/>
    <w:rsid w:val="00FD697E"/>
    <w:rsid w:val="00FE3664"/>
    <w:rsid w:val="00FE531F"/>
    <w:rsid w:val="00FF3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6D2C"/>
  <w15:docId w15:val="{255B29CD-6D55-42D7-BF49-8134555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CE"/>
    <w:rPr>
      <w:sz w:val="20"/>
    </w:rPr>
  </w:style>
  <w:style w:type="paragraph" w:styleId="Heading1">
    <w:name w:val="heading 1"/>
    <w:basedOn w:val="Normal"/>
    <w:next w:val="Normal"/>
    <w:link w:val="Heading1Char"/>
    <w:uiPriority w:val="9"/>
    <w:qFormat/>
    <w:rsid w:val="001E1748"/>
    <w:pPr>
      <w:keepNext/>
      <w:keepLines/>
      <w:spacing w:before="240" w:after="120"/>
      <w:outlineLvl w:val="0"/>
    </w:pPr>
    <w:rPr>
      <w:rFonts w:asciiTheme="majorHAnsi" w:eastAsiaTheme="majorEastAsia" w:hAnsiTheme="majorHAnsi" w:cstheme="majorBidi"/>
      <w:b/>
      <w:color w:val="26539D"/>
      <w:sz w:val="32"/>
      <w:szCs w:val="32"/>
    </w:rPr>
  </w:style>
  <w:style w:type="paragraph" w:styleId="Heading2">
    <w:name w:val="heading 2"/>
    <w:basedOn w:val="Normal"/>
    <w:next w:val="Normal"/>
    <w:link w:val="Heading2Char"/>
    <w:uiPriority w:val="9"/>
    <w:unhideWhenUsed/>
    <w:qFormat/>
    <w:rsid w:val="001E1748"/>
    <w:pPr>
      <w:keepNext/>
      <w:keepLines/>
      <w:spacing w:before="40" w:after="80"/>
      <w:outlineLvl w:val="1"/>
    </w:pPr>
    <w:rPr>
      <w:rFonts w:asciiTheme="majorHAnsi" w:eastAsiaTheme="majorEastAsia" w:hAnsiTheme="majorHAnsi" w:cstheme="majorBidi"/>
      <w:b/>
      <w:color w:val="31A2CF"/>
      <w:sz w:val="26"/>
      <w:szCs w:val="26"/>
    </w:rPr>
  </w:style>
  <w:style w:type="paragraph" w:styleId="Heading3">
    <w:name w:val="heading 3"/>
    <w:basedOn w:val="Normal"/>
    <w:next w:val="Normal"/>
    <w:link w:val="Heading3Char"/>
    <w:uiPriority w:val="9"/>
    <w:unhideWhenUsed/>
    <w:qFormat/>
    <w:rsid w:val="006C4AE8"/>
    <w:pPr>
      <w:keepNext/>
      <w:keepLines/>
      <w:spacing w:before="120" w:after="0"/>
      <w:outlineLvl w:val="2"/>
    </w:pPr>
    <w:rPr>
      <w:rFonts w:asciiTheme="majorHAnsi" w:eastAsiaTheme="majorEastAsia" w:hAnsiTheme="majorHAnsi" w:cstheme="majorBidi"/>
      <w:b/>
      <w:color w:val="000000"/>
      <w:sz w:val="24"/>
      <w:szCs w:val="24"/>
    </w:rPr>
  </w:style>
  <w:style w:type="paragraph" w:styleId="Heading4">
    <w:name w:val="heading 4"/>
    <w:basedOn w:val="Normal"/>
    <w:next w:val="Normal"/>
    <w:link w:val="Heading4Char"/>
    <w:uiPriority w:val="9"/>
    <w:semiHidden/>
    <w:unhideWhenUsed/>
    <w:qFormat/>
    <w:rsid w:val="00CC514D"/>
    <w:pPr>
      <w:keepNext/>
      <w:keepLines/>
      <w:spacing w:before="40" w:after="0"/>
      <w:outlineLvl w:val="3"/>
    </w:pPr>
    <w:rPr>
      <w:rFonts w:asciiTheme="majorHAnsi" w:eastAsiaTheme="majorEastAsia" w:hAnsiTheme="majorHAnsi" w:cstheme="majorBidi"/>
      <w:i/>
      <w:iCs/>
      <w:color w:val="265A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48"/>
    <w:rPr>
      <w:rFonts w:ascii="Tahoma" w:hAnsi="Tahoma" w:cs="Tahoma"/>
      <w:sz w:val="16"/>
      <w:szCs w:val="16"/>
    </w:rPr>
  </w:style>
  <w:style w:type="character" w:styleId="BookTitle">
    <w:name w:val="Book Title"/>
    <w:basedOn w:val="DefaultParagraphFont"/>
    <w:uiPriority w:val="33"/>
    <w:semiHidden/>
    <w:rsid w:val="001E1748"/>
    <w:rPr>
      <w:b/>
      <w:bCs/>
      <w:i/>
      <w:iCs/>
      <w:spacing w:val="5"/>
    </w:rPr>
  </w:style>
  <w:style w:type="character" w:styleId="FollowedHyperlink">
    <w:name w:val="FollowedHyperlink"/>
    <w:basedOn w:val="DefaultParagraphFont"/>
    <w:uiPriority w:val="99"/>
    <w:semiHidden/>
    <w:unhideWhenUsed/>
    <w:rsid w:val="001E1748"/>
    <w:rPr>
      <w:color w:val="BFBFBF" w:themeColor="followedHyperlink"/>
      <w:u w:val="single"/>
    </w:rPr>
  </w:style>
  <w:style w:type="paragraph" w:styleId="Footer">
    <w:name w:val="footer"/>
    <w:basedOn w:val="Normal"/>
    <w:link w:val="FooterChar"/>
    <w:uiPriority w:val="99"/>
    <w:unhideWhenUsed/>
    <w:rsid w:val="001E1748"/>
    <w:pPr>
      <w:tabs>
        <w:tab w:val="left" w:pos="2552"/>
        <w:tab w:val="right" w:pos="9072"/>
      </w:tabs>
      <w:spacing w:before="100" w:beforeAutospacing="1" w:after="100" w:afterAutospacing="1" w:line="260" w:lineRule="atLeast"/>
      <w:ind w:left="284" w:right="-427"/>
    </w:pPr>
    <w:rPr>
      <w:rFonts w:ascii="Arial" w:eastAsia="Times New Roman" w:hAnsi="Arial" w:cs="Arial"/>
      <w:noProof/>
      <w:kern w:val="16"/>
      <w:szCs w:val="20"/>
      <w:lang w:eastAsia="en-AU"/>
    </w:rPr>
  </w:style>
  <w:style w:type="character" w:customStyle="1" w:styleId="FooterChar">
    <w:name w:val="Footer Char"/>
    <w:basedOn w:val="DefaultParagraphFont"/>
    <w:link w:val="Footer"/>
    <w:uiPriority w:val="99"/>
    <w:rsid w:val="001E1748"/>
    <w:rPr>
      <w:rFonts w:ascii="Arial" w:eastAsia="Times New Roman" w:hAnsi="Arial" w:cs="Arial"/>
      <w:noProof/>
      <w:kern w:val="16"/>
      <w:sz w:val="20"/>
      <w:szCs w:val="20"/>
      <w:lang w:eastAsia="en-AU"/>
    </w:rPr>
  </w:style>
  <w:style w:type="paragraph" w:styleId="Header">
    <w:name w:val="header"/>
    <w:basedOn w:val="Normal"/>
    <w:link w:val="HeaderChar"/>
    <w:uiPriority w:val="99"/>
    <w:unhideWhenUsed/>
    <w:rsid w:val="001E1748"/>
    <w:pPr>
      <w:spacing w:before="200" w:after="0" w:line="240" w:lineRule="auto"/>
      <w:ind w:right="-794"/>
      <w:contextualSpacing/>
      <w:jc w:val="right"/>
    </w:pPr>
    <w:rPr>
      <w:rFonts w:ascii="Arial" w:eastAsia="Times New Roman" w:hAnsi="Arial" w:cs="Arial"/>
      <w:color w:val="000000" w:themeColor="text1"/>
      <w:spacing w:val="2"/>
      <w:lang w:eastAsia="en-AU"/>
    </w:rPr>
  </w:style>
  <w:style w:type="character" w:customStyle="1" w:styleId="Heading1Char">
    <w:name w:val="Heading 1 Char"/>
    <w:basedOn w:val="DefaultParagraphFont"/>
    <w:link w:val="Heading1"/>
    <w:uiPriority w:val="9"/>
    <w:rsid w:val="001E1748"/>
    <w:rPr>
      <w:rFonts w:asciiTheme="majorHAnsi" w:eastAsiaTheme="majorEastAsia" w:hAnsiTheme="majorHAnsi" w:cstheme="majorBidi"/>
      <w:b/>
      <w:color w:val="26539D"/>
      <w:sz w:val="32"/>
      <w:szCs w:val="32"/>
    </w:rPr>
  </w:style>
  <w:style w:type="character" w:customStyle="1" w:styleId="Heading2Char">
    <w:name w:val="Heading 2 Char"/>
    <w:basedOn w:val="DefaultParagraphFont"/>
    <w:link w:val="Heading2"/>
    <w:uiPriority w:val="9"/>
    <w:rsid w:val="001E1748"/>
    <w:rPr>
      <w:rFonts w:asciiTheme="majorHAnsi" w:eastAsiaTheme="majorEastAsia" w:hAnsiTheme="majorHAnsi" w:cstheme="majorBidi"/>
      <w:b/>
      <w:color w:val="31A2CF"/>
      <w:sz w:val="26"/>
      <w:szCs w:val="26"/>
    </w:rPr>
  </w:style>
  <w:style w:type="character" w:customStyle="1" w:styleId="Heading3Char">
    <w:name w:val="Heading 3 Char"/>
    <w:basedOn w:val="DefaultParagraphFont"/>
    <w:link w:val="Heading3"/>
    <w:uiPriority w:val="9"/>
    <w:rsid w:val="006C4AE8"/>
    <w:rPr>
      <w:rFonts w:asciiTheme="majorHAnsi" w:eastAsiaTheme="majorEastAsia" w:hAnsiTheme="majorHAnsi" w:cstheme="majorBidi"/>
      <w:b/>
      <w:color w:val="000000"/>
      <w:sz w:val="24"/>
      <w:szCs w:val="24"/>
    </w:rPr>
  </w:style>
  <w:style w:type="character" w:customStyle="1" w:styleId="HeaderChar">
    <w:name w:val="Header Char"/>
    <w:basedOn w:val="DefaultParagraphFont"/>
    <w:link w:val="Header"/>
    <w:uiPriority w:val="99"/>
    <w:rsid w:val="001E1748"/>
    <w:rPr>
      <w:rFonts w:ascii="Arial" w:eastAsia="Times New Roman" w:hAnsi="Arial" w:cs="Arial"/>
      <w:color w:val="000000" w:themeColor="text1"/>
      <w:spacing w:val="2"/>
      <w:lang w:eastAsia="en-AU"/>
    </w:rPr>
  </w:style>
  <w:style w:type="character" w:styleId="Hyperlink">
    <w:name w:val="Hyperlink"/>
    <w:basedOn w:val="DefaultParagraphFont"/>
    <w:uiPriority w:val="99"/>
    <w:qFormat/>
    <w:rsid w:val="001E1748"/>
    <w:rPr>
      <w:color w:val="265A9A"/>
      <w:u w:val="single"/>
    </w:rPr>
  </w:style>
  <w:style w:type="character" w:styleId="IntenseEmphasis">
    <w:name w:val="Intense Emphasis"/>
    <w:basedOn w:val="DefaultParagraphFont"/>
    <w:uiPriority w:val="21"/>
    <w:rsid w:val="001E1748"/>
    <w:rPr>
      <w:i/>
      <w:iCs/>
      <w:color w:val="265A9A" w:themeColor="background2"/>
    </w:rPr>
  </w:style>
  <w:style w:type="paragraph" w:styleId="IntenseQuote">
    <w:name w:val="Intense Quote"/>
    <w:basedOn w:val="Normal"/>
    <w:next w:val="Normal"/>
    <w:link w:val="IntenseQuoteChar"/>
    <w:uiPriority w:val="30"/>
    <w:semiHidden/>
    <w:rsid w:val="001E1748"/>
    <w:pPr>
      <w:pBdr>
        <w:top w:val="single" w:sz="4" w:space="10" w:color="265A9A" w:themeColor="background2"/>
        <w:bottom w:val="single" w:sz="4" w:space="10" w:color="265A9A" w:themeColor="background2"/>
      </w:pBdr>
      <w:spacing w:before="360" w:after="360"/>
      <w:ind w:left="864" w:right="864"/>
      <w:jc w:val="center"/>
    </w:pPr>
    <w:rPr>
      <w:i/>
      <w:iCs/>
      <w:color w:val="265A9A"/>
    </w:rPr>
  </w:style>
  <w:style w:type="character" w:customStyle="1" w:styleId="IntenseQuoteChar">
    <w:name w:val="Intense Quote Char"/>
    <w:basedOn w:val="DefaultParagraphFont"/>
    <w:link w:val="IntenseQuote"/>
    <w:uiPriority w:val="30"/>
    <w:semiHidden/>
    <w:rsid w:val="00CC514D"/>
    <w:rPr>
      <w:i/>
      <w:iCs/>
      <w:color w:val="265A9A"/>
    </w:rPr>
  </w:style>
  <w:style w:type="character" w:styleId="IntenseReference">
    <w:name w:val="Intense Reference"/>
    <w:basedOn w:val="DefaultParagraphFont"/>
    <w:uiPriority w:val="32"/>
    <w:semiHidden/>
    <w:rsid w:val="001E1748"/>
    <w:rPr>
      <w:b/>
      <w:bCs/>
      <w:smallCaps/>
      <w:color w:val="265A9A" w:themeColor="background2"/>
      <w:spacing w:val="5"/>
    </w:rPr>
  </w:style>
  <w:style w:type="paragraph" w:styleId="ListBullet">
    <w:name w:val="List Bullet"/>
    <w:basedOn w:val="Normal"/>
    <w:link w:val="ListBulletChar"/>
    <w:uiPriority w:val="1"/>
    <w:qFormat/>
    <w:rsid w:val="00B5323D"/>
    <w:pPr>
      <w:numPr>
        <w:numId w:val="19"/>
      </w:numPr>
      <w:spacing w:before="120" w:after="120" w:line="280" w:lineRule="atLeast"/>
      <w:contextualSpacing/>
    </w:pPr>
    <w:rPr>
      <w:szCs w:val="20"/>
    </w:rPr>
  </w:style>
  <w:style w:type="character" w:customStyle="1" w:styleId="ListBulletChar">
    <w:name w:val="List Bullet Char"/>
    <w:basedOn w:val="DefaultParagraphFont"/>
    <w:link w:val="ListBullet"/>
    <w:uiPriority w:val="1"/>
    <w:rsid w:val="00B5323D"/>
    <w:rPr>
      <w:sz w:val="20"/>
      <w:szCs w:val="20"/>
    </w:rPr>
  </w:style>
  <w:style w:type="paragraph" w:styleId="ListBullet2">
    <w:name w:val="List Bullet 2"/>
    <w:basedOn w:val="Normal"/>
    <w:uiPriority w:val="1"/>
    <w:qFormat/>
    <w:rsid w:val="00425485"/>
    <w:pPr>
      <w:numPr>
        <w:ilvl w:val="1"/>
        <w:numId w:val="19"/>
      </w:numPr>
      <w:spacing w:before="60" w:after="60"/>
      <w:contextualSpacing/>
    </w:pPr>
    <w:rPr>
      <w:szCs w:val="20"/>
    </w:rPr>
  </w:style>
  <w:style w:type="paragraph" w:styleId="ListBullet3">
    <w:name w:val="List Bullet 3"/>
    <w:basedOn w:val="Normal"/>
    <w:uiPriority w:val="1"/>
    <w:qFormat/>
    <w:rsid w:val="001E1748"/>
    <w:pPr>
      <w:numPr>
        <w:ilvl w:val="2"/>
        <w:numId w:val="19"/>
      </w:numPr>
      <w:spacing w:before="60" w:after="60" w:line="274" w:lineRule="auto"/>
      <w:contextualSpacing/>
    </w:pPr>
    <w:rPr>
      <w:szCs w:val="20"/>
    </w:rPr>
  </w:style>
  <w:style w:type="paragraph" w:styleId="ListNumber">
    <w:name w:val="List Number"/>
    <w:basedOn w:val="Normal"/>
    <w:uiPriority w:val="2"/>
    <w:qFormat/>
    <w:rsid w:val="00E6323D"/>
    <w:pPr>
      <w:numPr>
        <w:numId w:val="13"/>
      </w:numPr>
      <w:spacing w:after="120"/>
      <w:ind w:left="454" w:hanging="227"/>
      <w:contextualSpacing/>
    </w:pPr>
  </w:style>
  <w:style w:type="paragraph" w:styleId="ListParagraph">
    <w:name w:val="List Paragraph"/>
    <w:basedOn w:val="Normal"/>
    <w:uiPriority w:val="34"/>
    <w:semiHidden/>
    <w:rsid w:val="001E1748"/>
    <w:pPr>
      <w:ind w:left="720"/>
      <w:contextualSpacing/>
    </w:pPr>
  </w:style>
  <w:style w:type="paragraph" w:styleId="NoSpacing">
    <w:name w:val="No Spacing"/>
    <w:uiPriority w:val="2"/>
    <w:unhideWhenUsed/>
    <w:rsid w:val="001E1748"/>
    <w:pPr>
      <w:spacing w:after="0" w:line="240" w:lineRule="auto"/>
    </w:pPr>
  </w:style>
  <w:style w:type="paragraph" w:styleId="Quote">
    <w:name w:val="Quote"/>
    <w:basedOn w:val="Normal"/>
    <w:next w:val="Normal"/>
    <w:link w:val="QuoteChar"/>
    <w:uiPriority w:val="29"/>
    <w:rsid w:val="001E1748"/>
    <w:pPr>
      <w:spacing w:before="200" w:after="160"/>
      <w:ind w:left="1134" w:right="1134"/>
    </w:pPr>
    <w:rPr>
      <w:iCs/>
      <w:color w:val="404040" w:themeColor="text1" w:themeTint="BF"/>
    </w:rPr>
  </w:style>
  <w:style w:type="character" w:customStyle="1" w:styleId="QuoteChar">
    <w:name w:val="Quote Char"/>
    <w:basedOn w:val="DefaultParagraphFont"/>
    <w:link w:val="Quote"/>
    <w:uiPriority w:val="29"/>
    <w:rsid w:val="001E1748"/>
    <w:rPr>
      <w:iCs/>
      <w:color w:val="404040" w:themeColor="text1" w:themeTint="BF"/>
    </w:rPr>
  </w:style>
  <w:style w:type="paragraph" w:styleId="Subtitle">
    <w:name w:val="Subtitle"/>
    <w:basedOn w:val="Normal"/>
    <w:next w:val="Normal"/>
    <w:link w:val="SubtitleChar"/>
    <w:uiPriority w:val="11"/>
    <w:semiHidden/>
    <w:rsid w:val="001E174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CC514D"/>
    <w:rPr>
      <w:rFonts w:eastAsiaTheme="minorEastAsia"/>
      <w:color w:val="5A5A5A" w:themeColor="text1" w:themeTint="A5"/>
      <w:spacing w:val="15"/>
    </w:rPr>
  </w:style>
  <w:style w:type="character" w:styleId="SubtleEmphasis">
    <w:name w:val="Subtle Emphasis"/>
    <w:basedOn w:val="DefaultParagraphFont"/>
    <w:uiPriority w:val="19"/>
    <w:rsid w:val="001E1748"/>
    <w:rPr>
      <w:i/>
      <w:iCs/>
      <w:color w:val="404040" w:themeColor="text1" w:themeTint="BF"/>
    </w:rPr>
  </w:style>
  <w:style w:type="paragraph" w:styleId="Title">
    <w:name w:val="Title"/>
    <w:basedOn w:val="Normal"/>
    <w:next w:val="Normal"/>
    <w:link w:val="TitleChar"/>
    <w:uiPriority w:val="10"/>
    <w:semiHidden/>
    <w:rsid w:val="001E17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C514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C514D"/>
    <w:rPr>
      <w:rFonts w:asciiTheme="majorHAnsi" w:eastAsiaTheme="majorEastAsia" w:hAnsiTheme="majorHAnsi" w:cstheme="majorBidi"/>
      <w:i/>
      <w:iCs/>
      <w:color w:val="265A9A"/>
    </w:rPr>
  </w:style>
  <w:style w:type="paragraph" w:customStyle="1" w:styleId="PullQuote">
    <w:name w:val="Pull Quote"/>
    <w:basedOn w:val="BodyText"/>
    <w:next w:val="BodyText"/>
    <w:uiPriority w:val="30"/>
    <w:qFormat/>
    <w:rsid w:val="00A6285E"/>
    <w:pPr>
      <w:spacing w:before="120" w:line="280" w:lineRule="atLeast"/>
      <w:ind w:left="284" w:right="284"/>
    </w:pPr>
    <w:rPr>
      <w:rFonts w:ascii="Arial Black" w:hAnsi="Arial Black"/>
      <w:color w:val="265A9A"/>
      <w:sz w:val="24"/>
      <w:szCs w:val="20"/>
    </w:rPr>
  </w:style>
  <w:style w:type="paragraph" w:styleId="BodyText">
    <w:name w:val="Body Text"/>
    <w:basedOn w:val="Normal"/>
    <w:link w:val="BodyTextChar"/>
    <w:unhideWhenUsed/>
    <w:qFormat/>
    <w:rsid w:val="00A6285E"/>
    <w:pPr>
      <w:spacing w:after="120"/>
    </w:pPr>
  </w:style>
  <w:style w:type="character" w:customStyle="1" w:styleId="BodyTextChar">
    <w:name w:val="Body Text Char"/>
    <w:basedOn w:val="DefaultParagraphFont"/>
    <w:link w:val="BodyText"/>
    <w:rsid w:val="00A6285E"/>
  </w:style>
  <w:style w:type="numbering" w:customStyle="1" w:styleId="Bullets">
    <w:name w:val="Bullets"/>
    <w:uiPriority w:val="99"/>
    <w:rsid w:val="009848AD"/>
    <w:pPr>
      <w:numPr>
        <w:numId w:val="15"/>
      </w:numPr>
    </w:pPr>
  </w:style>
  <w:style w:type="table" w:styleId="TableGrid">
    <w:name w:val="Table Grid"/>
    <w:basedOn w:val="TableNormal"/>
    <w:uiPriority w:val="39"/>
    <w:rsid w:val="0098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Spacing"/>
    <w:uiPriority w:val="4"/>
    <w:qFormat/>
    <w:rsid w:val="009848AD"/>
    <w:pPr>
      <w:spacing w:after="20" w:line="280" w:lineRule="atLeast"/>
      <w:ind w:left="57"/>
    </w:pPr>
    <w:rPr>
      <w:sz w:val="18"/>
      <w:szCs w:val="20"/>
    </w:rPr>
  </w:style>
  <w:style w:type="paragraph" w:customStyle="1" w:styleId="TableListBullet">
    <w:name w:val="Table List Bullet"/>
    <w:basedOn w:val="ListBullet"/>
    <w:uiPriority w:val="10"/>
    <w:qFormat/>
    <w:rsid w:val="009848AD"/>
    <w:pPr>
      <w:numPr>
        <w:numId w:val="2"/>
      </w:numPr>
      <w:spacing w:before="0" w:after="20"/>
    </w:pPr>
  </w:style>
  <w:style w:type="numbering" w:customStyle="1" w:styleId="Bullets1">
    <w:name w:val="Bullets1"/>
    <w:uiPriority w:val="99"/>
    <w:rsid w:val="009848AD"/>
  </w:style>
  <w:style w:type="paragraph" w:styleId="Revision">
    <w:name w:val="Revision"/>
    <w:hidden/>
    <w:uiPriority w:val="99"/>
    <w:semiHidden/>
    <w:rsid w:val="00ED57AE"/>
    <w:pPr>
      <w:spacing w:after="0" w:line="240" w:lineRule="auto"/>
    </w:pPr>
  </w:style>
  <w:style w:type="character" w:customStyle="1" w:styleId="ui-provider">
    <w:name w:val="ui-provider"/>
    <w:basedOn w:val="DefaultParagraphFont"/>
    <w:rsid w:val="00012F5F"/>
  </w:style>
  <w:style w:type="character" w:styleId="CommentReference">
    <w:name w:val="annotation reference"/>
    <w:basedOn w:val="DefaultParagraphFont"/>
    <w:uiPriority w:val="99"/>
    <w:semiHidden/>
    <w:unhideWhenUsed/>
    <w:rsid w:val="00035612"/>
    <w:rPr>
      <w:sz w:val="16"/>
      <w:szCs w:val="16"/>
    </w:rPr>
  </w:style>
  <w:style w:type="paragraph" w:styleId="CommentText">
    <w:name w:val="annotation text"/>
    <w:basedOn w:val="Normal"/>
    <w:link w:val="CommentTextChar"/>
    <w:uiPriority w:val="99"/>
    <w:unhideWhenUsed/>
    <w:rsid w:val="00035612"/>
    <w:pPr>
      <w:spacing w:line="240" w:lineRule="auto"/>
    </w:pPr>
    <w:rPr>
      <w:szCs w:val="20"/>
    </w:rPr>
  </w:style>
  <w:style w:type="character" w:customStyle="1" w:styleId="CommentTextChar">
    <w:name w:val="Comment Text Char"/>
    <w:basedOn w:val="DefaultParagraphFont"/>
    <w:link w:val="CommentText"/>
    <w:uiPriority w:val="99"/>
    <w:rsid w:val="00035612"/>
    <w:rPr>
      <w:sz w:val="20"/>
      <w:szCs w:val="20"/>
    </w:rPr>
  </w:style>
  <w:style w:type="paragraph" w:styleId="CommentSubject">
    <w:name w:val="annotation subject"/>
    <w:basedOn w:val="CommentText"/>
    <w:next w:val="CommentText"/>
    <w:link w:val="CommentSubjectChar"/>
    <w:uiPriority w:val="99"/>
    <w:semiHidden/>
    <w:unhideWhenUsed/>
    <w:rsid w:val="00035612"/>
    <w:rPr>
      <w:b/>
      <w:bCs/>
    </w:rPr>
  </w:style>
  <w:style w:type="character" w:customStyle="1" w:styleId="CommentSubjectChar">
    <w:name w:val="Comment Subject Char"/>
    <w:basedOn w:val="CommentTextChar"/>
    <w:link w:val="CommentSubject"/>
    <w:uiPriority w:val="99"/>
    <w:semiHidden/>
    <w:rsid w:val="000356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pcgov.sharepoint.com/sites/mpw/FormServerTemplates/PC-report-template.dotx"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ransformationConfigurations":[],"templateName":"Fact sheet","templateDescription":"","enableDocumentContentUpdater":false,"version":"2.0"}]]></TemplafyTemplateConfiguration>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8" ma:contentTypeDescription="Create a new document." ma:contentTypeScope="" ma:versionID="7be5c994e1b2318558a73cf32ee14abc">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47ebfa8b51f209822f50301222253475"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formDataEntries":[]}]]></TemplafyFormConfiguration>
</file>

<file path=customXml/itemProps1.xml><?xml version="1.0" encoding="utf-8"?>
<ds:datastoreItem xmlns:ds="http://schemas.openxmlformats.org/officeDocument/2006/customXml" ds:itemID="{678F54F1-EA7D-4C2D-90E2-EF3A4EF85019}">
  <ds:schemaRefs>
    <ds:schemaRef ds:uri="http://schemas.microsoft.com/sharepoint/v3/contenttype/forms"/>
  </ds:schemaRefs>
</ds:datastoreItem>
</file>

<file path=customXml/itemProps2.xml><?xml version="1.0" encoding="utf-8"?>
<ds:datastoreItem xmlns:ds="http://schemas.openxmlformats.org/officeDocument/2006/customXml" ds:itemID="{E311EFDB-C4E3-4BD1-B6FD-1F3EF20E8211}">
  <ds:schemaRefs/>
</ds:datastoreItem>
</file>

<file path=customXml/itemProps3.xml><?xml version="1.0" encoding="utf-8"?>
<ds:datastoreItem xmlns:ds="http://schemas.openxmlformats.org/officeDocument/2006/customXml" ds:itemID="{9D5E835B-662B-459B-AD47-3686722C14D4}">
  <ds:schemaRefs>
    <ds:schemaRef ds:uri="http://schemas.openxmlformats.org/package/2006/metadata/core-properties"/>
    <ds:schemaRef ds:uri="ab9bf696-b976-42ed-b50a-48004ee2daad"/>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4999a062-bf25-4e1b-bf40-d0ceaadde115"/>
    <ds:schemaRef ds:uri="http://www.w3.org/XML/1998/namespace"/>
    <ds:schemaRef ds:uri="http://purl.org/dc/terms/"/>
  </ds:schemaRefs>
</ds:datastoreItem>
</file>

<file path=customXml/itemProps4.xml><?xml version="1.0" encoding="utf-8"?>
<ds:datastoreItem xmlns:ds="http://schemas.openxmlformats.org/officeDocument/2006/customXml" ds:itemID="{FF2B0B32-1950-43F3-BEB3-74720A0C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EDF02A-B8FF-46BF-BAF0-A1E8BE8BF93E}">
  <ds:schemaRefs/>
</ds:datastoreItem>
</file>

<file path=docProps/app.xml><?xml version="1.0" encoding="utf-8"?>
<Properties xmlns="http://schemas.openxmlformats.org/officeDocument/2006/extended-properties" xmlns:vt="http://schemas.openxmlformats.org/officeDocument/2006/docPropsVTypes">
  <Template>PC-report-template</Template>
  <TotalTime>13</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 sheet 6: Workplace relations and platform work - Advancing Prosperity</vt:lpstr>
    </vt:vector>
  </TitlesOfParts>
  <Company>Productivity Commission</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6: Workplace relations and platform work - Advancing Prosperity</dc:title>
  <dc:subject/>
  <dc:creator>Productivity Commission</dc:creator>
  <cp:keywords/>
  <cp:lastModifiedBy>Chris Alston</cp:lastModifiedBy>
  <cp:revision>32</cp:revision>
  <dcterms:created xsi:type="dcterms:W3CDTF">2023-03-15T18:28:00Z</dcterms:created>
  <dcterms:modified xsi:type="dcterms:W3CDTF">2023-03-16T21:54:00Z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637346222824850435</vt:lpwstr>
  </property>
  <property fmtid="{D5CDD505-2E9C-101B-9397-08002B2CF9AE}" pid="4" name="TemplafyUserProfileId">
    <vt:lpwstr>637610559223843913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MediaServiceImageTags">
    <vt:lpwstr/>
  </property>
  <property fmtid="{D5CDD505-2E9C-101B-9397-08002B2CF9AE}" pid="8" name="RevIMBCS">
    <vt:lpwstr>1;#Unclassified|3955eeb1-2d18-4582-aeb2-00144ec3aaf5</vt:lpwstr>
  </property>
</Properties>
</file>