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57E" w14:textId="6FFE3998" w:rsidR="00BF738A" w:rsidRPr="00ED57AE" w:rsidRDefault="00292009" w:rsidP="00F67BF1">
      <w:pPr>
        <w:pStyle w:val="Heading1"/>
        <w:spacing w:before="720"/>
      </w:pPr>
      <w:r>
        <w:t>Tertiary education</w:t>
      </w:r>
    </w:p>
    <w:p w14:paraId="7BD78335" w14:textId="1D1FA433" w:rsidR="00104071" w:rsidRDefault="00104071" w:rsidP="005E1CD4">
      <w:pPr>
        <w:pStyle w:val="BodyText"/>
      </w:pPr>
      <w:bookmarkStart w:id="0" w:name="_Hlk94794966"/>
      <w:r>
        <w:t xml:space="preserve">Improved education is important for future productivity growth. This is particularly relevant to the services sector where human rather than physical capital drives productivity and quality improvements. </w:t>
      </w:r>
    </w:p>
    <w:p w14:paraId="15D1761A" w14:textId="2AAAF3E8" w:rsidR="00104071" w:rsidRPr="00DD3F1E" w:rsidRDefault="00104071" w:rsidP="005E1CD4">
      <w:pPr>
        <w:pStyle w:val="BodyText"/>
      </w:pPr>
      <w:r>
        <w:t>Labour quality</w:t>
      </w:r>
      <w:r w:rsidR="00566D37">
        <w:t xml:space="preserve"> (the education and experience of the workforce)</w:t>
      </w:r>
      <w:r>
        <w:t xml:space="preserve"> has accounted for about </w:t>
      </w:r>
      <w:r w:rsidRPr="00760BCB">
        <w:t>20%</w:t>
      </w:r>
      <w:r>
        <w:t xml:space="preserve"> of labour productivity growth in recent decade</w:t>
      </w:r>
      <w:r w:rsidR="00760BCB">
        <w:t>.</w:t>
      </w:r>
      <w:r>
        <w:t xml:space="preserve"> We have not reached the point where the cost of education </w:t>
      </w:r>
      <w:r w:rsidR="00AB2588">
        <w:t>for</w:t>
      </w:r>
      <w:r w:rsidR="00AE509B">
        <w:t xml:space="preserve"> </w:t>
      </w:r>
      <w:r w:rsidR="00276DFD">
        <w:t xml:space="preserve">additional students </w:t>
      </w:r>
      <w:r>
        <w:t xml:space="preserve">outweighs the benefit to </w:t>
      </w:r>
      <w:r w:rsidR="00F07BF0">
        <w:t xml:space="preserve">them </w:t>
      </w:r>
      <w:r>
        <w:t>and society.</w:t>
      </w:r>
      <w:r w:rsidRPr="00DD3F1E">
        <w:t xml:space="preserve"> </w:t>
      </w:r>
    </w:p>
    <w:p w14:paraId="1FAC8203" w14:textId="5EF5BD24" w:rsidR="00104071" w:rsidRDefault="002341BC" w:rsidP="005E1CD4">
      <w:pPr>
        <w:pStyle w:val="BodyText"/>
      </w:pPr>
      <w:r>
        <w:t>The</w:t>
      </w:r>
      <w:r w:rsidR="00104071">
        <w:t xml:space="preserve"> mismatch between the qualification levels employers </w:t>
      </w:r>
      <w:proofErr w:type="gramStart"/>
      <w:r w:rsidR="00104071">
        <w:t>need</w:t>
      </w:r>
      <w:proofErr w:type="gramEnd"/>
      <w:r w:rsidR="00104071">
        <w:t xml:space="preserve"> and those possessed by job seekers</w:t>
      </w:r>
      <w:r>
        <w:t xml:space="preserve"> is significant</w:t>
      </w:r>
      <w:r w:rsidR="00104071">
        <w:t xml:space="preserve">. In the next 5 years, </w:t>
      </w:r>
      <w:r w:rsidR="00104071" w:rsidRPr="0063478C">
        <w:rPr>
          <w:b/>
          <w:bCs/>
        </w:rPr>
        <w:t>more than nine out of ten jobs</w:t>
      </w:r>
      <w:r w:rsidR="00104071">
        <w:t xml:space="preserve"> will require tertiary education, and </w:t>
      </w:r>
      <w:r w:rsidR="00F9597C">
        <w:rPr>
          <w:b/>
          <w:bCs/>
        </w:rPr>
        <w:t>six</w:t>
      </w:r>
      <w:r w:rsidR="00F9597C" w:rsidRPr="0063478C">
        <w:rPr>
          <w:b/>
          <w:bCs/>
        </w:rPr>
        <w:t xml:space="preserve"> </w:t>
      </w:r>
      <w:r w:rsidR="00104071">
        <w:rPr>
          <w:b/>
          <w:bCs/>
        </w:rPr>
        <w:t>of</w:t>
      </w:r>
      <w:r w:rsidR="00104071" w:rsidRPr="0063478C">
        <w:rPr>
          <w:b/>
          <w:bCs/>
        </w:rPr>
        <w:t xml:space="preserve"> every </w:t>
      </w:r>
      <w:r w:rsidR="00765881">
        <w:rPr>
          <w:b/>
          <w:bCs/>
        </w:rPr>
        <w:t>ten</w:t>
      </w:r>
      <w:r w:rsidR="00765881" w:rsidRPr="0063478C">
        <w:rPr>
          <w:b/>
          <w:bCs/>
        </w:rPr>
        <w:t xml:space="preserve"> </w:t>
      </w:r>
      <w:r w:rsidR="00104071" w:rsidRPr="0063478C">
        <w:rPr>
          <w:b/>
          <w:bCs/>
        </w:rPr>
        <w:t>new jobs will be high</w:t>
      </w:r>
      <w:r>
        <w:rPr>
          <w:b/>
          <w:bCs/>
        </w:rPr>
        <w:t xml:space="preserve"> </w:t>
      </w:r>
      <w:r w:rsidR="00104071" w:rsidRPr="0063478C">
        <w:rPr>
          <w:b/>
          <w:bCs/>
        </w:rPr>
        <w:t>skilled</w:t>
      </w:r>
      <w:r w:rsidR="00104071" w:rsidRPr="0063478C">
        <w:rPr>
          <w:spacing w:val="-2"/>
        </w:rPr>
        <w:t xml:space="preserve">. </w:t>
      </w:r>
    </w:p>
    <w:p w14:paraId="38047A44" w14:textId="5DDA6F69" w:rsidR="00104071" w:rsidRDefault="00104071" w:rsidP="005E1CD4">
      <w:pPr>
        <w:pStyle w:val="BodyText"/>
      </w:pPr>
      <w:r>
        <w:t xml:space="preserve">Giving access to tertiary education to people who, under current settings, are denied the opportunity would provide large economic and social benefits. </w:t>
      </w:r>
      <w:r>
        <w:rPr>
          <w:spacing w:val="-2"/>
        </w:rPr>
        <w:t xml:space="preserve">The current growth in tertiary places will also not meet the expected </w:t>
      </w:r>
      <w:r w:rsidRPr="00337BF0">
        <w:rPr>
          <w:b/>
          <w:bCs/>
          <w:spacing w:val="-2"/>
        </w:rPr>
        <w:t xml:space="preserve">15% </w:t>
      </w:r>
      <w:r w:rsidRPr="001928B7">
        <w:rPr>
          <w:b/>
          <w:bCs/>
          <w:spacing w:val="-2"/>
        </w:rPr>
        <w:t>increase in school leavers</w:t>
      </w:r>
      <w:r>
        <w:rPr>
          <w:spacing w:val="-2"/>
        </w:rPr>
        <w:t xml:space="preserve"> over the next few years. </w:t>
      </w:r>
      <w:r w:rsidR="00004D0F">
        <w:rPr>
          <w:spacing w:val="-2"/>
        </w:rPr>
        <w:t xml:space="preserve">At the same time, </w:t>
      </w:r>
      <w:r w:rsidR="00004D0F">
        <w:t>q</w:t>
      </w:r>
      <w:r w:rsidRPr="00936DB5">
        <w:t xml:space="preserve">uality teaching and </w:t>
      </w:r>
      <w:r w:rsidR="00E45DDC">
        <w:t xml:space="preserve">providing </w:t>
      </w:r>
      <w:r w:rsidRPr="00936DB5">
        <w:t>relevan</w:t>
      </w:r>
      <w:r w:rsidR="00E45DDC">
        <w:t>t</w:t>
      </w:r>
      <w:r w:rsidRPr="00936DB5">
        <w:t xml:space="preserve"> skills is essential for getting the most from mass investment in post</w:t>
      </w:r>
      <w:r w:rsidRPr="00936DB5">
        <w:noBreakHyphen/>
        <w:t>secondary education.</w:t>
      </w:r>
    </w:p>
    <w:p w14:paraId="765744D5" w14:textId="77777777" w:rsidR="00012F5F" w:rsidRPr="005A5E62" w:rsidRDefault="00012F5F" w:rsidP="005C16E0">
      <w:pPr>
        <w:pStyle w:val="Heading2"/>
        <w:spacing w:before="240"/>
      </w:pPr>
      <w:r w:rsidRPr="00D3500E">
        <w:t>Recommendations</w:t>
      </w:r>
    </w:p>
    <w:p w14:paraId="38B1492E" w14:textId="77777777" w:rsidR="00F50DA0" w:rsidRPr="004E6276" w:rsidRDefault="00F50DA0" w:rsidP="00401327">
      <w:pPr>
        <w:pStyle w:val="BodyText"/>
        <w:spacing w:after="60"/>
      </w:pPr>
      <w:r>
        <w:t xml:space="preserve">The Australian Government should </w:t>
      </w:r>
      <w:r w:rsidRPr="00310690">
        <w:rPr>
          <w:b/>
          <w:bCs/>
        </w:rPr>
        <w:t xml:space="preserve">improve tertiary education access and </w:t>
      </w:r>
      <w:r>
        <w:rPr>
          <w:b/>
          <w:bCs/>
        </w:rPr>
        <w:t>better target investment</w:t>
      </w:r>
      <w:r>
        <w:t xml:space="preserve">, by: </w:t>
      </w:r>
    </w:p>
    <w:p w14:paraId="0451305F" w14:textId="7CE70439" w:rsidR="00F50DA0" w:rsidRDefault="002341BC" w:rsidP="00401327">
      <w:pPr>
        <w:pStyle w:val="ListBullet"/>
        <w:numPr>
          <w:ilvl w:val="0"/>
          <w:numId w:val="38"/>
        </w:numPr>
        <w:spacing w:before="0"/>
      </w:pPr>
      <w:r>
        <w:t>P</w:t>
      </w:r>
      <w:r w:rsidR="00F50DA0">
        <w:t xml:space="preserve">roviding a Commonwealth-supported place to all domestic students accepted to a Table A university </w:t>
      </w:r>
      <w:proofErr w:type="gramStart"/>
      <w:r>
        <w:t>B</w:t>
      </w:r>
      <w:r w:rsidR="00F50DA0">
        <w:t>achelor’s</w:t>
      </w:r>
      <w:proofErr w:type="gramEnd"/>
      <w:r w:rsidR="00F50DA0">
        <w:t xml:space="preserve"> degree</w:t>
      </w:r>
      <w:r>
        <w:t xml:space="preserve"> (recommendation 8.4)</w:t>
      </w:r>
      <w:r w:rsidR="00C24F66">
        <w:t>, s</w:t>
      </w:r>
      <w:r w:rsidR="00F50DA0" w:rsidRPr="000C147E">
        <w:t>ubject to measures outlined in other recommendations that contain fiscal costs (</w:t>
      </w:r>
      <w:r>
        <w:t>recommendation 8.5</w:t>
      </w:r>
      <w:r w:rsidR="00F50DA0" w:rsidRPr="000C147E">
        <w:t xml:space="preserve">) and ensure all students are adequately supported </w:t>
      </w:r>
      <w:r w:rsidR="00F50DA0" w:rsidRPr="00C24F66">
        <w:t>(</w:t>
      </w:r>
      <w:r w:rsidR="00C24F66" w:rsidRPr="00760BCB">
        <w:t>recommendations</w:t>
      </w:r>
      <w:r w:rsidR="00F50DA0" w:rsidRPr="00760BCB">
        <w:t xml:space="preserve"> 8.13 and 8.14</w:t>
      </w:r>
      <w:r w:rsidR="00F50DA0" w:rsidRPr="00C24F66">
        <w:t>).</w:t>
      </w:r>
    </w:p>
    <w:p w14:paraId="39B96B01" w14:textId="1D508F09" w:rsidR="00F50DA0" w:rsidRDefault="00C24F66" w:rsidP="00F50DA0">
      <w:pPr>
        <w:pStyle w:val="ListBullet"/>
        <w:numPr>
          <w:ilvl w:val="0"/>
          <w:numId w:val="38"/>
        </w:numPr>
      </w:pPr>
      <w:r>
        <w:t>B</w:t>
      </w:r>
      <w:r w:rsidR="00F50DA0">
        <w:t>etter targeting investment in higher education by setting the student contribution based on the average expected earnings for each field of study, with more of the cost covered by students with a greater capacity to repay (usually via an income-contingent loan)</w:t>
      </w:r>
      <w:r>
        <w:t xml:space="preserve"> (recommendation 8.5)</w:t>
      </w:r>
      <w:r w:rsidR="00F50DA0">
        <w:t xml:space="preserve">. Student contributions should be higher, on average. </w:t>
      </w:r>
      <w:r w:rsidR="00F50DA0" w:rsidRPr="003E6B07">
        <w:t>The government contribution should make up the gap between the student contribution and th</w:t>
      </w:r>
      <w:r w:rsidR="00F50DA0">
        <w:t>e</w:t>
      </w:r>
      <w:r w:rsidR="00F50DA0" w:rsidRPr="003E6B07">
        <w:t xml:space="preserve"> estimated cost </w:t>
      </w:r>
      <w:r w:rsidR="00F50DA0">
        <w:t>of delivery for each field of study.</w:t>
      </w:r>
    </w:p>
    <w:p w14:paraId="194ACB93" w14:textId="113D9244" w:rsidR="00F50DA0" w:rsidRDefault="00C24F66" w:rsidP="00F50DA0">
      <w:pPr>
        <w:pStyle w:val="ListBullet"/>
        <w:numPr>
          <w:ilvl w:val="0"/>
          <w:numId w:val="38"/>
        </w:numPr>
      </w:pPr>
      <w:r>
        <w:t>R</w:t>
      </w:r>
      <w:r w:rsidR="00F50DA0">
        <w:t>egular costing exercises should be conducted to estimate the costs of tertiary teaching and research (recent cost exercises have only measured higher education teaching costs)</w:t>
      </w:r>
      <w:r>
        <w:t xml:space="preserve"> (recommendation 8.6)</w:t>
      </w:r>
      <w:r w:rsidR="00F50DA0">
        <w:t>. The methodology underpinning these cost estimates should be periodically reviewed and refined over time to inform more accurate estimate</w:t>
      </w:r>
      <w:r w:rsidR="00F3057B">
        <w:t>s</w:t>
      </w:r>
      <w:r w:rsidR="00F50DA0">
        <w:t>, with the ultimate objective of reflecting only efficient costs.</w:t>
      </w:r>
    </w:p>
    <w:p w14:paraId="65708172" w14:textId="1BF3D887" w:rsidR="00F50DA0" w:rsidRDefault="00F20544" w:rsidP="00F50DA0">
      <w:pPr>
        <w:pStyle w:val="ListBullet"/>
        <w:numPr>
          <w:ilvl w:val="0"/>
          <w:numId w:val="3"/>
        </w:numPr>
      </w:pPr>
      <w:r>
        <w:t>G</w:t>
      </w:r>
      <w:r w:rsidR="00F50DA0">
        <w:t xml:space="preserve">radually expand income-contingent loan (ICL) access to more </w:t>
      </w:r>
      <w:r w:rsidR="004046A8">
        <w:t>vocational education and training (</w:t>
      </w:r>
      <w:r w:rsidR="00F50DA0">
        <w:t>VET</w:t>
      </w:r>
      <w:r w:rsidR="004046A8">
        <w:t>)</w:t>
      </w:r>
      <w:r w:rsidR="00F50DA0">
        <w:t xml:space="preserve"> courses</w:t>
      </w:r>
      <w:r>
        <w:t xml:space="preserve"> (recommendation 8.7)</w:t>
      </w:r>
      <w:r w:rsidR="00F50DA0">
        <w:t xml:space="preserve">. Initially this should be limited to Diploma (or above) qualifications, excluding those </w:t>
      </w:r>
      <w:r w:rsidR="00F50DA0" w:rsidRPr="00E370BF">
        <w:t>primarily undertaken for leisure or that yield poor employment outcome</w:t>
      </w:r>
      <w:r w:rsidR="00F50DA0">
        <w:t xml:space="preserve">s. </w:t>
      </w:r>
      <w:r w:rsidR="00F50DA0" w:rsidRPr="004D04B0">
        <w:t>Subsequent expansion to</w:t>
      </w:r>
      <w:r w:rsidR="00F50DA0">
        <w:t xml:space="preserve"> Certificate IV (and potentially</w:t>
      </w:r>
      <w:r w:rsidR="00F50DA0" w:rsidRPr="004D04B0">
        <w:t xml:space="preserve"> Certificate I</w:t>
      </w:r>
      <w:r w:rsidR="00F50DA0">
        <w:t>II)</w:t>
      </w:r>
      <w:r w:rsidR="00F50DA0" w:rsidRPr="004D04B0">
        <w:t xml:space="preserve"> could also be considered </w:t>
      </w:r>
      <w:r w:rsidR="00F50DA0">
        <w:t xml:space="preserve">after evaluation (including assessing there were no adverse consequences such as those seen under VET-FEE HELP). </w:t>
      </w:r>
    </w:p>
    <w:p w14:paraId="2822D15A" w14:textId="3726807B" w:rsidR="00F50DA0" w:rsidRDefault="00F20544" w:rsidP="00F50DA0">
      <w:pPr>
        <w:pStyle w:val="ListBullet"/>
        <w:numPr>
          <w:ilvl w:val="0"/>
          <w:numId w:val="3"/>
        </w:numPr>
      </w:pPr>
      <w:r>
        <w:t>C</w:t>
      </w:r>
      <w:r w:rsidR="00F50DA0">
        <w:t>onsolidating and examining the effectiveness and accessibility of available programs to support lifelong learning and to reduce gaps and increase uptake</w:t>
      </w:r>
      <w:r>
        <w:t xml:space="preserve"> (recommendation 8.8).</w:t>
      </w:r>
      <w:r w:rsidR="00F50DA0">
        <w:t xml:space="preserve"> </w:t>
      </w:r>
    </w:p>
    <w:p w14:paraId="5AC6227D" w14:textId="77777777" w:rsidR="00F50DA0" w:rsidRDefault="00F50DA0" w:rsidP="00401327">
      <w:pPr>
        <w:pStyle w:val="BodyText"/>
        <w:spacing w:after="60"/>
      </w:pPr>
      <w:r>
        <w:t xml:space="preserve">The Australian Government should </w:t>
      </w:r>
      <w:r w:rsidRPr="00310690">
        <w:rPr>
          <w:b/>
          <w:bCs/>
        </w:rPr>
        <w:t>support improved quality of tertiary education</w:t>
      </w:r>
      <w:r>
        <w:t>, by:</w:t>
      </w:r>
    </w:p>
    <w:p w14:paraId="7E260978" w14:textId="735C479E" w:rsidR="00F50DA0" w:rsidRPr="00C372E6" w:rsidRDefault="00F20544" w:rsidP="00401327">
      <w:pPr>
        <w:pStyle w:val="ListBullet"/>
        <w:numPr>
          <w:ilvl w:val="0"/>
          <w:numId w:val="38"/>
        </w:numPr>
        <w:spacing w:before="0"/>
        <w:rPr>
          <w:spacing w:val="-4"/>
        </w:rPr>
      </w:pPr>
      <w:r w:rsidRPr="00C372E6">
        <w:rPr>
          <w:spacing w:val="-4"/>
        </w:rPr>
        <w:t>I</w:t>
      </w:r>
      <w:r w:rsidR="00F50DA0" w:rsidRPr="00C372E6">
        <w:rPr>
          <w:spacing w:val="-4"/>
        </w:rPr>
        <w:t xml:space="preserve">ncreasing transparency by requiring universities to provide all lectures online and for free; refining and validating new Quality Indicators for Learning and Teaching (QILT); adapting the </w:t>
      </w:r>
      <w:proofErr w:type="spellStart"/>
      <w:r w:rsidR="00F50DA0" w:rsidRPr="00C372E6">
        <w:rPr>
          <w:spacing w:val="-4"/>
        </w:rPr>
        <w:t>ComparED</w:t>
      </w:r>
      <w:proofErr w:type="spellEnd"/>
      <w:r w:rsidR="00F50DA0" w:rsidRPr="00C372E6">
        <w:rPr>
          <w:spacing w:val="-4"/>
        </w:rPr>
        <w:t xml:space="preserve"> tool to address the risk of misunderstood information and consider abandoning it and providing additional QILT data to non-government funded websites that already cover information relevant to student choice; and giving TEQSA responsibility for external university teaching quality assurance (akin to Scotland)</w:t>
      </w:r>
      <w:r w:rsidRPr="00C372E6">
        <w:rPr>
          <w:spacing w:val="-4"/>
        </w:rPr>
        <w:t xml:space="preserve"> (recommendation 8.9).</w:t>
      </w:r>
    </w:p>
    <w:p w14:paraId="14464EA9" w14:textId="11A82FE0" w:rsidR="00F50DA0" w:rsidRDefault="00B138C2" w:rsidP="00F50DA0">
      <w:pPr>
        <w:pStyle w:val="ListBullet"/>
        <w:numPr>
          <w:ilvl w:val="0"/>
          <w:numId w:val="38"/>
        </w:numPr>
      </w:pPr>
      <w:r>
        <w:t>B</w:t>
      </w:r>
      <w:r w:rsidR="00F50DA0" w:rsidRPr="00936DB5">
        <w:t>olstering incentives</w:t>
      </w:r>
      <w:r w:rsidR="00F50DA0">
        <w:t xml:space="preserve"> for teaching quality</w:t>
      </w:r>
      <w:r w:rsidR="00F50DA0" w:rsidRPr="00936DB5">
        <w:t xml:space="preserve">, including </w:t>
      </w:r>
      <w:r w:rsidR="00F50DA0">
        <w:t>trialling additional</w:t>
      </w:r>
      <w:r w:rsidR="00F50DA0" w:rsidRPr="00936DB5">
        <w:t xml:space="preserve"> funding for research and teaching development provided to individual staff based on their teaching performance, </w:t>
      </w:r>
      <w:r w:rsidR="00F50DA0">
        <w:t xml:space="preserve">as well as </w:t>
      </w:r>
      <w:r w:rsidR="00F50DA0" w:rsidRPr="00936DB5">
        <w:t>trialling a</w:t>
      </w:r>
      <w:r w:rsidR="00F50DA0">
        <w:t xml:space="preserve"> modest</w:t>
      </w:r>
      <w:r w:rsidR="00F50DA0" w:rsidRPr="00936DB5">
        <w:t xml:space="preserve"> ARC grant</w:t>
      </w:r>
      <w:r w:rsidR="00F50DA0">
        <w:t xml:space="preserve"> </w:t>
      </w:r>
      <w:r w:rsidR="00F50DA0" w:rsidRPr="00936DB5">
        <w:t>for teaching focused research</w:t>
      </w:r>
      <w:r>
        <w:t xml:space="preserve"> (recommendation 8.10)</w:t>
      </w:r>
      <w:r w:rsidR="00F50DA0">
        <w:t>.</w:t>
      </w:r>
    </w:p>
    <w:p w14:paraId="68446BDB" w14:textId="242E4006" w:rsidR="00F50DA0" w:rsidRDefault="00CE3A84" w:rsidP="00F50DA0">
      <w:pPr>
        <w:pStyle w:val="ListBullet"/>
        <w:numPr>
          <w:ilvl w:val="0"/>
          <w:numId w:val="38"/>
        </w:numPr>
      </w:pPr>
      <w:r>
        <w:t>Empowering the</w:t>
      </w:r>
      <w:r w:rsidR="00F50DA0" w:rsidRPr="00936DB5">
        <w:t xml:space="preserve"> Australian Education Research Organisation (AERO) to </w:t>
      </w:r>
      <w:r>
        <w:t xml:space="preserve">collect and disseminate </w:t>
      </w:r>
      <w:r w:rsidR="00F50DA0" w:rsidRPr="00936DB5">
        <w:t>evidence on best practice post-school teaching, covering both VET and higher ed</w:t>
      </w:r>
      <w:r>
        <w:t xml:space="preserve"> (recommendation 8.11)</w:t>
      </w:r>
      <w:r w:rsidR="00F50DA0" w:rsidRPr="00936DB5">
        <w:t>.</w:t>
      </w:r>
      <w:r w:rsidR="00F50DA0">
        <w:t xml:space="preserve"> </w:t>
      </w:r>
    </w:p>
    <w:p w14:paraId="23EA8ED2" w14:textId="1596D928" w:rsidR="00F50DA0" w:rsidRPr="00C372E6" w:rsidRDefault="00CE3A84" w:rsidP="00F50DA0">
      <w:pPr>
        <w:pStyle w:val="ListBullet"/>
        <w:numPr>
          <w:ilvl w:val="0"/>
          <w:numId w:val="38"/>
        </w:numPr>
        <w:rPr>
          <w:spacing w:val="-4"/>
        </w:rPr>
      </w:pPr>
      <w:r w:rsidRPr="00C372E6">
        <w:rPr>
          <w:spacing w:val="-4"/>
        </w:rPr>
        <w:lastRenderedPageBreak/>
        <w:t>F</w:t>
      </w:r>
      <w:r w:rsidR="00F50DA0" w:rsidRPr="00C372E6">
        <w:rPr>
          <w:spacing w:val="-4"/>
        </w:rPr>
        <w:t xml:space="preserve">avouring light-handed and simple performance incentives, by putting on hold the scheduled commencement of performance-based funding of universities in 2024 and only reinstituting it if its risks are better managed and if other approaches have proven ineffective. </w:t>
      </w:r>
      <w:r w:rsidRPr="00C372E6">
        <w:rPr>
          <w:spacing w:val="-4"/>
        </w:rPr>
        <w:t xml:space="preserve">This should be implemented alongside </w:t>
      </w:r>
      <w:r w:rsidR="00F50DA0" w:rsidRPr="00C372E6">
        <w:rPr>
          <w:spacing w:val="-4"/>
        </w:rPr>
        <w:t>exploring financial rewards to providers that AERO identifies as having made successful efforts to improve</w:t>
      </w:r>
      <w:r w:rsidRPr="00C372E6">
        <w:rPr>
          <w:spacing w:val="-4"/>
        </w:rPr>
        <w:t xml:space="preserve"> (recommendation 8.12)</w:t>
      </w:r>
      <w:r w:rsidR="00F50DA0" w:rsidRPr="00C372E6">
        <w:rPr>
          <w:spacing w:val="-4"/>
        </w:rPr>
        <w:t>.</w:t>
      </w:r>
    </w:p>
    <w:p w14:paraId="7875D518" w14:textId="4B78CBE9" w:rsidR="00F50DA0" w:rsidRDefault="00F50DA0" w:rsidP="0069303B">
      <w:pPr>
        <w:pStyle w:val="BodyText"/>
        <w:spacing w:after="60"/>
      </w:pPr>
      <w:r w:rsidRPr="00E1463C">
        <w:t xml:space="preserve">The Australian government should </w:t>
      </w:r>
      <w:r w:rsidRPr="00310690">
        <w:rPr>
          <w:b/>
          <w:bCs/>
        </w:rPr>
        <w:t xml:space="preserve">support </w:t>
      </w:r>
      <w:r w:rsidR="00144AC1">
        <w:rPr>
          <w:b/>
          <w:bCs/>
        </w:rPr>
        <w:t>course</w:t>
      </w:r>
      <w:r w:rsidR="004414D6">
        <w:rPr>
          <w:b/>
          <w:bCs/>
        </w:rPr>
        <w:t xml:space="preserve"> </w:t>
      </w:r>
      <w:r w:rsidRPr="00310690">
        <w:rPr>
          <w:b/>
          <w:bCs/>
        </w:rPr>
        <w:t xml:space="preserve">completion </w:t>
      </w:r>
      <w:r w:rsidRPr="001170EF">
        <w:t>as well as</w:t>
      </w:r>
      <w:r w:rsidRPr="00310690">
        <w:rPr>
          <w:b/>
          <w:bCs/>
        </w:rPr>
        <w:t xml:space="preserve"> improve </w:t>
      </w:r>
      <w:r w:rsidR="005F104B">
        <w:rPr>
          <w:b/>
          <w:bCs/>
        </w:rPr>
        <w:t>outcomes</w:t>
      </w:r>
      <w:r w:rsidR="005F104B" w:rsidRPr="00310690">
        <w:rPr>
          <w:b/>
          <w:bCs/>
        </w:rPr>
        <w:t xml:space="preserve"> </w:t>
      </w:r>
      <w:r w:rsidRPr="00310690">
        <w:rPr>
          <w:b/>
          <w:bCs/>
        </w:rPr>
        <w:t xml:space="preserve">for </w:t>
      </w:r>
      <w:r w:rsidR="005F104B">
        <w:rPr>
          <w:b/>
          <w:bCs/>
        </w:rPr>
        <w:t>those who</w:t>
      </w:r>
      <w:r w:rsidRPr="00310690">
        <w:rPr>
          <w:b/>
          <w:bCs/>
        </w:rPr>
        <w:t xml:space="preserve"> </w:t>
      </w:r>
      <w:r w:rsidR="005D6B85">
        <w:rPr>
          <w:b/>
          <w:bCs/>
        </w:rPr>
        <w:t xml:space="preserve">leave </w:t>
      </w:r>
      <w:r w:rsidR="0052322E">
        <w:rPr>
          <w:b/>
          <w:bCs/>
        </w:rPr>
        <w:t>before completion</w:t>
      </w:r>
      <w:r w:rsidRPr="00E1463C">
        <w:t>:</w:t>
      </w:r>
    </w:p>
    <w:p w14:paraId="5B7CEC82" w14:textId="67B998E3" w:rsidR="00F50DA0" w:rsidRDefault="00CC1166" w:rsidP="0069303B">
      <w:pPr>
        <w:pStyle w:val="ListBullet"/>
        <w:numPr>
          <w:ilvl w:val="0"/>
          <w:numId w:val="38"/>
        </w:numPr>
        <w:spacing w:before="0"/>
      </w:pPr>
      <w:r>
        <w:t>For</w:t>
      </w:r>
      <w:r w:rsidR="00F50DA0">
        <w:t xml:space="preserve"> any undergraduate degree, providers should create at least one subset of courses that provide a qualification for students who withdraw (‘a nested qualification’)</w:t>
      </w:r>
      <w:r>
        <w:t xml:space="preserve"> (recommendation 8.13)</w:t>
      </w:r>
      <w:r w:rsidR="00F50DA0">
        <w:t>. The design, requirements and timing of the nested qualification/s should be left to providers’ discretion, although any qualification would need to meet the relevant TEQSA standards and monitoring requirements.</w:t>
      </w:r>
    </w:p>
    <w:p w14:paraId="628A1B8E" w14:textId="7D078625" w:rsidR="00F50DA0" w:rsidRPr="00195AE9" w:rsidRDefault="00CC1166" w:rsidP="00F50DA0">
      <w:pPr>
        <w:pStyle w:val="ListBullet"/>
        <w:numPr>
          <w:ilvl w:val="0"/>
          <w:numId w:val="38"/>
        </w:numPr>
        <w:rPr>
          <w:spacing w:val="-4"/>
        </w:rPr>
      </w:pPr>
      <w:r w:rsidRPr="00195AE9">
        <w:rPr>
          <w:spacing w:val="-4"/>
        </w:rPr>
        <w:t>P</w:t>
      </w:r>
      <w:r w:rsidR="00F50DA0" w:rsidRPr="00195AE9">
        <w:rPr>
          <w:spacing w:val="-4"/>
        </w:rPr>
        <w:t>roviding grants to encourage experimentation and sharing of new strategies for student retention (underpinned by post-evaluation) and more effectively communicating to students when they become liable for course fees by amending ‘census date’ in the HESA Act to ‘payment date’</w:t>
      </w:r>
      <w:r w:rsidRPr="00195AE9">
        <w:rPr>
          <w:spacing w:val="-4"/>
        </w:rPr>
        <w:t xml:space="preserve"> (recommendation 8.14).</w:t>
      </w:r>
    </w:p>
    <w:p w14:paraId="674FF8BD" w14:textId="627196AC" w:rsidR="00F50DA0" w:rsidRDefault="00F50DA0" w:rsidP="0069303B">
      <w:pPr>
        <w:pStyle w:val="BodyText"/>
        <w:spacing w:after="60"/>
      </w:pPr>
      <w:r w:rsidRPr="00D435B4">
        <w:t xml:space="preserve">The Australian Government, together with </w:t>
      </w:r>
      <w:r w:rsidR="00DD5882">
        <w:t>s</w:t>
      </w:r>
      <w:r w:rsidRPr="00D435B4">
        <w:t xml:space="preserve">tate and </w:t>
      </w:r>
      <w:r w:rsidR="00DD5882">
        <w:t>t</w:t>
      </w:r>
      <w:r w:rsidRPr="00D435B4">
        <w:t>erritory Governments</w:t>
      </w:r>
      <w:r>
        <w:t>,</w:t>
      </w:r>
      <w:r w:rsidRPr="00D435B4">
        <w:t xml:space="preserve"> should </w:t>
      </w:r>
      <w:r w:rsidRPr="00310690">
        <w:rPr>
          <w:b/>
          <w:bCs/>
        </w:rPr>
        <w:t>support a responsive VET sector and improve teaching</w:t>
      </w:r>
      <w:r>
        <w:t>,</w:t>
      </w:r>
      <w:r w:rsidRPr="00D435B4">
        <w:t xml:space="preserve"> by:</w:t>
      </w:r>
    </w:p>
    <w:p w14:paraId="020668EB" w14:textId="3239F9A9" w:rsidR="00F50DA0" w:rsidRDefault="00CC1166" w:rsidP="0069303B">
      <w:pPr>
        <w:pStyle w:val="ListBullet"/>
        <w:numPr>
          <w:ilvl w:val="0"/>
          <w:numId w:val="38"/>
        </w:numPr>
        <w:spacing w:before="0"/>
      </w:pPr>
      <w:r>
        <w:t>M</w:t>
      </w:r>
      <w:r w:rsidR="00F50DA0">
        <w:t xml:space="preserve">onitoring the development of new training packages to ensure </w:t>
      </w:r>
      <w:r w:rsidR="008E3199">
        <w:t>they meet</w:t>
      </w:r>
      <w:r w:rsidR="00F50DA0">
        <w:t xml:space="preserve"> acceptable timeframes and </w:t>
      </w:r>
      <w:r w:rsidR="00287C98">
        <w:t>incorporate</w:t>
      </w:r>
      <w:r w:rsidR="00B84885">
        <w:t xml:space="preserve"> innovative and</w:t>
      </w:r>
      <w:r w:rsidR="00F50DA0">
        <w:t xml:space="preserve"> best practice</w:t>
      </w:r>
      <w:r w:rsidR="00287C98">
        <w:t xml:space="preserve"> design models</w:t>
      </w:r>
      <w:r w:rsidR="008E3199">
        <w:t>,</w:t>
      </w:r>
      <w:r w:rsidR="00F50DA0">
        <w:t xml:space="preserve"> and </w:t>
      </w:r>
      <w:r w:rsidR="001038C0">
        <w:t xml:space="preserve">prioritising </w:t>
      </w:r>
      <w:r w:rsidR="00F50DA0">
        <w:t>cross</w:t>
      </w:r>
      <w:r w:rsidR="008E3199">
        <w:t>-</w:t>
      </w:r>
      <w:r w:rsidR="00F50DA0">
        <w:t xml:space="preserve">sectoral skills standards to reduce duplication of effort </w:t>
      </w:r>
      <w:r w:rsidR="00486620">
        <w:t xml:space="preserve">in training package development </w:t>
      </w:r>
      <w:r w:rsidR="00F50DA0">
        <w:t>and allow VET students to be assessed against these standards as soon as possible</w:t>
      </w:r>
      <w:r>
        <w:t xml:space="preserve"> (recommendation 8.15)</w:t>
      </w:r>
      <w:r w:rsidR="00F50DA0">
        <w:t>.</w:t>
      </w:r>
    </w:p>
    <w:p w14:paraId="4AF3B552" w14:textId="77F23EC9" w:rsidR="00F50DA0" w:rsidRPr="001928B7" w:rsidRDefault="00103BB3" w:rsidP="00F50DA0">
      <w:pPr>
        <w:pStyle w:val="ListBullet"/>
        <w:numPr>
          <w:ilvl w:val="0"/>
          <w:numId w:val="38"/>
        </w:numPr>
      </w:pPr>
      <w:r>
        <w:t>F</w:t>
      </w:r>
      <w:r w:rsidR="00F50DA0">
        <w:t xml:space="preserve">unding extra training and development programs for VET trainers and assessors so they can adequately perform independent and </w:t>
      </w:r>
      <w:r w:rsidR="005730EC">
        <w:t>proficiency-</w:t>
      </w:r>
      <w:r w:rsidR="00F50DA0">
        <w:t>based assessment; tasking NCVER with a census of the VET workforce</w:t>
      </w:r>
      <w:r>
        <w:t>,</w:t>
      </w:r>
      <w:r w:rsidR="00F50DA0">
        <w:t xml:space="preserve"> and</w:t>
      </w:r>
      <w:r w:rsidR="00F50DA0" w:rsidRPr="00F00113">
        <w:t xml:space="preserve"> encouraging </w:t>
      </w:r>
      <w:r w:rsidR="00A32853">
        <w:t>s</w:t>
      </w:r>
      <w:r w:rsidR="00A32853" w:rsidRPr="00F00113">
        <w:t xml:space="preserve">tate </w:t>
      </w:r>
      <w:r w:rsidR="00F50DA0" w:rsidRPr="00F00113">
        <w:t xml:space="preserve">and </w:t>
      </w:r>
      <w:r w:rsidR="00A32853">
        <w:t>t</w:t>
      </w:r>
      <w:r w:rsidR="00A32853" w:rsidRPr="00F00113">
        <w:t xml:space="preserve">erritory </w:t>
      </w:r>
      <w:r w:rsidR="00F50DA0" w:rsidRPr="00F00113">
        <w:t>governments to develop local models of vocationally</w:t>
      </w:r>
      <w:r w:rsidR="00F50DA0">
        <w:t>-</w:t>
      </w:r>
      <w:r w:rsidR="00F50DA0" w:rsidRPr="00F00113">
        <w:t>oriented education that combine VET and higher education content together with industry expertise</w:t>
      </w:r>
      <w:r w:rsidR="00F50DA0">
        <w:t xml:space="preserve"> (following the example of NSW’s Institutes of Applied Technology)</w:t>
      </w:r>
      <w:r>
        <w:t xml:space="preserve"> (recommendation 8.16).</w:t>
      </w:r>
    </w:p>
    <w:p w14:paraId="5EAF8845" w14:textId="18609D55" w:rsidR="005A5E62" w:rsidRPr="001551FC" w:rsidRDefault="001551FC" w:rsidP="007E62D7">
      <w:pPr>
        <w:pStyle w:val="Heading2"/>
        <w:keepNext w:val="0"/>
        <w:keepLines w:val="0"/>
        <w:spacing w:before="200"/>
      </w:pPr>
      <w:r w:rsidRPr="001551FC">
        <w:t>Key figures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638"/>
      </w:tblGrid>
      <w:tr w:rsidR="003C66E3" w:rsidRPr="005550A0" w14:paraId="137C59A7" w14:textId="77777777" w:rsidTr="00163812">
        <w:trPr>
          <w:tblHeader/>
        </w:trPr>
        <w:tc>
          <w:tcPr>
            <w:tcW w:w="5000" w:type="pct"/>
            <w:shd w:val="clear" w:color="auto" w:fill="FCEFD2" w:themeFill="accent3" w:themeFillTint="33"/>
          </w:tcPr>
          <w:p w14:paraId="0D79C4B7" w14:textId="7349BBAD" w:rsidR="003C66E3" w:rsidRPr="008476D9" w:rsidRDefault="003C66E3" w:rsidP="007E62D7">
            <w:pPr>
              <w:pStyle w:val="TableBody"/>
              <w:spacing w:before="60" w:after="60"/>
              <w:rPr>
                <w:noProof/>
              </w:rPr>
            </w:pPr>
            <w:r w:rsidRPr="002D5DCE">
              <w:rPr>
                <w:szCs w:val="18"/>
              </w:rPr>
              <w:t>More education increases labour force participation and lifetime earnings</w:t>
            </w:r>
            <w:r>
              <w:rPr>
                <w:szCs w:val="18"/>
              </w:rPr>
              <w:t xml:space="preserve">. </w:t>
            </w:r>
            <w:r>
              <w:t>(Volume 8, p. 4)</w:t>
            </w:r>
          </w:p>
        </w:tc>
      </w:tr>
      <w:tr w:rsidR="003C66E3" w:rsidRPr="005550A0" w14:paraId="5C306E6D" w14:textId="77777777" w:rsidTr="00BE2D3B">
        <w:trPr>
          <w:tblHeader/>
        </w:trPr>
        <w:tc>
          <w:tcPr>
            <w:tcW w:w="5000" w:type="pct"/>
            <w:shd w:val="clear" w:color="auto" w:fill="auto"/>
          </w:tcPr>
          <w:p w14:paraId="67F925EA" w14:textId="1C132FDE" w:rsidR="003C66E3" w:rsidRPr="005550A0" w:rsidRDefault="00D61D29" w:rsidP="00100790">
            <w:pPr>
              <w:pStyle w:val="TableBody"/>
              <w:spacing w:after="120"/>
            </w:pPr>
            <w:r w:rsidRPr="00B67BE6">
              <w:rPr>
                <w:noProof/>
              </w:rPr>
              <w:drawing>
                <wp:inline distT="0" distB="0" distL="0" distR="0" wp14:anchorId="27200B5A" wp14:editId="7F5408F3">
                  <wp:extent cx="2664167" cy="1728000"/>
                  <wp:effectExtent l="0" t="0" r="0" b="0"/>
                  <wp:docPr id="2" name="Picture 2" descr="Figure 1.2 panel a. This chart shows the labour force status of workers by education level. Higher education levels are associated with a greater likelihood of employment and labour force participation. There are large differences from completing high school and attaining a degree, although outcomes are similar for those whose highest level of education is Year 12 or Diploma/Certificate. These patterns hold in reverse for unemployment, with the exception of Year 11 or below and Year 12, where Year 12 completers have a higher unemployment rate, likely due to their greater levels of labour force particip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2 panel a. This chart shows the labour force status of workers by education level. Higher education levels are associated with a greater likelihood of employment and labour force participation. There are large differences from completing high school and attaining a degree, although outcomes are similar for those whose highest level of education is Year 12 or Diploma/Certificate. These patterns hold in reverse for unemployment, with the exception of Year 11 or below and Year 12, where Year 12 completers have a higher unemployment rate, likely due to their greater levels of labour force participation.&#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4167" cy="1728000"/>
                          </a:xfrm>
                          <a:prstGeom prst="rect">
                            <a:avLst/>
                          </a:prstGeom>
                          <a:noFill/>
                          <a:ln>
                            <a:noFill/>
                          </a:ln>
                        </pic:spPr>
                      </pic:pic>
                    </a:graphicData>
                  </a:graphic>
                </wp:inline>
              </w:drawing>
            </w:r>
            <w:r w:rsidR="007B56FA" w:rsidRPr="007B56FA">
              <w:rPr>
                <w:noProof/>
              </w:rPr>
              <w:drawing>
                <wp:inline distT="0" distB="0" distL="0" distR="0" wp14:anchorId="2C577E8E" wp14:editId="426FC715">
                  <wp:extent cx="2679245" cy="1728000"/>
                  <wp:effectExtent l="0" t="0" r="6985" b="0"/>
                  <wp:docPr id="4" name="Picture 4" descr="Figure 1.2 panel b. This chart shows how hourly wages change over time for workers with different levels of education. For all groups, earnings growth is significant early in their career, but eventually stalls. Degree or higher holders earn the most at every age, and have their earnings increase with age the most, although by their forties these increases slow and then stop. Workers whose highest level of educational attainment is Year 11 or below earn the least, and see little wages growth after the age of thirty. Wages are similar for Year 12 and for Diploma/certificate holders, although those with Year 12 as their highest level of attainment have their wages decline in their fift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2 panel b. This chart shows how hourly wages change over time for workers with different levels of education. For all groups, earnings growth is significant early in their career, but eventually stalls. Degree or higher holders earn the most at every age, and have their earnings increase with age the most, although by their forties these increases slow and then stop. Workers whose highest level of educational attainment is Year 11 or below earn the least, and see little wages growth after the age of thirty. Wages are similar for Year 12 and for Diploma/certificate holders, although those with Year 12 as their highest level of attainment have their wages decline in their fifties.&#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858"/>
                          <a:stretch/>
                        </pic:blipFill>
                        <pic:spPr bwMode="auto">
                          <a:xfrm>
                            <a:off x="0" y="0"/>
                            <a:ext cx="2679245" cy="172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66E3" w:rsidRPr="005550A0" w14:paraId="022BBD4C" w14:textId="77777777" w:rsidTr="00163812">
        <w:tblPrEx>
          <w:tblCellMar>
            <w:left w:w="108" w:type="dxa"/>
            <w:right w:w="108" w:type="dxa"/>
          </w:tblCellMar>
        </w:tblPrEx>
        <w:trPr>
          <w:tblHeader/>
        </w:trPr>
        <w:tc>
          <w:tcPr>
            <w:tcW w:w="5000" w:type="pct"/>
            <w:shd w:val="clear" w:color="auto" w:fill="E7DCED" w:themeFill="accent6" w:themeFillTint="33"/>
          </w:tcPr>
          <w:p w14:paraId="7EF7C41E" w14:textId="1F43763B" w:rsidR="003C66E3" w:rsidRDefault="003C66E3" w:rsidP="00163812">
            <w:pPr>
              <w:pStyle w:val="TableBody"/>
              <w:rPr>
                <w:noProof/>
              </w:rPr>
            </w:pPr>
            <w:r w:rsidRPr="002D5DCE">
              <w:rPr>
                <w:szCs w:val="18"/>
              </w:rPr>
              <w:t>Many job vacancies need higher qualifications than job seekers possess.</w:t>
            </w:r>
            <w:r w:rsidR="00163812">
              <w:rPr>
                <w:szCs w:val="18"/>
              </w:rPr>
              <w:t xml:space="preserve"> </w:t>
            </w:r>
            <w:r w:rsidRPr="002D5DCE">
              <w:rPr>
                <w:szCs w:val="18"/>
              </w:rPr>
              <w:t>Almost all new jobs over the next 5 years will require tertiary education.</w:t>
            </w:r>
            <w:r>
              <w:rPr>
                <w:szCs w:val="18"/>
              </w:rPr>
              <w:t xml:space="preserve"> </w:t>
            </w:r>
            <w:r>
              <w:t>(Volume 8, p. 11)</w:t>
            </w:r>
          </w:p>
        </w:tc>
      </w:tr>
      <w:tr w:rsidR="003C66E3" w:rsidRPr="005550A0" w14:paraId="5706569D" w14:textId="77777777" w:rsidTr="00BE2D3B">
        <w:tblPrEx>
          <w:tblCellMar>
            <w:left w:w="108" w:type="dxa"/>
            <w:right w:w="108" w:type="dxa"/>
          </w:tblCellMar>
        </w:tblPrEx>
        <w:trPr>
          <w:tblHeader/>
        </w:trPr>
        <w:tc>
          <w:tcPr>
            <w:tcW w:w="5000" w:type="pct"/>
            <w:shd w:val="clear" w:color="auto" w:fill="auto"/>
          </w:tcPr>
          <w:p w14:paraId="632329C5" w14:textId="4B5DF734" w:rsidR="003C66E3" w:rsidRPr="00DA421F" w:rsidRDefault="002D473A" w:rsidP="00DC2570">
            <w:pPr>
              <w:pStyle w:val="TableBody"/>
              <w:tabs>
                <w:tab w:val="left" w:pos="7093"/>
              </w:tabs>
              <w:rPr>
                <w:noProof/>
              </w:rPr>
            </w:pPr>
            <w:r w:rsidRPr="002D473A">
              <w:rPr>
                <w:noProof/>
              </w:rPr>
              <w:drawing>
                <wp:inline distT="0" distB="0" distL="0" distR="0" wp14:anchorId="7F3001C1" wp14:editId="23292F01">
                  <wp:extent cx="2844000" cy="1736602"/>
                  <wp:effectExtent l="0" t="0" r="0" b="0"/>
                  <wp:docPr id="5" name="Picture 5" descr="Figure 1.4. This chart compares the Workforce Australia caseload, which indicates the number of those looking for work, with the number of online job adds for different qualification levels. For Bachelor degree or higher qualifications, job vacancies are moderately higher than the caseload. For the other qualification levels —diplomas/advances diplomas, certificates II/III/IV, and certificate I/schooling, there are significantly more people looking for work than there are job ads consistent with the qualifications they possess. The gap is particularly large for the least skilled workers, with a caseload of about 280 000 but only about 36 000 vacanc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4. This chart compares the Workforce Australia caseload, which indicates the number of those looking for work, with the number of online job adds for different qualification levels. For Bachelor degree or higher qualifications, job vacancies are moderately higher than the caseload. For the other qualification levels —diplomas/advances diplomas, certificates II/III/IV, and certificate I/schooling, there are significantly more people looking for work than there are job ads consistent with the qualifications they possess. The gap is particularly large for the least skilled workers, with a caseload of about 280 000 but only about 36 000 vacancies.&#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4000" cy="1736602"/>
                          </a:xfrm>
                          <a:prstGeom prst="rect">
                            <a:avLst/>
                          </a:prstGeom>
                          <a:noFill/>
                          <a:ln>
                            <a:noFill/>
                          </a:ln>
                        </pic:spPr>
                      </pic:pic>
                    </a:graphicData>
                  </a:graphic>
                </wp:inline>
              </w:drawing>
            </w:r>
            <w:r w:rsidR="00DC2570" w:rsidRPr="00DC2570">
              <w:rPr>
                <w:noProof/>
              </w:rPr>
              <w:drawing>
                <wp:inline distT="0" distB="0" distL="0" distR="0" wp14:anchorId="448CB226" wp14:editId="29E78CA2">
                  <wp:extent cx="3073400" cy="1735455"/>
                  <wp:effectExtent l="0" t="0" r="0" b="0"/>
                  <wp:docPr id="8" name="Picture 8" descr="Figure 1.5 This chart shows the number of new jobs that will be created over the five years to November 2026 at each skill level, as forecast by the National Skills Commission. Approximately, 98,000 will require secondary education or a Certificate I. 253,000 will require a Certificate II or a Certificate III (excluding Certificate III qualification that do not include at least two years on-the-job training). 73,000 will require a Certificate III with at least two years on-the-job training or a Certificate IV. 134,000 will require an Advanced Diploma or Diploma. 618,000 will require a Bachelor degree or hig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5 This chart shows the number of new jobs that will be created over the five years to November 2026 at each skill level, as forecast by the National Skills Commission. Approximately, 98,000 will require secondary education or a Certificate I. 253,000 will require a Certificate II or a Certificate III (excluding Certificate III qualification that do not include at least two years on-the-job training). 73,000 will require a Certificate III with at least two years on-the-job training or a Certificate IV. 134,000 will require an Advanced Diploma or Diploma. 618,000 will require a Bachelor degree or higher.&#1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451"/>
                          <a:stretch/>
                        </pic:blipFill>
                        <pic:spPr bwMode="auto">
                          <a:xfrm>
                            <a:off x="0" y="0"/>
                            <a:ext cx="3073400" cy="17354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CF098DC" w14:textId="147A2223" w:rsidR="00C743E9" w:rsidRDefault="0015274A" w:rsidP="00100790">
      <w:pPr>
        <w:spacing w:before="120"/>
      </w:pPr>
      <w:r w:rsidRPr="00CF4552">
        <w:t>The</w:t>
      </w:r>
      <w:r w:rsidR="00F67BF1">
        <w:t xml:space="preserve"> </w:t>
      </w:r>
      <w:r w:rsidR="00F67BF1">
        <w:rPr>
          <w:b/>
          <w:bCs/>
        </w:rPr>
        <w:t xml:space="preserve">5-year Productivity Inquiry: Advancing Prosperity </w:t>
      </w:r>
      <w:r w:rsidR="00F67BF1" w:rsidRPr="00F67BF1">
        <w:t>report</w:t>
      </w:r>
      <w:r w:rsidR="00F67BF1">
        <w:rPr>
          <w:b/>
          <w:bCs/>
        </w:rPr>
        <w:t xml:space="preserve"> </w:t>
      </w:r>
      <w:r w:rsidRPr="00CF4552">
        <w:t>can be found at:</w:t>
      </w:r>
      <w:r w:rsidRPr="00CF4552">
        <w:rPr>
          <w:color w:val="4D7028" w:themeColor="accent2"/>
        </w:rPr>
        <w:t xml:space="preserve"> </w:t>
      </w:r>
      <w:hyperlink r:id="rId16" w:history="1">
        <w:r w:rsidRPr="004D1CB9">
          <w:rPr>
            <w:rStyle w:val="Hyperlink"/>
          </w:rPr>
          <w:t>www.pc.gov.au</w:t>
        </w:r>
      </w:hyperlink>
      <w:bookmarkEnd w:id="0"/>
    </w:p>
    <w:sectPr w:rsidR="00C743E9" w:rsidSect="00163812">
      <w:headerReference w:type="default" r:id="rId17"/>
      <w:footerReference w:type="default" r:id="rId18"/>
      <w:headerReference w:type="first" r:id="rId19"/>
      <w:footerReference w:type="first" r:id="rId20"/>
      <w:pgSz w:w="11906" w:h="16838" w:code="9"/>
      <w:pgMar w:top="1843" w:right="1134" w:bottom="568" w:left="1134" w:header="624"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06D2" w14:textId="77777777" w:rsidR="00BA1B8C" w:rsidRDefault="00BA1B8C" w:rsidP="00BF738A">
      <w:pPr>
        <w:spacing w:after="0" w:line="240" w:lineRule="auto"/>
      </w:pPr>
      <w:r>
        <w:separator/>
      </w:r>
    </w:p>
  </w:endnote>
  <w:endnote w:type="continuationSeparator" w:id="0">
    <w:p w14:paraId="7EB4E133" w14:textId="77777777" w:rsidR="00BA1B8C" w:rsidRDefault="00BA1B8C" w:rsidP="00BF738A">
      <w:pPr>
        <w:spacing w:after="0" w:line="240" w:lineRule="auto"/>
      </w:pPr>
      <w:r>
        <w:continuationSeparator/>
      </w:r>
    </w:p>
  </w:endnote>
  <w:endnote w:type="continuationNotice" w:id="1">
    <w:p w14:paraId="66D47818" w14:textId="77777777" w:rsidR="00BA1B8C" w:rsidRDefault="00BA1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CB8A" w14:textId="3D103EFD" w:rsidR="00F67BF1" w:rsidRPr="001D4262" w:rsidRDefault="001D4262" w:rsidP="001D4262">
    <w:pPr>
      <w:pStyle w:val="Footer"/>
      <w:spacing w:before="0" w:beforeAutospacing="0" w:after="0" w:afterAutospacing="0"/>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F289" w14:textId="601201E3" w:rsidR="009848AD" w:rsidRPr="00F67BF1" w:rsidRDefault="00F67BF1" w:rsidP="00F67BF1">
    <w:pPr>
      <w:pStyle w:val="Footer"/>
      <w:spacing w:before="0" w:beforeAutospacing="0" w:after="0" w:afterAutospacing="0"/>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F44F" w14:textId="77777777" w:rsidR="00BA1B8C" w:rsidRDefault="00BA1B8C" w:rsidP="00BF738A">
      <w:pPr>
        <w:spacing w:after="0" w:line="240" w:lineRule="auto"/>
      </w:pPr>
      <w:r>
        <w:separator/>
      </w:r>
    </w:p>
  </w:footnote>
  <w:footnote w:type="continuationSeparator" w:id="0">
    <w:p w14:paraId="08B85F49" w14:textId="77777777" w:rsidR="00BA1B8C" w:rsidRDefault="00BA1B8C" w:rsidP="00BF738A">
      <w:pPr>
        <w:spacing w:after="0" w:line="240" w:lineRule="auto"/>
      </w:pPr>
      <w:r>
        <w:continuationSeparator/>
      </w:r>
    </w:p>
  </w:footnote>
  <w:footnote w:type="continuationNotice" w:id="1">
    <w:p w14:paraId="4EA9E1BF" w14:textId="77777777" w:rsidR="00BA1B8C" w:rsidRDefault="00BA1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0FA1" w14:textId="12C3751F" w:rsidR="009848AD" w:rsidRPr="009848AD" w:rsidRDefault="009848AD" w:rsidP="00E0781F">
    <w:pPr>
      <w:pStyle w:val="Header"/>
      <w:spacing w:before="80"/>
      <w:ind w:right="-454"/>
      <w:rPr>
        <w:b/>
        <w:bCs/>
        <w:sz w:val="22"/>
      </w:rPr>
    </w:pPr>
    <w:r w:rsidRPr="009848AD">
      <w:rPr>
        <w:rFonts w:ascii="Arial Black" w:hAnsi="Arial Black"/>
        <w:b/>
        <w:bCs/>
        <w:color w:val="2D9AC2" w:themeColor="text2" w:themeShade="BF"/>
        <w:sz w:val="34"/>
        <w:szCs w:val="34"/>
      </w:rPr>
      <w:t>FACTSHEET</w:t>
    </w:r>
  </w:p>
  <w:p w14:paraId="65BA68B8" w14:textId="4161FDF4" w:rsidR="00BF738A" w:rsidRPr="00A326BA" w:rsidRDefault="0073286C" w:rsidP="00E0781F">
    <w:pPr>
      <w:pStyle w:val="Header"/>
      <w:spacing w:before="400"/>
      <w:ind w:right="-454"/>
      <w:rPr>
        <w:b/>
        <w:bCs/>
      </w:rPr>
    </w:pPr>
    <w:r w:rsidRPr="00A326BA">
      <w:rPr>
        <w:b/>
        <w:bCs/>
      </w:rPr>
      <w:t>#</w:t>
    </w:r>
    <w:r w:rsidR="00D3111B">
      <w:rPr>
        <w:b/>
        <w:bCs/>
      </w:rPr>
      <w:t>8</w:t>
    </w:r>
    <w:r w:rsidRPr="00A326BA">
      <w:rPr>
        <w:b/>
        <w:bCs/>
      </w:rPr>
      <w:t xml:space="preserve"> – </w:t>
    </w:r>
    <w:r w:rsidR="009848AD">
      <w:rPr>
        <w:b/>
        <w:bCs/>
      </w:rPr>
      <w:t xml:space="preserve">Advancing Prosperity </w:t>
    </w:r>
    <w:r w:rsidR="003C6BF2">
      <w:rPr>
        <w:b/>
        <w:bCs/>
      </w:rPr>
      <w:t xml:space="preserve">| </w:t>
    </w:r>
    <w:r w:rsidR="009848AD">
      <w:rPr>
        <w:b/>
        <w:bCs/>
      </w:rPr>
      <w:t>Inquiry Report</w:t>
    </w:r>
    <w:r w:rsidR="00C372E6">
      <w:rPr>
        <w:b/>
        <w:bCs/>
      </w:rPr>
      <w:t xml:space="preserve"> | Volume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798" w14:textId="0E35DF14" w:rsidR="009848AD" w:rsidRPr="009848AD" w:rsidRDefault="009848AD" w:rsidP="009848AD">
    <w:pPr>
      <w:pStyle w:val="Header"/>
      <w:spacing w:before="480"/>
      <w:ind w:right="-454"/>
      <w:rPr>
        <w:b/>
        <w:bCs/>
      </w:rPr>
    </w:pPr>
    <w:r w:rsidRPr="00A326BA">
      <w:rPr>
        <w:rFonts w:ascii="Verdana" w:hAnsi="Verdana"/>
        <w:b/>
        <w:bCs/>
        <w:noProof/>
        <w:color w:val="FF0000"/>
        <w:sz w:val="28"/>
        <w:szCs w:val="28"/>
        <w:highlight w:val="yellow"/>
      </w:rPr>
      <w:drawing>
        <wp:anchor distT="0" distB="0" distL="114300" distR="114300" simplePos="0" relativeHeight="251658240" behindDoc="1" locked="0" layoutInCell="1" allowOverlap="1" wp14:anchorId="7256CDFB" wp14:editId="0728FBB7">
          <wp:simplePos x="0" y="0"/>
          <wp:positionH relativeFrom="page">
            <wp:posOffset>0</wp:posOffset>
          </wp:positionH>
          <wp:positionV relativeFrom="page">
            <wp:posOffset>-85725</wp:posOffset>
          </wp:positionV>
          <wp:extent cx="7561921" cy="1581150"/>
          <wp:effectExtent l="0" t="0" r="1270" b="0"/>
          <wp:wrapNone/>
          <wp:docPr id="17" name="Picture 17" descr="Productivity Commission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ductivity Commission factsheet"/>
                  <pic:cNvPicPr/>
                </pic:nvPicPr>
                <pic:blipFill>
                  <a:blip r:embed="rId1">
                    <a:extLst>
                      <a:ext uri="{28A0092B-C50C-407E-A947-70E740481C1C}">
                        <a14:useLocalDpi xmlns:a14="http://schemas.microsoft.com/office/drawing/2010/main" val="0"/>
                      </a:ext>
                    </a:extLst>
                  </a:blip>
                  <a:srcRect t="782" b="782"/>
                  <a:stretch>
                    <a:fillRect/>
                  </a:stretch>
                </pic:blipFill>
                <pic:spPr bwMode="auto">
                  <a:xfrm>
                    <a:off x="0" y="0"/>
                    <a:ext cx="7561921"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26BA">
      <w:rPr>
        <w:b/>
        <w:bCs/>
      </w:rPr>
      <w:t>#</w:t>
    </w:r>
    <w:r w:rsidR="00D3111B">
      <w:rPr>
        <w:b/>
        <w:bCs/>
      </w:rPr>
      <w:t>8</w:t>
    </w:r>
    <w:r w:rsidRPr="00A326BA">
      <w:rPr>
        <w:b/>
        <w:bCs/>
      </w:rPr>
      <w:t xml:space="preserve"> – </w:t>
    </w:r>
    <w:r>
      <w:rPr>
        <w:b/>
        <w:bCs/>
      </w:rPr>
      <w:t>Advancing Prosperity | Inquiry Report</w:t>
    </w:r>
    <w:r w:rsidR="00257253">
      <w:rPr>
        <w:b/>
        <w:bCs/>
      </w:rPr>
      <w:t xml:space="preserve"> | Volume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0E104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885A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0506E98"/>
    <w:lvl w:ilvl="0">
      <w:start w:val="1"/>
      <w:numFmt w:val="decimal"/>
      <w:pStyle w:val="ListNumber"/>
      <w:lvlText w:val="%1."/>
      <w:lvlJc w:val="left"/>
      <w:pPr>
        <w:tabs>
          <w:tab w:val="num" w:pos="360"/>
        </w:tabs>
        <w:ind w:left="360" w:hanging="360"/>
      </w:pPr>
      <w:rPr>
        <w:rFonts w:hint="default"/>
      </w:rPr>
    </w:lvl>
  </w:abstractNum>
  <w:abstractNum w:abstractNumId="3" w15:restartNumberingAfterBreak="0">
    <w:nsid w:val="FFFFFF89"/>
    <w:multiLevelType w:val="singleLevel"/>
    <w:tmpl w:val="C3088772"/>
    <w:lvl w:ilvl="0">
      <w:start w:val="1"/>
      <w:numFmt w:val="bullet"/>
      <w:pStyle w:val="TableListBullet"/>
      <w:lvlText w:val=""/>
      <w:lvlJc w:val="left"/>
      <w:pPr>
        <w:tabs>
          <w:tab w:val="num" w:pos="360"/>
        </w:tabs>
        <w:ind w:left="360" w:hanging="360"/>
      </w:pPr>
      <w:rPr>
        <w:rFonts w:ascii="Symbol" w:hAnsi="Symbol" w:hint="default"/>
      </w:rPr>
    </w:lvl>
  </w:abstractNum>
  <w:abstractNum w:abstractNumId="4" w15:restartNumberingAfterBreak="0">
    <w:nsid w:val="031A37EF"/>
    <w:multiLevelType w:val="hybridMultilevel"/>
    <w:tmpl w:val="3EB88730"/>
    <w:lvl w:ilvl="0" w:tplc="AA2616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36A07"/>
    <w:multiLevelType w:val="hybridMultilevel"/>
    <w:tmpl w:val="CD70F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3E6C9D"/>
    <w:multiLevelType w:val="multilevel"/>
    <w:tmpl w:val="FF8069A4"/>
    <w:numStyleLink w:val="Bullets"/>
  </w:abstractNum>
  <w:abstractNum w:abstractNumId="7" w15:restartNumberingAfterBreak="0">
    <w:nsid w:val="0F6F37EA"/>
    <w:multiLevelType w:val="multilevel"/>
    <w:tmpl w:val="3E2A35C4"/>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35EA1F40"/>
    <w:multiLevelType w:val="hybridMultilevel"/>
    <w:tmpl w:val="B4780528"/>
    <w:lvl w:ilvl="0" w:tplc="A57E6EEC">
      <w:start w:val="1"/>
      <w:numFmt w:val="decimal"/>
      <w:lvlText w:val="%1."/>
      <w:lvlJc w:val="left"/>
      <w:pPr>
        <w:ind w:left="775" w:hanging="360"/>
      </w:pPr>
      <w:rPr>
        <w:rFonts w:hint="default"/>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9" w15:restartNumberingAfterBreak="0">
    <w:nsid w:val="4B565A11"/>
    <w:multiLevelType w:val="hybridMultilevel"/>
    <w:tmpl w:val="2DEE58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E05515"/>
    <w:multiLevelType w:val="hybridMultilevel"/>
    <w:tmpl w:val="98E03F46"/>
    <w:lvl w:ilvl="0" w:tplc="0C09000F">
      <w:start w:val="1"/>
      <w:numFmt w:val="decimal"/>
      <w:lvlText w:val="%1."/>
      <w:lvlJc w:val="left"/>
      <w:pPr>
        <w:ind w:left="775" w:hanging="360"/>
      </w:pPr>
    </w:lvl>
    <w:lvl w:ilvl="1" w:tplc="0C090019">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2" w15:restartNumberingAfterBreak="0">
    <w:nsid w:val="663E1C42"/>
    <w:multiLevelType w:val="hybridMultilevel"/>
    <w:tmpl w:val="CAC8F8FA"/>
    <w:lvl w:ilvl="0" w:tplc="0C090001">
      <w:start w:val="1"/>
      <w:numFmt w:val="bullet"/>
      <w:lvlText w:val=""/>
      <w:lvlJc w:val="left"/>
      <w:pPr>
        <w:ind w:left="360" w:hanging="360"/>
      </w:pPr>
      <w:rPr>
        <w:rFonts w:ascii="Symbol" w:hAnsi="Symbol" w:hint="default"/>
      </w:rPr>
    </w:lvl>
    <w:lvl w:ilvl="1" w:tplc="42F075A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A8389B"/>
    <w:multiLevelType w:val="hybridMultilevel"/>
    <w:tmpl w:val="CE869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9828926">
    <w:abstractNumId w:val="4"/>
  </w:num>
  <w:num w:numId="2" w16cid:durableId="317923861">
    <w:abstractNumId w:val="3"/>
  </w:num>
  <w:num w:numId="3" w16cid:durableId="1228372660">
    <w:abstractNumId w:val="6"/>
  </w:num>
  <w:num w:numId="4" w16cid:durableId="2021546402">
    <w:abstractNumId w:val="1"/>
  </w:num>
  <w:num w:numId="5" w16cid:durableId="1958876224">
    <w:abstractNumId w:val="6"/>
  </w:num>
  <w:num w:numId="6" w16cid:durableId="779253751">
    <w:abstractNumId w:val="0"/>
  </w:num>
  <w:num w:numId="7" w16cid:durableId="230846041">
    <w:abstractNumId w:val="6"/>
  </w:num>
  <w:num w:numId="8" w16cid:durableId="833767088">
    <w:abstractNumId w:val="2"/>
  </w:num>
  <w:num w:numId="9" w16cid:durableId="617302055">
    <w:abstractNumId w:val="2"/>
  </w:num>
  <w:num w:numId="10" w16cid:durableId="176118987">
    <w:abstractNumId w:val="6"/>
  </w:num>
  <w:num w:numId="11" w16cid:durableId="1404641264">
    <w:abstractNumId w:val="6"/>
  </w:num>
  <w:num w:numId="12" w16cid:durableId="965233325">
    <w:abstractNumId w:val="6"/>
  </w:num>
  <w:num w:numId="13" w16cid:durableId="378168178">
    <w:abstractNumId w:val="2"/>
  </w:num>
  <w:num w:numId="14" w16cid:durableId="1952320758">
    <w:abstractNumId w:val="6"/>
  </w:num>
  <w:num w:numId="15" w16cid:durableId="179243797">
    <w:abstractNumId w:val="11"/>
  </w:num>
  <w:num w:numId="16" w16cid:durableId="2103646247">
    <w:abstractNumId w:val="6"/>
    <w:lvlOverride w:ilvl="0">
      <w:lvl w:ilvl="0">
        <w:start w:val="1"/>
        <w:numFmt w:val="bullet"/>
        <w:pStyle w:val="ListBullet"/>
        <w:lvlText w:val="•"/>
        <w:lvlJc w:val="left"/>
        <w:pPr>
          <w:ind w:left="227" w:hanging="227"/>
        </w:pPr>
        <w:rPr>
          <w:rFonts w:ascii="Times New Roman" w:hAnsi="Times New Roman" w:cs="Times New Roman" w:hint="default"/>
          <w:color w:val="000000"/>
        </w:rPr>
      </w:lvl>
    </w:lvlOverride>
    <w:lvlOverride w:ilvl="1">
      <w:lvl w:ilvl="1">
        <w:start w:val="1"/>
        <w:numFmt w:val="bullet"/>
        <w:pStyle w:val="ListBullet2"/>
        <w:lvlText w:val="–"/>
        <w:lvlJc w:val="left"/>
        <w:pPr>
          <w:ind w:left="454" w:hanging="227"/>
        </w:pPr>
        <w:rPr>
          <w:rFonts w:ascii="Arial" w:hAnsi="Arial" w:hint="default"/>
          <w:color w:val="auto"/>
        </w:rPr>
      </w:lvl>
    </w:lvlOverride>
    <w:lvlOverride w:ilvl="2">
      <w:lvl w:ilvl="2">
        <w:start w:val="1"/>
        <w:numFmt w:val="bullet"/>
        <w:pStyle w:val="ListBullet3"/>
        <w:lvlText w:val="»"/>
        <w:lvlJc w:val="left"/>
        <w:pPr>
          <w:ind w:left="907" w:hanging="227"/>
        </w:pPr>
        <w:rPr>
          <w:rFonts w:ascii="Arial" w:hAnsi="Arial" w:hint="default"/>
          <w:color w:val="auto"/>
        </w:rPr>
      </w:lvl>
    </w:lvlOverride>
    <w:lvlOverride w:ilvl="3">
      <w:lvl w:ilvl="3">
        <w:start w:val="1"/>
        <w:numFmt w:val="bullet"/>
        <w:lvlText w:val="–"/>
        <w:lvlJc w:val="left"/>
        <w:pPr>
          <w:tabs>
            <w:tab w:val="num" w:pos="851"/>
          </w:tabs>
          <w:ind w:left="907" w:hanging="227"/>
        </w:pPr>
        <w:rPr>
          <w:rFonts w:ascii="Arial" w:hAnsi="Arial" w:hint="default"/>
          <w:color w:val="auto"/>
        </w:rPr>
      </w:lvl>
    </w:lvlOverride>
    <w:lvlOverride w:ilvl="4">
      <w:lvl w:ilvl="4">
        <w:start w:val="1"/>
        <w:numFmt w:val="bullet"/>
        <w:lvlText w:val="–"/>
        <w:lvlJc w:val="left"/>
        <w:pPr>
          <w:ind w:left="1134" w:hanging="227"/>
        </w:pPr>
        <w:rPr>
          <w:rFonts w:ascii="Arial" w:hAnsi="Arial" w:hint="default"/>
          <w:color w:val="auto"/>
        </w:rPr>
      </w:lvl>
    </w:lvlOverride>
    <w:lvlOverride w:ilvl="5">
      <w:lvl w:ilvl="5">
        <w:start w:val="1"/>
        <w:numFmt w:val="bullet"/>
        <w:lvlText w:val="–"/>
        <w:lvlJc w:val="left"/>
        <w:pPr>
          <w:ind w:left="1361" w:hanging="227"/>
        </w:pPr>
        <w:rPr>
          <w:rFonts w:ascii="Arial" w:hAnsi="Arial" w:hint="default"/>
        </w:rPr>
      </w:lvl>
    </w:lvlOverride>
    <w:lvlOverride w:ilvl="6">
      <w:lvl w:ilvl="6">
        <w:start w:val="1"/>
        <w:numFmt w:val="bullet"/>
        <w:lvlText w:val="–"/>
        <w:lvlJc w:val="left"/>
        <w:pPr>
          <w:ind w:left="1588" w:hanging="227"/>
        </w:pPr>
        <w:rPr>
          <w:rFonts w:ascii="Arial" w:hAnsi="Arial" w:hint="default"/>
        </w:rPr>
      </w:lvl>
    </w:lvlOverride>
    <w:lvlOverride w:ilvl="7">
      <w:lvl w:ilvl="7">
        <w:start w:val="1"/>
        <w:numFmt w:val="bullet"/>
        <w:lvlText w:val="–"/>
        <w:lvlJc w:val="left"/>
        <w:pPr>
          <w:ind w:left="1814" w:hanging="226"/>
        </w:pPr>
        <w:rPr>
          <w:rFonts w:ascii="Arial" w:hAnsi="Arial" w:hint="default"/>
        </w:rPr>
      </w:lvl>
    </w:lvlOverride>
    <w:lvlOverride w:ilvl="8">
      <w:lvl w:ilvl="8">
        <w:start w:val="1"/>
        <w:numFmt w:val="bullet"/>
        <w:lvlText w:val="–"/>
        <w:lvlJc w:val="left"/>
        <w:pPr>
          <w:tabs>
            <w:tab w:val="num" w:pos="2211"/>
          </w:tabs>
          <w:ind w:left="2041" w:hanging="227"/>
        </w:pPr>
        <w:rPr>
          <w:rFonts w:ascii="Arial" w:hAnsi="Arial" w:hint="default"/>
        </w:rPr>
      </w:lvl>
    </w:lvlOverride>
  </w:num>
  <w:num w:numId="17" w16cid:durableId="331690661">
    <w:abstractNumId w:val="6"/>
  </w:num>
  <w:num w:numId="18" w16cid:durableId="1568492710">
    <w:abstractNumId w:val="6"/>
  </w:num>
  <w:num w:numId="19" w16cid:durableId="368183068">
    <w:abstractNumId w:val="6"/>
  </w:num>
  <w:num w:numId="20" w16cid:durableId="1741630660">
    <w:abstractNumId w:val="6"/>
  </w:num>
  <w:num w:numId="21" w16cid:durableId="1359546544">
    <w:abstractNumId w:val="10"/>
  </w:num>
  <w:num w:numId="22" w16cid:durableId="31223978">
    <w:abstractNumId w:val="5"/>
  </w:num>
  <w:num w:numId="23" w16cid:durableId="2145851519">
    <w:abstractNumId w:val="12"/>
  </w:num>
  <w:num w:numId="24" w16cid:durableId="1769498788">
    <w:abstractNumId w:val="9"/>
  </w:num>
  <w:num w:numId="25" w16cid:durableId="711198264">
    <w:abstractNumId w:val="13"/>
  </w:num>
  <w:num w:numId="26" w16cid:durableId="878397308">
    <w:abstractNumId w:val="8"/>
  </w:num>
  <w:num w:numId="27" w16cid:durableId="701589596">
    <w:abstractNumId w:val="2"/>
  </w:num>
  <w:num w:numId="28" w16cid:durableId="1138957465">
    <w:abstractNumId w:val="2"/>
  </w:num>
  <w:num w:numId="29" w16cid:durableId="1629387896">
    <w:abstractNumId w:val="2"/>
    <w:lvlOverride w:ilvl="0">
      <w:startOverride w:val="1"/>
    </w:lvlOverride>
  </w:num>
  <w:num w:numId="30" w16cid:durableId="1836846455">
    <w:abstractNumId w:val="2"/>
    <w:lvlOverride w:ilvl="0">
      <w:startOverride w:val="1"/>
    </w:lvlOverride>
  </w:num>
  <w:num w:numId="31" w16cid:durableId="1023167337">
    <w:abstractNumId w:val="2"/>
  </w:num>
  <w:num w:numId="32" w16cid:durableId="198395903">
    <w:abstractNumId w:val="2"/>
    <w:lvlOverride w:ilvl="0">
      <w:startOverride w:val="1"/>
    </w:lvlOverride>
  </w:num>
  <w:num w:numId="33" w16cid:durableId="1349067657">
    <w:abstractNumId w:val="2"/>
    <w:lvlOverride w:ilvl="0">
      <w:startOverride w:val="1"/>
    </w:lvlOverride>
  </w:num>
  <w:num w:numId="34" w16cid:durableId="1633753311">
    <w:abstractNumId w:val="2"/>
  </w:num>
  <w:num w:numId="35" w16cid:durableId="154037459">
    <w:abstractNumId w:val="2"/>
    <w:lvlOverride w:ilvl="0">
      <w:startOverride w:val="1"/>
    </w:lvlOverride>
  </w:num>
  <w:num w:numId="36" w16cid:durableId="2038194050">
    <w:abstractNumId w:val="3"/>
  </w:num>
  <w:num w:numId="37" w16cid:durableId="1269654766">
    <w:abstractNumId w:val="7"/>
    <w:lvlOverride w:ilvl="0">
      <w:lvl w:ilvl="0">
        <w:start w:val="1"/>
        <w:numFmt w:val="decimal"/>
        <w:lvlText w:val="%1."/>
        <w:lvlJc w:val="left"/>
        <w:pPr>
          <w:ind w:left="454" w:hanging="454"/>
        </w:pPr>
        <w:rPr>
          <w:rFonts w:hint="default"/>
        </w:rPr>
      </w:lvl>
    </w:lvlOverride>
  </w:num>
  <w:num w:numId="38" w16cid:durableId="76051868">
    <w:abstractNumId w:val="6"/>
    <w:lvlOverride w:ilvl="0">
      <w:lvl w:ilvl="0">
        <w:start w:val="1"/>
        <w:numFmt w:val="bullet"/>
        <w:pStyle w:val="ListBullet"/>
        <w:lvlText w:val="•"/>
        <w:lvlJc w:val="left"/>
        <w:pPr>
          <w:ind w:left="227" w:hanging="227"/>
        </w:pPr>
        <w:rPr>
          <w:rFonts w:ascii="Times New Roman" w:hAnsi="Times New Roman" w:cs="Times New Roman" w:hint="default"/>
          <w:color w:val="auto"/>
        </w:rPr>
      </w:lvl>
    </w:lvlOverride>
  </w:num>
  <w:num w:numId="39" w16cid:durableId="1607805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D"/>
    <w:rsid w:val="00004D0F"/>
    <w:rsid w:val="00012F5F"/>
    <w:rsid w:val="0003218F"/>
    <w:rsid w:val="00037114"/>
    <w:rsid w:val="00044626"/>
    <w:rsid w:val="00056C5A"/>
    <w:rsid w:val="00057037"/>
    <w:rsid w:val="00067E9D"/>
    <w:rsid w:val="000872C3"/>
    <w:rsid w:val="00092E3F"/>
    <w:rsid w:val="00092F8D"/>
    <w:rsid w:val="000935E1"/>
    <w:rsid w:val="000A0DB3"/>
    <w:rsid w:val="000C091A"/>
    <w:rsid w:val="000D14F2"/>
    <w:rsid w:val="000D6529"/>
    <w:rsid w:val="000E164A"/>
    <w:rsid w:val="000E291F"/>
    <w:rsid w:val="000F11A7"/>
    <w:rsid w:val="00100790"/>
    <w:rsid w:val="001038C0"/>
    <w:rsid w:val="00103BB3"/>
    <w:rsid w:val="00104071"/>
    <w:rsid w:val="001170EF"/>
    <w:rsid w:val="001233D0"/>
    <w:rsid w:val="00127A31"/>
    <w:rsid w:val="0014137C"/>
    <w:rsid w:val="00144AC1"/>
    <w:rsid w:val="001513C6"/>
    <w:rsid w:val="0015274A"/>
    <w:rsid w:val="001551FC"/>
    <w:rsid w:val="001576BA"/>
    <w:rsid w:val="00163812"/>
    <w:rsid w:val="00176ED8"/>
    <w:rsid w:val="001870C5"/>
    <w:rsid w:val="0019326C"/>
    <w:rsid w:val="00195AE9"/>
    <w:rsid w:val="00195F79"/>
    <w:rsid w:val="001B5E28"/>
    <w:rsid w:val="001C40AB"/>
    <w:rsid w:val="001C79FB"/>
    <w:rsid w:val="001D1E44"/>
    <w:rsid w:val="001D4262"/>
    <w:rsid w:val="001E1748"/>
    <w:rsid w:val="001E1C8B"/>
    <w:rsid w:val="001F1596"/>
    <w:rsid w:val="001F6695"/>
    <w:rsid w:val="0020760C"/>
    <w:rsid w:val="00222096"/>
    <w:rsid w:val="002341BC"/>
    <w:rsid w:val="00252355"/>
    <w:rsid w:val="00256ED3"/>
    <w:rsid w:val="00257253"/>
    <w:rsid w:val="00257302"/>
    <w:rsid w:val="002647C2"/>
    <w:rsid w:val="00276DFD"/>
    <w:rsid w:val="002828EB"/>
    <w:rsid w:val="00287C98"/>
    <w:rsid w:val="00292009"/>
    <w:rsid w:val="002A37C0"/>
    <w:rsid w:val="002B5359"/>
    <w:rsid w:val="002D473A"/>
    <w:rsid w:val="002D5DCE"/>
    <w:rsid w:val="002E23C1"/>
    <w:rsid w:val="002E29E8"/>
    <w:rsid w:val="002E3526"/>
    <w:rsid w:val="0030169D"/>
    <w:rsid w:val="00301E5C"/>
    <w:rsid w:val="003166D0"/>
    <w:rsid w:val="003248E4"/>
    <w:rsid w:val="003261DF"/>
    <w:rsid w:val="00327AAB"/>
    <w:rsid w:val="003604AB"/>
    <w:rsid w:val="003619CB"/>
    <w:rsid w:val="00370B86"/>
    <w:rsid w:val="00375107"/>
    <w:rsid w:val="0038191A"/>
    <w:rsid w:val="00386ABF"/>
    <w:rsid w:val="003C0C27"/>
    <w:rsid w:val="003C2472"/>
    <w:rsid w:val="003C6629"/>
    <w:rsid w:val="003C66E3"/>
    <w:rsid w:val="003C6BF2"/>
    <w:rsid w:val="003D2C10"/>
    <w:rsid w:val="003D5F85"/>
    <w:rsid w:val="003E011F"/>
    <w:rsid w:val="003E0A47"/>
    <w:rsid w:val="003F6CE3"/>
    <w:rsid w:val="004002F3"/>
    <w:rsid w:val="004004D0"/>
    <w:rsid w:val="00401327"/>
    <w:rsid w:val="004046A8"/>
    <w:rsid w:val="00421411"/>
    <w:rsid w:val="004253D5"/>
    <w:rsid w:val="00425485"/>
    <w:rsid w:val="00430C34"/>
    <w:rsid w:val="004401EB"/>
    <w:rsid w:val="004414D6"/>
    <w:rsid w:val="00452D00"/>
    <w:rsid w:val="00452FB0"/>
    <w:rsid w:val="0045450F"/>
    <w:rsid w:val="00461F9B"/>
    <w:rsid w:val="004661E8"/>
    <w:rsid w:val="00470BD5"/>
    <w:rsid w:val="00474379"/>
    <w:rsid w:val="0047509D"/>
    <w:rsid w:val="00483D26"/>
    <w:rsid w:val="00486620"/>
    <w:rsid w:val="00490D0C"/>
    <w:rsid w:val="00494DE7"/>
    <w:rsid w:val="004953E3"/>
    <w:rsid w:val="00497115"/>
    <w:rsid w:val="004A1FB3"/>
    <w:rsid w:val="004A2DAD"/>
    <w:rsid w:val="004A36CC"/>
    <w:rsid w:val="004B1EAA"/>
    <w:rsid w:val="004B371B"/>
    <w:rsid w:val="004B643E"/>
    <w:rsid w:val="004B7031"/>
    <w:rsid w:val="004C28B0"/>
    <w:rsid w:val="004D1CB9"/>
    <w:rsid w:val="004D245F"/>
    <w:rsid w:val="004E3C7D"/>
    <w:rsid w:val="004E4C64"/>
    <w:rsid w:val="004F28F5"/>
    <w:rsid w:val="00503960"/>
    <w:rsid w:val="005176D4"/>
    <w:rsid w:val="0052322E"/>
    <w:rsid w:val="005535B9"/>
    <w:rsid w:val="00561863"/>
    <w:rsid w:val="005629C7"/>
    <w:rsid w:val="00564980"/>
    <w:rsid w:val="00566D37"/>
    <w:rsid w:val="005730EC"/>
    <w:rsid w:val="005732AD"/>
    <w:rsid w:val="00576AD8"/>
    <w:rsid w:val="005903FC"/>
    <w:rsid w:val="00591DBB"/>
    <w:rsid w:val="005A5E62"/>
    <w:rsid w:val="005A782B"/>
    <w:rsid w:val="005C16E0"/>
    <w:rsid w:val="005D2544"/>
    <w:rsid w:val="005D6B85"/>
    <w:rsid w:val="005E1CD4"/>
    <w:rsid w:val="005F104B"/>
    <w:rsid w:val="005F7BF9"/>
    <w:rsid w:val="00606C2B"/>
    <w:rsid w:val="006078D6"/>
    <w:rsid w:val="0062080D"/>
    <w:rsid w:val="00622FDD"/>
    <w:rsid w:val="0062357D"/>
    <w:rsid w:val="00626F0D"/>
    <w:rsid w:val="006378C2"/>
    <w:rsid w:val="00646889"/>
    <w:rsid w:val="006656B7"/>
    <w:rsid w:val="00670F0C"/>
    <w:rsid w:val="0069303B"/>
    <w:rsid w:val="006A1481"/>
    <w:rsid w:val="006A4E76"/>
    <w:rsid w:val="006B6CE6"/>
    <w:rsid w:val="006C4AE8"/>
    <w:rsid w:val="006D0EC8"/>
    <w:rsid w:val="006D5C8F"/>
    <w:rsid w:val="006D7C2C"/>
    <w:rsid w:val="006E0BF5"/>
    <w:rsid w:val="006E0CFD"/>
    <w:rsid w:val="006E16F7"/>
    <w:rsid w:val="006F24AB"/>
    <w:rsid w:val="006F63EA"/>
    <w:rsid w:val="00702710"/>
    <w:rsid w:val="00703366"/>
    <w:rsid w:val="00712DA7"/>
    <w:rsid w:val="007144DA"/>
    <w:rsid w:val="00724381"/>
    <w:rsid w:val="0073286C"/>
    <w:rsid w:val="007342CE"/>
    <w:rsid w:val="00734A21"/>
    <w:rsid w:val="00740656"/>
    <w:rsid w:val="00742729"/>
    <w:rsid w:val="00760BCB"/>
    <w:rsid w:val="00765881"/>
    <w:rsid w:val="00765CB6"/>
    <w:rsid w:val="007940EC"/>
    <w:rsid w:val="007A4797"/>
    <w:rsid w:val="007B2492"/>
    <w:rsid w:val="007B4BA2"/>
    <w:rsid w:val="007B56FA"/>
    <w:rsid w:val="007D0634"/>
    <w:rsid w:val="007E62D7"/>
    <w:rsid w:val="007F4BD6"/>
    <w:rsid w:val="00814D82"/>
    <w:rsid w:val="00814F6A"/>
    <w:rsid w:val="008173B0"/>
    <w:rsid w:val="008318AE"/>
    <w:rsid w:val="00834733"/>
    <w:rsid w:val="0083498C"/>
    <w:rsid w:val="008413EB"/>
    <w:rsid w:val="00847BD4"/>
    <w:rsid w:val="008A2D41"/>
    <w:rsid w:val="008A5A8F"/>
    <w:rsid w:val="008C1E20"/>
    <w:rsid w:val="008D5A05"/>
    <w:rsid w:val="008E3199"/>
    <w:rsid w:val="008F2FBA"/>
    <w:rsid w:val="00904AFB"/>
    <w:rsid w:val="009251C4"/>
    <w:rsid w:val="00934BEC"/>
    <w:rsid w:val="00934C0A"/>
    <w:rsid w:val="00936977"/>
    <w:rsid w:val="009414FB"/>
    <w:rsid w:val="00942D5E"/>
    <w:rsid w:val="00945A01"/>
    <w:rsid w:val="00973096"/>
    <w:rsid w:val="00975997"/>
    <w:rsid w:val="00982263"/>
    <w:rsid w:val="009848AD"/>
    <w:rsid w:val="009A608E"/>
    <w:rsid w:val="009E2115"/>
    <w:rsid w:val="009F163C"/>
    <w:rsid w:val="009F3A9D"/>
    <w:rsid w:val="009F425B"/>
    <w:rsid w:val="009F5B36"/>
    <w:rsid w:val="009F696C"/>
    <w:rsid w:val="00A10A0A"/>
    <w:rsid w:val="00A12269"/>
    <w:rsid w:val="00A218EA"/>
    <w:rsid w:val="00A326BA"/>
    <w:rsid w:val="00A32853"/>
    <w:rsid w:val="00A36781"/>
    <w:rsid w:val="00A41D4E"/>
    <w:rsid w:val="00A449C3"/>
    <w:rsid w:val="00A52026"/>
    <w:rsid w:val="00A6285E"/>
    <w:rsid w:val="00A671CC"/>
    <w:rsid w:val="00A74D48"/>
    <w:rsid w:val="00A80EF3"/>
    <w:rsid w:val="00A916B7"/>
    <w:rsid w:val="00A9384D"/>
    <w:rsid w:val="00A94B15"/>
    <w:rsid w:val="00AA0212"/>
    <w:rsid w:val="00AA3AC6"/>
    <w:rsid w:val="00AB2588"/>
    <w:rsid w:val="00AB58EC"/>
    <w:rsid w:val="00AC13B9"/>
    <w:rsid w:val="00AE19D1"/>
    <w:rsid w:val="00AE509B"/>
    <w:rsid w:val="00AF0958"/>
    <w:rsid w:val="00AF4359"/>
    <w:rsid w:val="00AF5830"/>
    <w:rsid w:val="00AF5C1A"/>
    <w:rsid w:val="00AF6514"/>
    <w:rsid w:val="00B00048"/>
    <w:rsid w:val="00B000E7"/>
    <w:rsid w:val="00B01B14"/>
    <w:rsid w:val="00B040EA"/>
    <w:rsid w:val="00B0637F"/>
    <w:rsid w:val="00B138C2"/>
    <w:rsid w:val="00B1588A"/>
    <w:rsid w:val="00B43566"/>
    <w:rsid w:val="00B43FF6"/>
    <w:rsid w:val="00B46F1E"/>
    <w:rsid w:val="00B5323D"/>
    <w:rsid w:val="00B61F79"/>
    <w:rsid w:val="00B67BE6"/>
    <w:rsid w:val="00B83EB1"/>
    <w:rsid w:val="00B84885"/>
    <w:rsid w:val="00B9077D"/>
    <w:rsid w:val="00B979DA"/>
    <w:rsid w:val="00BA001D"/>
    <w:rsid w:val="00BA1B8C"/>
    <w:rsid w:val="00BB4D0C"/>
    <w:rsid w:val="00BC2394"/>
    <w:rsid w:val="00BC2B85"/>
    <w:rsid w:val="00BD39A1"/>
    <w:rsid w:val="00BD7705"/>
    <w:rsid w:val="00BE0AE8"/>
    <w:rsid w:val="00BE20BE"/>
    <w:rsid w:val="00BE2D3B"/>
    <w:rsid w:val="00BF738A"/>
    <w:rsid w:val="00C008B0"/>
    <w:rsid w:val="00C062F4"/>
    <w:rsid w:val="00C06C50"/>
    <w:rsid w:val="00C11C60"/>
    <w:rsid w:val="00C16500"/>
    <w:rsid w:val="00C17A92"/>
    <w:rsid w:val="00C24F66"/>
    <w:rsid w:val="00C372E6"/>
    <w:rsid w:val="00C43C8B"/>
    <w:rsid w:val="00C6331F"/>
    <w:rsid w:val="00C63A5F"/>
    <w:rsid w:val="00C743E9"/>
    <w:rsid w:val="00C774D8"/>
    <w:rsid w:val="00C95D1C"/>
    <w:rsid w:val="00CA017B"/>
    <w:rsid w:val="00CB083F"/>
    <w:rsid w:val="00CC1166"/>
    <w:rsid w:val="00CC514D"/>
    <w:rsid w:val="00CD6563"/>
    <w:rsid w:val="00CE3A84"/>
    <w:rsid w:val="00CE4553"/>
    <w:rsid w:val="00CF76E1"/>
    <w:rsid w:val="00D12983"/>
    <w:rsid w:val="00D15027"/>
    <w:rsid w:val="00D3111B"/>
    <w:rsid w:val="00D33F01"/>
    <w:rsid w:val="00D3500E"/>
    <w:rsid w:val="00D353E1"/>
    <w:rsid w:val="00D43FB2"/>
    <w:rsid w:val="00D61D29"/>
    <w:rsid w:val="00D67A9F"/>
    <w:rsid w:val="00D86D6E"/>
    <w:rsid w:val="00DA73AF"/>
    <w:rsid w:val="00DC2570"/>
    <w:rsid w:val="00DD5882"/>
    <w:rsid w:val="00DF32A2"/>
    <w:rsid w:val="00E0781F"/>
    <w:rsid w:val="00E12FC6"/>
    <w:rsid w:val="00E151AD"/>
    <w:rsid w:val="00E23865"/>
    <w:rsid w:val="00E35F51"/>
    <w:rsid w:val="00E374A8"/>
    <w:rsid w:val="00E44657"/>
    <w:rsid w:val="00E45DDC"/>
    <w:rsid w:val="00E6323D"/>
    <w:rsid w:val="00E67E26"/>
    <w:rsid w:val="00E80752"/>
    <w:rsid w:val="00E8329A"/>
    <w:rsid w:val="00EB006F"/>
    <w:rsid w:val="00EC6523"/>
    <w:rsid w:val="00EC6B55"/>
    <w:rsid w:val="00ED207E"/>
    <w:rsid w:val="00ED57AE"/>
    <w:rsid w:val="00EE30E8"/>
    <w:rsid w:val="00EF6107"/>
    <w:rsid w:val="00F07BF0"/>
    <w:rsid w:val="00F1737E"/>
    <w:rsid w:val="00F20544"/>
    <w:rsid w:val="00F22AE6"/>
    <w:rsid w:val="00F3057B"/>
    <w:rsid w:val="00F33BEA"/>
    <w:rsid w:val="00F410B9"/>
    <w:rsid w:val="00F50DA0"/>
    <w:rsid w:val="00F56AFF"/>
    <w:rsid w:val="00F6176E"/>
    <w:rsid w:val="00F67BF1"/>
    <w:rsid w:val="00F75C5B"/>
    <w:rsid w:val="00F8605D"/>
    <w:rsid w:val="00F9597C"/>
    <w:rsid w:val="00FA00B6"/>
    <w:rsid w:val="00FE3664"/>
    <w:rsid w:val="00FE531F"/>
    <w:rsid w:val="00FF3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6D2C"/>
  <w15:docId w15:val="{FCA9BF49-F7D7-464D-A3A5-E37AFCC4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47"/>
    <w:pPr>
      <w:spacing w:after="120"/>
    </w:pPr>
    <w:rPr>
      <w:sz w:val="20"/>
    </w:rPr>
  </w:style>
  <w:style w:type="paragraph" w:styleId="Heading1">
    <w:name w:val="heading 1"/>
    <w:basedOn w:val="Normal"/>
    <w:next w:val="Normal"/>
    <w:link w:val="Heading1Char"/>
    <w:uiPriority w:val="9"/>
    <w:qFormat/>
    <w:rsid w:val="001E1748"/>
    <w:pPr>
      <w:keepNext/>
      <w:keepLines/>
      <w:spacing w:before="24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1E1748"/>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6C4AE8"/>
    <w:pPr>
      <w:keepNext/>
      <w:keepLines/>
      <w:spacing w:before="12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semiHidden/>
    <w:unhideWhenUsed/>
    <w:qFormat/>
    <w:rsid w:val="00CC514D"/>
    <w:pPr>
      <w:keepNext/>
      <w:keepLines/>
      <w:spacing w:before="40" w:after="0"/>
      <w:outlineLvl w:val="3"/>
    </w:pPr>
    <w:rPr>
      <w:rFonts w:asciiTheme="majorHAnsi" w:eastAsiaTheme="majorEastAsia" w:hAnsiTheme="majorHAnsi" w:cstheme="majorBidi"/>
      <w:i/>
      <w:iCs/>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48"/>
    <w:rPr>
      <w:rFonts w:ascii="Tahoma" w:hAnsi="Tahoma" w:cs="Tahoma"/>
      <w:sz w:val="16"/>
      <w:szCs w:val="16"/>
    </w:rPr>
  </w:style>
  <w:style w:type="character" w:styleId="BookTitle">
    <w:name w:val="Book Title"/>
    <w:basedOn w:val="DefaultParagraphFont"/>
    <w:uiPriority w:val="33"/>
    <w:semiHidden/>
    <w:rsid w:val="001E1748"/>
    <w:rPr>
      <w:b/>
      <w:bCs/>
      <w:i/>
      <w:iCs/>
      <w:spacing w:val="5"/>
    </w:rPr>
  </w:style>
  <w:style w:type="character" w:styleId="FollowedHyperlink">
    <w:name w:val="FollowedHyperlink"/>
    <w:basedOn w:val="DefaultParagraphFont"/>
    <w:uiPriority w:val="99"/>
    <w:semiHidden/>
    <w:unhideWhenUsed/>
    <w:rsid w:val="001E1748"/>
    <w:rPr>
      <w:color w:val="BFBFBF" w:themeColor="followedHyperlink"/>
      <w:u w:val="single"/>
    </w:rPr>
  </w:style>
  <w:style w:type="paragraph" w:styleId="Footer">
    <w:name w:val="footer"/>
    <w:basedOn w:val="Normal"/>
    <w:link w:val="FooterChar"/>
    <w:uiPriority w:val="99"/>
    <w:unhideWhenUsed/>
    <w:rsid w:val="001E1748"/>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Cs w:val="20"/>
      <w:lang w:eastAsia="en-AU"/>
    </w:rPr>
  </w:style>
  <w:style w:type="character" w:customStyle="1" w:styleId="FooterChar">
    <w:name w:val="Footer Char"/>
    <w:basedOn w:val="DefaultParagraphFont"/>
    <w:link w:val="Footer"/>
    <w:uiPriority w:val="99"/>
    <w:rsid w:val="001E1748"/>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1E1748"/>
    <w:pPr>
      <w:spacing w:before="200" w:after="0" w:line="240" w:lineRule="auto"/>
      <w:ind w:right="-794"/>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1E1748"/>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1E1748"/>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6C4AE8"/>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1E1748"/>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1E1748"/>
    <w:rPr>
      <w:color w:val="265A9A"/>
      <w:u w:val="single"/>
    </w:rPr>
  </w:style>
  <w:style w:type="character" w:styleId="IntenseEmphasis">
    <w:name w:val="Intense Emphasis"/>
    <w:basedOn w:val="DefaultParagraphFont"/>
    <w:uiPriority w:val="21"/>
    <w:rsid w:val="001E1748"/>
    <w:rPr>
      <w:i/>
      <w:iCs/>
      <w:color w:val="265A9A" w:themeColor="background2"/>
    </w:rPr>
  </w:style>
  <w:style w:type="paragraph" w:styleId="IntenseQuote">
    <w:name w:val="Intense Quote"/>
    <w:basedOn w:val="Normal"/>
    <w:next w:val="Normal"/>
    <w:link w:val="IntenseQuoteChar"/>
    <w:uiPriority w:val="30"/>
    <w:semiHidden/>
    <w:rsid w:val="001E1748"/>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CC514D"/>
    <w:rPr>
      <w:i/>
      <w:iCs/>
      <w:color w:val="265A9A"/>
    </w:rPr>
  </w:style>
  <w:style w:type="character" w:styleId="IntenseReference">
    <w:name w:val="Intense Reference"/>
    <w:basedOn w:val="DefaultParagraphFont"/>
    <w:uiPriority w:val="32"/>
    <w:semiHidden/>
    <w:rsid w:val="001E1748"/>
    <w:rPr>
      <w:b/>
      <w:bCs/>
      <w:smallCaps/>
      <w:color w:val="265A9A" w:themeColor="background2"/>
      <w:spacing w:val="5"/>
    </w:rPr>
  </w:style>
  <w:style w:type="paragraph" w:styleId="ListBullet">
    <w:name w:val="List Bullet"/>
    <w:basedOn w:val="Normal"/>
    <w:link w:val="ListBulletChar"/>
    <w:uiPriority w:val="1"/>
    <w:qFormat/>
    <w:rsid w:val="00F410B9"/>
    <w:pPr>
      <w:numPr>
        <w:numId w:val="19"/>
      </w:numPr>
      <w:spacing w:before="120" w:line="260" w:lineRule="atLeast"/>
      <w:contextualSpacing/>
    </w:pPr>
    <w:rPr>
      <w:szCs w:val="20"/>
    </w:rPr>
  </w:style>
  <w:style w:type="character" w:customStyle="1" w:styleId="ListBulletChar">
    <w:name w:val="List Bullet Char"/>
    <w:basedOn w:val="DefaultParagraphFont"/>
    <w:link w:val="ListBullet"/>
    <w:uiPriority w:val="1"/>
    <w:rsid w:val="00F410B9"/>
    <w:rPr>
      <w:sz w:val="20"/>
      <w:szCs w:val="20"/>
    </w:rPr>
  </w:style>
  <w:style w:type="paragraph" w:styleId="ListBullet2">
    <w:name w:val="List Bullet 2"/>
    <w:basedOn w:val="Normal"/>
    <w:uiPriority w:val="1"/>
    <w:qFormat/>
    <w:rsid w:val="00425485"/>
    <w:pPr>
      <w:numPr>
        <w:ilvl w:val="1"/>
        <w:numId w:val="19"/>
      </w:numPr>
      <w:spacing w:before="60" w:after="60"/>
      <w:contextualSpacing/>
    </w:pPr>
    <w:rPr>
      <w:szCs w:val="20"/>
    </w:rPr>
  </w:style>
  <w:style w:type="paragraph" w:styleId="ListBullet3">
    <w:name w:val="List Bullet 3"/>
    <w:basedOn w:val="Normal"/>
    <w:uiPriority w:val="1"/>
    <w:qFormat/>
    <w:rsid w:val="001E1748"/>
    <w:pPr>
      <w:numPr>
        <w:ilvl w:val="2"/>
        <w:numId w:val="19"/>
      </w:numPr>
      <w:spacing w:before="60" w:after="60" w:line="274" w:lineRule="auto"/>
      <w:contextualSpacing/>
    </w:pPr>
    <w:rPr>
      <w:szCs w:val="20"/>
    </w:rPr>
  </w:style>
  <w:style w:type="paragraph" w:styleId="ListNumber">
    <w:name w:val="List Number"/>
    <w:basedOn w:val="Normal"/>
    <w:uiPriority w:val="2"/>
    <w:qFormat/>
    <w:rsid w:val="00E6323D"/>
    <w:pPr>
      <w:numPr>
        <w:numId w:val="13"/>
      </w:numPr>
      <w:ind w:left="454" w:hanging="227"/>
      <w:contextualSpacing/>
    </w:pPr>
  </w:style>
  <w:style w:type="paragraph" w:styleId="ListParagraph">
    <w:name w:val="List Paragraph"/>
    <w:basedOn w:val="Normal"/>
    <w:uiPriority w:val="34"/>
    <w:semiHidden/>
    <w:rsid w:val="001E1748"/>
    <w:pPr>
      <w:ind w:left="720"/>
      <w:contextualSpacing/>
    </w:pPr>
  </w:style>
  <w:style w:type="paragraph" w:styleId="NoSpacing">
    <w:name w:val="No Spacing"/>
    <w:uiPriority w:val="2"/>
    <w:unhideWhenUsed/>
    <w:rsid w:val="001E1748"/>
    <w:pPr>
      <w:spacing w:after="0" w:line="240" w:lineRule="auto"/>
    </w:pPr>
  </w:style>
  <w:style w:type="paragraph" w:styleId="Quote">
    <w:name w:val="Quote"/>
    <w:basedOn w:val="Normal"/>
    <w:next w:val="Normal"/>
    <w:link w:val="QuoteChar"/>
    <w:uiPriority w:val="29"/>
    <w:rsid w:val="001E1748"/>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1E1748"/>
    <w:rPr>
      <w:iCs/>
      <w:color w:val="404040" w:themeColor="text1" w:themeTint="BF"/>
    </w:rPr>
  </w:style>
  <w:style w:type="paragraph" w:styleId="Subtitle">
    <w:name w:val="Subtitle"/>
    <w:basedOn w:val="Normal"/>
    <w:next w:val="Normal"/>
    <w:link w:val="SubtitleChar"/>
    <w:uiPriority w:val="11"/>
    <w:semiHidden/>
    <w:rsid w:val="001E174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CC514D"/>
    <w:rPr>
      <w:rFonts w:eastAsiaTheme="minorEastAsia"/>
      <w:color w:val="5A5A5A" w:themeColor="text1" w:themeTint="A5"/>
      <w:spacing w:val="15"/>
    </w:rPr>
  </w:style>
  <w:style w:type="character" w:styleId="SubtleEmphasis">
    <w:name w:val="Subtle Emphasis"/>
    <w:basedOn w:val="DefaultParagraphFont"/>
    <w:uiPriority w:val="19"/>
    <w:rsid w:val="001E1748"/>
    <w:rPr>
      <w:i/>
      <w:iCs/>
      <w:color w:val="404040" w:themeColor="text1" w:themeTint="BF"/>
    </w:rPr>
  </w:style>
  <w:style w:type="paragraph" w:styleId="Title">
    <w:name w:val="Title"/>
    <w:basedOn w:val="Normal"/>
    <w:next w:val="Normal"/>
    <w:link w:val="TitleChar"/>
    <w:uiPriority w:val="10"/>
    <w:semiHidden/>
    <w:rsid w:val="001E17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C514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C514D"/>
    <w:rPr>
      <w:rFonts w:asciiTheme="majorHAnsi" w:eastAsiaTheme="majorEastAsia" w:hAnsiTheme="majorHAnsi" w:cstheme="majorBidi"/>
      <w:i/>
      <w:iCs/>
      <w:color w:val="265A9A"/>
    </w:rPr>
  </w:style>
  <w:style w:type="paragraph" w:customStyle="1" w:styleId="PullQuote">
    <w:name w:val="Pull Quote"/>
    <w:basedOn w:val="BodyText"/>
    <w:next w:val="BodyText"/>
    <w:uiPriority w:val="30"/>
    <w:qFormat/>
    <w:rsid w:val="00A6285E"/>
    <w:pPr>
      <w:spacing w:before="120" w:line="280" w:lineRule="atLeast"/>
      <w:ind w:left="284" w:right="284"/>
    </w:pPr>
    <w:rPr>
      <w:rFonts w:ascii="Arial Black" w:hAnsi="Arial Black"/>
      <w:color w:val="265A9A"/>
      <w:sz w:val="24"/>
      <w:szCs w:val="20"/>
    </w:rPr>
  </w:style>
  <w:style w:type="paragraph" w:styleId="BodyText">
    <w:name w:val="Body Text"/>
    <w:basedOn w:val="Normal"/>
    <w:link w:val="BodyTextChar"/>
    <w:unhideWhenUsed/>
    <w:qFormat/>
    <w:rsid w:val="005E1CD4"/>
    <w:pPr>
      <w:spacing w:line="240" w:lineRule="exact"/>
    </w:pPr>
  </w:style>
  <w:style w:type="character" w:customStyle="1" w:styleId="BodyTextChar">
    <w:name w:val="Body Text Char"/>
    <w:basedOn w:val="DefaultParagraphFont"/>
    <w:link w:val="BodyText"/>
    <w:rsid w:val="005E1CD4"/>
    <w:rPr>
      <w:sz w:val="20"/>
    </w:rPr>
  </w:style>
  <w:style w:type="numbering" w:customStyle="1" w:styleId="Bullets">
    <w:name w:val="Bullets"/>
    <w:uiPriority w:val="99"/>
    <w:rsid w:val="009848AD"/>
    <w:pPr>
      <w:numPr>
        <w:numId w:val="15"/>
      </w:numPr>
    </w:pPr>
  </w:style>
  <w:style w:type="table" w:styleId="TableGrid">
    <w:name w:val="Table Grid"/>
    <w:basedOn w:val="TableNormal"/>
    <w:uiPriority w:val="39"/>
    <w:rsid w:val="0098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Spacing"/>
    <w:uiPriority w:val="4"/>
    <w:qFormat/>
    <w:rsid w:val="009848AD"/>
    <w:pPr>
      <w:spacing w:after="20" w:line="280" w:lineRule="atLeast"/>
      <w:ind w:left="57"/>
    </w:pPr>
    <w:rPr>
      <w:sz w:val="18"/>
      <w:szCs w:val="20"/>
    </w:rPr>
  </w:style>
  <w:style w:type="paragraph" w:customStyle="1" w:styleId="TableListBullet">
    <w:name w:val="Table List Bullet"/>
    <w:basedOn w:val="ListBullet"/>
    <w:uiPriority w:val="10"/>
    <w:qFormat/>
    <w:rsid w:val="009848AD"/>
    <w:pPr>
      <w:numPr>
        <w:numId w:val="2"/>
      </w:numPr>
      <w:spacing w:before="0" w:after="20"/>
    </w:pPr>
  </w:style>
  <w:style w:type="numbering" w:customStyle="1" w:styleId="Bullets1">
    <w:name w:val="Bullets1"/>
    <w:uiPriority w:val="99"/>
    <w:rsid w:val="009848AD"/>
  </w:style>
  <w:style w:type="paragraph" w:styleId="Revision">
    <w:name w:val="Revision"/>
    <w:hidden/>
    <w:uiPriority w:val="99"/>
    <w:semiHidden/>
    <w:rsid w:val="00ED57AE"/>
    <w:pPr>
      <w:spacing w:after="0" w:line="240" w:lineRule="auto"/>
    </w:pPr>
  </w:style>
  <w:style w:type="character" w:customStyle="1" w:styleId="ui-provider">
    <w:name w:val="ui-provider"/>
    <w:basedOn w:val="DefaultParagraphFont"/>
    <w:rsid w:val="00012F5F"/>
  </w:style>
  <w:style w:type="paragraph" w:styleId="FootnoteText">
    <w:name w:val="footnote text"/>
    <w:basedOn w:val="Normal"/>
    <w:link w:val="FootnoteTextChar"/>
    <w:uiPriority w:val="99"/>
    <w:rsid w:val="003E0A47"/>
    <w:pPr>
      <w:spacing w:before="60" w:after="60" w:line="293" w:lineRule="auto"/>
      <w:contextualSpacing/>
    </w:pPr>
    <w:rPr>
      <w:sz w:val="18"/>
      <w:szCs w:val="20"/>
    </w:rPr>
  </w:style>
  <w:style w:type="character" w:customStyle="1" w:styleId="FootnoteTextChar">
    <w:name w:val="Footnote Text Char"/>
    <w:basedOn w:val="DefaultParagraphFont"/>
    <w:link w:val="FootnoteText"/>
    <w:uiPriority w:val="99"/>
    <w:rsid w:val="003E0A47"/>
    <w:rPr>
      <w:sz w:val="18"/>
      <w:szCs w:val="20"/>
    </w:rPr>
  </w:style>
  <w:style w:type="character" w:styleId="FootnoteReference">
    <w:name w:val="footnote reference"/>
    <w:basedOn w:val="DefaultParagraphFont"/>
    <w:uiPriority w:val="99"/>
    <w:semiHidden/>
    <w:unhideWhenUsed/>
    <w:rsid w:val="003E0A47"/>
    <w:rPr>
      <w:vertAlign w:val="superscript"/>
    </w:rPr>
  </w:style>
  <w:style w:type="paragraph" w:styleId="ListNumber2">
    <w:name w:val="List Number 2"/>
    <w:basedOn w:val="Normal"/>
    <w:uiPriority w:val="13"/>
    <w:semiHidden/>
    <w:qFormat/>
    <w:rsid w:val="005A5E62"/>
    <w:pPr>
      <w:spacing w:before="60" w:line="280" w:lineRule="atLeast"/>
      <w:ind w:left="680" w:hanging="680"/>
      <w:contextualSpacing/>
    </w:pPr>
    <w:rPr>
      <w:szCs w:val="20"/>
    </w:rPr>
  </w:style>
  <w:style w:type="numbering" w:customStyle="1" w:styleId="Numbering">
    <w:name w:val="Numbering"/>
    <w:uiPriority w:val="99"/>
    <w:rsid w:val="005A5E62"/>
    <w:pPr>
      <w:numPr>
        <w:numId w:val="39"/>
      </w:numPr>
    </w:pPr>
  </w:style>
  <w:style w:type="paragraph" w:styleId="ListNumber3">
    <w:name w:val="List Number 3"/>
    <w:basedOn w:val="Normal"/>
    <w:uiPriority w:val="13"/>
    <w:semiHidden/>
    <w:qFormat/>
    <w:rsid w:val="005A5E62"/>
    <w:pPr>
      <w:spacing w:before="60" w:line="280" w:lineRule="atLeast"/>
      <w:ind w:left="907" w:hanging="907"/>
      <w:contextualSpacing/>
    </w:pPr>
    <w:rPr>
      <w:szCs w:val="20"/>
    </w:rPr>
  </w:style>
  <w:style w:type="paragraph" w:styleId="ListNumber4">
    <w:name w:val="List Number 4"/>
    <w:basedOn w:val="Normal"/>
    <w:uiPriority w:val="13"/>
    <w:semiHidden/>
    <w:qFormat/>
    <w:rsid w:val="005A5E62"/>
    <w:pPr>
      <w:spacing w:before="120" w:after="200" w:line="293" w:lineRule="auto"/>
      <w:ind w:left="1134" w:hanging="1134"/>
      <w:contextualSpacing/>
    </w:pPr>
    <w:rPr>
      <w:szCs w:val="20"/>
    </w:rPr>
  </w:style>
  <w:style w:type="paragraph" w:styleId="ListNumber5">
    <w:name w:val="List Number 5"/>
    <w:basedOn w:val="Normal"/>
    <w:uiPriority w:val="13"/>
    <w:semiHidden/>
    <w:rsid w:val="005A5E62"/>
    <w:pPr>
      <w:spacing w:before="120" w:after="200" w:line="293" w:lineRule="auto"/>
      <w:ind w:left="1361" w:hanging="1361"/>
      <w:contextualSpacing/>
    </w:pPr>
    <w:rPr>
      <w:szCs w:val="20"/>
    </w:rPr>
  </w:style>
  <w:style w:type="character" w:styleId="CommentReference">
    <w:name w:val="annotation reference"/>
    <w:basedOn w:val="DefaultParagraphFont"/>
    <w:uiPriority w:val="99"/>
    <w:semiHidden/>
    <w:unhideWhenUsed/>
    <w:rsid w:val="0045450F"/>
    <w:rPr>
      <w:sz w:val="16"/>
      <w:szCs w:val="16"/>
    </w:rPr>
  </w:style>
  <w:style w:type="paragraph" w:styleId="CommentText">
    <w:name w:val="annotation text"/>
    <w:basedOn w:val="Normal"/>
    <w:link w:val="CommentTextChar"/>
    <w:uiPriority w:val="99"/>
    <w:unhideWhenUsed/>
    <w:rsid w:val="0045450F"/>
    <w:pPr>
      <w:spacing w:line="240" w:lineRule="auto"/>
    </w:pPr>
    <w:rPr>
      <w:szCs w:val="20"/>
    </w:rPr>
  </w:style>
  <w:style w:type="character" w:customStyle="1" w:styleId="CommentTextChar">
    <w:name w:val="Comment Text Char"/>
    <w:basedOn w:val="DefaultParagraphFont"/>
    <w:link w:val="CommentText"/>
    <w:uiPriority w:val="99"/>
    <w:rsid w:val="0045450F"/>
    <w:rPr>
      <w:sz w:val="20"/>
      <w:szCs w:val="20"/>
    </w:rPr>
  </w:style>
  <w:style w:type="paragraph" w:styleId="CommentSubject">
    <w:name w:val="annotation subject"/>
    <w:basedOn w:val="CommentText"/>
    <w:next w:val="CommentText"/>
    <w:link w:val="CommentSubjectChar"/>
    <w:uiPriority w:val="99"/>
    <w:semiHidden/>
    <w:unhideWhenUsed/>
    <w:rsid w:val="0045450F"/>
    <w:rPr>
      <w:b/>
      <w:bCs/>
    </w:rPr>
  </w:style>
  <w:style w:type="character" w:customStyle="1" w:styleId="CommentSubjectChar">
    <w:name w:val="Comment Subject Char"/>
    <w:basedOn w:val="CommentTextChar"/>
    <w:link w:val="CommentSubject"/>
    <w:uiPriority w:val="99"/>
    <w:semiHidden/>
    <w:rsid w:val="004545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templateName":"Fact sheet","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8" ma:contentTypeDescription="Create a new document." ma:contentTypeScope="" ma:versionID="ae79436fdbe6c49ee2cb8aadcce0c88a">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30e8318bbbe8124869152e34116709fc"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1EFDB-C4E3-4BD1-B6FD-1F3EF20E8211}">
  <ds:schemaRefs/>
</ds:datastoreItem>
</file>

<file path=customXml/itemProps2.xml><?xml version="1.0" encoding="utf-8"?>
<ds:datastoreItem xmlns:ds="http://schemas.openxmlformats.org/officeDocument/2006/customXml" ds:itemID="{52EDF02A-B8FF-46BF-BAF0-A1E8BE8BF93E}">
  <ds:schemaRefs/>
</ds:datastoreItem>
</file>

<file path=customXml/itemProps3.xml><?xml version="1.0" encoding="utf-8"?>
<ds:datastoreItem xmlns:ds="http://schemas.openxmlformats.org/officeDocument/2006/customXml" ds:itemID="{DC554729-F6F0-4661-AFD5-3661E6ED54BC}">
  <ds:schemaRef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ab9bf696-b976-42ed-b50a-48004ee2daad"/>
    <ds:schemaRef ds:uri="4999a062-bf25-4e1b-bf40-d0ceaadde115"/>
    <ds:schemaRef ds:uri="http://schemas.microsoft.com/office/2006/metadata/properties"/>
  </ds:schemaRefs>
</ds:datastoreItem>
</file>

<file path=customXml/itemProps4.xml><?xml version="1.0" encoding="utf-8"?>
<ds:datastoreItem xmlns:ds="http://schemas.openxmlformats.org/officeDocument/2006/customXml" ds:itemID="{20B3E627-A57D-4163-8000-438A42F38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4AA20-C3B3-462C-921E-D0610CDA2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PC-report-template</Template>
  <TotalTime>152</TotalTime>
  <Pages>2</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Fact sheet 8: Tertiary education - Advancing Prosperity</vt:lpstr>
    </vt:vector>
  </TitlesOfParts>
  <Company>Productivity Commission</Company>
  <LinksUpToDate>false</LinksUpToDate>
  <CharactersWithSpaces>6907</CharactersWithSpaces>
  <SharedDoc>false</SharedDoc>
  <HLinks>
    <vt:vector size="6" baseType="variant">
      <vt:variant>
        <vt:i4>7602218</vt:i4>
      </vt:variant>
      <vt:variant>
        <vt:i4>0</vt:i4>
      </vt:variant>
      <vt:variant>
        <vt:i4>0</vt:i4>
      </vt:variant>
      <vt:variant>
        <vt:i4>5</vt:i4>
      </vt:variant>
      <vt:variant>
        <vt:lpwstr>https://www.pc.gov.au/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8: Tertiary education - Advancing Prosperity</dc:title>
  <dc:subject/>
  <dc:creator>Productivity Commission</dc:creator>
  <cp:keywords/>
  <cp:lastModifiedBy>Chris Alston</cp:lastModifiedBy>
  <cp:revision>81</cp:revision>
  <dcterms:created xsi:type="dcterms:W3CDTF">2023-03-15T18:31:00Z</dcterms:created>
  <dcterms:modified xsi:type="dcterms:W3CDTF">2023-03-16T08:51:00Z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637346222824850435</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MediaServiceImageTags">
    <vt:lpwstr/>
  </property>
  <property fmtid="{D5CDD505-2E9C-101B-9397-08002B2CF9AE}" pid="8" name="RevIMBCS">
    <vt:lpwstr>1;#Unclassified|3955eeb1-2d18-4582-aeb2-00144ec3aaf5</vt:lpwstr>
  </property>
</Properties>
</file>