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594885E8" w14:textId="2187622F" w:rsidR="004F7BE2" w:rsidRPr="00461CE9" w:rsidRDefault="004F7BE2" w:rsidP="004F7BE2">
          <w:pPr>
            <w:pStyle w:val="BodyText"/>
            <w:spacing w:after="0"/>
          </w:pPr>
        </w:p>
        <w:p w14:paraId="0FA1E657" w14:textId="66AC6927" w:rsidR="00C52B01" w:rsidRPr="00DC5DFF" w:rsidRDefault="0069390C" w:rsidP="00C52B01">
          <w:pPr>
            <w:pStyle w:val="Coverdate"/>
            <w:framePr w:wrap="around"/>
          </w:pPr>
          <w:r>
            <w:t>Report No. 100</w:t>
          </w:r>
          <w:r w:rsidR="003D5B72">
            <w:t xml:space="preserve"> </w:t>
          </w:r>
          <w:r w:rsidR="00C52B01">
            <w:t xml:space="preserve">– </w:t>
          </w:r>
          <w:r w:rsidR="00B34EC0">
            <w:t xml:space="preserve">7 </w:t>
          </w:r>
          <w:r>
            <w:t>February</w:t>
          </w:r>
          <w:r w:rsidR="00C52B01">
            <w:t xml:space="preserve"> 202</w:t>
          </w:r>
          <w:r>
            <w:t>3</w:t>
          </w:r>
        </w:p>
        <w:p w14:paraId="6C8BA314" w14:textId="0244D939" w:rsidR="004F7BE2" w:rsidRDefault="00C52B01" w:rsidP="004F7BE2">
          <w:pPr>
            <w:pStyle w:val="CoverImage"/>
            <w:framePr w:h="10036" w:hRule="exact" w:wrap="around" w:y="6805" w:anchorLock="0"/>
          </w:pPr>
          <w:r>
            <w:rPr>
              <w:noProof/>
            </w:rPr>
            <w:drawing>
              <wp:inline distT="0" distB="0" distL="0" distR="0" wp14:anchorId="264E0DF1" wp14:editId="551DEA8F">
                <wp:extent cx="7572054" cy="6379325"/>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583621" cy="6389070"/>
                        </a:xfrm>
                        <a:prstGeom prst="rect">
                          <a:avLst/>
                        </a:prstGeom>
                      </pic:spPr>
                    </pic:pic>
                  </a:graphicData>
                </a:graphic>
              </wp:inline>
            </w:drawing>
          </w:r>
        </w:p>
        <w:p w14:paraId="43FC1B6B" w14:textId="5EFAE0BB" w:rsidR="004F7BE2" w:rsidRPr="008970C2" w:rsidRDefault="00D9260E" w:rsidP="00C52B01">
          <w:pPr>
            <w:pStyle w:val="Title"/>
            <w:spacing w:before="120"/>
            <w:ind w:right="1841"/>
            <w:rPr>
              <w:color w:val="auto"/>
            </w:rPr>
          </w:pPr>
          <w:r>
            <w:rPr>
              <w:color w:val="auto"/>
            </w:rPr>
            <w:t>5-year Productivity Inquiry: Innovation for the 98%</w:t>
          </w:r>
        </w:p>
        <w:p w14:paraId="39B4BA1A" w14:textId="7ABFA8FC" w:rsidR="004F7BE2" w:rsidRPr="004F7BE2" w:rsidRDefault="00C55B16" w:rsidP="004F7BE2">
          <w:pPr>
            <w:pStyle w:val="Subtitle"/>
            <w:rPr>
              <w:color w:val="auto"/>
            </w:rPr>
          </w:pPr>
          <w:r w:rsidRPr="006C103F">
            <w:rPr>
              <w:color w:val="auto"/>
            </w:rPr>
            <w:t>Inquiry report –</w:t>
          </w:r>
          <w:r w:rsidRPr="006C103F">
            <w:rPr>
              <w:i/>
              <w:iCs/>
              <w:color w:val="auto"/>
            </w:rPr>
            <w:t xml:space="preserve"> vol</w:t>
          </w:r>
          <w:r w:rsidR="006C103F" w:rsidRPr="006C103F">
            <w:rPr>
              <w:i/>
              <w:iCs/>
              <w:color w:val="auto"/>
            </w:rPr>
            <w:t>ume</w:t>
          </w:r>
          <w:r w:rsidRPr="006C103F">
            <w:rPr>
              <w:i/>
              <w:iCs/>
              <w:color w:val="auto"/>
            </w:rPr>
            <w:t xml:space="preserve"> 5</w:t>
          </w:r>
        </w:p>
        <w:p w14:paraId="6554564D" w14:textId="77777777" w:rsidR="004F7BE2" w:rsidRDefault="004F7BE2" w:rsidP="004F7BE2">
          <w:pPr>
            <w:spacing w:after="160" w:line="259" w:lineRule="auto"/>
          </w:pPr>
        </w:p>
        <w:p w14:paraId="6F7FC686" w14:textId="77777777" w:rsidR="004F7BE2" w:rsidRDefault="004F7BE2" w:rsidP="004F7BE2">
          <w:pPr>
            <w:spacing w:after="160" w:line="259" w:lineRule="auto"/>
            <w:sectPr w:rsidR="004F7BE2">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18A731EA" w14:textId="77777777" w:rsidTr="00ED06E2">
            <w:trPr>
              <w:trHeight w:hRule="exact" w:val="12813"/>
            </w:trPr>
            <w:tc>
              <w:tcPr>
                <w:tcW w:w="9638" w:type="dxa"/>
                <w:tcMar>
                  <w:top w:w="113" w:type="dxa"/>
                </w:tcMar>
              </w:tcPr>
              <w:p w14:paraId="13EFFADE" w14:textId="77777777" w:rsidR="004F7BE2" w:rsidRPr="000F4488" w:rsidRDefault="004F7B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877D79C" w14:textId="77777777" w:rsidR="004F7BE2" w:rsidRPr="00F37CB6" w:rsidRDefault="004F7BE2">
                <w:pPr>
                  <w:pStyle w:val="Copyrightpage-Keylinenotext"/>
                  <w:ind w:right="-284"/>
                </w:pPr>
              </w:p>
              <w:p w14:paraId="28976805" w14:textId="77777777" w:rsidR="004F7BE2" w:rsidRPr="00D96F65" w:rsidRDefault="004F7BE2">
                <w:pPr>
                  <w:pStyle w:val="Copyrightpage-Heading"/>
                  <w:ind w:right="-284"/>
                </w:pPr>
                <w:r w:rsidRPr="00D96F65">
                  <w:t>The Productivity Commission</w:t>
                </w:r>
              </w:p>
              <w:p w14:paraId="537E5478" w14:textId="77777777" w:rsidR="004F7BE2" w:rsidRPr="00607974" w:rsidRDefault="004F7BE2">
                <w:pPr>
                  <w:pStyle w:val="Copyrightpage-BodyBold"/>
                  <w:rPr>
                    <w:spacing w:val="-4"/>
                  </w:rPr>
                </w:pPr>
                <w:r w:rsidRPr="00607974">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07B5277" w14:textId="77777777" w:rsidR="004F7BE2" w:rsidRPr="000F4488" w:rsidRDefault="004F7BE2">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06177507" w14:textId="77777777" w:rsidR="004F7BE2" w:rsidRPr="000F4488" w:rsidRDefault="004F7BE2">
                <w:pPr>
                  <w:pStyle w:val="Copyrightpage-BodyBold"/>
                </w:pPr>
                <w:r w:rsidRPr="000561CF">
                  <w:t>Further information on the Productivity Commission can be obtained from the Commission’s website (www.pc.gov.au).</w:t>
                </w:r>
              </w:p>
              <w:p w14:paraId="4CF14032" w14:textId="77777777" w:rsidR="004F7BE2" w:rsidRPr="000F4488" w:rsidRDefault="004F7BE2">
                <w:pPr>
                  <w:pStyle w:val="Copyrightpage-Keylinenotext"/>
                  <w:ind w:right="-284"/>
                  <w:rPr>
                    <w:b/>
                    <w:bCs/>
                  </w:rPr>
                </w:pPr>
              </w:p>
              <w:p w14:paraId="5E388FE9" w14:textId="6CA56FFA" w:rsidR="004F7BE2" w:rsidRPr="000561CF" w:rsidRDefault="004F7BE2">
                <w:pPr>
                  <w:pStyle w:val="Copyrightpage-BodyBold"/>
                </w:pPr>
                <w:r w:rsidRPr="00E72EE0">
                  <w:t>©</w:t>
                </w:r>
                <w:r w:rsidRPr="00137FAB">
                  <w:t xml:space="preserve"> Commonwealth of Australia 202</w:t>
                </w:r>
                <w:r w:rsidR="00BD1098">
                  <w:t>3</w:t>
                </w:r>
              </w:p>
              <w:p w14:paraId="3AF5BE01" w14:textId="77777777" w:rsidR="004F7BE2" w:rsidRPr="00E72EE0" w:rsidRDefault="004F7BE2">
                <w:pPr>
                  <w:pStyle w:val="Copyrightpage-Heading2"/>
                  <w:spacing w:before="0"/>
                  <w:ind w:right="-284"/>
                  <w:rPr>
                    <w:bCs/>
                  </w:rPr>
                </w:pPr>
                <w:r w:rsidRPr="00E72EE0">
                  <w:rPr>
                    <w:bCs/>
                    <w:noProof/>
                  </w:rPr>
                  <w:drawing>
                    <wp:inline distT="0" distB="0" distL="0" distR="0" wp14:anchorId="3BEA840F" wp14:editId="2ED9007A">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0086F679" w14:textId="77777777" w:rsidR="004F7BE2" w:rsidRPr="000F4488" w:rsidRDefault="004F7BE2">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54AA25B8" w14:textId="73D9020F" w:rsidR="004F7BE2" w:rsidRPr="000F4488" w:rsidRDefault="004F7BE2">
                <w:pPr>
                  <w:pStyle w:val="Copyrightpage-BodyBold"/>
                </w:pPr>
                <w:r w:rsidRPr="000561CF">
                  <w:t>The terms under which the Coat of Arms can be used are detailed at: www.pmc.gov.au/government/commonwealth</w:t>
                </w:r>
                <w:r w:rsidR="000565F7">
                  <w:noBreakHyphen/>
                </w:r>
                <w:r w:rsidRPr="000561CF">
                  <w:t>coat</w:t>
                </w:r>
                <w:r w:rsidR="000565F7">
                  <w:noBreakHyphen/>
                </w:r>
                <w:r w:rsidRPr="000561CF">
                  <w:t>arms.</w:t>
                </w:r>
              </w:p>
              <w:p w14:paraId="1E75F2AB" w14:textId="77777777" w:rsidR="004F7BE2"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51D88050" w14:textId="03580660" w:rsidR="0037269E" w:rsidRPr="00AC587D" w:rsidRDefault="0037269E" w:rsidP="0037269E">
                <w:pPr>
                  <w:pStyle w:val="Copyrightpage-BodyBold"/>
                </w:pPr>
                <w:r w:rsidRPr="000561CF">
                  <w:t xml:space="preserve">ISSN </w:t>
                </w:r>
                <w:r w:rsidRPr="002963AB">
                  <w:t>1447-1337</w:t>
                </w:r>
                <w:r>
                  <w:t xml:space="preserve"> (online)</w:t>
                </w:r>
                <w:r>
                  <w:br/>
                </w:r>
                <w:r w:rsidRPr="000561CF">
                  <w:t xml:space="preserve">ISSN </w:t>
                </w:r>
                <w:r w:rsidRPr="004963DA">
                  <w:t>1447-1329</w:t>
                </w:r>
                <w:r>
                  <w:t xml:space="preserve"> (print)</w:t>
                </w:r>
                <w:r>
                  <w:br/>
                </w:r>
                <w:r w:rsidRPr="00E72EE0">
                  <w:t xml:space="preserve">ISBN </w:t>
                </w:r>
                <w:r w:rsidRPr="00E17D78">
                  <w:t>978-1-74037-759-1</w:t>
                </w:r>
                <w:r w:rsidRPr="00E72EE0">
                  <w:t xml:space="preserve"> (</w:t>
                </w:r>
                <w:r>
                  <w:t>set</w:t>
                </w:r>
                <w:r w:rsidRPr="00E72EE0">
                  <w:t>)</w:t>
                </w:r>
                <w:r>
                  <w:br/>
                </w:r>
                <w:r w:rsidRPr="00137FAB">
                  <w:t xml:space="preserve">ISBN </w:t>
                </w:r>
                <w:r w:rsidR="008C29DC" w:rsidRPr="008C29DC">
                  <w:t>978-1-74037-764-5</w:t>
                </w:r>
                <w:r w:rsidRPr="00137FAB">
                  <w:t xml:space="preserve"> (</w:t>
                </w:r>
                <w:r>
                  <w:t>volume 5</w:t>
                </w:r>
                <w:r w:rsidRPr="00137FAB">
                  <w:t>)</w:t>
                </w:r>
              </w:p>
              <w:p w14:paraId="2DEB3B80" w14:textId="5D8337F2" w:rsidR="004F7BE2" w:rsidRPr="00BD1098" w:rsidRDefault="004F7BE2">
                <w:pPr>
                  <w:pStyle w:val="Copyrightpage-BodyBold"/>
                  <w:rPr>
                    <w:spacing w:val="-2"/>
                  </w:rPr>
                </w:pPr>
                <w:r w:rsidRPr="00BD1098">
                  <w:rPr>
                    <w:spacing w:val="-2"/>
                  </w:rPr>
                  <w:t>An appropriate reference for this publication is:</w:t>
                </w:r>
                <w:r w:rsidRPr="00BD1098">
                  <w:rPr>
                    <w:spacing w:val="-2"/>
                  </w:rPr>
                  <w:br/>
                  <w:t>Productivity Commission</w:t>
                </w:r>
                <w:r w:rsidR="00BD1098" w:rsidRPr="00BD1098">
                  <w:rPr>
                    <w:spacing w:val="-2"/>
                  </w:rPr>
                  <w:t xml:space="preserve"> 2023,</w:t>
                </w:r>
                <w:r w:rsidRPr="00BD1098">
                  <w:rPr>
                    <w:spacing w:val="-2"/>
                  </w:rPr>
                  <w:t xml:space="preserve"> </w:t>
                </w:r>
                <w:r w:rsidR="00C52B01" w:rsidRPr="00BD1098">
                  <w:rPr>
                    <w:i/>
                    <w:iCs/>
                    <w:spacing w:val="-2"/>
                  </w:rPr>
                  <w:t>5</w:t>
                </w:r>
                <w:r w:rsidR="000565F7" w:rsidRPr="00BD1098">
                  <w:rPr>
                    <w:i/>
                    <w:iCs/>
                    <w:spacing w:val="-2"/>
                  </w:rPr>
                  <w:noBreakHyphen/>
                </w:r>
                <w:r w:rsidR="00C52B01" w:rsidRPr="00BD1098">
                  <w:rPr>
                    <w:i/>
                    <w:iCs/>
                    <w:spacing w:val="-2"/>
                  </w:rPr>
                  <w:t xml:space="preserve">year Productivity </w:t>
                </w:r>
                <w:r w:rsidR="00203ECB" w:rsidRPr="00BD1098">
                  <w:rPr>
                    <w:i/>
                    <w:iCs/>
                    <w:spacing w:val="-2"/>
                  </w:rPr>
                  <w:t>Inquiry</w:t>
                </w:r>
                <w:r w:rsidR="00C52B01" w:rsidRPr="00BD1098">
                  <w:rPr>
                    <w:i/>
                    <w:iCs/>
                    <w:spacing w:val="-2"/>
                  </w:rPr>
                  <w:t xml:space="preserve">: </w:t>
                </w:r>
                <w:r w:rsidR="0092694E" w:rsidRPr="00BD1098">
                  <w:rPr>
                    <w:i/>
                    <w:iCs/>
                    <w:spacing w:val="-2"/>
                  </w:rPr>
                  <w:t xml:space="preserve">Innovation for the </w:t>
                </w:r>
                <w:r w:rsidR="00FC75AC" w:rsidRPr="00BD1098">
                  <w:rPr>
                    <w:i/>
                    <w:iCs/>
                    <w:spacing w:val="-2"/>
                  </w:rPr>
                  <w:t>98%</w:t>
                </w:r>
                <w:r w:rsidR="00C52B01" w:rsidRPr="00BD1098">
                  <w:rPr>
                    <w:i/>
                    <w:spacing w:val="-2"/>
                  </w:rPr>
                  <w:t>,</w:t>
                </w:r>
                <w:r w:rsidR="00C52B01" w:rsidRPr="00BD1098">
                  <w:rPr>
                    <w:spacing w:val="-2"/>
                  </w:rPr>
                  <w:t xml:space="preserve"> </w:t>
                </w:r>
                <w:r w:rsidR="006C103F" w:rsidRPr="00BD1098">
                  <w:rPr>
                    <w:spacing w:val="-2"/>
                  </w:rPr>
                  <w:t>Vol.</w:t>
                </w:r>
                <w:r w:rsidR="00E21A2C" w:rsidRPr="00BD1098">
                  <w:rPr>
                    <w:spacing w:val="-2"/>
                  </w:rPr>
                  <w:t> </w:t>
                </w:r>
                <w:r w:rsidR="006C103F" w:rsidRPr="00BD1098">
                  <w:rPr>
                    <w:spacing w:val="-2"/>
                  </w:rPr>
                  <w:t>5</w:t>
                </w:r>
                <w:r w:rsidR="00E21A2C" w:rsidRPr="00BD1098">
                  <w:rPr>
                    <w:spacing w:val="-2"/>
                  </w:rPr>
                  <w:t xml:space="preserve">, </w:t>
                </w:r>
                <w:r w:rsidR="00C52B01" w:rsidRPr="00BD1098">
                  <w:rPr>
                    <w:spacing w:val="-2"/>
                  </w:rPr>
                  <w:t>Inquiry Report</w:t>
                </w:r>
                <w:r w:rsidR="007050F3" w:rsidRPr="00BD1098">
                  <w:rPr>
                    <w:spacing w:val="-2"/>
                  </w:rPr>
                  <w:t xml:space="preserve"> </w:t>
                </w:r>
                <w:r w:rsidR="00B34EC0">
                  <w:rPr>
                    <w:spacing w:val="-2"/>
                  </w:rPr>
                  <w:t>n</w:t>
                </w:r>
                <w:r w:rsidR="007050F3" w:rsidRPr="00BD1098">
                  <w:rPr>
                    <w:spacing w:val="-2"/>
                  </w:rPr>
                  <w:t>o. 100</w:t>
                </w:r>
                <w:r w:rsidR="00C52B01" w:rsidRPr="00BD1098">
                  <w:rPr>
                    <w:spacing w:val="-2"/>
                  </w:rPr>
                  <w:t>, Canberra</w:t>
                </w:r>
              </w:p>
              <w:p w14:paraId="34566BE0" w14:textId="1937212E" w:rsidR="004F7BE2" w:rsidRDefault="004F7BE2">
                <w:pPr>
                  <w:pStyle w:val="Copyrightpage-BodyBold"/>
                  <w:ind w:right="-284"/>
                </w:pPr>
              </w:p>
              <w:p w14:paraId="72754A10" w14:textId="77777777" w:rsidR="004F7BE2" w:rsidRDefault="004F7BE2">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8F2A7F0" w14:textId="194BED01" w:rsidR="004F7BE2" w:rsidRPr="00DC5A11" w:rsidRDefault="004F7BE2" w:rsidP="00DC5A11">
          <w:pPr>
            <w:spacing w:before="0" w:after="160" w:line="259" w:lineRule="auto"/>
            <w:rPr>
              <w:b/>
              <w:color w:val="FFFFFF" w:themeColor="background1"/>
            </w:rPr>
          </w:pPr>
          <w:r>
            <w:rPr>
              <w:rStyle w:val="White"/>
              <w:b/>
            </w:rPr>
            <w:t xml:space="preserve"> </w:t>
          </w:r>
        </w:p>
      </w:sdtContent>
    </w:sdt>
    <w:p w14:paraId="40218BD6" w14:textId="77777777" w:rsidR="004F7BE2" w:rsidRDefault="004F7BE2" w:rsidP="00500CEF">
      <w:pPr>
        <w:spacing w:before="0" w:after="0"/>
        <w:sectPr w:rsidR="004F7BE2" w:rsidSect="004544D6">
          <w:headerReference w:type="even" r:id="rId20"/>
          <w:headerReference w:type="default" r:id="rId21"/>
          <w:pgSz w:w="11906" w:h="16838" w:code="9"/>
          <w:pgMar w:top="1134" w:right="1134" w:bottom="1134" w:left="1134" w:header="794" w:footer="510" w:gutter="0"/>
          <w:pgNumType w:fmt="lowerRoman" w:start="2"/>
          <w:cols w:space="708"/>
          <w:docGrid w:linePitch="360"/>
        </w:sectPr>
      </w:pPr>
    </w:p>
    <w:p w14:paraId="61FE6EED" w14:textId="714EC60F" w:rsidR="00B43AF4" w:rsidRPr="00B43AF4" w:rsidRDefault="00B43AF4" w:rsidP="00ED6125">
      <w:pPr>
        <w:pStyle w:val="Heading1-nobackground"/>
      </w:pPr>
      <w:bookmarkStart w:id="0" w:name="_Toc113628754"/>
      <w:bookmarkStart w:id="1" w:name="_Toc126044225"/>
      <w:bookmarkStart w:id="2" w:name="_Toc126047108"/>
      <w:bookmarkStart w:id="3" w:name="_Toc126142375"/>
      <w:bookmarkStart w:id="4" w:name="_Toc126145981"/>
      <w:bookmarkStart w:id="5" w:name="_Toc126304775"/>
      <w:r w:rsidRPr="00B43AF4">
        <w:lastRenderedPageBreak/>
        <w:t>Contents</w:t>
      </w:r>
      <w:bookmarkEnd w:id="0"/>
      <w:bookmarkEnd w:id="1"/>
      <w:bookmarkEnd w:id="2"/>
      <w:bookmarkEnd w:id="3"/>
      <w:bookmarkEnd w:id="4"/>
      <w:bookmarkEnd w:id="5"/>
    </w:p>
    <w:p w14:paraId="6F5558BC" w14:textId="2B2769DF" w:rsidR="00566604" w:rsidRDefault="00566604">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Preface</w:t>
      </w:r>
      <w:r>
        <w:rPr>
          <w:noProof/>
          <w:webHidden/>
        </w:rPr>
        <w:tab/>
      </w:r>
      <w:r>
        <w:rPr>
          <w:noProof/>
          <w:webHidden/>
        </w:rPr>
        <w:fldChar w:fldCharType="begin"/>
      </w:r>
      <w:r>
        <w:rPr>
          <w:noProof/>
          <w:webHidden/>
        </w:rPr>
        <w:instrText xml:space="preserve"> PAGEREF _Toc126304776 \h </w:instrText>
      </w:r>
      <w:r>
        <w:rPr>
          <w:noProof/>
          <w:webHidden/>
        </w:rPr>
      </w:r>
      <w:r>
        <w:rPr>
          <w:noProof/>
          <w:webHidden/>
        </w:rPr>
        <w:fldChar w:fldCharType="separate"/>
      </w:r>
      <w:r w:rsidR="00974413">
        <w:rPr>
          <w:noProof/>
          <w:webHidden/>
        </w:rPr>
        <w:t>iv</w:t>
      </w:r>
      <w:r>
        <w:rPr>
          <w:noProof/>
          <w:webHidden/>
        </w:rPr>
        <w:fldChar w:fldCharType="end"/>
      </w:r>
    </w:p>
    <w:p w14:paraId="383A063B" w14:textId="292BF1A6" w:rsidR="00566604" w:rsidRDefault="00566604">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The case for strengthening the diffusion of innovation</w:t>
      </w:r>
      <w:r>
        <w:rPr>
          <w:noProof/>
          <w:webHidden/>
        </w:rPr>
        <w:tab/>
      </w:r>
      <w:r>
        <w:rPr>
          <w:noProof/>
          <w:webHidden/>
        </w:rPr>
        <w:fldChar w:fldCharType="begin"/>
      </w:r>
      <w:r>
        <w:rPr>
          <w:noProof/>
          <w:webHidden/>
        </w:rPr>
        <w:instrText xml:space="preserve"> PAGEREF _Toc126304777 \h </w:instrText>
      </w:r>
      <w:r>
        <w:rPr>
          <w:noProof/>
          <w:webHidden/>
        </w:rPr>
      </w:r>
      <w:r>
        <w:rPr>
          <w:noProof/>
          <w:webHidden/>
        </w:rPr>
        <w:fldChar w:fldCharType="separate"/>
      </w:r>
      <w:r w:rsidR="00974413">
        <w:rPr>
          <w:noProof/>
          <w:webHidden/>
        </w:rPr>
        <w:t>1</w:t>
      </w:r>
      <w:r>
        <w:rPr>
          <w:noProof/>
          <w:webHidden/>
        </w:rPr>
        <w:fldChar w:fldCharType="end"/>
      </w:r>
    </w:p>
    <w:p w14:paraId="250DC87F" w14:textId="1F9A641F" w:rsidR="00566604" w:rsidRDefault="00566604">
      <w:pPr>
        <w:pStyle w:val="TOC2"/>
        <w:rPr>
          <w:rFonts w:eastAsiaTheme="minorEastAsia"/>
          <w:sz w:val="22"/>
          <w:szCs w:val="22"/>
          <w:lang w:eastAsia="en-AU"/>
        </w:rPr>
      </w:pPr>
      <w:r>
        <w:t>1.1</w:t>
      </w:r>
      <w:r>
        <w:rPr>
          <w:rFonts w:eastAsiaTheme="minorEastAsia"/>
          <w:sz w:val="22"/>
          <w:szCs w:val="22"/>
          <w:lang w:eastAsia="en-AU"/>
        </w:rPr>
        <w:tab/>
      </w:r>
      <w:r>
        <w:t>A focus on diffusion</w:t>
      </w:r>
      <w:r>
        <w:rPr>
          <w:webHidden/>
        </w:rPr>
        <w:tab/>
      </w:r>
      <w:r>
        <w:rPr>
          <w:webHidden/>
        </w:rPr>
        <w:fldChar w:fldCharType="begin"/>
      </w:r>
      <w:r>
        <w:rPr>
          <w:webHidden/>
        </w:rPr>
        <w:instrText xml:space="preserve"> PAGEREF _Toc126304778 \h </w:instrText>
      </w:r>
      <w:r>
        <w:rPr>
          <w:webHidden/>
        </w:rPr>
      </w:r>
      <w:r>
        <w:rPr>
          <w:webHidden/>
        </w:rPr>
        <w:fldChar w:fldCharType="separate"/>
      </w:r>
      <w:r w:rsidR="00974413">
        <w:rPr>
          <w:webHidden/>
        </w:rPr>
        <w:t>1</w:t>
      </w:r>
      <w:r>
        <w:rPr>
          <w:webHidden/>
        </w:rPr>
        <w:fldChar w:fldCharType="end"/>
      </w:r>
    </w:p>
    <w:p w14:paraId="1CD1796B" w14:textId="705B293D" w:rsidR="00566604" w:rsidRDefault="00566604">
      <w:pPr>
        <w:pStyle w:val="TOC2"/>
        <w:rPr>
          <w:rFonts w:eastAsiaTheme="minorEastAsia"/>
          <w:sz w:val="22"/>
          <w:szCs w:val="22"/>
          <w:lang w:eastAsia="en-AU"/>
        </w:rPr>
      </w:pPr>
      <w:r>
        <w:t>1.2</w:t>
      </w:r>
      <w:r>
        <w:rPr>
          <w:rFonts w:eastAsiaTheme="minorEastAsia"/>
          <w:sz w:val="22"/>
          <w:szCs w:val="22"/>
          <w:lang w:eastAsia="en-AU"/>
        </w:rPr>
        <w:tab/>
      </w:r>
      <w:r>
        <w:t>Innovation and diffusion in Australia</w:t>
      </w:r>
      <w:r>
        <w:rPr>
          <w:webHidden/>
        </w:rPr>
        <w:tab/>
      </w:r>
      <w:r>
        <w:rPr>
          <w:webHidden/>
        </w:rPr>
        <w:fldChar w:fldCharType="begin"/>
      </w:r>
      <w:r>
        <w:rPr>
          <w:webHidden/>
        </w:rPr>
        <w:instrText xml:space="preserve"> PAGEREF _Toc126304779 \h </w:instrText>
      </w:r>
      <w:r>
        <w:rPr>
          <w:webHidden/>
        </w:rPr>
      </w:r>
      <w:r>
        <w:rPr>
          <w:webHidden/>
        </w:rPr>
        <w:fldChar w:fldCharType="separate"/>
      </w:r>
      <w:r w:rsidR="00974413">
        <w:rPr>
          <w:webHidden/>
        </w:rPr>
        <w:t>6</w:t>
      </w:r>
      <w:r>
        <w:rPr>
          <w:webHidden/>
        </w:rPr>
        <w:fldChar w:fldCharType="end"/>
      </w:r>
    </w:p>
    <w:p w14:paraId="2B2BCA13" w14:textId="52E3C548" w:rsidR="00566604" w:rsidRDefault="00566604">
      <w:pPr>
        <w:pStyle w:val="TOC2"/>
        <w:rPr>
          <w:rFonts w:eastAsiaTheme="minorEastAsia"/>
          <w:sz w:val="22"/>
          <w:szCs w:val="22"/>
          <w:lang w:eastAsia="en-AU"/>
        </w:rPr>
      </w:pPr>
      <w:r>
        <w:t>1.3</w:t>
      </w:r>
      <w:r>
        <w:rPr>
          <w:rFonts w:eastAsiaTheme="minorEastAsia"/>
          <w:sz w:val="22"/>
          <w:szCs w:val="22"/>
          <w:lang w:eastAsia="en-AU"/>
        </w:rPr>
        <w:tab/>
      </w:r>
      <w:r>
        <w:t>The policy levers for diffusion are different from those for novel innovation</w:t>
      </w:r>
      <w:r>
        <w:rPr>
          <w:webHidden/>
        </w:rPr>
        <w:tab/>
      </w:r>
      <w:r>
        <w:rPr>
          <w:webHidden/>
        </w:rPr>
        <w:fldChar w:fldCharType="begin"/>
      </w:r>
      <w:r>
        <w:rPr>
          <w:webHidden/>
        </w:rPr>
        <w:instrText xml:space="preserve"> PAGEREF _Toc126304780 \h </w:instrText>
      </w:r>
      <w:r>
        <w:rPr>
          <w:webHidden/>
        </w:rPr>
      </w:r>
      <w:r>
        <w:rPr>
          <w:webHidden/>
        </w:rPr>
        <w:fldChar w:fldCharType="separate"/>
      </w:r>
      <w:r w:rsidR="00974413">
        <w:rPr>
          <w:webHidden/>
        </w:rPr>
        <w:t>17</w:t>
      </w:r>
      <w:r>
        <w:rPr>
          <w:webHidden/>
        </w:rPr>
        <w:fldChar w:fldCharType="end"/>
      </w:r>
    </w:p>
    <w:p w14:paraId="49F40A53" w14:textId="312FFF0C" w:rsidR="00566604" w:rsidRDefault="00566604">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Enabling innovation diffusion in Australia</w:t>
      </w:r>
      <w:r>
        <w:rPr>
          <w:noProof/>
          <w:webHidden/>
        </w:rPr>
        <w:tab/>
      </w:r>
      <w:r>
        <w:rPr>
          <w:noProof/>
          <w:webHidden/>
        </w:rPr>
        <w:fldChar w:fldCharType="begin"/>
      </w:r>
      <w:r>
        <w:rPr>
          <w:noProof/>
          <w:webHidden/>
        </w:rPr>
        <w:instrText xml:space="preserve"> PAGEREF _Toc126304781 \h </w:instrText>
      </w:r>
      <w:r>
        <w:rPr>
          <w:noProof/>
          <w:webHidden/>
        </w:rPr>
      </w:r>
      <w:r>
        <w:rPr>
          <w:noProof/>
          <w:webHidden/>
        </w:rPr>
        <w:fldChar w:fldCharType="separate"/>
      </w:r>
      <w:r w:rsidR="00974413">
        <w:rPr>
          <w:noProof/>
          <w:webHidden/>
        </w:rPr>
        <w:t>19</w:t>
      </w:r>
      <w:r>
        <w:rPr>
          <w:noProof/>
          <w:webHidden/>
        </w:rPr>
        <w:fldChar w:fldCharType="end"/>
      </w:r>
    </w:p>
    <w:p w14:paraId="323D00AC" w14:textId="677C238C" w:rsidR="00566604" w:rsidRDefault="00566604">
      <w:pPr>
        <w:pStyle w:val="TOC2"/>
        <w:rPr>
          <w:rFonts w:eastAsiaTheme="minorEastAsia"/>
          <w:sz w:val="22"/>
          <w:szCs w:val="22"/>
          <w:lang w:eastAsia="en-AU"/>
        </w:rPr>
      </w:pPr>
      <w:r>
        <w:t>2.1</w:t>
      </w:r>
      <w:r>
        <w:rPr>
          <w:rFonts w:eastAsiaTheme="minorEastAsia"/>
          <w:sz w:val="22"/>
          <w:szCs w:val="22"/>
          <w:lang w:eastAsia="en-AU"/>
        </w:rPr>
        <w:tab/>
      </w:r>
      <w:r>
        <w:t>An enabling environment for diffusion of new knowledge and technologies</w:t>
      </w:r>
      <w:r>
        <w:rPr>
          <w:webHidden/>
        </w:rPr>
        <w:tab/>
      </w:r>
      <w:r>
        <w:rPr>
          <w:webHidden/>
        </w:rPr>
        <w:fldChar w:fldCharType="begin"/>
      </w:r>
      <w:r>
        <w:rPr>
          <w:webHidden/>
        </w:rPr>
        <w:instrText xml:space="preserve"> PAGEREF _Toc126304782 \h </w:instrText>
      </w:r>
      <w:r>
        <w:rPr>
          <w:webHidden/>
        </w:rPr>
      </w:r>
      <w:r>
        <w:rPr>
          <w:webHidden/>
        </w:rPr>
        <w:fldChar w:fldCharType="separate"/>
      </w:r>
      <w:r w:rsidR="00974413">
        <w:rPr>
          <w:webHidden/>
        </w:rPr>
        <w:t>20</w:t>
      </w:r>
      <w:r>
        <w:rPr>
          <w:webHidden/>
        </w:rPr>
        <w:fldChar w:fldCharType="end"/>
      </w:r>
    </w:p>
    <w:p w14:paraId="694F9D40" w14:textId="021DC256" w:rsidR="00566604" w:rsidRDefault="00566604">
      <w:pPr>
        <w:pStyle w:val="TOC2"/>
        <w:rPr>
          <w:rFonts w:eastAsiaTheme="minorEastAsia"/>
          <w:sz w:val="22"/>
          <w:szCs w:val="22"/>
          <w:lang w:eastAsia="en-AU"/>
        </w:rPr>
      </w:pPr>
      <w:r>
        <w:t>2.2</w:t>
      </w:r>
      <w:r>
        <w:rPr>
          <w:rFonts w:eastAsiaTheme="minorEastAsia"/>
          <w:sz w:val="22"/>
          <w:szCs w:val="22"/>
          <w:lang w:eastAsia="en-AU"/>
        </w:rPr>
        <w:tab/>
      </w:r>
      <w:r>
        <w:t>Facilitating the diffusion of innovations developed overseas</w:t>
      </w:r>
      <w:r>
        <w:rPr>
          <w:webHidden/>
        </w:rPr>
        <w:tab/>
      </w:r>
      <w:r>
        <w:rPr>
          <w:webHidden/>
        </w:rPr>
        <w:fldChar w:fldCharType="begin"/>
      </w:r>
      <w:r>
        <w:rPr>
          <w:webHidden/>
        </w:rPr>
        <w:instrText xml:space="preserve"> PAGEREF _Toc126304783 \h </w:instrText>
      </w:r>
      <w:r>
        <w:rPr>
          <w:webHidden/>
        </w:rPr>
      </w:r>
      <w:r>
        <w:rPr>
          <w:webHidden/>
        </w:rPr>
        <w:fldChar w:fldCharType="separate"/>
      </w:r>
      <w:r w:rsidR="00974413">
        <w:rPr>
          <w:webHidden/>
        </w:rPr>
        <w:t>24</w:t>
      </w:r>
      <w:r>
        <w:rPr>
          <w:webHidden/>
        </w:rPr>
        <w:fldChar w:fldCharType="end"/>
      </w:r>
    </w:p>
    <w:p w14:paraId="2E508721" w14:textId="20E1A26A" w:rsidR="00566604" w:rsidRDefault="00566604">
      <w:pPr>
        <w:pStyle w:val="TOC2"/>
        <w:rPr>
          <w:rFonts w:eastAsiaTheme="minorEastAsia"/>
          <w:sz w:val="22"/>
          <w:szCs w:val="22"/>
          <w:lang w:eastAsia="en-AU"/>
        </w:rPr>
      </w:pPr>
      <w:r>
        <w:t>2.3</w:t>
      </w:r>
      <w:r>
        <w:rPr>
          <w:rFonts w:eastAsiaTheme="minorEastAsia"/>
          <w:sz w:val="22"/>
          <w:szCs w:val="22"/>
          <w:lang w:eastAsia="en-AU"/>
        </w:rPr>
        <w:tab/>
      </w:r>
      <w:r>
        <w:t>Diffusion through human capital</w:t>
      </w:r>
      <w:r>
        <w:rPr>
          <w:webHidden/>
        </w:rPr>
        <w:tab/>
      </w:r>
      <w:r>
        <w:rPr>
          <w:webHidden/>
        </w:rPr>
        <w:fldChar w:fldCharType="begin"/>
      </w:r>
      <w:r>
        <w:rPr>
          <w:webHidden/>
        </w:rPr>
        <w:instrText xml:space="preserve"> PAGEREF _Toc126304784 \h </w:instrText>
      </w:r>
      <w:r>
        <w:rPr>
          <w:webHidden/>
        </w:rPr>
      </w:r>
      <w:r>
        <w:rPr>
          <w:webHidden/>
        </w:rPr>
        <w:fldChar w:fldCharType="separate"/>
      </w:r>
      <w:r w:rsidR="00974413">
        <w:rPr>
          <w:webHidden/>
        </w:rPr>
        <w:t>31</w:t>
      </w:r>
      <w:r>
        <w:rPr>
          <w:webHidden/>
        </w:rPr>
        <w:fldChar w:fldCharType="end"/>
      </w:r>
    </w:p>
    <w:p w14:paraId="625CBF86" w14:textId="799CA3E0" w:rsidR="00566604" w:rsidRDefault="00566604">
      <w:pPr>
        <w:pStyle w:val="TOC2"/>
        <w:rPr>
          <w:rFonts w:eastAsiaTheme="minorEastAsia"/>
          <w:sz w:val="22"/>
          <w:szCs w:val="22"/>
          <w:lang w:eastAsia="en-AU"/>
        </w:rPr>
      </w:pPr>
      <w:r>
        <w:t>2.4</w:t>
      </w:r>
      <w:r>
        <w:rPr>
          <w:rFonts w:eastAsiaTheme="minorEastAsia"/>
          <w:sz w:val="22"/>
          <w:szCs w:val="22"/>
          <w:lang w:eastAsia="en-AU"/>
        </w:rPr>
        <w:tab/>
      </w:r>
      <w:r>
        <w:t>Collaboration and networks can catalyse innovation diffusion</w:t>
      </w:r>
      <w:r>
        <w:rPr>
          <w:webHidden/>
        </w:rPr>
        <w:tab/>
      </w:r>
      <w:r>
        <w:rPr>
          <w:webHidden/>
        </w:rPr>
        <w:fldChar w:fldCharType="begin"/>
      </w:r>
      <w:r>
        <w:rPr>
          <w:webHidden/>
        </w:rPr>
        <w:instrText xml:space="preserve"> PAGEREF _Toc126304785 \h </w:instrText>
      </w:r>
      <w:r>
        <w:rPr>
          <w:webHidden/>
        </w:rPr>
      </w:r>
      <w:r>
        <w:rPr>
          <w:webHidden/>
        </w:rPr>
        <w:fldChar w:fldCharType="separate"/>
      </w:r>
      <w:r w:rsidR="00974413">
        <w:rPr>
          <w:webHidden/>
        </w:rPr>
        <w:t>41</w:t>
      </w:r>
      <w:r>
        <w:rPr>
          <w:webHidden/>
        </w:rPr>
        <w:fldChar w:fldCharType="end"/>
      </w:r>
    </w:p>
    <w:p w14:paraId="1B2C5CE9" w14:textId="20C454A7" w:rsidR="00566604" w:rsidRDefault="00566604">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Innovation and diffusion in government services</w:t>
      </w:r>
      <w:r>
        <w:rPr>
          <w:noProof/>
          <w:webHidden/>
        </w:rPr>
        <w:tab/>
      </w:r>
      <w:r>
        <w:rPr>
          <w:noProof/>
          <w:webHidden/>
        </w:rPr>
        <w:fldChar w:fldCharType="begin"/>
      </w:r>
      <w:r>
        <w:rPr>
          <w:noProof/>
          <w:webHidden/>
        </w:rPr>
        <w:instrText xml:space="preserve"> PAGEREF _Toc126304786 \h </w:instrText>
      </w:r>
      <w:r>
        <w:rPr>
          <w:noProof/>
          <w:webHidden/>
        </w:rPr>
      </w:r>
      <w:r>
        <w:rPr>
          <w:noProof/>
          <w:webHidden/>
        </w:rPr>
        <w:fldChar w:fldCharType="separate"/>
      </w:r>
      <w:r w:rsidR="00974413">
        <w:rPr>
          <w:noProof/>
          <w:webHidden/>
        </w:rPr>
        <w:t>57</w:t>
      </w:r>
      <w:r>
        <w:rPr>
          <w:noProof/>
          <w:webHidden/>
        </w:rPr>
        <w:fldChar w:fldCharType="end"/>
      </w:r>
    </w:p>
    <w:p w14:paraId="0FF51955" w14:textId="6AB4F5CA" w:rsidR="00566604" w:rsidRDefault="00566604">
      <w:pPr>
        <w:pStyle w:val="TOC2"/>
        <w:rPr>
          <w:rFonts w:eastAsiaTheme="minorEastAsia"/>
          <w:sz w:val="22"/>
          <w:szCs w:val="22"/>
          <w:lang w:eastAsia="en-AU"/>
        </w:rPr>
      </w:pPr>
      <w:r>
        <w:t>3.1</w:t>
      </w:r>
      <w:r>
        <w:rPr>
          <w:rFonts w:eastAsiaTheme="minorEastAsia"/>
          <w:sz w:val="22"/>
          <w:szCs w:val="22"/>
          <w:lang w:eastAsia="en-AU"/>
        </w:rPr>
        <w:tab/>
      </w:r>
      <w:r>
        <w:t>Public sector innovation and diffusion occurs, but is variable</w:t>
      </w:r>
      <w:r>
        <w:rPr>
          <w:webHidden/>
        </w:rPr>
        <w:tab/>
      </w:r>
      <w:r>
        <w:rPr>
          <w:webHidden/>
        </w:rPr>
        <w:fldChar w:fldCharType="begin"/>
      </w:r>
      <w:r>
        <w:rPr>
          <w:webHidden/>
        </w:rPr>
        <w:instrText xml:space="preserve"> PAGEREF _Toc126304787 \h </w:instrText>
      </w:r>
      <w:r>
        <w:rPr>
          <w:webHidden/>
        </w:rPr>
      </w:r>
      <w:r>
        <w:rPr>
          <w:webHidden/>
        </w:rPr>
        <w:fldChar w:fldCharType="separate"/>
      </w:r>
      <w:r w:rsidR="00974413">
        <w:rPr>
          <w:webHidden/>
        </w:rPr>
        <w:t>59</w:t>
      </w:r>
      <w:r>
        <w:rPr>
          <w:webHidden/>
        </w:rPr>
        <w:fldChar w:fldCharType="end"/>
      </w:r>
    </w:p>
    <w:p w14:paraId="48D99EAE" w14:textId="119E9F36" w:rsidR="00566604" w:rsidRDefault="00566604" w:rsidP="004050CC">
      <w:pPr>
        <w:pStyle w:val="TOC2"/>
        <w:ind w:left="1134" w:hanging="567"/>
        <w:rPr>
          <w:rFonts w:eastAsiaTheme="minorEastAsia"/>
          <w:sz w:val="22"/>
          <w:szCs w:val="22"/>
          <w:lang w:eastAsia="en-AU"/>
        </w:rPr>
      </w:pPr>
      <w:r>
        <w:t>3.2</w:t>
      </w:r>
      <w:r>
        <w:rPr>
          <w:rFonts w:eastAsiaTheme="minorEastAsia"/>
          <w:sz w:val="22"/>
          <w:szCs w:val="22"/>
          <w:lang w:eastAsia="en-AU"/>
        </w:rPr>
        <w:tab/>
      </w:r>
      <w:r>
        <w:t>There are major obstacles to innovation and diffusion that need to be reformed or managed</w:t>
      </w:r>
      <w:r>
        <w:rPr>
          <w:webHidden/>
        </w:rPr>
        <w:tab/>
      </w:r>
      <w:r>
        <w:rPr>
          <w:webHidden/>
        </w:rPr>
        <w:fldChar w:fldCharType="begin"/>
      </w:r>
      <w:r>
        <w:rPr>
          <w:webHidden/>
        </w:rPr>
        <w:instrText xml:space="preserve"> PAGEREF _Toc126304788 \h </w:instrText>
      </w:r>
      <w:r>
        <w:rPr>
          <w:webHidden/>
        </w:rPr>
      </w:r>
      <w:r>
        <w:rPr>
          <w:webHidden/>
        </w:rPr>
        <w:fldChar w:fldCharType="separate"/>
      </w:r>
      <w:r w:rsidR="00974413">
        <w:rPr>
          <w:webHidden/>
        </w:rPr>
        <w:t>61</w:t>
      </w:r>
      <w:r>
        <w:rPr>
          <w:webHidden/>
        </w:rPr>
        <w:fldChar w:fldCharType="end"/>
      </w:r>
    </w:p>
    <w:p w14:paraId="5FA95A04" w14:textId="1AB394A0" w:rsidR="00566604" w:rsidRDefault="00566604">
      <w:pPr>
        <w:pStyle w:val="TOC2"/>
        <w:rPr>
          <w:rFonts w:eastAsiaTheme="minorEastAsia"/>
          <w:sz w:val="22"/>
          <w:szCs w:val="22"/>
          <w:lang w:eastAsia="en-AU"/>
        </w:rPr>
      </w:pPr>
      <w:r>
        <w:t>3.3</w:t>
      </w:r>
      <w:r>
        <w:rPr>
          <w:rFonts w:eastAsiaTheme="minorEastAsia"/>
          <w:sz w:val="22"/>
          <w:szCs w:val="22"/>
          <w:lang w:eastAsia="en-AU"/>
        </w:rPr>
        <w:tab/>
      </w:r>
      <w:r>
        <w:t>What is to be done?</w:t>
      </w:r>
      <w:r>
        <w:rPr>
          <w:webHidden/>
        </w:rPr>
        <w:tab/>
      </w:r>
      <w:r>
        <w:rPr>
          <w:webHidden/>
        </w:rPr>
        <w:fldChar w:fldCharType="begin"/>
      </w:r>
      <w:r>
        <w:rPr>
          <w:webHidden/>
        </w:rPr>
        <w:instrText xml:space="preserve"> PAGEREF _Toc126304789 \h </w:instrText>
      </w:r>
      <w:r>
        <w:rPr>
          <w:webHidden/>
        </w:rPr>
      </w:r>
      <w:r>
        <w:rPr>
          <w:webHidden/>
        </w:rPr>
        <w:fldChar w:fldCharType="separate"/>
      </w:r>
      <w:r w:rsidR="00974413">
        <w:rPr>
          <w:webHidden/>
        </w:rPr>
        <w:t>66</w:t>
      </w:r>
      <w:r>
        <w:rPr>
          <w:webHidden/>
        </w:rPr>
        <w:fldChar w:fldCharType="end"/>
      </w:r>
    </w:p>
    <w:p w14:paraId="7EEF3F5D" w14:textId="61A14485" w:rsidR="00566604" w:rsidRDefault="00566604">
      <w:pPr>
        <w:pStyle w:val="TOC3"/>
        <w:rPr>
          <w:rFonts w:asciiTheme="minorHAnsi" w:eastAsiaTheme="minorEastAsia" w:hAnsiTheme="minorHAnsi"/>
          <w:noProof/>
          <w:color w:val="auto"/>
          <w:sz w:val="22"/>
          <w:szCs w:val="22"/>
          <w:lang w:eastAsia="en-AU"/>
        </w:rPr>
      </w:pPr>
      <w:r>
        <w:rPr>
          <w:noProof/>
        </w:rPr>
        <w:t>Appendix</w:t>
      </w:r>
      <w:r>
        <w:rPr>
          <w:noProof/>
          <w:webHidden/>
        </w:rPr>
        <w:tab/>
      </w:r>
      <w:r>
        <w:rPr>
          <w:noProof/>
          <w:webHidden/>
        </w:rPr>
        <w:fldChar w:fldCharType="begin"/>
      </w:r>
      <w:r>
        <w:rPr>
          <w:noProof/>
          <w:webHidden/>
        </w:rPr>
        <w:instrText xml:space="preserve"> PAGEREF _Toc126304790 \h </w:instrText>
      </w:r>
      <w:r>
        <w:rPr>
          <w:noProof/>
          <w:webHidden/>
        </w:rPr>
      </w:r>
      <w:r>
        <w:rPr>
          <w:noProof/>
          <w:webHidden/>
        </w:rPr>
        <w:fldChar w:fldCharType="separate"/>
      </w:r>
      <w:r w:rsidR="00974413">
        <w:rPr>
          <w:noProof/>
          <w:webHidden/>
        </w:rPr>
        <w:t>85</w:t>
      </w:r>
      <w:r>
        <w:rPr>
          <w:noProof/>
          <w:webHidden/>
        </w:rPr>
        <w:fldChar w:fldCharType="end"/>
      </w:r>
    </w:p>
    <w:p w14:paraId="3B5ED2EA" w14:textId="481BC994" w:rsidR="00566604" w:rsidRDefault="00566604">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Stylised simulations of economy-wide effects</w:t>
      </w:r>
      <w:r>
        <w:rPr>
          <w:noProof/>
          <w:webHidden/>
        </w:rPr>
        <w:tab/>
      </w:r>
      <w:r>
        <w:rPr>
          <w:noProof/>
          <w:webHidden/>
        </w:rPr>
        <w:fldChar w:fldCharType="begin"/>
      </w:r>
      <w:r>
        <w:rPr>
          <w:noProof/>
          <w:webHidden/>
        </w:rPr>
        <w:instrText xml:space="preserve"> PAGEREF _Toc126304791 \h </w:instrText>
      </w:r>
      <w:r>
        <w:rPr>
          <w:noProof/>
          <w:webHidden/>
        </w:rPr>
      </w:r>
      <w:r>
        <w:rPr>
          <w:noProof/>
          <w:webHidden/>
        </w:rPr>
        <w:fldChar w:fldCharType="separate"/>
      </w:r>
      <w:r w:rsidR="00974413">
        <w:rPr>
          <w:noProof/>
          <w:webHidden/>
        </w:rPr>
        <w:t>87</w:t>
      </w:r>
      <w:r>
        <w:rPr>
          <w:noProof/>
          <w:webHidden/>
        </w:rPr>
        <w:fldChar w:fldCharType="end"/>
      </w:r>
    </w:p>
    <w:p w14:paraId="3FCE25DD" w14:textId="451A1C95" w:rsidR="00566604" w:rsidRDefault="00566604">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_Toc126304792 \h </w:instrText>
      </w:r>
      <w:r>
        <w:rPr>
          <w:noProof/>
          <w:webHidden/>
        </w:rPr>
      </w:r>
      <w:r>
        <w:rPr>
          <w:noProof/>
          <w:webHidden/>
        </w:rPr>
        <w:fldChar w:fldCharType="separate"/>
      </w:r>
      <w:r w:rsidR="00974413">
        <w:rPr>
          <w:noProof/>
          <w:webHidden/>
        </w:rPr>
        <w:t>91</w:t>
      </w:r>
      <w:r>
        <w:rPr>
          <w:noProof/>
          <w:webHidden/>
        </w:rPr>
        <w:fldChar w:fldCharType="end"/>
      </w:r>
    </w:p>
    <w:p w14:paraId="628F545E" w14:textId="1CDBC4DF" w:rsidR="00566604" w:rsidRDefault="00566604">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_Toc126304793 \h </w:instrText>
      </w:r>
      <w:r>
        <w:rPr>
          <w:noProof/>
          <w:webHidden/>
        </w:rPr>
      </w:r>
      <w:r>
        <w:rPr>
          <w:noProof/>
          <w:webHidden/>
        </w:rPr>
        <w:fldChar w:fldCharType="separate"/>
      </w:r>
      <w:r w:rsidR="00974413">
        <w:rPr>
          <w:noProof/>
          <w:webHidden/>
        </w:rPr>
        <w:t>93</w:t>
      </w:r>
      <w:r>
        <w:rPr>
          <w:noProof/>
          <w:webHidden/>
        </w:rPr>
        <w:fldChar w:fldCharType="end"/>
      </w:r>
    </w:p>
    <w:p w14:paraId="04A2ACC3" w14:textId="3B9802EB" w:rsidR="004050CC" w:rsidRDefault="00566604" w:rsidP="004050CC">
      <w:pPr>
        <w:pStyle w:val="BodyText"/>
        <w:spacing w:before="360"/>
      </w:pPr>
      <w:r>
        <w:rPr>
          <w:sz w:val="18"/>
        </w:rPr>
        <w:fldChar w:fldCharType="end"/>
      </w:r>
      <w:r w:rsidR="00610B86" w:rsidRPr="009B4D0C">
        <w:rPr>
          <w:rFonts w:ascii="Arial" w:hAnsi="Arial"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hyperlink r:id="rId22" w:history="1">
        <w:r w:rsidR="00610B86" w:rsidRPr="009B4D0C">
          <w:rPr>
            <w:rStyle w:val="Hyperlink"/>
            <w:rFonts w:ascii="Arial" w:hAnsi="Arial" w:cs="Arial"/>
            <w:color w:val="auto"/>
          </w:rPr>
          <w:t>www.pc.gov.au</w:t>
        </w:r>
      </w:hyperlink>
      <w:r w:rsidR="00610B86" w:rsidRPr="009B4D0C">
        <w:rPr>
          <w:rFonts w:ascii="Arial" w:hAnsi="Arial" w:cs="Arial"/>
        </w:rPr>
        <w:t>.</w:t>
      </w:r>
    </w:p>
    <w:p w14:paraId="1E7DCB5B" w14:textId="77777777" w:rsidR="004050CC" w:rsidRDefault="004050CC" w:rsidP="004050CC">
      <w:pPr>
        <w:pStyle w:val="BodyText"/>
        <w:rPr>
          <w:bCs/>
          <w:noProof/>
        </w:rPr>
      </w:pPr>
    </w:p>
    <w:p w14:paraId="62ABCB07" w14:textId="77777777" w:rsidR="000E2226" w:rsidRDefault="000E2226" w:rsidP="00B43AF4">
      <w:pPr>
        <w:rPr>
          <w:bCs/>
          <w:noProof/>
        </w:rPr>
        <w:sectPr w:rsidR="000E2226" w:rsidSect="002736A5">
          <w:headerReference w:type="default" r:id="rId23"/>
          <w:footerReference w:type="even" r:id="rId24"/>
          <w:footerReference w:type="default" r:id="rId25"/>
          <w:type w:val="oddPage"/>
          <w:pgSz w:w="11906" w:h="16838" w:code="9"/>
          <w:pgMar w:top="1134" w:right="1134" w:bottom="1134" w:left="1134" w:header="794" w:footer="510" w:gutter="0"/>
          <w:pgNumType w:fmt="lowerRoman"/>
          <w:cols w:space="708"/>
          <w:docGrid w:linePitch="360"/>
        </w:sectPr>
      </w:pPr>
    </w:p>
    <w:p w14:paraId="53A8123B" w14:textId="5DEADE61" w:rsidR="000E2226" w:rsidRPr="003D4FA5" w:rsidRDefault="00071725" w:rsidP="003D4FA5">
      <w:pPr>
        <w:pStyle w:val="Heading1-nobackground"/>
      </w:pPr>
      <w:bookmarkStart w:id="6" w:name="_Toc126145982"/>
      <w:bookmarkStart w:id="7" w:name="_Toc126304776"/>
      <w:r>
        <w:lastRenderedPageBreak/>
        <w:t>Preface</w:t>
      </w:r>
      <w:bookmarkEnd w:id="6"/>
      <w:bookmarkEnd w:id="7"/>
    </w:p>
    <w:p w14:paraId="2C0130DB" w14:textId="5B382153" w:rsidR="00CC459A" w:rsidRPr="003770CF" w:rsidRDefault="00CC459A" w:rsidP="00CC459A">
      <w:pPr>
        <w:pStyle w:val="BodyText"/>
        <w:rPr>
          <w:spacing w:val="-2"/>
        </w:rPr>
      </w:pPr>
      <w:r w:rsidRPr="003770CF">
        <w:rPr>
          <w:spacing w:val="-2"/>
        </w:rPr>
        <w:t>Between 1 and 2</w:t>
      </w:r>
      <w:r w:rsidR="006A1725">
        <w:rPr>
          <w:spacing w:val="-2"/>
        </w:rPr>
        <w:t>%</w:t>
      </w:r>
      <w:r w:rsidRPr="003770CF">
        <w:rPr>
          <w:spacing w:val="-2"/>
        </w:rPr>
        <w:t xml:space="preserve"> of Australian businesses </w:t>
      </w:r>
      <w:r w:rsidR="00D142E8" w:rsidRPr="003770CF">
        <w:rPr>
          <w:spacing w:val="-2"/>
        </w:rPr>
        <w:t>innovate in ways</w:t>
      </w:r>
      <w:r w:rsidRPr="003770CF">
        <w:rPr>
          <w:spacing w:val="-2"/>
        </w:rPr>
        <w:t xml:space="preserve"> that </w:t>
      </w:r>
      <w:r w:rsidR="00D142E8" w:rsidRPr="003770CF">
        <w:rPr>
          <w:spacing w:val="-2"/>
        </w:rPr>
        <w:t>are</w:t>
      </w:r>
      <w:r w:rsidRPr="003770CF">
        <w:rPr>
          <w:spacing w:val="-2"/>
        </w:rPr>
        <w:t xml:space="preserve"> new to the world. Such leading innovations </w:t>
      </w:r>
      <w:r w:rsidR="004E087F" w:rsidRPr="003770CF">
        <w:rPr>
          <w:spacing w:val="-2"/>
        </w:rPr>
        <w:t xml:space="preserve">can </w:t>
      </w:r>
      <w:r w:rsidRPr="003770CF">
        <w:rPr>
          <w:spacing w:val="-2"/>
        </w:rPr>
        <w:t>promote productivity</w:t>
      </w:r>
      <w:r w:rsidR="004E087F" w:rsidRPr="003770CF">
        <w:rPr>
          <w:spacing w:val="-2"/>
        </w:rPr>
        <w:t>,</w:t>
      </w:r>
      <w:r w:rsidRPr="003770CF">
        <w:rPr>
          <w:spacing w:val="-2"/>
        </w:rPr>
        <w:t xml:space="preserve"> but </w:t>
      </w:r>
      <w:r w:rsidR="004E087F" w:rsidRPr="003770CF">
        <w:rPr>
          <w:spacing w:val="-2"/>
        </w:rPr>
        <w:t xml:space="preserve">there </w:t>
      </w:r>
      <w:r w:rsidRPr="003770CF">
        <w:rPr>
          <w:spacing w:val="-2"/>
        </w:rPr>
        <w:t xml:space="preserve">are already </w:t>
      </w:r>
      <w:r w:rsidR="004E087F" w:rsidRPr="003770CF">
        <w:rPr>
          <w:spacing w:val="-2"/>
        </w:rPr>
        <w:t>many policies in place to promote them.</w:t>
      </w:r>
      <w:r w:rsidRPr="003770CF">
        <w:rPr>
          <w:spacing w:val="-2"/>
        </w:rPr>
        <w:t xml:space="preserve"> What of the neglected 98</w:t>
      </w:r>
      <w:r w:rsidR="00E94315">
        <w:rPr>
          <w:spacing w:val="-2"/>
        </w:rPr>
        <w:t>%</w:t>
      </w:r>
      <w:r w:rsidRPr="003770CF">
        <w:rPr>
          <w:spacing w:val="-2"/>
        </w:rPr>
        <w:t xml:space="preserve"> </w:t>
      </w:r>
      <w:r w:rsidRPr="003770CF">
        <w:rPr>
          <w:rFonts w:eastAsia="Arial" w:cs="Arial"/>
          <w:spacing w:val="-2"/>
        </w:rPr>
        <w:t>for which the potential for, and desirability of, new</w:t>
      </w:r>
      <w:r w:rsidR="000565F7" w:rsidRPr="003770CF">
        <w:rPr>
          <w:rFonts w:eastAsia="Arial" w:cs="Arial"/>
          <w:spacing w:val="-2"/>
        </w:rPr>
        <w:noBreakHyphen/>
      </w:r>
      <w:r w:rsidRPr="003770CF">
        <w:rPr>
          <w:rFonts w:eastAsia="Arial" w:cs="Arial"/>
          <w:spacing w:val="-2"/>
        </w:rPr>
        <w:t>to</w:t>
      </w:r>
      <w:r w:rsidR="000565F7" w:rsidRPr="003770CF">
        <w:rPr>
          <w:rFonts w:eastAsia="Arial" w:cs="Arial"/>
          <w:spacing w:val="-2"/>
        </w:rPr>
        <w:noBreakHyphen/>
      </w:r>
      <w:r w:rsidRPr="003770CF">
        <w:rPr>
          <w:rFonts w:eastAsia="Arial" w:cs="Arial"/>
          <w:spacing w:val="-2"/>
        </w:rPr>
        <w:t>the</w:t>
      </w:r>
      <w:r w:rsidR="00B1739D" w:rsidRPr="003770CF">
        <w:rPr>
          <w:rFonts w:eastAsia="Arial" w:cs="Arial"/>
          <w:spacing w:val="-2"/>
        </w:rPr>
        <w:noBreakHyphen/>
      </w:r>
      <w:r w:rsidRPr="003770CF">
        <w:rPr>
          <w:rFonts w:eastAsia="Arial" w:cs="Arial"/>
          <w:spacing w:val="-2"/>
        </w:rPr>
        <w:t>world innovation is weaker</w:t>
      </w:r>
      <w:r w:rsidRPr="003770CF">
        <w:rPr>
          <w:spacing w:val="-2"/>
        </w:rPr>
        <w:t xml:space="preserve">? </w:t>
      </w:r>
      <w:r w:rsidRPr="00E7452A">
        <w:rPr>
          <w:b/>
          <w:bCs/>
          <w:spacing w:val="-2"/>
        </w:rPr>
        <w:t>Much productivity improvement involves the wider adoption of</w:t>
      </w:r>
      <w:r w:rsidRPr="00851258">
        <w:rPr>
          <w:b/>
          <w:bCs/>
          <w:spacing w:val="-2"/>
        </w:rPr>
        <w:t xml:space="preserve"> </w:t>
      </w:r>
      <w:r w:rsidRPr="00E7452A">
        <w:rPr>
          <w:b/>
          <w:bCs/>
          <w:spacing w:val="-2"/>
        </w:rPr>
        <w:t>established, even dated, technologies and practices</w:t>
      </w:r>
      <w:r w:rsidRPr="003770CF">
        <w:rPr>
          <w:spacing w:val="-2"/>
        </w:rPr>
        <w:t xml:space="preserve"> among those </w:t>
      </w:r>
      <w:r w:rsidR="001125AC" w:rsidRPr="003770CF">
        <w:rPr>
          <w:spacing w:val="-2"/>
        </w:rPr>
        <w:t>millions</w:t>
      </w:r>
      <w:r w:rsidRPr="003770CF">
        <w:rPr>
          <w:spacing w:val="-2"/>
        </w:rPr>
        <w:t xml:space="preserve"> of businesses.</w:t>
      </w:r>
    </w:p>
    <w:p w14:paraId="44BC1C12" w14:textId="0432837C" w:rsidR="00CC459A" w:rsidRDefault="00CC459A" w:rsidP="00CC459A">
      <w:pPr>
        <w:pStyle w:val="BodyText"/>
      </w:pPr>
      <w:r>
        <w:t>There is a large group of Australian businesses whose management practices, uptake of technology and productivity are below their best practice peers. For example, many businesses undertake little or no assessment of their performance</w:t>
      </w:r>
      <w:r w:rsidR="00E561DE">
        <w:t>,</w:t>
      </w:r>
      <w:r>
        <w:t xml:space="preserve"> though this is a major motivator and route to improvement. It is not possible for all businesses to achieve best practice because of large variations in managers’ and employees’ aptitudes and preferences, and the operating environments of firms. However, by incrementally improving the performance of those businesses, higher rates of diffusion of best practice could significantly lift aggregate productivity growth.</w:t>
      </w:r>
    </w:p>
    <w:p w14:paraId="7F8DC88F" w14:textId="06D79A14" w:rsidR="00CC459A" w:rsidRDefault="00CC459A" w:rsidP="00CC459A">
      <w:pPr>
        <w:pStyle w:val="BodyText"/>
      </w:pPr>
      <w:r>
        <w:t xml:space="preserve">There are worrying signs that </w:t>
      </w:r>
      <w:r w:rsidRPr="00E7452A">
        <w:rPr>
          <w:b/>
          <w:bCs/>
        </w:rPr>
        <w:t>some of the principal vehicles for acquiring and transferring knowledge are dormant or slowing.</w:t>
      </w:r>
      <w:r>
        <w:t xml:space="preserve"> Machinery and equipment investment</w:t>
      </w:r>
      <w:r w:rsidR="004E087F">
        <w:t>, which typically</w:t>
      </w:r>
      <w:r>
        <w:t xml:space="preserve"> embeds new knowledge and best practice</w:t>
      </w:r>
      <w:r w:rsidR="004E087F">
        <w:t>, has collapsed as a share of GDP.</w:t>
      </w:r>
      <w:r>
        <w:t xml:space="preserve"> Investments in intangible capital, like software and R&amp;D, have been stagnating. As workers move between businesses, they bring their experience with different technologies and practices with them, sharing them with their new employer</w:t>
      </w:r>
      <w:r w:rsidR="009A5F97">
        <w:t xml:space="preserve">; </w:t>
      </w:r>
      <w:proofErr w:type="gramStart"/>
      <w:r w:rsidR="009A5F97">
        <w:t>yet</w:t>
      </w:r>
      <w:r>
        <w:t>,</w:t>
      </w:r>
      <w:proofErr w:type="gramEnd"/>
      <w:r>
        <w:t xml:space="preserve"> labour mobility between businesses has been declining. So too has the degree of </w:t>
      </w:r>
      <w:r w:rsidR="007D568E">
        <w:t>churn</w:t>
      </w:r>
      <w:r>
        <w:t xml:space="preserve"> in markets as measured by the generally falling rates of firm entry and exits. This is concerning because business exits and entries underpin an entrepreneurial culture and uptake of innovations, and shift resources into activities more likely to generate value and productivity. The </w:t>
      </w:r>
      <w:r w:rsidR="004E087F">
        <w:t>one</w:t>
      </w:r>
      <w:r>
        <w:t xml:space="preserve"> positive sign is that the average level of skills in the workforce has been gradually rising, which generally improves diffusion.</w:t>
      </w:r>
    </w:p>
    <w:p w14:paraId="7D5416F9" w14:textId="1F6F10C0" w:rsidR="00CC459A" w:rsidRPr="00600670" w:rsidRDefault="00CC459A" w:rsidP="00CC459A">
      <w:pPr>
        <w:pStyle w:val="BodyText"/>
        <w:rPr>
          <w:spacing w:val="-4"/>
        </w:rPr>
      </w:pPr>
      <w:r w:rsidRPr="00600670">
        <w:rPr>
          <w:spacing w:val="-4"/>
        </w:rPr>
        <w:t>The solutions to these problems are different from the incentives, grants, venture capital funds and public research institutes typically used to stimulate novel innovation. The most important are the settings that determine the quality of the business environment because these determine the incentives, resources and capabilities of firms to invest in and adopt established innovations. Those policies encompass tax policy, the thousands of statutes and regulations that shape business options across almost all facets of the economy, trade and competition policy, skill formation settings, immigration</w:t>
      </w:r>
      <w:r w:rsidR="00D51D67" w:rsidRPr="00600670">
        <w:rPr>
          <w:spacing w:val="-4"/>
        </w:rPr>
        <w:t xml:space="preserve"> and foreign investment policy</w:t>
      </w:r>
      <w:r w:rsidRPr="00600670">
        <w:rPr>
          <w:spacing w:val="-4"/>
        </w:rPr>
        <w:t xml:space="preserve">. Policies that drive economic efficiency more broadly are the focus of Productivity Inquiry companion </w:t>
      </w:r>
      <w:r w:rsidR="00DB0E78" w:rsidRPr="00600670">
        <w:rPr>
          <w:spacing w:val="-4"/>
        </w:rPr>
        <w:t>volumes</w:t>
      </w:r>
      <w:r w:rsidRPr="00600670">
        <w:rPr>
          <w:spacing w:val="-4"/>
        </w:rPr>
        <w:t xml:space="preserve"> on the business environment.</w:t>
      </w:r>
    </w:p>
    <w:p w14:paraId="1E024692" w14:textId="77777777" w:rsidR="00CC459A" w:rsidRPr="00600670" w:rsidRDefault="00CC459A" w:rsidP="00CC459A">
      <w:pPr>
        <w:pStyle w:val="BodyText"/>
        <w:rPr>
          <w:spacing w:val="-4"/>
        </w:rPr>
      </w:pPr>
      <w:r w:rsidRPr="00600670">
        <w:rPr>
          <w:spacing w:val="-4"/>
        </w:rPr>
        <w:t>Some aspects of the business environment are particularly relevant for enabling diffusion in the business sector.</w:t>
      </w:r>
    </w:p>
    <w:p w14:paraId="585A091B" w14:textId="4B162209" w:rsidR="00CC459A" w:rsidRPr="00600670" w:rsidRDefault="00CC459A" w:rsidP="00CC459A">
      <w:pPr>
        <w:pStyle w:val="BodyText"/>
        <w:rPr>
          <w:spacing w:val="-4"/>
        </w:rPr>
      </w:pPr>
      <w:r w:rsidRPr="00600670">
        <w:rPr>
          <w:spacing w:val="-4"/>
        </w:rPr>
        <w:t xml:space="preserve">As a small open economy with limited (business and public) research capacity, </w:t>
      </w:r>
      <w:r w:rsidRPr="00600670">
        <w:rPr>
          <w:b/>
          <w:bCs/>
          <w:spacing w:val="-4"/>
        </w:rPr>
        <w:t>many ideas and technologies will come to Australia from overseas</w:t>
      </w:r>
      <w:r w:rsidRPr="00600670">
        <w:rPr>
          <w:spacing w:val="-4"/>
        </w:rPr>
        <w:t>. Linkages with overseas firms via trading relationships are important, as is foreign direct investment (FDI). Foreign investors have an incentive to channel knowledge, technologies and expertise to Australian firms, as well as financial capital, to improve the prospects for a return on their investment. More recognition of overseas standards</w:t>
      </w:r>
      <w:r w:rsidR="0052323A" w:rsidRPr="00600670">
        <w:rPr>
          <w:spacing w:val="-4"/>
        </w:rPr>
        <w:t>, more streamlining of foreign investment approvals</w:t>
      </w:r>
      <w:r w:rsidRPr="00600670">
        <w:rPr>
          <w:spacing w:val="-4"/>
        </w:rPr>
        <w:t xml:space="preserve"> </w:t>
      </w:r>
      <w:r w:rsidR="008F213D" w:rsidRPr="00600670">
        <w:rPr>
          <w:spacing w:val="-4"/>
        </w:rPr>
        <w:t xml:space="preserve">and </w:t>
      </w:r>
      <w:r w:rsidR="0052323A" w:rsidRPr="00600670">
        <w:rPr>
          <w:spacing w:val="-4"/>
        </w:rPr>
        <w:t xml:space="preserve">the </w:t>
      </w:r>
      <w:r w:rsidR="008F213D" w:rsidRPr="00600670">
        <w:rPr>
          <w:spacing w:val="-4"/>
        </w:rPr>
        <w:t xml:space="preserve">elimination of nuisance tariffs </w:t>
      </w:r>
      <w:r w:rsidRPr="00600670">
        <w:rPr>
          <w:spacing w:val="-4"/>
        </w:rPr>
        <w:t>would more rapidly diffuse overseas innovations.</w:t>
      </w:r>
    </w:p>
    <w:p w14:paraId="111C483F" w14:textId="197B95B7" w:rsidR="00CC459A" w:rsidRPr="00600670" w:rsidRDefault="00CC459A" w:rsidP="00CC459A">
      <w:pPr>
        <w:pStyle w:val="BodyText"/>
        <w:rPr>
          <w:spacing w:val="-4"/>
        </w:rPr>
      </w:pPr>
      <w:r w:rsidRPr="00600670">
        <w:rPr>
          <w:b/>
          <w:bCs/>
          <w:spacing w:val="-4"/>
        </w:rPr>
        <w:t xml:space="preserve">Skilled migration policy should be reframed as a way of diffusing innovation and best practice among Australian businesses. </w:t>
      </w:r>
      <w:r w:rsidR="0075099B" w:rsidRPr="00600670">
        <w:rPr>
          <w:spacing w:val="-4"/>
        </w:rPr>
        <w:t xml:space="preserve">Businesses can be </w:t>
      </w:r>
      <w:r w:rsidRPr="00600670">
        <w:rPr>
          <w:spacing w:val="-4"/>
        </w:rPr>
        <w:t xml:space="preserve">conceived as experimental laboratories in delivering goods and services to consumers, </w:t>
      </w:r>
      <w:r w:rsidR="0075099B" w:rsidRPr="00600670">
        <w:rPr>
          <w:spacing w:val="-4"/>
        </w:rPr>
        <w:t xml:space="preserve">so </w:t>
      </w:r>
      <w:r w:rsidRPr="00600670">
        <w:rPr>
          <w:spacing w:val="-4"/>
        </w:rPr>
        <w:t xml:space="preserve">it makes sense to understand the lessons from as wide a variety of experiments as </w:t>
      </w:r>
      <w:r w:rsidRPr="00600670">
        <w:rPr>
          <w:spacing w:val="-4"/>
        </w:rPr>
        <w:lastRenderedPageBreak/>
        <w:t>possible. Skilled migrant workers transmit knowledge and the know</w:t>
      </w:r>
      <w:r w:rsidR="000565F7" w:rsidRPr="00600670">
        <w:rPr>
          <w:spacing w:val="-4"/>
        </w:rPr>
        <w:noBreakHyphen/>
      </w:r>
      <w:r w:rsidRPr="00600670">
        <w:rPr>
          <w:spacing w:val="-4"/>
        </w:rPr>
        <w:t>how to practically implement it from all over the world. An expanded and adapted employer</w:t>
      </w:r>
      <w:r w:rsidR="000565F7" w:rsidRPr="00600670">
        <w:rPr>
          <w:spacing w:val="-4"/>
        </w:rPr>
        <w:noBreakHyphen/>
      </w:r>
      <w:r w:rsidRPr="00600670">
        <w:rPr>
          <w:spacing w:val="-4"/>
        </w:rPr>
        <w:t>nominated migration scheme would allow better matching of the skills and knowledge needed by employe</w:t>
      </w:r>
      <w:r w:rsidR="003C1159" w:rsidRPr="00600670">
        <w:rPr>
          <w:spacing w:val="-4"/>
        </w:rPr>
        <w:t>r</w:t>
      </w:r>
      <w:r w:rsidRPr="00600670">
        <w:rPr>
          <w:spacing w:val="-4"/>
        </w:rPr>
        <w:t>s and the unique capabilities held by migrants.</w:t>
      </w:r>
    </w:p>
    <w:p w14:paraId="050C60E6" w14:textId="5F04DDA1" w:rsidR="00CC459A" w:rsidRPr="00600670" w:rsidRDefault="00CC459A" w:rsidP="00CC459A">
      <w:pPr>
        <w:pStyle w:val="BodyText"/>
        <w:rPr>
          <w:spacing w:val="-4"/>
        </w:rPr>
      </w:pPr>
      <w:r w:rsidRPr="00600670">
        <w:rPr>
          <w:b/>
          <w:bCs/>
          <w:spacing w:val="-4"/>
        </w:rPr>
        <w:t>Information flows, including those arising from other businesses’ experiences with new technologies and practices can be mediated by industry associations, consultants and experts</w:t>
      </w:r>
      <w:r w:rsidRPr="00600670">
        <w:rPr>
          <w:spacing w:val="-4"/>
        </w:rPr>
        <w:t xml:space="preserve"> (including academics). In Australia, industry associations play a critical role in realising spillovers by drawing together insights from their members’ experiences with innovation and helping firms to apply them to their own circumstances. The chief problem is not that associations are deficient in this role, but that the potential recipient businesses often do not know how far away they are from best practice. In their role as data collectors, the Australian Tax Office</w:t>
      </w:r>
      <w:r w:rsidR="00F9742F" w:rsidRPr="00600670">
        <w:rPr>
          <w:spacing w:val="-4"/>
        </w:rPr>
        <w:t xml:space="preserve"> (ATO)</w:t>
      </w:r>
      <w:r w:rsidRPr="00600670">
        <w:rPr>
          <w:spacing w:val="-4"/>
        </w:rPr>
        <w:t>, the Australian Bureau of Statistics</w:t>
      </w:r>
      <w:r w:rsidR="00F9742F" w:rsidRPr="00600670">
        <w:rPr>
          <w:spacing w:val="-4"/>
        </w:rPr>
        <w:t xml:space="preserve"> (ABS)</w:t>
      </w:r>
      <w:r w:rsidRPr="00600670">
        <w:rPr>
          <w:spacing w:val="-4"/>
        </w:rPr>
        <w:t xml:space="preserve">, and various regulators have rich data that, in a </w:t>
      </w:r>
      <w:r w:rsidR="00585FC7" w:rsidRPr="00600670">
        <w:rPr>
          <w:spacing w:val="-4"/>
        </w:rPr>
        <w:t>curated</w:t>
      </w:r>
      <w:r w:rsidRPr="00600670">
        <w:rPr>
          <w:spacing w:val="-4"/>
        </w:rPr>
        <w:t xml:space="preserve"> form</w:t>
      </w:r>
      <w:r w:rsidR="00114446" w:rsidRPr="00600670">
        <w:rPr>
          <w:spacing w:val="-4"/>
        </w:rPr>
        <w:t xml:space="preserve"> and with business consent</w:t>
      </w:r>
      <w:r w:rsidRPr="00600670">
        <w:rPr>
          <w:spacing w:val="-4"/>
        </w:rPr>
        <w:t>, they could return to businesses to tell them where they lie on the spectrum of performance with their peers. No business wants to be last in the entrepreneurial race.</w:t>
      </w:r>
    </w:p>
    <w:p w14:paraId="329D80F0" w14:textId="61CA0279" w:rsidR="00CC459A" w:rsidRDefault="00CC459A" w:rsidP="00CC459A">
      <w:pPr>
        <w:pStyle w:val="BodyText"/>
      </w:pPr>
      <w:r w:rsidRPr="00E7452A">
        <w:rPr>
          <w:b/>
          <w:bCs/>
        </w:rPr>
        <w:t>Innovation and best practice are equally important for the public sector</w:t>
      </w:r>
      <w:r w:rsidR="006A0CE7">
        <w:t xml:space="preserve">. </w:t>
      </w:r>
      <w:r>
        <w:t xml:space="preserve">Australian </w:t>
      </w:r>
      <w:r w:rsidR="006816EB">
        <w:t>g</w:t>
      </w:r>
      <w:r>
        <w:t>overnments are the major funders (and providers) of a large part of the economy, including educational services, the justice and defence systems, health, disability and aged care, and design and implement the tax and transfer system. General government spending amounts to nearly $900 billion or over 40</w:t>
      </w:r>
      <w:r w:rsidR="00E94315">
        <w:t>%</w:t>
      </w:r>
      <w:r>
        <w:t xml:space="preserve"> of GDP, with much of this — some $445 billion — spent on delivery of services to the Australian community. Against this scale and breadth of activities, even modest improvements in innovation and the diffusion of best practice will improve the quality of outcomes for citizens and in some cases, reduce fiscal pressures. (It can also have knock</w:t>
      </w:r>
      <w:r>
        <w:noBreakHyphen/>
        <w:t xml:space="preserve">on effects as best practice policy </w:t>
      </w:r>
      <w:r w:rsidR="00D740F8">
        <w:t>improves</w:t>
      </w:r>
      <w:r>
        <w:t xml:space="preserve"> the business environment.)</w:t>
      </w:r>
    </w:p>
    <w:p w14:paraId="5F6838F9" w14:textId="4FECFE80" w:rsidR="00CC459A" w:rsidRDefault="00CC459A" w:rsidP="00CC459A">
      <w:pPr>
        <w:pStyle w:val="BodyText"/>
      </w:pPr>
      <w:r>
        <w:t>There are many examples of effective innovation and diffusion in government. For example, the response to COVID</w:t>
      </w:r>
      <w:r w:rsidR="00A43B86">
        <w:noBreakHyphen/>
      </w:r>
      <w:r w:rsidR="00C82AD8">
        <w:t>19</w:t>
      </w:r>
      <w:r>
        <w:t xml:space="preserve"> led to rapid expansions in e</w:t>
      </w:r>
      <w:r>
        <w:noBreakHyphen/>
        <w:t>health and new models of schooling.</w:t>
      </w:r>
    </w:p>
    <w:p w14:paraId="3C5E94BB" w14:textId="54B807BB" w:rsidR="00CC459A" w:rsidRDefault="00CC459A" w:rsidP="00CC459A">
      <w:pPr>
        <w:pStyle w:val="BodyText"/>
      </w:pPr>
      <w:r>
        <w:t>However, innovation and the uptake of best practice is often sluggish, patchy and inconsistent across jurisdictions. For instance, while it has limitations, activity</w:t>
      </w:r>
      <w:r>
        <w:noBreakHyphen/>
        <w:t xml:space="preserve">based pricing for public hospitals was a big step forward for improved efficiency in the healthcare system, but it took 17 years before it was adopted by all jurisdictions. Benchmarking of governments’ performance across multiple dimensions — school education, elective surgery waiting times, prisoner education, support services for people experiencing homelessness — suggest many have failed to mimic the practices of the best. (While </w:t>
      </w:r>
      <w:r w:rsidR="004C2F5D">
        <w:t>the public</w:t>
      </w:r>
      <w:r>
        <w:t xml:space="preserve"> know that there are big differences in performance, </w:t>
      </w:r>
      <w:r w:rsidR="009F0B31">
        <w:t>they</w:t>
      </w:r>
      <w:r>
        <w:t xml:space="preserve"> know less about why and what could be done. Governments could readily undertake more analysis to uncover what lies beneath.)</w:t>
      </w:r>
    </w:p>
    <w:p w14:paraId="137C8F78" w14:textId="09789FFA" w:rsidR="00CC459A" w:rsidRDefault="00CC459A" w:rsidP="00CC459A">
      <w:pPr>
        <w:pStyle w:val="BodyText"/>
      </w:pPr>
      <w:r w:rsidRPr="00E7452A">
        <w:rPr>
          <w:b/>
          <w:bCs/>
        </w:rPr>
        <w:t>Slow progress reflects that governments face unique challenges in innovation</w:t>
      </w:r>
      <w:r>
        <w:t xml:space="preserve"> and the adoption of best practice. Sometimes that is reasonable. Ethics sometimes demands some slowness because people’s lifetime wellbeing may be involved, for example, a new mandated way of educating Australia’s 4 million school students. Governments have contested, ambiguous and vague objectives such that success is hard to measure, and they often (reasonably) decide to prioritise different social and economic goals. Businesses </w:t>
      </w:r>
      <w:r w:rsidR="0075099B">
        <w:t>ultimately</w:t>
      </w:r>
      <w:r>
        <w:t xml:space="preserve"> measure their success through profits. </w:t>
      </w:r>
    </w:p>
    <w:p w14:paraId="2C98B7A6" w14:textId="739DDC96" w:rsidR="00CC459A" w:rsidRDefault="00CC459A" w:rsidP="00CC459A">
      <w:pPr>
        <w:pStyle w:val="BodyText"/>
      </w:pPr>
      <w:r>
        <w:t>But slowness also reflects structural defects. Uncoordinated actions of governments and agencies that share overlapping roles, siloed services, clashing funding incentives and risk</w:t>
      </w:r>
      <w:r>
        <w:noBreakHyphen/>
        <w:t>averse cultural norms tend to work against experimentation. Few publicly</w:t>
      </w:r>
      <w:r>
        <w:noBreakHyphen/>
        <w:t xml:space="preserve">operated services </w:t>
      </w:r>
      <w:proofErr w:type="gramStart"/>
      <w:r w:rsidR="003E48AA">
        <w:t>fear</w:t>
      </w:r>
      <w:proofErr w:type="gramEnd"/>
      <w:r>
        <w:t xml:space="preserve"> that poor performance will lead to their closure.</w:t>
      </w:r>
    </w:p>
    <w:p w14:paraId="79CA38F6" w14:textId="7B736A05" w:rsidR="00CC459A" w:rsidRDefault="00CC459A" w:rsidP="00CC459A">
      <w:pPr>
        <w:pStyle w:val="BodyText"/>
      </w:pPr>
      <w:r>
        <w:t xml:space="preserve">One solution is to </w:t>
      </w:r>
      <w:r w:rsidRPr="00E7452A">
        <w:rPr>
          <w:b/>
          <w:bCs/>
        </w:rPr>
        <w:t>re</w:t>
      </w:r>
      <w:r w:rsidRPr="00E7452A">
        <w:rPr>
          <w:b/>
          <w:bCs/>
        </w:rPr>
        <w:noBreakHyphen/>
        <w:t>configure some of the poorly designed ways of commissioning and funding activities</w:t>
      </w:r>
      <w:r>
        <w:t xml:space="preserve">. In public infrastructure and defence procurement, billions are </w:t>
      </w:r>
      <w:r w:rsidR="00F47F58">
        <w:t>spent</w:t>
      </w:r>
      <w:r>
        <w:t xml:space="preserve"> on </w:t>
      </w:r>
      <w:r w:rsidR="009C7051">
        <w:t>deficient</w:t>
      </w:r>
      <w:r>
        <w:t>, slow or over</w:t>
      </w:r>
      <w:r>
        <w:noBreakHyphen/>
        <w:t xml:space="preserve">budget projects because procurement models are far from best practice. In healthcare, the Australian </w:t>
      </w:r>
      <w:r w:rsidR="001F7188">
        <w:t>G</w:t>
      </w:r>
      <w:r>
        <w:t xml:space="preserve">overnment funds primary care mainly through the small business sector (GPs), while the States </w:t>
      </w:r>
      <w:r w:rsidR="001F7188">
        <w:t>and Territories</w:t>
      </w:r>
      <w:r>
        <w:t xml:space="preserve"> are the primary funders of the most costly and sophisticated part of the system — large </w:t>
      </w:r>
      <w:r>
        <w:lastRenderedPageBreak/>
        <w:t>government</w:t>
      </w:r>
      <w:r>
        <w:noBreakHyphen/>
        <w:t xml:space="preserve">run public hospitals. It makes sense to keep people </w:t>
      </w:r>
      <w:r w:rsidDel="00352A62">
        <w:t>out of hospital</w:t>
      </w:r>
      <w:r w:rsidR="0004447A">
        <w:t xml:space="preserve"> where possible</w:t>
      </w:r>
      <w:r>
        <w:t>, but</w:t>
      </w:r>
      <w:r w:rsidR="00B43D26">
        <w:t xml:space="preserve"> </w:t>
      </w:r>
      <w:r w:rsidDel="00C958AF">
        <w:t>hospitals have no incentives to prevent hospitalisation (and are in any case restricted in what they are allowed to do in primary health)</w:t>
      </w:r>
      <w:r>
        <w:t>. There are novel funding models that could reduce these perverse incentives.</w:t>
      </w:r>
    </w:p>
    <w:p w14:paraId="1676B06D" w14:textId="43322EB1" w:rsidR="00CC459A" w:rsidRDefault="00CC459A" w:rsidP="00CC459A">
      <w:pPr>
        <w:pStyle w:val="BodyText"/>
      </w:pPr>
      <w:r w:rsidRPr="00E7452A">
        <w:rPr>
          <w:b/>
          <w:bCs/>
        </w:rPr>
        <w:t>Government agencies create barriers to recruiting people from overseas</w:t>
      </w:r>
      <w:r>
        <w:t xml:space="preserve"> that are much greater than those for private sector occupations despite </w:t>
      </w:r>
      <w:r w:rsidR="00ED3721">
        <w:t>immigrants</w:t>
      </w:r>
      <w:r>
        <w:t xml:space="preserve"> being some of the best conduits for fresh ideas in policy. Citizenship and security requirements are arguably too restrictive and could be relaxed. </w:t>
      </w:r>
    </w:p>
    <w:p w14:paraId="625B0788" w14:textId="75DFFAFF" w:rsidR="00CC459A" w:rsidRDefault="00CC459A" w:rsidP="00CC459A">
      <w:pPr>
        <w:pStyle w:val="BodyText"/>
      </w:pPr>
      <w:r>
        <w:t xml:space="preserve">Ideas have a peculiarity that one person’s use of them does not stop someone else from using them. </w:t>
      </w:r>
      <w:r w:rsidRPr="00E7452A">
        <w:rPr>
          <w:b/>
          <w:bCs/>
        </w:rPr>
        <w:t xml:space="preserve">Where there is a sound public good basis, </w:t>
      </w:r>
      <w:r w:rsidR="009A21A7" w:rsidRPr="00E7452A">
        <w:rPr>
          <w:b/>
          <w:bCs/>
        </w:rPr>
        <w:t>use of</w:t>
      </w:r>
      <w:r w:rsidRPr="00E7452A">
        <w:rPr>
          <w:b/>
          <w:bCs/>
        </w:rPr>
        <w:t xml:space="preserve"> ideas should be free as this encourages diffusion and innovation</w:t>
      </w:r>
      <w:r>
        <w:t xml:space="preserve">. Many Australian standards — which are an explicit way of codifying practices that should be widely diffused — are priced. </w:t>
      </w:r>
      <w:r w:rsidRPr="00CE49E5">
        <w:t xml:space="preserve">That, and the charging </w:t>
      </w:r>
      <w:r w:rsidRPr="00540DB1">
        <w:t xml:space="preserve">arrangements </w:t>
      </w:r>
      <w:r w:rsidRPr="00CE49E5">
        <w:t xml:space="preserve">for the </w:t>
      </w:r>
      <w:r>
        <w:t>academic literature</w:t>
      </w:r>
      <w:r w:rsidRPr="00CE49E5">
        <w:t xml:space="preserve"> arising from publicly</w:t>
      </w:r>
      <w:r w:rsidRPr="00CE49E5">
        <w:noBreakHyphen/>
        <w:t>funded research</w:t>
      </w:r>
      <w:r>
        <w:t>,</w:t>
      </w:r>
      <w:r w:rsidRPr="00CE49E5">
        <w:t xml:space="preserve"> should be reformed.</w:t>
      </w:r>
    </w:p>
    <w:p w14:paraId="0D314FAA" w14:textId="1C7422D3" w:rsidR="003D4FA5" w:rsidRDefault="009613FC" w:rsidP="00D1584B">
      <w:pPr>
        <w:pStyle w:val="BodyText"/>
        <w:rPr>
          <w:spacing w:val="-4"/>
        </w:rPr>
      </w:pPr>
      <w:r w:rsidRPr="0085322B">
        <w:t>There are significant productivity rewards on the table from improvements in diffusion, even modest ones</w:t>
      </w:r>
      <w:r w:rsidR="006059BC" w:rsidRPr="0085322B">
        <w:t xml:space="preserve">. </w:t>
      </w:r>
      <w:r w:rsidR="00373FEF" w:rsidRPr="0085322B">
        <w:t>This volume of the 5 Year Productivity Inquiry presents the Commission’s findings and recommendations for</w:t>
      </w:r>
      <w:r w:rsidR="00373FEF" w:rsidRPr="00600670">
        <w:rPr>
          <w:spacing w:val="-4"/>
        </w:rPr>
        <w:t xml:space="preserve"> government to support </w:t>
      </w:r>
      <w:r w:rsidR="00591A4E" w:rsidRPr="00600670">
        <w:rPr>
          <w:spacing w:val="-4"/>
        </w:rPr>
        <w:t>increased innovation and diffusion to improve productivity across the Australian economy</w:t>
      </w:r>
      <w:r w:rsidR="00373FEF" w:rsidRPr="00600670">
        <w:rPr>
          <w:spacing w:val="-4"/>
        </w:rPr>
        <w:t>.</w:t>
      </w:r>
    </w:p>
    <w:p w14:paraId="6FF5CD58" w14:textId="77777777" w:rsidR="00600670" w:rsidRPr="00600670" w:rsidRDefault="00600670" w:rsidP="00D1584B">
      <w:pPr>
        <w:pStyle w:val="BodyText"/>
        <w:rPr>
          <w:bCs/>
          <w:noProof/>
          <w:spacing w:val="-4"/>
        </w:rPr>
      </w:pPr>
    </w:p>
    <w:p w14:paraId="71D048FB" w14:textId="77777777" w:rsidR="002736A5" w:rsidRDefault="002736A5" w:rsidP="00B43AF4">
      <w:pPr>
        <w:rPr>
          <w:bCs/>
          <w:noProof/>
        </w:rPr>
        <w:sectPr w:rsidR="002736A5" w:rsidSect="00607974">
          <w:headerReference w:type="even" r:id="rId26"/>
          <w:headerReference w:type="default" r:id="rId27"/>
          <w:pgSz w:w="11906" w:h="16838" w:code="9"/>
          <w:pgMar w:top="1134" w:right="1134" w:bottom="1134" w:left="1134" w:header="794" w:footer="510" w:gutter="0"/>
          <w:pgNumType w:fmt="lowerRoman"/>
          <w:cols w:space="708"/>
          <w:docGrid w:linePitch="360"/>
        </w:sectPr>
      </w:pPr>
    </w:p>
    <w:p w14:paraId="14383B3A" w14:textId="278566FC" w:rsidR="0003438B" w:rsidRDefault="0003438B" w:rsidP="00E870CE">
      <w:pPr>
        <w:pStyle w:val="Heading1"/>
      </w:pPr>
      <w:bookmarkStart w:id="8" w:name="_Toc126145983"/>
      <w:bookmarkStart w:id="9" w:name="_Toc126304777"/>
      <w:r w:rsidRPr="009A2E1F">
        <w:lastRenderedPageBreak/>
        <w:t>The</w:t>
      </w:r>
      <w:r>
        <w:t xml:space="preserve"> case for strengthening the diffusion of innovation</w:t>
      </w:r>
      <w:bookmarkEnd w:id="8"/>
      <w:bookmarkEnd w:id="9"/>
    </w:p>
    <w:tbl>
      <w:tblPr>
        <w:tblStyle w:val="Texttable-Paleblue"/>
        <w:tblW w:w="5000" w:type="pct"/>
        <w:tblLook w:val="04A0" w:firstRow="1" w:lastRow="0" w:firstColumn="1" w:lastColumn="0" w:noHBand="0" w:noVBand="1"/>
      </w:tblPr>
      <w:tblGrid>
        <w:gridCol w:w="577"/>
        <w:gridCol w:w="9061"/>
      </w:tblGrid>
      <w:tr w:rsidR="0003438B" w:rsidRPr="002F759A" w14:paraId="0B59E6A9" w14:textId="77777777" w:rsidTr="00C426E9">
        <w:tc>
          <w:tcPr>
            <w:tcW w:w="9638" w:type="dxa"/>
            <w:gridSpan w:val="2"/>
            <w:tcMar>
              <w:left w:w="170" w:type="dxa"/>
            </w:tcMar>
          </w:tcPr>
          <w:p w14:paraId="4C44ED8C" w14:textId="77777777" w:rsidR="0003438B" w:rsidRPr="002F759A" w:rsidRDefault="0003438B" w:rsidP="00C426E9">
            <w:pPr>
              <w:pStyle w:val="Keypoints-heading"/>
            </w:pPr>
            <w:r w:rsidRPr="002F759A">
              <w:t>Key points</w:t>
            </w:r>
          </w:p>
        </w:tc>
      </w:tr>
      <w:tr w:rsidR="0003438B" w14:paraId="69264509" w14:textId="77777777" w:rsidTr="00C426E9">
        <w:tc>
          <w:tcPr>
            <w:tcW w:w="577" w:type="dxa"/>
            <w:tcMar>
              <w:top w:w="0" w:type="dxa"/>
              <w:bottom w:w="0" w:type="dxa"/>
              <w:right w:w="113" w:type="dxa"/>
            </w:tcMar>
          </w:tcPr>
          <w:p w14:paraId="12F289DC" w14:textId="77777777" w:rsidR="0003438B" w:rsidRDefault="0003438B" w:rsidP="00C426E9">
            <w:pPr>
              <w:pStyle w:val="KeyPointsicon"/>
            </w:pPr>
            <w:r w:rsidRPr="00A51374">
              <w:rPr>
                <w:noProof/>
              </w:rPr>
              <w:drawing>
                <wp:inline distT="0" distB="0" distL="0" distR="0" wp14:anchorId="27C70319" wp14:editId="18CEA595">
                  <wp:extent cx="180000" cy="18000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D9F73B1" w14:textId="6E65EF06" w:rsidR="0003438B" w:rsidRDefault="0003438B" w:rsidP="00C426E9">
            <w:pPr>
              <w:pStyle w:val="KeyPoints-Bold"/>
            </w:pPr>
            <w:r>
              <w:t>While novel, ‘new</w:t>
            </w:r>
            <w:r w:rsidR="000565F7">
              <w:noBreakHyphen/>
            </w:r>
            <w:r>
              <w:t>to</w:t>
            </w:r>
            <w:r w:rsidR="000565F7">
              <w:noBreakHyphen/>
            </w:r>
            <w:r>
              <w:t>the</w:t>
            </w:r>
            <w:r w:rsidR="000565F7">
              <w:noBreakHyphen/>
            </w:r>
            <w:r>
              <w:t xml:space="preserve">world’, innovation is an important source of economic performance, it relates to </w:t>
            </w:r>
            <w:r w:rsidRPr="00F87C87">
              <w:t xml:space="preserve">only </w:t>
            </w:r>
            <w:r w:rsidR="00030B01">
              <w:t>1</w:t>
            </w:r>
            <w:r w:rsidRPr="00F87C87">
              <w:t xml:space="preserve"> to </w:t>
            </w:r>
            <w:r w:rsidR="00030B01">
              <w:t>2</w:t>
            </w:r>
            <w:r w:rsidR="00E94315">
              <w:t>%</w:t>
            </w:r>
            <w:r w:rsidRPr="00F87C87">
              <w:t xml:space="preserve"> of Australian firms</w:t>
            </w:r>
            <w:r>
              <w:t xml:space="preserve">. The slow </w:t>
            </w:r>
            <w:r w:rsidR="00BB5600">
              <w:t>accumulation</w:t>
            </w:r>
            <w:r>
              <w:t xml:space="preserve"> of existing knowledge across the economy — diffusion — is often overlooked as a source of productivity. It has the scope to lift the performance of </w:t>
            </w:r>
            <w:r w:rsidR="006A72EB">
              <w:t>millions</w:t>
            </w:r>
            <w:r>
              <w:t xml:space="preserve"> of businesses.</w:t>
            </w:r>
          </w:p>
        </w:tc>
      </w:tr>
      <w:tr w:rsidR="0003438B" w14:paraId="25A9F424" w14:textId="77777777" w:rsidTr="00C426E9">
        <w:tc>
          <w:tcPr>
            <w:tcW w:w="577" w:type="dxa"/>
            <w:tcMar>
              <w:top w:w="0" w:type="dxa"/>
              <w:bottom w:w="0" w:type="dxa"/>
              <w:right w:w="113" w:type="dxa"/>
            </w:tcMar>
          </w:tcPr>
          <w:p w14:paraId="7C334E4C" w14:textId="77777777" w:rsidR="0003438B" w:rsidRPr="00A51374" w:rsidRDefault="0003438B" w:rsidP="00C426E9">
            <w:pPr>
              <w:pStyle w:val="KeyPointsicon"/>
            </w:pPr>
            <w:r w:rsidRPr="00F31E73">
              <w:rPr>
                <w:noProof/>
              </w:rPr>
              <w:drawing>
                <wp:inline distT="0" distB="0" distL="0" distR="0" wp14:anchorId="4AB31441" wp14:editId="531CD442">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74FA641" w14:textId="77777777" w:rsidR="0003438B" w:rsidRPr="00610627" w:rsidRDefault="0003438B" w:rsidP="00C426E9">
            <w:pPr>
              <w:pStyle w:val="KeyPoints-Bold"/>
            </w:pPr>
            <w:r w:rsidRPr="00AF6975">
              <w:t>Diffusion of knowledge in the non</w:t>
            </w:r>
            <w:r>
              <w:noBreakHyphen/>
            </w:r>
            <w:r w:rsidRPr="00AF6975">
              <w:t>market service sector, which governments control, fund and often run, can lift the quality of services central to Australians’ wellbeing (such as education and healthcare). Diffusion of best practice regulation can also raise the efficiency of the private sector</w:t>
            </w:r>
            <w:r>
              <w:t>.</w:t>
            </w:r>
          </w:p>
        </w:tc>
      </w:tr>
      <w:tr w:rsidR="0003438B" w14:paraId="62CABE9B" w14:textId="77777777" w:rsidTr="00C426E9">
        <w:tc>
          <w:tcPr>
            <w:tcW w:w="577" w:type="dxa"/>
            <w:tcMar>
              <w:top w:w="0" w:type="dxa"/>
              <w:bottom w:w="0" w:type="dxa"/>
              <w:right w:w="113" w:type="dxa"/>
            </w:tcMar>
          </w:tcPr>
          <w:p w14:paraId="0407CB78" w14:textId="77777777" w:rsidR="0003438B" w:rsidRPr="00A51374" w:rsidRDefault="0003438B" w:rsidP="00C426E9">
            <w:pPr>
              <w:pStyle w:val="KeyPointsicon"/>
            </w:pPr>
            <w:r w:rsidRPr="00F31E73">
              <w:rPr>
                <w:noProof/>
              </w:rPr>
              <w:drawing>
                <wp:inline distT="0" distB="0" distL="0" distR="0" wp14:anchorId="1407CF3B" wp14:editId="0AA5C974">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A156B86" w14:textId="727005E4" w:rsidR="0003438B" w:rsidRPr="00610627" w:rsidRDefault="00831D11" w:rsidP="00C426E9">
            <w:pPr>
              <w:pStyle w:val="KeyPoints-Bold"/>
            </w:pPr>
            <w:r>
              <w:t xml:space="preserve">Australian businesses are not keeping up to the frontier of innovation, even in comparison to similar businesses in other countries. Yet they may not be aware of how far they </w:t>
            </w:r>
            <w:proofErr w:type="gramStart"/>
            <w:r>
              <w:t>lag behind</w:t>
            </w:r>
            <w:proofErr w:type="gramEnd"/>
            <w:r>
              <w:t xml:space="preserve">. </w:t>
            </w:r>
            <w:r w:rsidR="0003438B" w:rsidRPr="00AF6975">
              <w:t xml:space="preserve">Many Australian businesses undertake little or no assessment of their performance, and overall management capability — a critical determinant of adoption of best practice — appears to be </w:t>
            </w:r>
            <w:r w:rsidR="0003438B">
              <w:t>weak</w:t>
            </w:r>
            <w:r w:rsidR="0003438B" w:rsidRPr="00AF6975">
              <w:t xml:space="preserve"> for a large share of businesses, and significantly worse on average compared with the United States</w:t>
            </w:r>
            <w:r w:rsidR="0003438B">
              <w:t>.</w:t>
            </w:r>
          </w:p>
        </w:tc>
      </w:tr>
      <w:tr w:rsidR="0003438B" w14:paraId="44FFCED9" w14:textId="77777777" w:rsidTr="00C426E9">
        <w:tc>
          <w:tcPr>
            <w:tcW w:w="577" w:type="dxa"/>
            <w:tcMar>
              <w:top w:w="0" w:type="dxa"/>
              <w:bottom w:w="0" w:type="dxa"/>
              <w:right w:w="113" w:type="dxa"/>
            </w:tcMar>
          </w:tcPr>
          <w:p w14:paraId="16FF32BA" w14:textId="77777777" w:rsidR="0003438B" w:rsidRPr="00A51374" w:rsidRDefault="0003438B" w:rsidP="00C426E9">
            <w:pPr>
              <w:pStyle w:val="KeyPointsicon"/>
            </w:pPr>
            <w:r w:rsidRPr="00F31E73">
              <w:rPr>
                <w:noProof/>
              </w:rPr>
              <w:drawing>
                <wp:inline distT="0" distB="0" distL="0" distR="0" wp14:anchorId="152E1167" wp14:editId="235E60FB">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749CB0E" w14:textId="48AC2F99" w:rsidR="0003438B" w:rsidRPr="00610627" w:rsidRDefault="0003438B" w:rsidP="00C426E9">
            <w:pPr>
              <w:pStyle w:val="KeyPoints-Bold"/>
            </w:pPr>
            <w:r w:rsidRPr="00AF6975">
              <w:t xml:space="preserve">There are signs that the ‘diffusion machine’ has weakened, with </w:t>
            </w:r>
            <w:r w:rsidR="0088584F">
              <w:t>slower</w:t>
            </w:r>
            <w:r w:rsidRPr="00AF6975">
              <w:t xml:space="preserve"> growth of most of the key factors driving diffusion — labour mobility, business exits and entries, and overall investment in capital that embed</w:t>
            </w:r>
            <w:r>
              <w:t>s</w:t>
            </w:r>
            <w:r w:rsidRPr="00AF6975">
              <w:t xml:space="preserve"> new ideas (‘capital with brains’) — such as equipment and machinery, R&amp;D and software.</w:t>
            </w:r>
          </w:p>
        </w:tc>
      </w:tr>
      <w:tr w:rsidR="0003438B" w14:paraId="2D94CB80" w14:textId="77777777" w:rsidTr="00C426E9">
        <w:tc>
          <w:tcPr>
            <w:tcW w:w="577" w:type="dxa"/>
            <w:tcMar>
              <w:top w:w="0" w:type="dxa"/>
              <w:bottom w:w="0" w:type="dxa"/>
              <w:right w:w="113" w:type="dxa"/>
            </w:tcMar>
          </w:tcPr>
          <w:p w14:paraId="24AF30DA" w14:textId="77777777" w:rsidR="0003438B" w:rsidRPr="00A51374" w:rsidRDefault="0003438B" w:rsidP="00C426E9">
            <w:pPr>
              <w:pStyle w:val="KeyPointsicon"/>
            </w:pPr>
            <w:r w:rsidRPr="00F31E73">
              <w:rPr>
                <w:noProof/>
              </w:rPr>
              <w:drawing>
                <wp:inline distT="0" distB="0" distL="0" distR="0" wp14:anchorId="76BB3860" wp14:editId="076EA7C0">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FF1E2C0" w14:textId="767DA33F" w:rsidR="0003438B" w:rsidRPr="00610627" w:rsidRDefault="0003438B" w:rsidP="00C426E9">
            <w:pPr>
              <w:pStyle w:val="KeyPoints-Bold"/>
            </w:pPr>
            <w:r w:rsidRPr="00AF6975">
              <w:t xml:space="preserve">The key policy levers for diffusion are different from </w:t>
            </w:r>
            <w:r>
              <w:t xml:space="preserve">those relevant to </w:t>
            </w:r>
            <w:r w:rsidRPr="00AF6975">
              <w:t>novel innovation. The quality of the business environment that affect</w:t>
            </w:r>
            <w:r>
              <w:t>s</w:t>
            </w:r>
            <w:r w:rsidRPr="00AF6975">
              <w:t xml:space="preserve"> knowledge flows and adoption — regulatory settings, skill formation, immigration and foreign direct investment policy, and competition policy — is far more </w:t>
            </w:r>
            <w:r w:rsidR="00C23A69">
              <w:t>critical</w:t>
            </w:r>
            <w:r w:rsidRPr="00AF6975">
              <w:t xml:space="preserve"> than </w:t>
            </w:r>
            <w:r w:rsidR="00C23A69">
              <w:t>piecemeal interventions</w:t>
            </w:r>
            <w:r w:rsidRPr="00AF6975">
              <w:t>.</w:t>
            </w:r>
          </w:p>
        </w:tc>
      </w:tr>
    </w:tbl>
    <w:p w14:paraId="675387CA" w14:textId="77777777" w:rsidR="0003438B" w:rsidRDefault="0003438B" w:rsidP="0003438B">
      <w:pPr>
        <w:pStyle w:val="Heading2"/>
      </w:pPr>
      <w:bookmarkStart w:id="10" w:name="_Toc126145984"/>
      <w:bookmarkStart w:id="11" w:name="_Toc126304778"/>
      <w:r>
        <w:t>A focus on diffusion</w:t>
      </w:r>
      <w:bookmarkEnd w:id="10"/>
      <w:bookmarkEnd w:id="11"/>
    </w:p>
    <w:p w14:paraId="0A8D4593" w14:textId="5DAFA989" w:rsidR="0003438B" w:rsidRDefault="0003438B" w:rsidP="0003438B">
      <w:pPr>
        <w:pStyle w:val="BodyText"/>
      </w:pPr>
      <w:r>
        <w:t xml:space="preserve">Advances in knowledge and technology have been the main driver of economic growth and transformation throughout history </w:t>
      </w:r>
      <w:r w:rsidRPr="10D018CB">
        <w:rPr>
          <w:rFonts w:ascii="Arial" w:hAnsi="Arial" w:cs="Arial"/>
        </w:rPr>
        <w:t>(Williamson et al. 2015)</w:t>
      </w:r>
      <w:r>
        <w:t xml:space="preserve">. </w:t>
      </w:r>
      <w:r w:rsidRPr="10D018CB">
        <w:rPr>
          <w:rFonts w:ascii="Arial" w:eastAsia="Arial" w:hAnsi="Arial" w:cs="Arial"/>
        </w:rPr>
        <w:t xml:space="preserve">Brawn aside, workers’ contribution to output reflects what is </w:t>
      </w:r>
      <w:r>
        <w:rPr>
          <w:rFonts w:ascii="Arial" w:eastAsia="Arial" w:hAnsi="Arial" w:cs="Arial"/>
        </w:rPr>
        <w:t xml:space="preserve">ultimately </w:t>
      </w:r>
      <w:r w:rsidRPr="10D018CB">
        <w:rPr>
          <w:rFonts w:ascii="Arial" w:eastAsia="Arial" w:hAnsi="Arial" w:cs="Arial"/>
        </w:rPr>
        <w:t>inside their heads</w:t>
      </w:r>
      <w:r>
        <w:rPr>
          <w:rFonts w:ascii="Arial" w:eastAsia="Arial" w:hAnsi="Arial" w:cs="Arial"/>
        </w:rPr>
        <w:t>, regardless of how it ends up there</w:t>
      </w:r>
      <w:r w:rsidRPr="10D018CB">
        <w:rPr>
          <w:rFonts w:ascii="Arial" w:eastAsia="Arial" w:hAnsi="Arial" w:cs="Arial"/>
        </w:rPr>
        <w:t xml:space="preserve">. </w:t>
      </w:r>
      <w:r>
        <w:rPr>
          <w:rFonts w:ascii="Arial" w:eastAsia="Arial" w:hAnsi="Arial" w:cs="Arial"/>
        </w:rPr>
        <w:t xml:space="preserve">Intangible capital — such as intellectual property, training, software, and organisational methods </w:t>
      </w:r>
      <w:r>
        <w:t xml:space="preserve">— are major conduits for that knowledge. But so is </w:t>
      </w:r>
      <w:r>
        <w:rPr>
          <w:rFonts w:ascii="Arial" w:eastAsia="Arial" w:hAnsi="Arial" w:cs="Arial"/>
        </w:rPr>
        <w:t>physical capital — al</w:t>
      </w:r>
      <w:r w:rsidRPr="10D018CB">
        <w:rPr>
          <w:rFonts w:ascii="Arial" w:eastAsia="Arial" w:hAnsi="Arial" w:cs="Arial"/>
        </w:rPr>
        <w:t>l machines are the physical embodiment of knowledge.</w:t>
      </w:r>
      <w:r>
        <w:rPr>
          <w:rFonts w:ascii="Arial" w:eastAsia="Arial" w:hAnsi="Arial" w:cs="Arial"/>
        </w:rPr>
        <w:t xml:space="preserve"> </w:t>
      </w:r>
      <w:r>
        <w:t>So, creating policy environments conducive to the creation of new ways of doing things (‘innovation’), and diffusing and maintaining these, is the key to being an innovative economy.</w:t>
      </w:r>
    </w:p>
    <w:p w14:paraId="68B2CF2C" w14:textId="77777777" w:rsidR="0003438B" w:rsidRDefault="0003438B" w:rsidP="0003438B">
      <w:pPr>
        <w:pStyle w:val="BodyText"/>
      </w:pPr>
      <w:r>
        <w:lastRenderedPageBreak/>
        <w:t>In Australia, innovation policy has tended to give pre</w:t>
      </w:r>
      <w:r>
        <w:noBreakHyphen/>
        <w:t xml:space="preserve">eminence to interventions that </w:t>
      </w:r>
      <w:r w:rsidRPr="00844EBC">
        <w:t xml:space="preserve">foster the </w:t>
      </w:r>
      <w:r>
        <w:t>creation</w:t>
      </w:r>
      <w:r w:rsidRPr="00844EBC">
        <w:t xml:space="preserve"> of </w:t>
      </w:r>
      <w:r>
        <w:t xml:space="preserve">novel </w:t>
      </w:r>
      <w:r w:rsidRPr="00844EBC">
        <w:t>productivity</w:t>
      </w:r>
      <w:r>
        <w:noBreakHyphen/>
      </w:r>
      <w:r w:rsidRPr="00844EBC">
        <w:t>enhancing ideas and technologies</w:t>
      </w:r>
      <w:r>
        <w:t xml:space="preserve"> in selective parts of the business sector</w:t>
      </w:r>
      <w:r w:rsidRPr="00844EBC">
        <w:t xml:space="preserve">, </w:t>
      </w:r>
      <w:r>
        <w:t>including by leveraging the frontier research expertise in universities. Policies oriented towards novel innovation can be important for productivity growth,</w:t>
      </w:r>
      <w:r w:rsidRPr="002E227D">
        <w:rPr>
          <w:rStyle w:val="FootnoteReference"/>
        </w:rPr>
        <w:footnoteReference w:id="2"/>
      </w:r>
      <w:r>
        <w:t xml:space="preserve"> though are often inadequately tested for their appropriateness, effectiveness and overall benefits.</w:t>
      </w:r>
    </w:p>
    <w:p w14:paraId="2EC2C2B9" w14:textId="487ADB5A" w:rsidR="0003438B" w:rsidRDefault="0003438B" w:rsidP="0003438B">
      <w:pPr>
        <w:pStyle w:val="BodyText"/>
      </w:pPr>
      <w:r w:rsidRPr="00E12C95">
        <w:t xml:space="preserve">One consequence is that innovation policies of seemingly general application turn out to have limited </w:t>
      </w:r>
      <w:r>
        <w:t xml:space="preserve">direct </w:t>
      </w:r>
      <w:r w:rsidRPr="00E12C95">
        <w:t>relevance to large parts of the modern economy.</w:t>
      </w:r>
      <w:r>
        <w:t xml:space="preserve"> As documented for the </w:t>
      </w:r>
      <w:r w:rsidR="009B049B">
        <w:t>United States</w:t>
      </w:r>
      <w:r>
        <w:t xml:space="preserve">, and with equal application to Australia, different parts of the economy innovate in different ways </w:t>
      </w:r>
      <w:r w:rsidRPr="00EE4616">
        <w:rPr>
          <w:rFonts w:ascii="Arial" w:hAnsi="Arial" w:cs="Arial"/>
          <w:szCs w:val="24"/>
        </w:rPr>
        <w:t>(Andrews, Chatterji and Stern 2022)</w:t>
      </w:r>
      <w:r>
        <w:t xml:space="preserve">. </w:t>
      </w:r>
      <w:r w:rsidRPr="00AC311E">
        <w:t>The manufacturing, ICT and some business service</w:t>
      </w:r>
      <w:r>
        <w:t xml:space="preserve"> industries</w:t>
      </w:r>
      <w:r w:rsidRPr="00AC311E">
        <w:t xml:space="preserve"> make considerable use of formal R&amp;D.</w:t>
      </w:r>
      <w:r w:rsidRPr="004B61DD">
        <w:rPr>
          <w:rStyle w:val="FootnoteReference"/>
        </w:rPr>
        <w:footnoteReference w:id="3"/>
      </w:r>
      <w:r w:rsidRPr="00AC311E">
        <w:t xml:space="preserve"> Much of the services sector does not. Patents are prominent in manufacturing</w:t>
      </w:r>
      <w:r>
        <w:t xml:space="preserve"> and IT development industries, </w:t>
      </w:r>
      <w:r w:rsidRPr="00433E48">
        <w:t>but of much lesser relevance in other parts of the economy</w:t>
      </w:r>
      <w:r>
        <w:t xml:space="preserve"> </w:t>
      </w:r>
      <w:r w:rsidR="00936D73" w:rsidRPr="00936D73">
        <w:rPr>
          <w:rFonts w:ascii="Arial" w:hAnsi="Arial" w:cs="Arial"/>
          <w:szCs w:val="24"/>
        </w:rPr>
        <w:t>(PC 2016a, p. 267)</w:t>
      </w:r>
      <w:r>
        <w:t>.</w:t>
      </w:r>
      <w:r w:rsidRPr="000518F2">
        <w:t xml:space="preserve"> Hence policies based on the commercialisation of patentable IP will tend to be narrow in their coverage.</w:t>
      </w:r>
      <w:r>
        <w:t xml:space="preserve"> Where innovation policy focuses mainly on cutting</w:t>
      </w:r>
      <w:r w:rsidR="00531684">
        <w:noBreakHyphen/>
      </w:r>
      <w:r>
        <w:t>edge scientific or technological breakthroughs, it tends to miss the way firms in much of the economy are innovating on the ground.</w:t>
      </w:r>
    </w:p>
    <w:p w14:paraId="00B4F0BA" w14:textId="14AC9853" w:rsidR="0003438B" w:rsidRDefault="0003438B" w:rsidP="0003438B">
      <w:pPr>
        <w:pStyle w:val="BodyText"/>
      </w:pPr>
      <w:r>
        <w:t xml:space="preserve">As noted in </w:t>
      </w:r>
      <w:r w:rsidR="001B2FD9">
        <w:t>this inquiry’s companion volume</w:t>
      </w:r>
      <w:r>
        <w:t xml:space="preserve">, </w:t>
      </w:r>
      <w:r w:rsidR="00B25A39">
        <w:rPr>
          <w:i/>
          <w:iCs/>
        </w:rPr>
        <w:t>Keys to growth</w:t>
      </w:r>
      <w:r>
        <w:t>, the Australian economy is increasingly dominated by the services sector. Key questions for innovation policy are: what does innovation look like across the broad sweep of the services sector? How do service firms innovate? How do they identify and implement changes to their service offering?</w:t>
      </w:r>
    </w:p>
    <w:p w14:paraId="19823DDC" w14:textId="6BD5C922" w:rsidR="001E5479" w:rsidRDefault="0003438B" w:rsidP="003B2192">
      <w:pPr>
        <w:pStyle w:val="BodyText"/>
      </w:pPr>
      <w:r>
        <w:t xml:space="preserve">A narrative that concentrates on </w:t>
      </w:r>
      <w:r w:rsidR="00684B74">
        <w:t>new</w:t>
      </w:r>
      <w:r w:rsidR="00A43B86">
        <w:noBreakHyphen/>
      </w:r>
      <w:r w:rsidR="00684B74">
        <w:t>to</w:t>
      </w:r>
      <w:r w:rsidR="00A43B86">
        <w:noBreakHyphen/>
      </w:r>
      <w:r w:rsidR="00684B74">
        <w:t>the</w:t>
      </w:r>
      <w:r w:rsidR="00A43B86">
        <w:noBreakHyphen/>
      </w:r>
      <w:r w:rsidR="00684B74">
        <w:t>world</w:t>
      </w:r>
      <w:r>
        <w:t xml:space="preserve"> innovation misses a significant piece of the productivity</w:t>
      </w:r>
      <w:r>
        <w:noBreakHyphen/>
        <w:t>innovation story — the huge power of small changes across many firms. Fostering the</w:t>
      </w:r>
      <w:r w:rsidRPr="00844EBC">
        <w:t xml:space="preserve"> adoption and use </w:t>
      </w:r>
      <w:r>
        <w:t xml:space="preserve">— that is, the diffusion — of new and established technologies and ideas </w:t>
      </w:r>
      <w:r w:rsidRPr="00844EBC">
        <w:t xml:space="preserve">across </w:t>
      </w:r>
      <w:proofErr w:type="gramStart"/>
      <w:r w:rsidRPr="00844EBC">
        <w:t xml:space="preserve">the </w:t>
      </w:r>
      <w:r>
        <w:t>majority of</w:t>
      </w:r>
      <w:proofErr w:type="gramEnd"/>
      <w:r>
        <w:t xml:space="preserve"> enterprises in the </w:t>
      </w:r>
      <w:r w:rsidRPr="00844EBC">
        <w:t>economy</w:t>
      </w:r>
      <w:r>
        <w:t xml:space="preserve"> represents a significant opportunity to increase productivity (box 1.1). This applies across all industries, but with </w:t>
      </w:r>
      <w:proofErr w:type="gramStart"/>
      <w:r>
        <w:t>particular relevance</w:t>
      </w:r>
      <w:proofErr w:type="gramEnd"/>
      <w:r>
        <w:t xml:space="preserve"> for services, such as in retailing, hospitality, transport and low</w:t>
      </w:r>
      <w:r>
        <w:noBreakHyphen/>
        <w:t>scale construction.</w:t>
      </w:r>
      <w:r w:rsidR="00A43B86">
        <w:t xml:space="preserve"> </w:t>
      </w:r>
    </w:p>
    <w:p w14:paraId="41F2992D" w14:textId="6A1018B3" w:rsidR="00EA5051" w:rsidRDefault="00EA5051" w:rsidP="003B2192">
      <w:pPr>
        <w:pStyle w:val="BodyText"/>
      </w:pPr>
      <w:r>
        <w:t>Diffusion will often involve the incremental adoption of already widely available, even dated innovations — for example, using accounting software to manage financials (rather than a ‘shoebox of cluttered accounts’) or creating a web page to improve the customer visibility of a business. But diffusion can also involve the absorption and adaptation of existing cutting</w:t>
      </w:r>
      <w:r>
        <w:noBreakHyphen/>
        <w:t>edge technologies, such as artificial intelligence applications to business processes. In this respect, diffusion and innovation are related concepts. A firm that adopts and possibly adapts an existing idea is a beneficiary of diffusion, but at the firm or industry level is still an innovator. Moreover, an innovative mindset and capability within firms often aids the absorption of new ideas from elsewhere. And an economy with strong diffusion channels implies a market for new ideas, hence greater incentives for new pathbreaking innovation. But a focus on diffusion is a good guide for innovation policy. In many respects, it is the main game.</w:t>
      </w:r>
    </w:p>
    <w:p w14:paraId="4BD30C45" w14:textId="77777777" w:rsidR="00B16C40" w:rsidRDefault="00B16C40" w:rsidP="00B16C40">
      <w:pPr>
        <w:pStyle w:val="NoSpacing"/>
      </w:pPr>
    </w:p>
    <w:tbl>
      <w:tblPr>
        <w:tblStyle w:val="Boxtable"/>
        <w:tblW w:w="5000" w:type="pct"/>
        <w:tblLook w:val="04A0" w:firstRow="1" w:lastRow="0" w:firstColumn="1" w:lastColumn="0" w:noHBand="0" w:noVBand="1"/>
      </w:tblPr>
      <w:tblGrid>
        <w:gridCol w:w="9638"/>
      </w:tblGrid>
      <w:tr w:rsidR="0003438B" w14:paraId="65CC57C0" w14:textId="77777777" w:rsidTr="00C426E9">
        <w:trPr>
          <w:tblHeader/>
        </w:trPr>
        <w:tc>
          <w:tcPr>
            <w:tcW w:w="9638" w:type="dxa"/>
            <w:tcMar>
              <w:top w:w="170" w:type="dxa"/>
              <w:left w:w="170" w:type="dxa"/>
              <w:bottom w:w="113" w:type="dxa"/>
              <w:right w:w="170" w:type="dxa"/>
            </w:tcMar>
            <w:hideMark/>
          </w:tcPr>
          <w:p w14:paraId="0C1D943B" w14:textId="77777777" w:rsidR="0003438B" w:rsidRDefault="0003438B" w:rsidP="0076385F">
            <w:pPr>
              <w:pStyle w:val="BoxHeading1"/>
              <w:keepLines/>
            </w:pPr>
            <w:r>
              <w:lastRenderedPageBreak/>
              <w:t>Box 1.1 – What we mean by innovation and diffusion</w:t>
            </w:r>
          </w:p>
        </w:tc>
      </w:tr>
      <w:tr w:rsidR="0003438B" w14:paraId="06D3AF2C" w14:textId="77777777" w:rsidTr="00C426E9">
        <w:tc>
          <w:tcPr>
            <w:tcW w:w="9638" w:type="dxa"/>
            <w:tcMar>
              <w:top w:w="28" w:type="dxa"/>
              <w:left w:w="170" w:type="dxa"/>
              <w:bottom w:w="170" w:type="dxa"/>
              <w:right w:w="170" w:type="dxa"/>
            </w:tcMar>
            <w:hideMark/>
          </w:tcPr>
          <w:p w14:paraId="6B4F430E" w14:textId="6C0C99C3" w:rsidR="0003438B" w:rsidRDefault="0003438B" w:rsidP="0076385F">
            <w:pPr>
              <w:pStyle w:val="BodyText"/>
              <w:keepLines/>
            </w:pPr>
            <w:r>
              <w:t>The standard definition of innovation is that it is</w:t>
            </w:r>
            <w:r w:rsidRPr="00BF4E13">
              <w:t xml:space="preserve"> the process whereby businesses, governments and other organisations and individuals </w:t>
            </w:r>
            <w:r>
              <w:t>generate</w:t>
            </w:r>
            <w:r w:rsidRPr="00BF4E13">
              <w:t xml:space="preserve"> or maintain value by </w:t>
            </w:r>
            <w:r>
              <w:t>crea</w:t>
            </w:r>
            <w:r w:rsidRPr="00BF4E13">
              <w:t>ting, adapting or using available knowledge</w:t>
            </w:r>
            <w:r>
              <w:t xml:space="preserve"> and technology</w:t>
            </w:r>
            <w:r w:rsidRPr="00BF4E13">
              <w:t xml:space="preserve"> to introduce new or improved products (goods and/or services) or internal </w:t>
            </w:r>
            <w:r>
              <w:t xml:space="preserve">business </w:t>
            </w:r>
            <w:r w:rsidRPr="00BF4E13">
              <w:t>processes.</w:t>
            </w:r>
            <w:r>
              <w:rPr>
                <w:rStyle w:val="FootnoteReference"/>
              </w:rPr>
              <w:t>a</w:t>
            </w:r>
            <w:r>
              <w:t xml:space="preserve"> Importantly, this definition includes</w:t>
            </w:r>
            <w:r w:rsidRPr="00C83819">
              <w:t xml:space="preserve"> innovation </w:t>
            </w:r>
            <w:r>
              <w:t>that is</w:t>
            </w:r>
            <w:r w:rsidRPr="00C83819">
              <w:t xml:space="preserve"> new to the world, to Australia or </w:t>
            </w:r>
            <w:r w:rsidR="00EB24CB">
              <w:t>an</w:t>
            </w:r>
            <w:r w:rsidRPr="00C83819">
              <w:t xml:space="preserve"> industry, or even just new to the firm that is adopting and implementing the idea, </w:t>
            </w:r>
            <w:r>
              <w:t xml:space="preserve">production </w:t>
            </w:r>
            <w:r w:rsidRPr="00C83819">
              <w:t>technique or technology.</w:t>
            </w:r>
          </w:p>
          <w:p w14:paraId="5ACC55EA" w14:textId="7EF89BCE" w:rsidR="0003438B" w:rsidRPr="000B44C2" w:rsidRDefault="0003438B" w:rsidP="0076385F">
            <w:pPr>
              <w:pStyle w:val="BodyText"/>
              <w:keepLines/>
              <w:rPr>
                <w:spacing w:val="-2"/>
              </w:rPr>
            </w:pPr>
            <w:r w:rsidRPr="000B44C2">
              <w:rPr>
                <w:spacing w:val="-2"/>
              </w:rPr>
              <w:t xml:space="preserve">Such innovation goes beyond physical goods with wide recognition that it also encompasses new ways to organise business processes and functions, and new marketing methods. Indeed, many important innovations have been of the organisational kind — for example, new ways to organise production and distribution — as opposed to new products (goods and/or services) or production techniques </w:t>
            </w:r>
            <w:r w:rsidRPr="000B44C2">
              <w:rPr>
                <w:rFonts w:cs="Arial"/>
                <w:spacing w:val="-2"/>
              </w:rPr>
              <w:t>(Fagerberg 2018, p. 7; Thomson and Webster 2013)</w:t>
            </w:r>
            <w:r w:rsidRPr="000B44C2">
              <w:rPr>
                <w:spacing w:val="-2"/>
              </w:rPr>
              <w:t>. Franchising, just in time inventory management, and web</w:t>
            </w:r>
            <w:r w:rsidRPr="000B44C2">
              <w:rPr>
                <w:spacing w:val="-2"/>
              </w:rPr>
              <w:noBreakHyphen/>
              <w:t>based sales are exemplars, now widely adopted globally and in Australia. The shift to working from home that occurred with the COVID</w:t>
            </w:r>
            <w:r w:rsidRPr="000B44C2">
              <w:rPr>
                <w:spacing w:val="-2"/>
              </w:rPr>
              <w:noBreakHyphen/>
              <w:t xml:space="preserve">19 pandemic represents one of the more recent shifts in how work is organised. While the productivity impacts of that shift are not yet clear, the </w:t>
            </w:r>
            <w:r w:rsidR="0019794E" w:rsidRPr="000B44C2">
              <w:rPr>
                <w:spacing w:val="-2"/>
              </w:rPr>
              <w:t xml:space="preserve">Productivity </w:t>
            </w:r>
            <w:r w:rsidRPr="000B44C2">
              <w:rPr>
                <w:spacing w:val="-2"/>
              </w:rPr>
              <w:t>Commission has speculated that working from home may ultimately lead to productivity gains at the economy</w:t>
            </w:r>
            <w:r w:rsidRPr="000B44C2">
              <w:rPr>
                <w:spacing w:val="-2"/>
              </w:rPr>
              <w:noBreakHyphen/>
              <w:t xml:space="preserve">wide level </w:t>
            </w:r>
            <w:r w:rsidRPr="000B44C2">
              <w:rPr>
                <w:rFonts w:cs="Arial"/>
                <w:spacing w:val="-2"/>
              </w:rPr>
              <w:t>(PC 2021f, p. 3), and they have certainly saved commuting times for millions of people</w:t>
            </w:r>
            <w:r w:rsidRPr="000B44C2">
              <w:rPr>
                <w:spacing w:val="-2"/>
              </w:rPr>
              <w:t>.</w:t>
            </w:r>
          </w:p>
          <w:p w14:paraId="6C08C626" w14:textId="5C2D1A4C" w:rsidR="0003438B" w:rsidRDefault="0003438B" w:rsidP="0076385F">
            <w:pPr>
              <w:pStyle w:val="BodyText"/>
              <w:keepLines/>
            </w:pPr>
            <w:r>
              <w:t>Innovation</w:t>
            </w:r>
            <w:r w:rsidRPr="00BF4E13">
              <w:t xml:space="preserve"> at the frontier of </w:t>
            </w:r>
            <w:r>
              <w:t xml:space="preserve">knowledge </w:t>
            </w:r>
            <w:r w:rsidRPr="00BF4E13">
              <w:t xml:space="preserve">represents only a small share of innovation </w:t>
            </w:r>
            <w:r>
              <w:t>activity</w:t>
            </w:r>
            <w:r w:rsidRPr="00BF4E13">
              <w:t xml:space="preserve"> </w:t>
            </w:r>
            <w:r>
              <w:t xml:space="preserve">and innovating firms </w:t>
            </w:r>
            <w:r w:rsidRPr="00BF4E13">
              <w:t xml:space="preserve">in Australia </w:t>
            </w:r>
            <w:r w:rsidRPr="003C1CF8">
              <w:rPr>
                <w:rFonts w:ascii="Arial" w:hAnsi="Arial" w:cs="Arial"/>
                <w:szCs w:val="24"/>
              </w:rPr>
              <w:t>(and in most countries, see OECD 2020)</w:t>
            </w:r>
            <w:r>
              <w:t xml:space="preserve">. Innovation </w:t>
            </w:r>
            <w:r w:rsidRPr="00CE4221">
              <w:rPr>
                <w:i/>
                <w:iCs/>
              </w:rPr>
              <w:t>diffusion</w:t>
            </w:r>
            <w:r w:rsidRPr="002102A9">
              <w:t xml:space="preserve"> — the process by which knowledge and technologies are communicated</w:t>
            </w:r>
            <w:r>
              <w:t>,</w:t>
            </w:r>
            <w:r w:rsidRPr="002102A9">
              <w:t xml:space="preserve"> adopted and </w:t>
            </w:r>
            <w:r>
              <w:t>adapted</w:t>
            </w:r>
            <w:r w:rsidRPr="002102A9">
              <w:t xml:space="preserve"> over time </w:t>
            </w:r>
            <w:r>
              <w:t xml:space="preserve">in an economy </w:t>
            </w:r>
            <w:r w:rsidRPr="002102A9">
              <w:t>—</w:t>
            </w:r>
            <w:r>
              <w:t xml:space="preserve"> </w:t>
            </w:r>
            <w:r w:rsidRPr="00D4716D">
              <w:t xml:space="preserve">is how </w:t>
            </w:r>
            <w:proofErr w:type="gramStart"/>
            <w:r w:rsidRPr="00D4716D">
              <w:t>the vast majority of</w:t>
            </w:r>
            <w:proofErr w:type="gramEnd"/>
            <w:r w:rsidRPr="00D4716D">
              <w:t xml:space="preserve"> firms achieve productivity growth</w:t>
            </w:r>
            <w:r>
              <w:t>. W</w:t>
            </w:r>
            <w:r w:rsidRPr="002102A9">
              <w:t xml:space="preserve">ithout diffusion, new technologies and knowledge </w:t>
            </w:r>
            <w:r>
              <w:t>w</w:t>
            </w:r>
            <w:r w:rsidRPr="002102A9">
              <w:t xml:space="preserve">ould have </w:t>
            </w:r>
            <w:r>
              <w:t>less</w:t>
            </w:r>
            <w:r w:rsidRPr="002102A9">
              <w:t xml:space="preserve"> impact on productivity growth</w:t>
            </w:r>
            <w:r>
              <w:t xml:space="preserve"> — innovation requires businesses and other actors to </w:t>
            </w:r>
            <w:r w:rsidRPr="00010C1A">
              <w:rPr>
                <w:i/>
              </w:rPr>
              <w:t>implement</w:t>
            </w:r>
            <w:r>
              <w:t xml:space="preserve"> or </w:t>
            </w:r>
            <w:r w:rsidRPr="00010C1A">
              <w:rPr>
                <w:i/>
              </w:rPr>
              <w:t xml:space="preserve">apply </w:t>
            </w:r>
            <w:r>
              <w:t xml:space="preserve">new ideas and technology that generate real returns </w:t>
            </w:r>
            <w:r w:rsidRPr="00693530">
              <w:rPr>
                <w:rFonts w:ascii="Arial" w:hAnsi="Arial" w:cs="Arial"/>
                <w:szCs w:val="24"/>
              </w:rPr>
              <w:t>(Hall 2004)</w:t>
            </w:r>
            <w:r w:rsidRPr="002102A9">
              <w:t>.</w:t>
            </w:r>
          </w:p>
          <w:p w14:paraId="7FF2B11C" w14:textId="00D16A23" w:rsidR="003F21E3" w:rsidRDefault="003F21E3" w:rsidP="003F21E3">
            <w:pPr>
              <w:pStyle w:val="BodyText"/>
            </w:pPr>
            <w:r>
              <w:t>Modest incremental low</w:t>
            </w:r>
            <w:r>
              <w:noBreakHyphen/>
              <w:t xml:space="preserve">cost changes to a business’ processes, goods and services (‘micro innovations’) that underpin much diffusion shift firms closer to the </w:t>
            </w:r>
            <w:proofErr w:type="gramStart"/>
            <w:r>
              <w:t>frontier, and</w:t>
            </w:r>
            <w:proofErr w:type="gramEnd"/>
            <w:r>
              <w:t xml:space="preserve"> can creep up on organisations because they are adopted in response to the demands of others. Cash</w:t>
            </w:r>
            <w:r>
              <w:noBreakHyphen/>
              <w:t>free transactions, for example, became essential for many organisations during the COVID</w:t>
            </w:r>
            <w:r>
              <w:noBreakHyphen/>
              <w:t>19 pandemic, as did online ordering and video</w:t>
            </w:r>
            <w:r>
              <w:noBreakHyphen/>
              <w:t xml:space="preserve">conferencing. The Restaurant and Catering Association told the </w:t>
            </w:r>
            <w:r w:rsidR="0019794E">
              <w:t xml:space="preserve">Productivity </w:t>
            </w:r>
            <w:r>
              <w:t>Commission that most cafes and restaurants now use Uber Eats/Deliveroo (R&amp;CA, pers. comm., 9 June 2022) — a massive uptake of technology compared with their previous models of delivery. Most regulators have relinquished paper forms (their own micro innovation), which in turn has required the regulated to go online. New equipment incorporates new technologies that require workers to learn new skills and firms to make organisational changes to use the equipment effectively. For example, new heavy vehicles have additional safety measures that their drivers and owners must understand and use, while mechanics for such equipment must acquire new skills (and diagnostic equipment).</w:t>
            </w:r>
          </w:p>
          <w:p w14:paraId="3E3B5FB6" w14:textId="76C8129E" w:rsidR="0003438B" w:rsidRDefault="0003438B" w:rsidP="0076385F">
            <w:pPr>
              <w:pStyle w:val="Note"/>
              <w:keepLines/>
            </w:pPr>
            <w:r w:rsidRPr="000B44C2">
              <w:rPr>
                <w:b/>
              </w:rPr>
              <w:t>a.</w:t>
            </w:r>
            <w:r w:rsidRPr="00885D0E">
              <w:rPr>
                <w:bCs/>
              </w:rPr>
              <w:t xml:space="preserve"> </w:t>
            </w:r>
            <w:r w:rsidRPr="009B1381">
              <w:t>Consistent with OECD/Eurostat (2018). Process innovations include new or improved methods for producing goods and services; organisational forms; marketing methods.</w:t>
            </w:r>
          </w:p>
        </w:tc>
      </w:tr>
      <w:tr w:rsidR="0003438B" w14:paraId="05EECC6B" w14:textId="77777777" w:rsidTr="00C426E9">
        <w:trPr>
          <w:hidden/>
        </w:trPr>
        <w:tc>
          <w:tcPr>
            <w:tcW w:w="9638" w:type="dxa"/>
            <w:shd w:val="clear" w:color="auto" w:fill="auto"/>
            <w:tcMar>
              <w:top w:w="0" w:type="dxa"/>
              <w:left w:w="170" w:type="dxa"/>
              <w:bottom w:w="0" w:type="dxa"/>
              <w:right w:w="170" w:type="dxa"/>
            </w:tcMar>
          </w:tcPr>
          <w:p w14:paraId="01F3ED9A" w14:textId="55E82DF6" w:rsidR="0003438B" w:rsidRPr="00465191" w:rsidRDefault="0003438B" w:rsidP="0076385F">
            <w:pPr>
              <w:pStyle w:val="BodyText"/>
              <w:keepLines/>
              <w:spacing w:before="0" w:after="0" w:line="80" w:lineRule="atLeast"/>
              <w:rPr>
                <w:smallCaps/>
                <w:vanish/>
              </w:rPr>
            </w:pPr>
          </w:p>
        </w:tc>
      </w:tr>
    </w:tbl>
    <w:p w14:paraId="7B11E14C" w14:textId="42D14C1F" w:rsidR="00A02102" w:rsidRPr="003770CF" w:rsidRDefault="00A02102" w:rsidP="0061630F">
      <w:pPr>
        <w:pStyle w:val="BodyText"/>
        <w:pageBreakBefore/>
        <w:rPr>
          <w:spacing w:val="-2"/>
        </w:rPr>
      </w:pPr>
      <w:r w:rsidRPr="003770CF">
        <w:rPr>
          <w:spacing w:val="-2"/>
        </w:rPr>
        <w:lastRenderedPageBreak/>
        <w:t>Some proponents of new</w:t>
      </w:r>
      <w:r w:rsidR="00A43B86">
        <w:rPr>
          <w:spacing w:val="-2"/>
        </w:rPr>
        <w:noBreakHyphen/>
      </w:r>
      <w:r w:rsidRPr="003770CF">
        <w:rPr>
          <w:spacing w:val="-2"/>
        </w:rPr>
        <w:t>to</w:t>
      </w:r>
      <w:r w:rsidR="00A43B86">
        <w:rPr>
          <w:spacing w:val="-2"/>
        </w:rPr>
        <w:noBreakHyphen/>
      </w:r>
      <w:r w:rsidRPr="003770CF">
        <w:rPr>
          <w:spacing w:val="-2"/>
        </w:rPr>
        <w:t>the</w:t>
      </w:r>
      <w:r w:rsidR="00A43B86">
        <w:rPr>
          <w:spacing w:val="-2"/>
        </w:rPr>
        <w:noBreakHyphen/>
      </w:r>
      <w:r w:rsidRPr="003770CF">
        <w:rPr>
          <w:spacing w:val="-2"/>
        </w:rPr>
        <w:t xml:space="preserve">world innovation policy have concerns about a focus on diffusion. In their view, Australia will </w:t>
      </w:r>
      <w:proofErr w:type="gramStart"/>
      <w:r w:rsidRPr="003770CF">
        <w:rPr>
          <w:spacing w:val="-2"/>
        </w:rPr>
        <w:t>lag behind</w:t>
      </w:r>
      <w:proofErr w:type="gramEnd"/>
      <w:r w:rsidRPr="003770CF">
        <w:rPr>
          <w:spacing w:val="-2"/>
        </w:rPr>
        <w:t xml:space="preserve"> unless it develops successful new</w:t>
      </w:r>
      <w:r w:rsidR="00A43B86">
        <w:rPr>
          <w:spacing w:val="-2"/>
        </w:rPr>
        <w:noBreakHyphen/>
      </w:r>
      <w:r w:rsidRPr="003770CF">
        <w:rPr>
          <w:spacing w:val="-2"/>
        </w:rPr>
        <w:t>to</w:t>
      </w:r>
      <w:r w:rsidR="00A43B86">
        <w:rPr>
          <w:spacing w:val="-2"/>
        </w:rPr>
        <w:noBreakHyphen/>
      </w:r>
      <w:r w:rsidRPr="003770CF">
        <w:rPr>
          <w:spacing w:val="-2"/>
        </w:rPr>
        <w:t>the</w:t>
      </w:r>
      <w:r w:rsidR="00A43B86">
        <w:rPr>
          <w:spacing w:val="-2"/>
        </w:rPr>
        <w:noBreakHyphen/>
      </w:r>
      <w:r w:rsidRPr="003770CF">
        <w:rPr>
          <w:spacing w:val="-2"/>
        </w:rPr>
        <w:t>world exports in growth industries. However, policies that help diffusion are not at the expense of businesses’ attempts to create flagship new</w:t>
      </w:r>
      <w:r w:rsidR="00A43B86">
        <w:rPr>
          <w:spacing w:val="-2"/>
        </w:rPr>
        <w:noBreakHyphen/>
      </w:r>
      <w:r w:rsidRPr="003770CF">
        <w:rPr>
          <w:spacing w:val="-2"/>
        </w:rPr>
        <w:t>to</w:t>
      </w:r>
      <w:r w:rsidR="00A43B86">
        <w:rPr>
          <w:spacing w:val="-2"/>
        </w:rPr>
        <w:noBreakHyphen/>
      </w:r>
      <w:r w:rsidRPr="003770CF">
        <w:rPr>
          <w:spacing w:val="-2"/>
        </w:rPr>
        <w:t>the</w:t>
      </w:r>
      <w:r w:rsidR="00A43B86">
        <w:rPr>
          <w:spacing w:val="-2"/>
        </w:rPr>
        <w:noBreakHyphen/>
      </w:r>
      <w:r w:rsidRPr="003770CF">
        <w:rPr>
          <w:spacing w:val="-2"/>
        </w:rPr>
        <w:t>world products, and there are already many polices aimed in the latter’s direction. And prosperity is not reliant on the growth in exports of such flagship products. Even if resource prices fall in the future, Australia — as a country with a highly skilled workforce and other endowments</w:t>
      </w:r>
      <w:r w:rsidR="00A43B86">
        <w:rPr>
          <w:spacing w:val="-2"/>
        </w:rPr>
        <w:t xml:space="preserve"> </w:t>
      </w:r>
      <w:r w:rsidRPr="003770CF">
        <w:rPr>
          <w:spacing w:val="-2"/>
        </w:rPr>
        <w:t xml:space="preserve">— will continue to enjoy a comparative advantage in and export a range of goods and services (including tourism, education and some professional and technology services), as it imports goods and services that are produced better or more cheaply overseas. </w:t>
      </w:r>
    </w:p>
    <w:p w14:paraId="4ED9230C" w14:textId="6EAAE5B5" w:rsidR="00560A12" w:rsidRDefault="00A02102" w:rsidP="00542271">
      <w:pPr>
        <w:pStyle w:val="BodyText"/>
      </w:pPr>
      <w:r w:rsidRPr="00AC4187">
        <w:t xml:space="preserve">Productivity gains in </w:t>
      </w:r>
      <w:proofErr w:type="gramStart"/>
      <w:r w:rsidRPr="00AC4187">
        <w:t xml:space="preserve">all </w:t>
      </w:r>
      <w:r>
        <w:t>of</w:t>
      </w:r>
      <w:proofErr w:type="gramEnd"/>
      <w:r>
        <w:t xml:space="preserve"> these</w:t>
      </w:r>
      <w:r w:rsidRPr="00AC4187">
        <w:t xml:space="preserve"> sectors will be important and will be supported by more diffusion.</w:t>
      </w:r>
      <w:r w:rsidRPr="001E5479">
        <w:t xml:space="preserve"> </w:t>
      </w:r>
      <w:r w:rsidR="00B67290" w:rsidRPr="00AF274C">
        <w:t>Stylised whole</w:t>
      </w:r>
      <w:r w:rsidR="00A43B86">
        <w:noBreakHyphen/>
      </w:r>
      <w:r w:rsidR="00B67290" w:rsidRPr="00AF274C">
        <w:t>of</w:t>
      </w:r>
      <w:r w:rsidR="00A43B86">
        <w:noBreakHyphen/>
      </w:r>
      <w:r w:rsidR="00B67290" w:rsidRPr="00AF274C">
        <w:t xml:space="preserve">economy modelling undertaken by the Commission for this inquiry found that potential productivity improvements arising from </w:t>
      </w:r>
      <w:r w:rsidR="006860E3" w:rsidRPr="00AF274C">
        <w:t xml:space="preserve">more diffusion </w:t>
      </w:r>
      <w:r w:rsidR="00C74F94" w:rsidRPr="00AF274C">
        <w:t>of new ideas</w:t>
      </w:r>
      <w:r w:rsidR="00542271" w:rsidRPr="00AF274C">
        <w:t xml:space="preserve">, </w:t>
      </w:r>
      <w:r w:rsidR="009A6A45" w:rsidRPr="00AF274C">
        <w:t xml:space="preserve">knowledge, business models, technologies </w:t>
      </w:r>
      <w:r w:rsidR="00542271" w:rsidRPr="00AF274C">
        <w:t xml:space="preserve">and capabilities </w:t>
      </w:r>
      <w:r w:rsidR="00B67290" w:rsidRPr="00AF274C">
        <w:t xml:space="preserve">would lead to increased real GDP, gross national income and </w:t>
      </w:r>
      <w:r w:rsidR="006D7DC8" w:rsidRPr="00AF274C">
        <w:t>individual wellbeing</w:t>
      </w:r>
      <w:r w:rsidR="00B67290" w:rsidRPr="00AF274C">
        <w:t xml:space="preserve"> (appendix</w:t>
      </w:r>
      <w:r w:rsidR="00A43B86">
        <w:t> </w:t>
      </w:r>
      <w:r w:rsidR="00B67290" w:rsidRPr="00AF274C">
        <w:t>A).</w:t>
      </w:r>
    </w:p>
    <w:p w14:paraId="3524E371" w14:textId="56F73818" w:rsidR="0003438B" w:rsidRDefault="0003438B" w:rsidP="0003438B">
      <w:pPr>
        <w:pStyle w:val="BodyText"/>
      </w:pPr>
      <w:r>
        <w:t xml:space="preserve">For many organisations, diffusion involves lower risks, shorter lead times, less external funding and </w:t>
      </w:r>
      <w:r w:rsidR="000C2337">
        <w:t>fewer demands</w:t>
      </w:r>
      <w:r>
        <w:t xml:space="preserve"> for a specialised workforce — making it attractive for the bulk of organisation</w:t>
      </w:r>
      <w:r w:rsidRPr="00333C40">
        <w:rPr>
          <w:rFonts w:ascii="Arial" w:hAnsi="Arial" w:cs="Arial"/>
          <w:szCs w:val="24"/>
        </w:rPr>
        <w:t xml:space="preserve">s. </w:t>
      </w:r>
      <w:r>
        <w:rPr>
          <w:rFonts w:ascii="Arial" w:hAnsi="Arial" w:cs="Arial"/>
          <w:szCs w:val="24"/>
        </w:rPr>
        <w:t>T</w:t>
      </w:r>
      <w:r w:rsidRPr="00333C40">
        <w:rPr>
          <w:rFonts w:ascii="Arial" w:hAnsi="Arial" w:cs="Arial"/>
          <w:szCs w:val="24"/>
        </w:rPr>
        <w:t xml:space="preserve">he strategy of seeking out, adapting and implementing existing innovations appears to have been a successful strategy for many Australian firms </w:t>
      </w:r>
      <w:r w:rsidRPr="00000035">
        <w:rPr>
          <w:rFonts w:ascii="Arial" w:hAnsi="Arial" w:cs="Arial"/>
          <w:szCs w:val="24"/>
        </w:rPr>
        <w:t>(DIIS 2017)</w:t>
      </w:r>
      <w:r w:rsidRPr="00333C40">
        <w:rPr>
          <w:rFonts w:ascii="Arial" w:hAnsi="Arial" w:cs="Arial"/>
          <w:szCs w:val="24"/>
        </w:rPr>
        <w:t>.</w:t>
      </w:r>
      <w:r w:rsidRPr="00046B6A">
        <w:t xml:space="preserve"> </w:t>
      </w:r>
      <w:r w:rsidR="00F91DC7">
        <w:t>Indeed, the</w:t>
      </w:r>
      <w:r>
        <w:t xml:space="preserve"> productivity slowdown may reflect</w:t>
      </w:r>
      <w:r w:rsidR="00FD00B6">
        <w:t xml:space="preserve"> a</w:t>
      </w:r>
      <w:r>
        <w:t xml:space="preserve"> </w:t>
      </w:r>
      <w:r w:rsidR="00F91DC7">
        <w:t>slowing</w:t>
      </w:r>
      <w:r w:rsidR="00FD00B6">
        <w:t xml:space="preserve"> of</w:t>
      </w:r>
      <w:r>
        <w:t xml:space="preserve"> diffusion </w:t>
      </w:r>
      <w:r w:rsidR="005914CE">
        <w:t xml:space="preserve">processes </w:t>
      </w:r>
      <w:r>
        <w:t xml:space="preserve">rather than </w:t>
      </w:r>
      <w:r w:rsidR="005B6A46">
        <w:t>less fundamental</w:t>
      </w:r>
      <w:r>
        <w:t xml:space="preserve"> innovation (as discussed further below).</w:t>
      </w:r>
    </w:p>
    <w:p w14:paraId="633623DB" w14:textId="300D933F" w:rsidR="0003438B" w:rsidRDefault="0003438B" w:rsidP="0003438B">
      <w:pPr>
        <w:pStyle w:val="BodyText"/>
      </w:pPr>
      <w:r>
        <w:t xml:space="preserve">Moreover, as a small, open economy with, by global standards, limited resources and R&amp;D capacity, many ideas and technologies will come from outside Australia, underlining the importance of a global perspective on diffusion. </w:t>
      </w:r>
      <w:r w:rsidR="0050191D">
        <w:t>For example, t</w:t>
      </w:r>
      <w:r>
        <w:t xml:space="preserve">he challenges posed by climate adaptation and mitigation will require the adoption </w:t>
      </w:r>
      <w:r w:rsidR="00555F62">
        <w:t xml:space="preserve">and adaption </w:t>
      </w:r>
      <w:r>
        <w:t xml:space="preserve">of existing technologies as much as the development of entirely new ones. </w:t>
      </w:r>
    </w:p>
    <w:p w14:paraId="3F0CE691" w14:textId="77777777" w:rsidR="0003438B" w:rsidRDefault="0003438B" w:rsidP="0003438B">
      <w:pPr>
        <w:pStyle w:val="Heading3"/>
      </w:pPr>
      <w:r>
        <w:t>Diffusion pushes more firms to the frontier</w:t>
      </w:r>
    </w:p>
    <w:p w14:paraId="6CF6225D" w14:textId="1D493A1F" w:rsidR="0003438B" w:rsidRPr="00361052" w:rsidRDefault="0003438B" w:rsidP="0003438B">
      <w:pPr>
        <w:pStyle w:val="BodyText"/>
        <w:rPr>
          <w:spacing w:val="-2"/>
        </w:rPr>
      </w:pPr>
      <w:r w:rsidRPr="00361052">
        <w:rPr>
          <w:spacing w:val="-2"/>
        </w:rPr>
        <w:t>Diffusion increases the productivity of those organisations that adopt and adapt existing, but new</w:t>
      </w:r>
      <w:r w:rsidRPr="00361052">
        <w:rPr>
          <w:spacing w:val="-2"/>
        </w:rPr>
        <w:noBreakHyphen/>
        <w:t>to</w:t>
      </w:r>
      <w:r w:rsidRPr="00361052">
        <w:rPr>
          <w:spacing w:val="-2"/>
        </w:rPr>
        <w:noBreakHyphen/>
        <w:t>the</w:t>
      </w:r>
      <w:r w:rsidRPr="00361052">
        <w:rPr>
          <w:spacing w:val="-2"/>
        </w:rPr>
        <w:noBreakHyphen/>
        <w:t>business technologies and processes. This changes the relative proportions of low versus medium versus high performing organisations in the economy, raising national productivity. Among any group of organisations (comprising businesses, not</w:t>
      </w:r>
      <w:r w:rsidRPr="00361052">
        <w:rPr>
          <w:spacing w:val="-2"/>
        </w:rPr>
        <w:noBreakHyphen/>
        <w:t>for</w:t>
      </w:r>
      <w:r w:rsidR="000565F7" w:rsidRPr="00361052">
        <w:rPr>
          <w:spacing w:val="-2"/>
        </w:rPr>
        <w:noBreakHyphen/>
      </w:r>
      <w:r w:rsidRPr="00361052">
        <w:rPr>
          <w:spacing w:val="-2"/>
        </w:rPr>
        <w:t>profit organisations and public sector agencies) there are some that are at the frontier of performance. These make the best use of their resources, are dynamic and future</w:t>
      </w:r>
      <w:r w:rsidRPr="00361052">
        <w:rPr>
          <w:spacing w:val="-2"/>
        </w:rPr>
        <w:noBreakHyphen/>
        <w:t>focused, and are quick adopters of others’ technologies. They may develop new</w:t>
      </w:r>
      <w:r w:rsidRPr="00361052">
        <w:rPr>
          <w:spacing w:val="-2"/>
        </w:rPr>
        <w:noBreakHyphen/>
        <w:t>to</w:t>
      </w:r>
      <w:r w:rsidRPr="00361052">
        <w:rPr>
          <w:spacing w:val="-2"/>
        </w:rPr>
        <w:noBreakHyphen/>
        <w:t>the</w:t>
      </w:r>
      <w:r w:rsidRPr="00361052">
        <w:rPr>
          <w:spacing w:val="-2"/>
        </w:rPr>
        <w:noBreakHyphen/>
        <w:t>world innovations, though that need not be a key feature of their operations. The more organisations in an economy that are like this, the more productive is society overall, and the more rapidly it can absorb global technologies.</w:t>
      </w:r>
    </w:p>
    <w:p w14:paraId="399133E2" w14:textId="77777777" w:rsidR="0003438B" w:rsidRDefault="0003438B" w:rsidP="0003438B">
      <w:pPr>
        <w:pStyle w:val="BodyText"/>
      </w:pPr>
      <w:r>
        <w:t>The bulk of organisations are behind the frontier, but by varying degrees — some close, some distant. Closing the gap between their performance and that of the best would increase average economy</w:t>
      </w:r>
      <w:r>
        <w:noBreakHyphen/>
        <w:t>wide productivity. That can occur through four mechanisms:</w:t>
      </w:r>
      <w:r w:rsidRPr="002E227D">
        <w:rPr>
          <w:rStyle w:val="FootnoteReference"/>
        </w:rPr>
        <w:footnoteReference w:id="4"/>
      </w:r>
    </w:p>
    <w:p w14:paraId="128046BC" w14:textId="77777777" w:rsidR="0003438B" w:rsidRDefault="0003438B" w:rsidP="00D85CBA">
      <w:pPr>
        <w:pStyle w:val="ListBullet"/>
      </w:pPr>
      <w:r>
        <w:t>exit by those entities that have few prospects of improving (and therefore ‘natural selection’ of the fittest)</w:t>
      </w:r>
    </w:p>
    <w:p w14:paraId="5E2667C5" w14:textId="77777777" w:rsidR="0003438B" w:rsidRDefault="0003438B" w:rsidP="00D85CBA">
      <w:pPr>
        <w:pStyle w:val="ListBullet"/>
      </w:pPr>
      <w:r>
        <w:t>entry by entities that are generally more efficient</w:t>
      </w:r>
    </w:p>
    <w:p w14:paraId="0267E9BB" w14:textId="77777777" w:rsidR="0003438B" w:rsidRDefault="0003438B" w:rsidP="00D85CBA">
      <w:pPr>
        <w:pStyle w:val="ListBullet"/>
      </w:pPr>
      <w:r>
        <w:t>growth in the capabilities of the viable but lagging surviving entities</w:t>
      </w:r>
    </w:p>
    <w:p w14:paraId="677E5365" w14:textId="77777777" w:rsidR="0003438B" w:rsidRDefault="0003438B" w:rsidP="00D85CBA">
      <w:pPr>
        <w:pStyle w:val="ListBullet"/>
      </w:pPr>
      <w:r>
        <w:t>through competitive pressures, increases in the market share of the most productive entities.</w:t>
      </w:r>
    </w:p>
    <w:p w14:paraId="745226D4" w14:textId="53614BE9" w:rsidR="0003438B" w:rsidRDefault="0003438B" w:rsidP="0003438B">
      <w:pPr>
        <w:pStyle w:val="BodyText"/>
      </w:pPr>
      <w:r>
        <w:t>These mechanisms increase the average proximity of organisations to the frontier. One of the unique features of organisations run by the public sector, like schools, is that exits are rare and competition for the market is not very important, and so diffusion can only occur through the other mechanisms.</w:t>
      </w:r>
    </w:p>
    <w:p w14:paraId="0EA87B65" w14:textId="3C4D4DA2" w:rsidR="0003438B" w:rsidRDefault="0003438B" w:rsidP="0003438B">
      <w:pPr>
        <w:pStyle w:val="BodyText"/>
      </w:pPr>
      <w:r>
        <w:lastRenderedPageBreak/>
        <w:t>Figure </w:t>
      </w:r>
      <w:bookmarkStart w:id="12" w:name="_1724152063"/>
      <w:bookmarkEnd w:id="12"/>
      <w:r>
        <w:t xml:space="preserve">1.1 is a hypothetical depiction of the process, underpinned by some quantitative assumptions, which illustrates the effects of the above mechanisms. It illustrates that the reallocation of resources </w:t>
      </w:r>
      <w:r w:rsidR="003A286E">
        <w:t>—</w:t>
      </w:r>
      <w:r>
        <w:t xml:space="preserve"> from failing firms to new firms that are more efficient — can be an important driver of economy</w:t>
      </w:r>
      <w:r>
        <w:noBreakHyphen/>
        <w:t>wide productivity. The likely bigger effect arises when the surviving firms adopt better ways of producing their outputs and when the market share of the most productive firms rises. More output is produced by firms approaching the frontier.</w:t>
      </w:r>
    </w:p>
    <w:p w14:paraId="70928637" w14:textId="354F1490" w:rsidR="0003438B" w:rsidRDefault="0003438B" w:rsidP="0003438B">
      <w:pPr>
        <w:pStyle w:val="BodyText"/>
      </w:pPr>
      <w:r>
        <w:t xml:space="preserve">Figure 1.1 ignores a vital dynamic feature of real markets — the frontier moves out as there are new global and domestic innovations. This creates new laggards. Global frontier technologies are not immediately diffused to all firms, being first adopted (and if necessary, adapted to the domestic context) by the most productive firms in an economy, before diffusing to other firms </w:t>
      </w:r>
      <w:r w:rsidRPr="009F2B74">
        <w:rPr>
          <w:rFonts w:ascii="Arial" w:hAnsi="Arial" w:cs="Arial"/>
          <w:szCs w:val="24"/>
        </w:rPr>
        <w:t>(Saia, Andrews and Albrizio 2015)</w:t>
      </w:r>
      <w:r>
        <w:t>.</w:t>
      </w:r>
    </w:p>
    <w:p w14:paraId="4033D27C" w14:textId="4C27CEBF" w:rsidR="0003438B" w:rsidRDefault="0003438B" w:rsidP="0003438B">
      <w:pPr>
        <w:pStyle w:val="FigureTableHeading"/>
        <w:rPr>
          <w:rStyle w:val="NoteLabel"/>
        </w:rPr>
      </w:pPr>
      <w:r>
        <w:t>Figure </w:t>
      </w:r>
      <w:bookmarkStart w:id="13" w:name="OLE_LINK1"/>
      <w:r>
        <w:rPr>
          <w:noProof/>
        </w:rPr>
        <w:t>1</w:t>
      </w:r>
      <w:r>
        <w:t>.</w:t>
      </w:r>
      <w:r>
        <w:rPr>
          <w:noProof/>
        </w:rPr>
        <w:t>1</w:t>
      </w:r>
      <w:bookmarkEnd w:id="13"/>
      <w:r>
        <w:rPr>
          <w:noProof/>
        </w:rPr>
        <w:t xml:space="preserve"> </w:t>
      </w:r>
      <w:r>
        <w:t>– Diffusion and firm exits compress relative productivity</w:t>
      </w:r>
      <w:r w:rsidRPr="00066CF5">
        <w:rPr>
          <w:vertAlign w:val="superscript"/>
        </w:rPr>
        <w:t>a</w:t>
      </w:r>
    </w:p>
    <w:p w14:paraId="1F1EA51B" w14:textId="77777777" w:rsidR="0003438B" w:rsidRPr="00146382" w:rsidRDefault="0003438B" w:rsidP="0003438B">
      <w:pPr>
        <w:pStyle w:val="FigureTableSubheading"/>
        <w:keepLines/>
      </w:pPr>
      <w:r>
        <w:t xml:space="preserve">A simulation </w:t>
      </w:r>
    </w:p>
    <w:p w14:paraId="75B0D047" w14:textId="7D7AA78D" w:rsidR="0003438B" w:rsidRDefault="00927203" w:rsidP="0003438B">
      <w:pPr>
        <w:pStyle w:val="BodyText"/>
      </w:pPr>
      <w:r w:rsidRPr="00927203">
        <w:rPr>
          <w:noProof/>
        </w:rPr>
        <w:drawing>
          <wp:inline distT="0" distB="0" distL="0" distR="0" wp14:anchorId="2B4B2646" wp14:editId="1D0DDA5D">
            <wp:extent cx="6120130" cy="2974340"/>
            <wp:effectExtent l="0" t="0" r="0" b="0"/>
            <wp:docPr id="26" name="Picture 26" descr="This figure shows a simulation of the share of businesses by relative productivity in three stages – the status quo, after low performing, or zombie, firms exit, and after surviving firms become higher performing. It shows that overall productivity increases by 1.9% when zombie firms exit and a further 5.9% increase when remaining firms move closer to the fronti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figure shows a simulation of the share of businesses by relative productivity in three stages – the status quo, after low performing, or zombie, firms exit, and after surviving firms become higher performing. It shows that overall productivity increases by 1.9% when zombie firms exit and a further 5.9% increase when remaining firms move closer to the frontier.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974340"/>
                    </a:xfrm>
                    <a:prstGeom prst="rect">
                      <a:avLst/>
                    </a:prstGeom>
                    <a:noFill/>
                    <a:ln>
                      <a:noFill/>
                    </a:ln>
                  </pic:spPr>
                </pic:pic>
              </a:graphicData>
            </a:graphic>
          </wp:inline>
        </w:drawing>
      </w:r>
    </w:p>
    <w:p w14:paraId="1B331AF9" w14:textId="77777777" w:rsidR="0003438B" w:rsidRDefault="0003438B" w:rsidP="0003438B">
      <w:pPr>
        <w:pStyle w:val="Note"/>
      </w:pPr>
      <w:r w:rsidRPr="00736102">
        <w:rPr>
          <w:b/>
        </w:rPr>
        <w:t>a.</w:t>
      </w:r>
      <w:r>
        <w:t xml:space="preserve"> The example assumes that exits are offset by entries, with entries more likely to be higher performing. The distribution of productivity performance is illustrative, with the assumed average relative productivity of any group relative to the most efficient organisation being 0.45 for very low performers (that is, productivity just less than half of the best performer), 0.6 for low performers, 0.755 for mediocre performers, 0.855 for medium performers, 0.925 for high performers and 0.975 for the frontier organisations. The changing shifts in the shares of organisations in each productivity grouping is assumed but does not represent large shifts in the standard deviation of the distribution of productivity levels across organisations. The average productivity of the ‘after exits’ case increases by about </w:t>
      </w:r>
      <w:r w:rsidRPr="00E91BCD">
        <w:t>0.16 deviations (based on the status quo distribution of productivity values) and by 0.35 standard deviations for the ‘closing the gap’ scenario</w:t>
      </w:r>
      <w:r>
        <w:t xml:space="preserve">. </w:t>
      </w:r>
    </w:p>
    <w:p w14:paraId="733AA603" w14:textId="08F66060" w:rsidR="000D691F" w:rsidRDefault="00E80EEB" w:rsidP="000D691F">
      <w:pPr>
        <w:pStyle w:val="Heading3"/>
      </w:pPr>
      <w:r>
        <w:t>The pace of diffusion differs across firms</w:t>
      </w:r>
      <w:r w:rsidR="000D691F">
        <w:t xml:space="preserve"> </w:t>
      </w:r>
    </w:p>
    <w:p w14:paraId="4EAF3DBF" w14:textId="6F066022" w:rsidR="0003438B" w:rsidRDefault="008007F6" w:rsidP="0003438B">
      <w:pPr>
        <w:pStyle w:val="BodyText"/>
      </w:pPr>
      <w:r>
        <w:t>There are many parts to f</w:t>
      </w:r>
      <w:r w:rsidR="00E00687">
        <w:t>irm</w:t>
      </w:r>
      <w:r w:rsidR="0052016E">
        <w:t>s’</w:t>
      </w:r>
      <w:r w:rsidR="00E00687">
        <w:t xml:space="preserve"> decisions about adopting innovations</w:t>
      </w:r>
      <w:r>
        <w:t xml:space="preserve">. </w:t>
      </w:r>
      <w:r w:rsidR="0003438B">
        <w:t xml:space="preserve">Where diffusion consists of making an investment, this can </w:t>
      </w:r>
      <w:r w:rsidR="006E355C">
        <w:t xml:space="preserve">give the </w:t>
      </w:r>
      <w:r w:rsidR="0003438B">
        <w:t xml:space="preserve">business </w:t>
      </w:r>
      <w:r w:rsidR="006E355C">
        <w:t>a</w:t>
      </w:r>
      <w:r w:rsidR="0003438B">
        <w:t xml:space="preserve"> ‘technology’</w:t>
      </w:r>
      <w:r w:rsidR="0003438B" w:rsidRPr="002E227D">
        <w:rPr>
          <w:rStyle w:val="FootnoteReference"/>
        </w:rPr>
        <w:footnoteReference w:id="5"/>
      </w:r>
      <w:r w:rsidR="0003438B">
        <w:t xml:space="preserve"> </w:t>
      </w:r>
      <w:r w:rsidR="00B336B8">
        <w:t xml:space="preserve">that looks </w:t>
      </w:r>
      <w:proofErr w:type="gramStart"/>
      <w:r w:rsidR="00B336B8">
        <w:t>similar to</w:t>
      </w:r>
      <w:proofErr w:type="gramEnd"/>
      <w:r w:rsidR="0003438B">
        <w:t xml:space="preserve"> frontier businesses. But the investment entails costs, such as any equipment or software purchases, staff re</w:t>
      </w:r>
      <w:r w:rsidR="0003438B">
        <w:noBreakHyphen/>
        <w:t>skilling, and organisational changes needed for adoption. If those costs are not adequately offset by increased returns, then adoption reduces the firm’s income, though it may still increase labour productivity.</w:t>
      </w:r>
    </w:p>
    <w:p w14:paraId="33E0ADD7" w14:textId="6A98F2B4" w:rsidR="0003438B" w:rsidRPr="006A38A4" w:rsidRDefault="0003438B" w:rsidP="0003438B">
      <w:pPr>
        <w:pStyle w:val="BodyText"/>
        <w:rPr>
          <w:spacing w:val="-2"/>
        </w:rPr>
      </w:pPr>
      <w:r w:rsidRPr="006A38A4">
        <w:rPr>
          <w:spacing w:val="-2"/>
        </w:rPr>
        <w:lastRenderedPageBreak/>
        <w:t xml:space="preserve">Organisations vary in their capability to absorb existing technologies and in their need for them. </w:t>
      </w:r>
      <w:proofErr w:type="gramStart"/>
      <w:r w:rsidRPr="006A38A4">
        <w:rPr>
          <w:spacing w:val="-2"/>
        </w:rPr>
        <w:t>So</w:t>
      </w:r>
      <w:proofErr w:type="gramEnd"/>
      <w:r w:rsidRPr="006A38A4">
        <w:rPr>
          <w:spacing w:val="-2"/>
        </w:rPr>
        <w:t xml:space="preserve"> for some organisations, adopting an innovation later, if at all, may be a better strategy </w:t>
      </w:r>
      <w:r w:rsidRPr="006A38A4">
        <w:rPr>
          <w:rFonts w:cs="Arial"/>
          <w:spacing w:val="-2"/>
          <w:szCs w:val="24"/>
        </w:rPr>
        <w:t>(Geroski 2000)</w:t>
      </w:r>
      <w:r w:rsidRPr="006A38A4">
        <w:rPr>
          <w:spacing w:val="-2"/>
        </w:rPr>
        <w:t>. This allows them to obtain new technologies at lower prices, to draw on a growing pool of people familiar with the technology and to use the lessons learned from early adopters, whether in Australia or more likely overseas. Waiting can also reduce the risk of committing to path</w:t>
      </w:r>
      <w:r w:rsidRPr="006A38A4">
        <w:rPr>
          <w:spacing w:val="-2"/>
        </w:rPr>
        <w:noBreakHyphen/>
        <w:t>dependent technologies that may be sub</w:t>
      </w:r>
      <w:r w:rsidRPr="006A38A4">
        <w:rPr>
          <w:spacing w:val="-2"/>
        </w:rPr>
        <w:noBreakHyphen/>
        <w:t>optimal in the long run.</w:t>
      </w:r>
    </w:p>
    <w:p w14:paraId="4D79E8B2" w14:textId="0459CE81" w:rsidR="0003438B" w:rsidRDefault="0003438B" w:rsidP="0003438B">
      <w:pPr>
        <w:pStyle w:val="BodyText"/>
      </w:pPr>
      <w:r>
        <w:t>For other businesses, diffusion of a productivity</w:t>
      </w:r>
      <w:r>
        <w:noBreakHyphen/>
        <w:t>promoting technology requires complementary investments and other changes to their processes</w:t>
      </w:r>
      <w:r w:rsidR="004A0DA0">
        <w:t xml:space="preserve">, and the full set of investments may be </w:t>
      </w:r>
      <w:r w:rsidR="007A399F">
        <w:t>too costly</w:t>
      </w:r>
      <w:r w:rsidR="00CF38E6">
        <w:t xml:space="preserve"> — particularly for </w:t>
      </w:r>
      <w:r w:rsidR="0058123B">
        <w:t>small and medium enterprises (SMEs)</w:t>
      </w:r>
      <w:r w:rsidR="0064145E">
        <w:t xml:space="preserve">, </w:t>
      </w:r>
      <w:r w:rsidR="004303B3">
        <w:t>which a</w:t>
      </w:r>
      <w:r w:rsidR="008A7E77">
        <w:t xml:space="preserve">re the most common type of business in Australia </w:t>
      </w:r>
      <w:r w:rsidR="00116531" w:rsidRPr="00116531">
        <w:rPr>
          <w:rFonts w:ascii="Arial" w:hAnsi="Arial" w:cs="Arial"/>
          <w:szCs w:val="24"/>
        </w:rPr>
        <w:t>(PC 2021d, p. 5)</w:t>
      </w:r>
      <w:r>
        <w:t>. For instance, effective digitalisation of businesses requires skills and integration of systems, yet nearly 60</w:t>
      </w:r>
      <w:r w:rsidR="00E94315">
        <w:t>%</w:t>
      </w:r>
      <w:r>
        <w:t xml:space="preserve"> of Australian SMEs experience ‘bad digitalisation’ </w:t>
      </w:r>
      <w:r w:rsidR="00FC4D74" w:rsidRPr="00FC4D74">
        <w:rPr>
          <w:rFonts w:ascii="Arial" w:hAnsi="Arial" w:cs="Arial"/>
          <w:szCs w:val="24"/>
        </w:rPr>
        <w:t>(MYOB 2022)</w:t>
      </w:r>
      <w:r>
        <w:t>.</w:t>
      </w:r>
    </w:p>
    <w:p w14:paraId="58E0DB77" w14:textId="5056112E" w:rsidR="0003438B" w:rsidRDefault="0003438B" w:rsidP="0003438B">
      <w:pPr>
        <w:pStyle w:val="BodyText"/>
      </w:pPr>
      <w:r>
        <w:t>Some firms are ‘satisficers’, and do not necessarily want to advance much towards the frontier or have little realistic prospect of transforming their businesses. These might be pejoratively called ‘laggards’, but they can serve people’s lifestyle choices and may improve labour market efficiency in some cases.</w:t>
      </w:r>
    </w:p>
    <w:p w14:paraId="45504629" w14:textId="51DFBE23" w:rsidR="0003438B" w:rsidRDefault="0003438B" w:rsidP="0003438B">
      <w:pPr>
        <w:pStyle w:val="Quote"/>
      </w:pPr>
      <w:r>
        <w:t xml:space="preserve">… some of the laggards with limited scope for growth, such as some family businesses, may still support employment, in particular for workers with </w:t>
      </w:r>
      <w:proofErr w:type="gramStart"/>
      <w:r>
        <w:t>lower than average</w:t>
      </w:r>
      <w:proofErr w:type="gramEnd"/>
      <w:r>
        <w:t xml:space="preserve"> employability and in lagging regions. </w:t>
      </w:r>
      <w:r w:rsidRPr="00631963">
        <w:rPr>
          <w:rFonts w:ascii="Arial" w:hAnsi="Arial" w:cs="Arial"/>
          <w:szCs w:val="24"/>
        </w:rPr>
        <w:t>(Berlingieri et al. 2020, p. 20)</w:t>
      </w:r>
    </w:p>
    <w:p w14:paraId="33A07C3F" w14:textId="63EA8B95" w:rsidR="0003438B" w:rsidRDefault="0003438B" w:rsidP="0003438B">
      <w:pPr>
        <w:pStyle w:val="BodyText"/>
      </w:pPr>
      <w:r>
        <w:t xml:space="preserve">In meetings with various industry associations, the </w:t>
      </w:r>
      <w:r w:rsidR="0019794E">
        <w:t xml:space="preserve">Productivity </w:t>
      </w:r>
      <w:r>
        <w:t>Commission was often told about business owners — typically of smaller businesses — who have little time to put aside to focus on innovation or future</w:t>
      </w:r>
      <w:r w:rsidR="006B3635">
        <w:noBreakHyphen/>
      </w:r>
      <w:r>
        <w:t>looking business strategies. For these businesses, the impetus for change comes from external advice (by their accountants for example) or from impending closure.</w:t>
      </w:r>
    </w:p>
    <w:p w14:paraId="2ECB3F33" w14:textId="79D887E8" w:rsidR="0003438B" w:rsidRPr="00BE1F47" w:rsidRDefault="0003438B" w:rsidP="0003438B">
      <w:pPr>
        <w:pStyle w:val="BodyText"/>
        <w:rPr>
          <w:spacing w:val="-2"/>
        </w:rPr>
      </w:pPr>
      <w:r w:rsidRPr="006A38A4">
        <w:rPr>
          <w:spacing w:val="-4"/>
        </w:rPr>
        <w:t>Moreover, in some cases, a new technology or organisational innovation has limited applicability to many businesses, such that their absence is not a problem. For example, the take</w:t>
      </w:r>
      <w:r w:rsidR="000565F7" w:rsidRPr="006A38A4">
        <w:rPr>
          <w:spacing w:val="-4"/>
        </w:rPr>
        <w:noBreakHyphen/>
      </w:r>
      <w:r w:rsidRPr="006A38A4">
        <w:rPr>
          <w:spacing w:val="-4"/>
        </w:rPr>
        <w:t>up of working from home — spurred by lockdowns and COVID</w:t>
      </w:r>
      <w:r w:rsidR="000565F7" w:rsidRPr="006A38A4">
        <w:rPr>
          <w:spacing w:val="-4"/>
        </w:rPr>
        <w:noBreakHyphen/>
      </w:r>
      <w:r w:rsidRPr="006A38A4">
        <w:rPr>
          <w:spacing w:val="-4"/>
        </w:rPr>
        <w:t xml:space="preserve">19 infection risks — represented a new, or at least more frequently, adopted way of organising work. Its diffusion amongst businesses was variable, but in many instances, a low rate of adoption is </w:t>
      </w:r>
      <w:r w:rsidRPr="00BE1F47">
        <w:rPr>
          <w:spacing w:val="-2"/>
        </w:rPr>
        <w:t xml:space="preserve">desirable (or inevitable) given the nature of the businesses. Very few businesses in accommodation, food services and construction have any significant share of their workforce working from home as their businesses rely on workers being physically present at the location of production </w:t>
      </w:r>
      <w:r w:rsidR="00116531" w:rsidRPr="00BE1F47">
        <w:rPr>
          <w:rFonts w:cs="Arial"/>
          <w:spacing w:val="-2"/>
          <w:szCs w:val="24"/>
        </w:rPr>
        <w:t>(PC 2021e, p. 16)</w:t>
      </w:r>
      <w:r w:rsidRPr="00BE1F47">
        <w:rPr>
          <w:spacing w:val="-2"/>
        </w:rPr>
        <w:t>.</w:t>
      </w:r>
    </w:p>
    <w:p w14:paraId="464457DA" w14:textId="275CA014" w:rsidR="0003438B" w:rsidRDefault="0003438B" w:rsidP="0003438B">
      <w:pPr>
        <w:pStyle w:val="BodyText"/>
      </w:pPr>
      <w:r>
        <w:t xml:space="preserve">The Commission’s analysis of cloud computing further illustrates the complexity of firm variations in adoption of technology </w:t>
      </w:r>
      <w:r w:rsidR="00116531" w:rsidRPr="00116531">
        <w:rPr>
          <w:rFonts w:ascii="Arial" w:hAnsi="Arial" w:cs="Arial"/>
          <w:szCs w:val="24"/>
        </w:rPr>
        <w:t>(McMillan et al. 2022)</w:t>
      </w:r>
      <w:r>
        <w:t>. We found four groups of businesses — those who adopted cloud services and benefitted from them (</w:t>
      </w:r>
      <w:r w:rsidRPr="00212C9C">
        <w:rPr>
          <w:i/>
          <w:iCs/>
        </w:rPr>
        <w:t>leaders</w:t>
      </w:r>
      <w:r>
        <w:t>), those who did not adopt and should not have (</w:t>
      </w:r>
      <w:r w:rsidRPr="00212C9C">
        <w:rPr>
          <w:i/>
          <w:iCs/>
        </w:rPr>
        <w:t>wise non</w:t>
      </w:r>
      <w:r>
        <w:rPr>
          <w:i/>
          <w:iCs/>
        </w:rPr>
        <w:noBreakHyphen/>
      </w:r>
      <w:r w:rsidRPr="00212C9C">
        <w:rPr>
          <w:i/>
          <w:iCs/>
        </w:rPr>
        <w:t>adopters</w:t>
      </w:r>
      <w:r>
        <w:t>), those who adopted them but should not have (</w:t>
      </w:r>
      <w:r w:rsidRPr="00212C9C">
        <w:rPr>
          <w:i/>
          <w:iCs/>
        </w:rPr>
        <w:t>‘naïve’ leaders</w:t>
      </w:r>
      <w:r>
        <w:t>), and finally those that did not adopt, but should have (</w:t>
      </w:r>
      <w:r w:rsidRPr="00EA229D">
        <w:rPr>
          <w:i/>
          <w:iCs/>
        </w:rPr>
        <w:t>true</w:t>
      </w:r>
      <w:r>
        <w:t xml:space="preserve"> </w:t>
      </w:r>
      <w:r w:rsidRPr="00212C9C">
        <w:rPr>
          <w:i/>
          <w:iCs/>
        </w:rPr>
        <w:t>laggards</w:t>
      </w:r>
      <w:r>
        <w:t>). A policy and economic environment that limits the significance of naïve leaders and laggards will tend to improve productivity.</w:t>
      </w:r>
    </w:p>
    <w:p w14:paraId="46EB153F" w14:textId="3FE49FF9" w:rsidR="0003438B" w:rsidRDefault="0003438B" w:rsidP="0003438B">
      <w:pPr>
        <w:pStyle w:val="BodyText"/>
      </w:pPr>
      <w:r>
        <w:t>Finally, the resources for being at the frontier are scarce in Australia, regardless of whether the organisation is private, public sector or not</w:t>
      </w:r>
      <w:r>
        <w:noBreakHyphen/>
        <w:t>for</w:t>
      </w:r>
      <w:r>
        <w:noBreakHyphen/>
        <w:t>profit. For example, one of the challenges for many social programs is that they rely on highly skilled and motivated staff and managers, who are in short supply, meaning that complete diffusion of best practice is not feasible.</w:t>
      </w:r>
    </w:p>
    <w:p w14:paraId="439ADD90" w14:textId="5E369BD1" w:rsidR="0003438B" w:rsidRDefault="00BC2A5E" w:rsidP="0003438B">
      <w:pPr>
        <w:pStyle w:val="Heading2"/>
      </w:pPr>
      <w:bookmarkStart w:id="14" w:name="_Toc126145985"/>
      <w:bookmarkStart w:id="15" w:name="_Toc126304779"/>
      <w:r>
        <w:t>Innovation and diffusion in</w:t>
      </w:r>
      <w:r w:rsidR="0003438B">
        <w:t xml:space="preserve"> Australia</w:t>
      </w:r>
      <w:bookmarkEnd w:id="14"/>
      <w:bookmarkEnd w:id="15"/>
    </w:p>
    <w:p w14:paraId="041C15CE" w14:textId="13FF2442" w:rsidR="00CF5257" w:rsidRDefault="0003438B" w:rsidP="00CF5257">
      <w:pPr>
        <w:pStyle w:val="BodyText"/>
      </w:pPr>
      <w:r>
        <w:t xml:space="preserve">Most Australian businesses do not introduce </w:t>
      </w:r>
      <w:r w:rsidRPr="004D286C">
        <w:t xml:space="preserve">new or </w:t>
      </w:r>
      <w:r w:rsidRPr="00DF691F">
        <w:rPr>
          <w:i/>
          <w:iCs/>
        </w:rPr>
        <w:t>significantly</w:t>
      </w:r>
      <w:r w:rsidRPr="004D286C">
        <w:t xml:space="preserve"> improved</w:t>
      </w:r>
      <w:r>
        <w:t xml:space="preserve"> products or processes (the usual measure of innovation). For example, i</w:t>
      </w:r>
      <w:r w:rsidRPr="00BB7821">
        <w:t>n the two years ending mid</w:t>
      </w:r>
      <w:r w:rsidRPr="00BB7821">
        <w:noBreakHyphen/>
        <w:t xml:space="preserve">2021, </w:t>
      </w:r>
      <w:r w:rsidRPr="00ED46E8">
        <w:t>almost</w:t>
      </w:r>
      <w:r w:rsidRPr="00BB7821">
        <w:t xml:space="preserve"> 80</w:t>
      </w:r>
      <w:r w:rsidR="00E94315">
        <w:t>%</w:t>
      </w:r>
      <w:r w:rsidRPr="00BB7821">
        <w:t xml:space="preserve"> of Australian businesses did not introduce any (significant) new good or service, and </w:t>
      </w:r>
      <w:r w:rsidRPr="00ED46E8">
        <w:t>over</w:t>
      </w:r>
      <w:r w:rsidRPr="00BB7821">
        <w:t xml:space="preserve"> 60</w:t>
      </w:r>
      <w:r w:rsidR="00E94315">
        <w:t>%</w:t>
      </w:r>
      <w:r w:rsidRPr="00BB7821">
        <w:t xml:space="preserve"> did not introduce a new process</w:t>
      </w:r>
      <w:r>
        <w:t xml:space="preserve"> </w:t>
      </w:r>
      <w:r w:rsidR="00936D73" w:rsidRPr="00936D73">
        <w:rPr>
          <w:rFonts w:ascii="Arial" w:hAnsi="Arial" w:cs="Arial"/>
          <w:szCs w:val="24"/>
        </w:rPr>
        <w:t>(ABS 2022c)</w:t>
      </w:r>
      <w:r w:rsidR="00CF5257">
        <w:t xml:space="preserve">. And far fewer Australian businesses are at the global frontier in respect to innovation </w:t>
      </w:r>
      <w:r w:rsidR="00CF5257">
        <w:lastRenderedPageBreak/>
        <w:t xml:space="preserve">— over the same period, </w:t>
      </w:r>
      <w:r w:rsidR="00CF5257" w:rsidRPr="004E4ABF">
        <w:t>more than 98</w:t>
      </w:r>
      <w:r w:rsidR="00E94315">
        <w:t>%</w:t>
      </w:r>
      <w:r w:rsidR="00CF5257" w:rsidRPr="004E4ABF">
        <w:t xml:space="preserve"> of businesses did not introduce any goods or services that were new to the world and almost 99</w:t>
      </w:r>
      <w:r w:rsidR="00E94315">
        <w:t>%</w:t>
      </w:r>
      <w:r w:rsidR="00CF5257" w:rsidRPr="004E4ABF">
        <w:t xml:space="preserve"> did not introduce any processes that were new to the world.</w:t>
      </w:r>
      <w:r w:rsidR="00CF5257">
        <w:t xml:space="preserve"> Looking at this tiny group of firms therefore misses the bulk of those innovating.</w:t>
      </w:r>
    </w:p>
    <w:p w14:paraId="447D2586" w14:textId="6E952BB2" w:rsidR="00CF5257" w:rsidRDefault="00CF5257" w:rsidP="00CF5257">
      <w:pPr>
        <w:pStyle w:val="BodyText"/>
      </w:pPr>
      <w:r>
        <w:t xml:space="preserve">When businesses do innovate, </w:t>
      </w:r>
      <w:proofErr w:type="gramStart"/>
      <w:r>
        <w:t>the vast majority of</w:t>
      </w:r>
      <w:proofErr w:type="gramEnd"/>
      <w:r>
        <w:t xml:space="preserve"> new products or processes are only new to the business — which is one measure of diffusion </w:t>
      </w:r>
      <w:r w:rsidR="00176779">
        <w:t>as</w:t>
      </w:r>
      <w:r>
        <w:t xml:space="preserve"> such innovation draws on other established products and processes (figure </w:t>
      </w:r>
      <w:r w:rsidR="0003438B">
        <w:t>1.2</w:t>
      </w:r>
      <w:r>
        <w:t>).</w:t>
      </w:r>
    </w:p>
    <w:p w14:paraId="28CC16DB" w14:textId="08BDD9D3" w:rsidR="00CF5257" w:rsidRPr="00146382" w:rsidRDefault="00CF5257" w:rsidP="00CF5257">
      <w:pPr>
        <w:pStyle w:val="FigureTableHeading"/>
      </w:pPr>
      <w:r>
        <w:t>Figure </w:t>
      </w:r>
      <w:r>
        <w:rPr>
          <w:noProof/>
        </w:rPr>
        <w:t>1</w:t>
      </w:r>
      <w:r>
        <w:t>.</w:t>
      </w:r>
      <w:r>
        <w:rPr>
          <w:noProof/>
        </w:rPr>
        <w:t xml:space="preserve">2 </w:t>
      </w:r>
      <w:r>
        <w:t>– Most Australian business innovations are only new to the firm</w:t>
      </w:r>
      <w:r w:rsidRPr="00066CF5">
        <w:rPr>
          <w:vertAlign w:val="superscript"/>
        </w:rPr>
        <w:t>a</w:t>
      </w:r>
    </w:p>
    <w:p w14:paraId="3895971E" w14:textId="77777777" w:rsidR="00CF5257" w:rsidRDefault="00CF5257" w:rsidP="00CF5257">
      <w:pPr>
        <w:pStyle w:val="FigureTableSubheading"/>
        <w:keepLines/>
      </w:pPr>
      <w:r>
        <w:t>Product and process innovation, 2 years ending June 2021</w:t>
      </w:r>
    </w:p>
    <w:p w14:paraId="5DD31F48" w14:textId="727CE1A6" w:rsidR="00CF5257" w:rsidRPr="005550A0" w:rsidRDefault="00A2559D" w:rsidP="00CF5257">
      <w:pPr>
        <w:pStyle w:val="BodyText"/>
      </w:pPr>
      <w:r w:rsidRPr="00A2559D">
        <w:rPr>
          <w:noProof/>
        </w:rPr>
        <w:drawing>
          <wp:inline distT="0" distB="0" distL="0" distR="0" wp14:anchorId="47A87A1D" wp14:editId="51F0081E">
            <wp:extent cx="5964854" cy="2515870"/>
            <wp:effectExtent l="0" t="0" r="0" b="0"/>
            <wp:docPr id="33" name="Picture 33" descr="This figure shows the share of innovating businesses that engage in product and process innovations that are new to the world, new to Australia, new to their industry or new to their business only; covering the period over 2 years ending June 2021. It shows that most business innovations are only new to busines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figure shows the share of innovating businesses that engage in product and process innovations that are new to the world, new to Australia, new to their industry or new to their business only; covering the period over 2 years ending June 2021. It shows that most business innovations are only new to businesses.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37"/>
                    <a:stretch/>
                  </pic:blipFill>
                  <pic:spPr bwMode="auto">
                    <a:xfrm>
                      <a:off x="0" y="0"/>
                      <a:ext cx="5964854" cy="2515870"/>
                    </a:xfrm>
                    <a:prstGeom prst="rect">
                      <a:avLst/>
                    </a:prstGeom>
                    <a:noFill/>
                    <a:ln>
                      <a:noFill/>
                    </a:ln>
                    <a:extLst>
                      <a:ext uri="{53640926-AAD7-44D8-BBD7-CCE9431645EC}">
                        <a14:shadowObscured xmlns:a14="http://schemas.microsoft.com/office/drawing/2010/main"/>
                      </a:ext>
                    </a:extLst>
                  </pic:spPr>
                </pic:pic>
              </a:graphicData>
            </a:graphic>
          </wp:inline>
        </w:drawing>
      </w:r>
    </w:p>
    <w:p w14:paraId="0763EEA4" w14:textId="77777777" w:rsidR="00CF5257" w:rsidRDefault="00CF5257" w:rsidP="00CF5257">
      <w:pPr>
        <w:pStyle w:val="Note"/>
        <w:keepLines/>
      </w:pPr>
      <w:r w:rsidRPr="00180E66">
        <w:rPr>
          <w:b/>
          <w:bCs/>
        </w:rPr>
        <w:t>a.</w:t>
      </w:r>
      <w:r>
        <w:t xml:space="preserve"> </w:t>
      </w:r>
      <w:r w:rsidRPr="00D9704F">
        <w:t>Process innovations include new or improved methods for producing goods and services; organisational forms; and marketing methods.</w:t>
      </w:r>
      <w:r>
        <w:t xml:space="preserve"> </w:t>
      </w:r>
    </w:p>
    <w:p w14:paraId="1FC6C91F" w14:textId="6AD9D589" w:rsidR="00CF5257" w:rsidRDefault="00CF5257" w:rsidP="00CF5257">
      <w:pPr>
        <w:pStyle w:val="Source"/>
      </w:pPr>
      <w:r w:rsidRPr="00696447">
        <w:t xml:space="preserve">Source: </w:t>
      </w:r>
      <w:r>
        <w:t>ABS (</w:t>
      </w:r>
      <w:r w:rsidRPr="009C3E99">
        <w:rPr>
          <w:i/>
          <w:iCs/>
        </w:rPr>
        <w:t>Innovation in Australian Business</w:t>
      </w:r>
      <w:r w:rsidRPr="006D4D6B">
        <w:rPr>
          <w:i/>
          <w:iCs/>
        </w:rPr>
        <w:t xml:space="preserve">, </w:t>
      </w:r>
      <w:r w:rsidRPr="00F52608">
        <w:t>2020</w:t>
      </w:r>
      <w:r w:rsidRPr="00F52608">
        <w:noBreakHyphen/>
        <w:t>21 financial year</w:t>
      </w:r>
      <w:r>
        <w:t xml:space="preserve">, Cat. No. </w:t>
      </w:r>
      <w:r w:rsidRPr="006D4D6B">
        <w:t>8158</w:t>
      </w:r>
      <w:r w:rsidRPr="00696447">
        <w:t>.</w:t>
      </w:r>
      <w:r>
        <w:t>0</w:t>
      </w:r>
      <w:r w:rsidR="002279AB">
        <w:t>)</w:t>
      </w:r>
      <w:r w:rsidRPr="00696447">
        <w:t>.</w:t>
      </w:r>
    </w:p>
    <w:p w14:paraId="1B4FA7A9" w14:textId="4BEA8C0A" w:rsidR="001A05AB" w:rsidRDefault="005207A6" w:rsidP="001A05AB">
      <w:pPr>
        <w:pStyle w:val="BodyText"/>
      </w:pPr>
      <w:r>
        <w:t>C</w:t>
      </w:r>
      <w:r w:rsidR="00D84D81">
        <w:t xml:space="preserve">ompared </w:t>
      </w:r>
      <w:r w:rsidR="00C20866">
        <w:t>with</w:t>
      </w:r>
      <w:r w:rsidR="00D84D81">
        <w:t xml:space="preserve"> other countries, Australia receives a mixed report card </w:t>
      </w:r>
      <w:r>
        <w:t>on innovation and diffusion. T</w:t>
      </w:r>
      <w:r w:rsidR="001A05AB">
        <w:t xml:space="preserve">he World Intellectual Property Organisation paints a dismal picture of Australia as a weak diffuser — </w:t>
      </w:r>
      <w:r w:rsidR="001A05AB" w:rsidRPr="009907BA">
        <w:t>78</w:t>
      </w:r>
      <w:r w:rsidR="001A05AB" w:rsidRPr="009907BA">
        <w:rPr>
          <w:vertAlign w:val="superscript"/>
        </w:rPr>
        <w:t>th</w:t>
      </w:r>
      <w:r w:rsidR="001A05AB" w:rsidRPr="009907BA">
        <w:t xml:space="preserve"> in the world in knowledge diffusion and 52</w:t>
      </w:r>
      <w:r w:rsidR="001A05AB" w:rsidRPr="009907BA">
        <w:rPr>
          <w:vertAlign w:val="superscript"/>
        </w:rPr>
        <w:t>nd</w:t>
      </w:r>
      <w:r w:rsidR="001A05AB" w:rsidRPr="009907BA">
        <w:t xml:space="preserve"> in terms of knowledge absorption</w:t>
      </w:r>
      <w:r w:rsidR="001A05AB">
        <w:t xml:space="preserve"> </w:t>
      </w:r>
      <w:r w:rsidR="001A05AB" w:rsidRPr="00295182">
        <w:rPr>
          <w:rFonts w:ascii="Arial" w:hAnsi="Arial" w:cs="Arial"/>
          <w:szCs w:val="24"/>
        </w:rPr>
        <w:t>(WIPO 2021, p. 47)</w:t>
      </w:r>
      <w:r w:rsidR="001A05AB">
        <w:t xml:space="preserve">. </w:t>
      </w:r>
      <w:r w:rsidR="00B71576">
        <w:t>However, t</w:t>
      </w:r>
      <w:r w:rsidR="001A05AB">
        <w:t>he WIPO definition</w:t>
      </w:r>
      <w:r w:rsidR="00C37788">
        <w:t>s</w:t>
      </w:r>
      <w:r w:rsidR="001A05AB">
        <w:t xml:space="preserve"> of diffusion</w:t>
      </w:r>
      <w:r w:rsidR="00C37788">
        <w:t xml:space="preserve"> and absorption</w:t>
      </w:r>
      <w:r w:rsidR="00E76960" w:rsidRPr="002E227D">
        <w:rPr>
          <w:rStyle w:val="FootnoteReference"/>
        </w:rPr>
        <w:footnoteReference w:id="6"/>
      </w:r>
      <w:r w:rsidR="001A05AB" w:rsidDel="00E76960">
        <w:t xml:space="preserve"> </w:t>
      </w:r>
      <w:r w:rsidR="00C37788">
        <w:t xml:space="preserve">are </w:t>
      </w:r>
      <w:r w:rsidR="001A05AB" w:rsidRPr="006B2884">
        <w:t>problematic measure</w:t>
      </w:r>
      <w:r w:rsidR="00C37788">
        <w:t>s</w:t>
      </w:r>
      <w:r w:rsidR="001A05AB" w:rsidRPr="006B2884">
        <w:t xml:space="preserve"> in the sense meant by this report because </w:t>
      </w:r>
      <w:r w:rsidR="008C0B83">
        <w:t xml:space="preserve">they only narrowly </w:t>
      </w:r>
      <w:r w:rsidR="00C81F0C">
        <w:t>capture</w:t>
      </w:r>
      <w:r w:rsidR="008C0B83">
        <w:t xml:space="preserve"> the ways in which diffusion and absorption of knowledge occurs in an </w:t>
      </w:r>
      <w:r w:rsidR="001A05AB" w:rsidDel="00EA68DB">
        <w:t>economy</w:t>
      </w:r>
      <w:r w:rsidR="001A05AB">
        <w:t>. Accordingly,</w:t>
      </w:r>
      <w:r w:rsidR="001A05AB" w:rsidDel="00C81F0C">
        <w:t xml:space="preserve"> </w:t>
      </w:r>
      <w:r w:rsidR="001A05AB">
        <w:t>these measures have the same bias that surrounds typical narratives of innovation, accentuating high</w:t>
      </w:r>
      <w:r w:rsidR="001A05AB">
        <w:noBreakHyphen/>
        <w:t>technology and manufacturing, and ignoring the non</w:t>
      </w:r>
      <w:r w:rsidR="001A05AB">
        <w:noBreakHyphen/>
        <w:t>business sector and non</w:t>
      </w:r>
      <w:r w:rsidR="001A05AB">
        <w:noBreakHyphen/>
        <w:t>traded sector despite their pre</w:t>
      </w:r>
      <w:r w:rsidR="001A05AB">
        <w:noBreakHyphen/>
        <w:t>eminence in modern economies like Australia.</w:t>
      </w:r>
    </w:p>
    <w:p w14:paraId="7915E2E2" w14:textId="77777777" w:rsidR="001A05AB" w:rsidRDefault="001A05AB" w:rsidP="001A05AB">
      <w:pPr>
        <w:pStyle w:val="BodyText"/>
      </w:pPr>
      <w:r>
        <w:t>Better measures of diffusion and diffusion capability paint a more sanguine, albeit still mixed, picture of Australia’s comparative diffusion performance.</w:t>
      </w:r>
    </w:p>
    <w:p w14:paraId="57ADEF29" w14:textId="0EEA0CB9" w:rsidR="001A05AB" w:rsidRDefault="001A05AB" w:rsidP="00EE3985">
      <w:pPr>
        <w:pStyle w:val="BodyText"/>
      </w:pPr>
      <w:r>
        <w:t xml:space="preserve">Global comparisons of the uptake of certain digital technologies, such as business adoption of cloud computing and broadband connections, suggest that Australian businesses are moderate or fast adopters in some areas and slow in others. For example, in 2020 more than </w:t>
      </w:r>
      <w:r w:rsidRPr="009C4944">
        <w:t>70</w:t>
      </w:r>
      <w:r w:rsidR="00E94315">
        <w:t>%</w:t>
      </w:r>
      <w:r>
        <w:t xml:space="preserve"> of Australian businesses with employment of 10 or more people had purchased cloud computing services, which places Australia in the </w:t>
      </w:r>
      <w:r>
        <w:lastRenderedPageBreak/>
        <w:t>top 5</w:t>
      </w:r>
      <w:r w:rsidR="00E94315">
        <w:t>%</w:t>
      </w:r>
      <w:r>
        <w:t xml:space="preserve"> of firms in the OECD.</w:t>
      </w:r>
      <w:r w:rsidRPr="002E227D">
        <w:rPr>
          <w:rStyle w:val="FootnoteReference"/>
        </w:rPr>
        <w:footnoteReference w:id="7"/>
      </w:r>
      <w:r>
        <w:t xml:space="preserve"> On the other hand, Australian businesses’ take up of more advanced digital capabilities, like big data analysis and artificial intelligence (AI), lags most other developed economies </w:t>
      </w:r>
      <w:r w:rsidRPr="00123921">
        <w:rPr>
          <w:rFonts w:ascii="Arial" w:hAnsi="Arial" w:cs="Arial"/>
          <w:szCs w:val="24"/>
        </w:rPr>
        <w:t>(PC 2022a)</w:t>
      </w:r>
      <w:r>
        <w:t>. The rate of AI adoption, for example, is relatively low with Australia in the 15</w:t>
      </w:r>
      <w:r w:rsidRPr="002E32D9">
        <w:rPr>
          <w:vertAlign w:val="superscript"/>
        </w:rPr>
        <w:t>th</w:t>
      </w:r>
      <w:r>
        <w:t xml:space="preserve"> percentile among OECD countries in 2020.</w:t>
      </w:r>
    </w:p>
    <w:p w14:paraId="19AF9A7F" w14:textId="62BA7226" w:rsidR="009C385C" w:rsidRDefault="005D0011" w:rsidP="001A05AB">
      <w:pPr>
        <w:pStyle w:val="BodyText"/>
      </w:pPr>
      <w:r>
        <w:t xml:space="preserve">Overall rates of goods and services </w:t>
      </w:r>
      <w:r w:rsidR="00347576">
        <w:t xml:space="preserve">(product) </w:t>
      </w:r>
      <w:r>
        <w:t>innovation — which includes new</w:t>
      </w:r>
      <w:r>
        <w:noBreakHyphen/>
        <w:t>to</w:t>
      </w:r>
      <w:r>
        <w:noBreakHyphen/>
        <w:t>the</w:t>
      </w:r>
      <w:r>
        <w:noBreakHyphen/>
        <w:t>world, new</w:t>
      </w:r>
      <w:r>
        <w:noBreakHyphen/>
        <w:t>to</w:t>
      </w:r>
      <w:r>
        <w:noBreakHyphen/>
        <w:t>Australia and new</w:t>
      </w:r>
      <w:r>
        <w:noBreakHyphen/>
        <w:t>to</w:t>
      </w:r>
      <w:r>
        <w:noBreakHyphen/>
        <w:t>the</w:t>
      </w:r>
      <w:r>
        <w:noBreakHyphen/>
        <w:t>firm innovations — among Australian businesses is about at average levels of OECD countries</w:t>
      </w:r>
      <w:r w:rsidR="00DE4F25">
        <w:t xml:space="preserve"> </w:t>
      </w:r>
      <w:r w:rsidR="00116531" w:rsidRPr="00116531">
        <w:rPr>
          <w:rFonts w:ascii="Arial" w:hAnsi="Arial" w:cs="Arial"/>
          <w:szCs w:val="24"/>
        </w:rPr>
        <w:t>(OECD 2022b)</w:t>
      </w:r>
      <w:r>
        <w:t xml:space="preserve">. Process innovation is higher than the OECD average. However, </w:t>
      </w:r>
      <w:r w:rsidR="007544B4">
        <w:t xml:space="preserve">the </w:t>
      </w:r>
      <w:r w:rsidR="00413C9C">
        <w:t xml:space="preserve">product </w:t>
      </w:r>
      <w:r w:rsidR="007544B4">
        <w:t xml:space="preserve">innovations </w:t>
      </w:r>
      <w:r w:rsidR="00413C9C">
        <w:t xml:space="preserve">implemented </w:t>
      </w:r>
      <w:r w:rsidR="007544B4">
        <w:t xml:space="preserve">by </w:t>
      </w:r>
      <w:r>
        <w:t xml:space="preserve">Australian </w:t>
      </w:r>
      <w:r w:rsidR="00347576">
        <w:t>businesses</w:t>
      </w:r>
      <w:r>
        <w:t xml:space="preserve"> </w:t>
      </w:r>
      <w:r w:rsidR="007544B4">
        <w:t xml:space="preserve">are </w:t>
      </w:r>
      <w:r>
        <w:t xml:space="preserve">more </w:t>
      </w:r>
      <w:r w:rsidR="007544B4">
        <w:t xml:space="preserve">likely </w:t>
      </w:r>
      <w:r w:rsidR="00F560E9">
        <w:t xml:space="preserve">than other OECD countries </w:t>
      </w:r>
      <w:r w:rsidR="007544B4">
        <w:t>to be</w:t>
      </w:r>
      <w:r w:rsidR="00413C9C">
        <w:t xml:space="preserve"> new</w:t>
      </w:r>
      <w:r w:rsidR="00A43B86">
        <w:noBreakHyphen/>
      </w:r>
      <w:r w:rsidR="00413C9C">
        <w:t>to</w:t>
      </w:r>
      <w:r w:rsidR="00A43B86">
        <w:noBreakHyphen/>
      </w:r>
      <w:r w:rsidR="009F6571">
        <w:t>the</w:t>
      </w:r>
      <w:r w:rsidR="00A43B86">
        <w:noBreakHyphen/>
      </w:r>
      <w:r w:rsidR="00413C9C">
        <w:t xml:space="preserve">firm rather than </w:t>
      </w:r>
      <w:r w:rsidR="00F560E9">
        <w:t>new</w:t>
      </w:r>
      <w:r w:rsidR="00A43B86">
        <w:noBreakHyphen/>
      </w:r>
      <w:r w:rsidR="00F560E9">
        <w:t>to</w:t>
      </w:r>
      <w:r w:rsidR="00A43B86">
        <w:noBreakHyphen/>
      </w:r>
      <w:r w:rsidR="00F560E9">
        <w:t>the</w:t>
      </w:r>
      <w:r w:rsidR="00A43B86">
        <w:noBreakHyphen/>
      </w:r>
      <w:r w:rsidR="00F560E9">
        <w:t>world or new</w:t>
      </w:r>
      <w:r w:rsidR="00A43B86">
        <w:noBreakHyphen/>
      </w:r>
      <w:r w:rsidR="00F560E9">
        <w:t>to</w:t>
      </w:r>
      <w:r w:rsidR="00A43B86">
        <w:noBreakHyphen/>
      </w:r>
      <w:r w:rsidR="00F560E9">
        <w:t xml:space="preserve">Australia </w:t>
      </w:r>
      <w:r>
        <w:t xml:space="preserve">— </w:t>
      </w:r>
      <w:r w:rsidR="00F560E9">
        <w:t xml:space="preserve">indicating that </w:t>
      </w:r>
      <w:r>
        <w:t>diffusion</w:t>
      </w:r>
      <w:r w:rsidR="009F6571">
        <w:t>,</w:t>
      </w:r>
      <w:r>
        <w:t xml:space="preserve"> rather than novel innovation</w:t>
      </w:r>
      <w:r w:rsidR="009F6571">
        <w:t>,</w:t>
      </w:r>
      <w:r w:rsidR="00F560E9">
        <w:t xml:space="preserve"> is relatively more important </w:t>
      </w:r>
      <w:r w:rsidR="00FF6E30">
        <w:t>in Australia</w:t>
      </w:r>
      <w:r>
        <w:t xml:space="preserve"> </w:t>
      </w:r>
      <w:r w:rsidR="00FE0C5A">
        <w:t xml:space="preserve">(though </w:t>
      </w:r>
      <w:r>
        <w:t>new</w:t>
      </w:r>
      <w:r>
        <w:noBreakHyphen/>
        <w:t>to</w:t>
      </w:r>
      <w:r>
        <w:noBreakHyphen/>
        <w:t>the</w:t>
      </w:r>
      <w:r>
        <w:noBreakHyphen/>
        <w:t>firm innovation still accounts for about 50</w:t>
      </w:r>
      <w:r w:rsidR="00E94315">
        <w:t>%</w:t>
      </w:r>
      <w:r>
        <w:t xml:space="preserve"> of </w:t>
      </w:r>
      <w:r w:rsidR="00FE0C5A">
        <w:t xml:space="preserve">product innovation </w:t>
      </w:r>
      <w:r>
        <w:t>among OECD countries</w:t>
      </w:r>
      <w:r w:rsidR="00FE0C5A">
        <w:t xml:space="preserve">) </w:t>
      </w:r>
      <w:r w:rsidR="00116531" w:rsidRPr="00116531">
        <w:rPr>
          <w:rFonts w:ascii="Arial" w:hAnsi="Arial" w:cs="Arial"/>
          <w:szCs w:val="24"/>
        </w:rPr>
        <w:t>(OECD 2022b)</w:t>
      </w:r>
      <w:r>
        <w:t>.</w:t>
      </w:r>
    </w:p>
    <w:p w14:paraId="395013AC" w14:textId="24BDB67D" w:rsidR="006F6C01" w:rsidRDefault="00D7528F" w:rsidP="006F6C01">
      <w:pPr>
        <w:pStyle w:val="Heading3"/>
      </w:pPr>
      <w:r>
        <w:t>Managerial capabilit</w:t>
      </w:r>
      <w:r w:rsidR="006F6C01">
        <w:t>y</w:t>
      </w:r>
      <w:r>
        <w:t xml:space="preserve"> var</w:t>
      </w:r>
      <w:r w:rsidR="006F6C01">
        <w:t>ies</w:t>
      </w:r>
      <w:r>
        <w:t xml:space="preserve">, but </w:t>
      </w:r>
      <w:r w:rsidR="006F6C01">
        <w:t xml:space="preserve">generally </w:t>
      </w:r>
      <w:r>
        <w:t>lag</w:t>
      </w:r>
      <w:r w:rsidR="006F6C01">
        <w:t>s</w:t>
      </w:r>
      <w:r>
        <w:t xml:space="preserve"> other countries</w:t>
      </w:r>
    </w:p>
    <w:p w14:paraId="281E5EF0" w14:textId="32229DB2" w:rsidR="00CF5257" w:rsidRPr="0003390C" w:rsidRDefault="00CF5257" w:rsidP="00CF5257">
      <w:pPr>
        <w:pStyle w:val="BodyText"/>
        <w:rPr>
          <w:spacing w:val="-2"/>
        </w:rPr>
      </w:pPr>
      <w:r w:rsidRPr="0003390C">
        <w:rPr>
          <w:spacing w:val="-2"/>
        </w:rPr>
        <w:t>While</w:t>
      </w:r>
      <w:r w:rsidR="003A59C4" w:rsidRPr="0003390C">
        <w:rPr>
          <w:spacing w:val="-2"/>
        </w:rPr>
        <w:t xml:space="preserve"> it</w:t>
      </w:r>
      <w:r w:rsidRPr="0003390C">
        <w:rPr>
          <w:spacing w:val="-2"/>
        </w:rPr>
        <w:t xml:space="preserve"> </w:t>
      </w:r>
      <w:r w:rsidR="00944E79" w:rsidRPr="0003390C">
        <w:rPr>
          <w:spacing w:val="-2"/>
        </w:rPr>
        <w:t xml:space="preserve">can be </w:t>
      </w:r>
      <w:r w:rsidRPr="0003390C">
        <w:rPr>
          <w:spacing w:val="-2"/>
        </w:rPr>
        <w:t xml:space="preserve">difficult to </w:t>
      </w:r>
      <w:r w:rsidR="00944E79" w:rsidRPr="0003390C">
        <w:rPr>
          <w:spacing w:val="-2"/>
        </w:rPr>
        <w:t xml:space="preserve">accurately capture </w:t>
      </w:r>
      <w:r w:rsidRPr="0003390C">
        <w:rPr>
          <w:spacing w:val="-2"/>
        </w:rPr>
        <w:t xml:space="preserve">the level of </w:t>
      </w:r>
      <w:r w:rsidR="00944E79" w:rsidRPr="0003390C">
        <w:rPr>
          <w:spacing w:val="-2"/>
        </w:rPr>
        <w:t xml:space="preserve">diffusion, particularly </w:t>
      </w:r>
      <w:r w:rsidR="00F007B5" w:rsidRPr="0003390C">
        <w:rPr>
          <w:spacing w:val="-2"/>
        </w:rPr>
        <w:t xml:space="preserve">for </w:t>
      </w:r>
      <w:r w:rsidRPr="0003390C">
        <w:rPr>
          <w:spacing w:val="-2"/>
        </w:rPr>
        <w:t>micro innovation</w:t>
      </w:r>
      <w:r w:rsidR="00F007B5" w:rsidRPr="0003390C">
        <w:rPr>
          <w:spacing w:val="-2"/>
        </w:rPr>
        <w:t>s,</w:t>
      </w:r>
      <w:r w:rsidRPr="0003390C">
        <w:rPr>
          <w:spacing w:val="-2"/>
        </w:rPr>
        <w:t xml:space="preserve"> </w:t>
      </w:r>
      <w:r w:rsidR="00F007B5" w:rsidRPr="0003390C">
        <w:rPr>
          <w:spacing w:val="-2"/>
        </w:rPr>
        <w:t>at the firm level</w:t>
      </w:r>
      <w:r w:rsidRPr="0003390C">
        <w:rPr>
          <w:spacing w:val="-2"/>
        </w:rPr>
        <w:t xml:space="preserve">, </w:t>
      </w:r>
      <w:r w:rsidR="006B4BF8" w:rsidRPr="0003390C">
        <w:rPr>
          <w:spacing w:val="-2"/>
        </w:rPr>
        <w:t xml:space="preserve">firms’ </w:t>
      </w:r>
      <w:r w:rsidRPr="0003390C">
        <w:rPr>
          <w:spacing w:val="-2"/>
        </w:rPr>
        <w:t xml:space="preserve">management practices provide some indication of their capacity to make small productive changes. Firms using advanced management practices have been shown to be more productive across a broad range of countries </w:t>
      </w:r>
      <w:r w:rsidRPr="0003390C">
        <w:rPr>
          <w:rFonts w:cs="Arial"/>
          <w:spacing w:val="-2"/>
          <w:szCs w:val="24"/>
        </w:rPr>
        <w:t>(Bloom, Sadun and Van Reenen 2017, pp. 16–17; Bloom and Van Reenen 2007, pp. 1368–1371; Criscuolo et al. 2021, pp. 23–31; O’Neill, Sohal and Teng 2016)</w:t>
      </w:r>
      <w:r w:rsidRPr="0003390C">
        <w:rPr>
          <w:spacing w:val="-2"/>
        </w:rPr>
        <w:t xml:space="preserve">, including Australia </w:t>
      </w:r>
      <w:r w:rsidRPr="0003390C">
        <w:rPr>
          <w:rFonts w:cs="Arial"/>
          <w:spacing w:val="-2"/>
          <w:szCs w:val="24"/>
        </w:rPr>
        <w:t>(Agarwal et al. 2014, p. 6497)</w:t>
      </w:r>
      <w:r w:rsidRPr="0003390C">
        <w:rPr>
          <w:spacing w:val="-2"/>
        </w:rPr>
        <w:t xml:space="preserve">. Management training also has large and persistent effects on firm performance over time </w:t>
      </w:r>
      <w:r w:rsidRPr="0003390C">
        <w:rPr>
          <w:rFonts w:cs="Arial"/>
          <w:spacing w:val="-2"/>
          <w:szCs w:val="24"/>
        </w:rPr>
        <w:t>(Giorcelli 2019, p. 139)</w:t>
      </w:r>
      <w:r w:rsidRPr="0003390C">
        <w:rPr>
          <w:spacing w:val="-2"/>
        </w:rPr>
        <w:t>. The OECD estimates that the productivity gains from upskilling managers could be three times higher than for upskilling workers,</w:t>
      </w:r>
      <w:r w:rsidRPr="0003390C">
        <w:rPr>
          <w:rStyle w:val="FootnoteReference"/>
          <w:spacing w:val="-2"/>
        </w:rPr>
        <w:footnoteReference w:id="8"/>
      </w:r>
      <w:r w:rsidRPr="0003390C">
        <w:rPr>
          <w:spacing w:val="-2"/>
        </w:rPr>
        <w:t xml:space="preserve"> with significant gains </w:t>
      </w:r>
      <w:r w:rsidR="003802A2" w:rsidRPr="0003390C">
        <w:rPr>
          <w:spacing w:val="-2"/>
        </w:rPr>
        <w:t>even</w:t>
      </w:r>
      <w:r w:rsidRPr="0003390C">
        <w:rPr>
          <w:spacing w:val="-2"/>
        </w:rPr>
        <w:t xml:space="preserve"> in less knowledge</w:t>
      </w:r>
      <w:r w:rsidRPr="0003390C">
        <w:rPr>
          <w:spacing w:val="-2"/>
        </w:rPr>
        <w:noBreakHyphen/>
        <w:t xml:space="preserve">intensive services like wholesale and retail trade and transport </w:t>
      </w:r>
      <w:r w:rsidRPr="0003390C">
        <w:rPr>
          <w:rFonts w:cs="Arial"/>
          <w:spacing w:val="-2"/>
          <w:szCs w:val="24"/>
        </w:rPr>
        <w:t>(Criscuolo et al. 2021, pp. 28–29)</w:t>
      </w:r>
      <w:r w:rsidRPr="0003390C">
        <w:rPr>
          <w:spacing w:val="-2"/>
        </w:rPr>
        <w:t>.</w:t>
      </w:r>
    </w:p>
    <w:p w14:paraId="302CEB44" w14:textId="09FB975A" w:rsidR="00CF5257" w:rsidRDefault="00CF5257" w:rsidP="00CF5257">
      <w:pPr>
        <w:pStyle w:val="BodyText"/>
      </w:pPr>
      <w:r>
        <w:t>Evidence on the practices of Australian managers suggest</w:t>
      </w:r>
      <w:r w:rsidR="0064573D">
        <w:t>s</w:t>
      </w:r>
      <w:r>
        <w:t xml:space="preserve"> that many do not examine key performance aspects of their businesses, which acts as a barrier to making changes (figure 1.3). A composite score of overall management capability among Australian businesses shows that capabilities are </w:t>
      </w:r>
      <w:r w:rsidR="001D4A4A">
        <w:t xml:space="preserve">relatively low, at about 0.3 (with </w:t>
      </w:r>
      <w:r>
        <w:t xml:space="preserve">the </w:t>
      </w:r>
      <w:r w:rsidR="001D4A4A">
        <w:t xml:space="preserve">range of </w:t>
      </w:r>
      <w:r>
        <w:t xml:space="preserve">possible scores </w:t>
      </w:r>
      <w:r w:rsidR="001D4A4A">
        <w:t xml:space="preserve">being </w:t>
      </w:r>
      <w:r>
        <w:t>between 0 and 1</w:t>
      </w:r>
      <w:r w:rsidR="00394DAF">
        <w:t>)</w:t>
      </w:r>
      <w:r>
        <w:t xml:space="preserve"> </w:t>
      </w:r>
      <w:r w:rsidR="00116531" w:rsidRPr="00116531">
        <w:rPr>
          <w:rFonts w:ascii="Arial" w:hAnsi="Arial" w:cs="Arial"/>
          <w:szCs w:val="24"/>
        </w:rPr>
        <w:t>(Agarwal et al. 2019)</w:t>
      </w:r>
      <w:r>
        <w:t xml:space="preserve">. An increase in the overall management capability </w:t>
      </w:r>
      <w:proofErr w:type="gramStart"/>
      <w:r>
        <w:t>score</w:t>
      </w:r>
      <w:proofErr w:type="gramEnd"/>
      <w:r>
        <w:t xml:space="preserve"> of 0.1 is associated with a 6.2</w:t>
      </w:r>
      <w:r w:rsidR="00E94315">
        <w:t>%</w:t>
      </w:r>
      <w:r>
        <w:t xml:space="preserve"> increase in labour productivity (ibid p. 28).</w:t>
      </w:r>
      <w:r w:rsidR="006361D8" w:rsidRPr="006361D8">
        <w:t xml:space="preserve"> </w:t>
      </w:r>
      <w:r w:rsidR="00DA5DE1">
        <w:t xml:space="preserve">However, there appears to be a gulf between actual deficiencies and perceived ones. In 2020, </w:t>
      </w:r>
      <w:r w:rsidR="00DA5DE1" w:rsidRPr="00695E87">
        <w:t>only 2.4</w:t>
      </w:r>
      <w:r w:rsidR="00E94315">
        <w:t>%</w:t>
      </w:r>
      <w:r w:rsidR="00DA5DE1" w:rsidRPr="00695E87">
        <w:t xml:space="preserve"> of Australian businesses sa</w:t>
      </w:r>
      <w:r w:rsidR="00DA5DE1">
        <w:t>id</w:t>
      </w:r>
      <w:r w:rsidR="00DA5DE1" w:rsidRPr="00695E87">
        <w:t xml:space="preserve"> that shortages or deficiencies in business management skills adversely affect</w:t>
      </w:r>
      <w:r w:rsidR="00DA5DE1">
        <w:t>ed</w:t>
      </w:r>
      <w:r w:rsidR="00DA5DE1" w:rsidRPr="00695E87">
        <w:t xml:space="preserve"> their core business activities</w:t>
      </w:r>
      <w:r w:rsidR="00DA5DE1">
        <w:t>.</w:t>
      </w:r>
      <w:r w:rsidR="00DA5DE1" w:rsidRPr="002E227D">
        <w:rPr>
          <w:rStyle w:val="FootnoteReference"/>
        </w:rPr>
        <w:footnoteReference w:id="9"/>
      </w:r>
      <w:r w:rsidR="00DA5DE1">
        <w:t xml:space="preserve"> This suggests that approaches to improve management practices may need to go beyond providing skills but will also need to credibly reveal the deficiencies to managers who do not recognise they have any.</w:t>
      </w:r>
    </w:p>
    <w:p w14:paraId="464A4D85" w14:textId="77777777" w:rsidR="0003438B" w:rsidRPr="00146382" w:rsidRDefault="0003438B" w:rsidP="0003438B">
      <w:pPr>
        <w:pStyle w:val="FigureTableHeading"/>
      </w:pPr>
      <w:r>
        <w:lastRenderedPageBreak/>
        <w:t>Figure </w:t>
      </w:r>
      <w:bookmarkStart w:id="16" w:name="OLE_LINK21"/>
      <w:r>
        <w:t>1.3</w:t>
      </w:r>
      <w:bookmarkEnd w:id="16"/>
      <w:r>
        <w:rPr>
          <w:noProof/>
        </w:rPr>
        <w:t xml:space="preserve"> </w:t>
      </w:r>
      <w:r>
        <w:t>– Many Australian businesses undertake little or no assessment of their performance</w:t>
      </w:r>
    </w:p>
    <w:p w14:paraId="2B8CBB8A" w14:textId="77777777" w:rsidR="0003438B" w:rsidRDefault="0003438B" w:rsidP="0003438B">
      <w:pPr>
        <w:pStyle w:val="FigureTableSubheading"/>
        <w:keepLines/>
      </w:pPr>
      <w:r>
        <w:t>2019</w:t>
      </w:r>
      <w:r>
        <w:noBreakHyphen/>
        <w:t>20</w:t>
      </w:r>
    </w:p>
    <w:p w14:paraId="510356E7" w14:textId="77777777" w:rsidR="0003438B" w:rsidRDefault="00CF5257" w:rsidP="0003438B">
      <w:pPr>
        <w:pStyle w:val="Note"/>
        <w:keepLines/>
      </w:pPr>
      <w:r w:rsidRPr="00034935">
        <w:rPr>
          <w:noProof/>
        </w:rPr>
        <w:drawing>
          <wp:inline distT="0" distB="0" distL="0" distR="0" wp14:anchorId="7473A981" wp14:editId="63E41BEF">
            <wp:extent cx="6120130" cy="2736215"/>
            <wp:effectExtent l="0" t="0" r="0" b="0"/>
            <wp:docPr id="15" name="Picture 15" descr="This figure shows the share of businesses which undertook assessment of their performance in 2018-19 across six kinds of measures: innovation, cost, human resource, quality, financial, and operational. It shows that depending on the kinds of measure, 30%-60% of businesses either did not undertake any assessment at all, or only undertook assessment to a small ext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shows the share of businesses which undertook assessment of their performance in 2018-19 across six kinds of measures: innovation, cost, human resource, quality, financial, and operational. It shows that depending on the kinds of measure, 30%-60% of businesses either did not undertake any assessment at all, or only undertook assessment to a small extent.&#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736215"/>
                    </a:xfrm>
                    <a:prstGeom prst="rect">
                      <a:avLst/>
                    </a:prstGeom>
                    <a:noFill/>
                    <a:ln>
                      <a:noFill/>
                    </a:ln>
                  </pic:spPr>
                </pic:pic>
              </a:graphicData>
            </a:graphic>
          </wp:inline>
        </w:drawing>
      </w:r>
    </w:p>
    <w:p w14:paraId="0829B77C" w14:textId="54BAE17B" w:rsidR="0003438B" w:rsidRDefault="0003438B" w:rsidP="0003438B">
      <w:pPr>
        <w:pStyle w:val="Source"/>
      </w:pPr>
      <w:r w:rsidRPr="00ED46E8">
        <w:t xml:space="preserve">Source: ABS </w:t>
      </w:r>
      <w:r w:rsidR="007B3ABC">
        <w:t>(</w:t>
      </w:r>
      <w:r>
        <w:rPr>
          <w:i/>
          <w:iCs/>
        </w:rPr>
        <w:t xml:space="preserve">Characteristics of Australian Businesses, </w:t>
      </w:r>
      <w:r w:rsidRPr="00A239D7">
        <w:t>2019</w:t>
      </w:r>
      <w:r w:rsidRPr="00A239D7">
        <w:noBreakHyphen/>
        <w:t>20</w:t>
      </w:r>
      <w:r w:rsidR="00A239D7" w:rsidRPr="00A239D7">
        <w:t xml:space="preserve"> financial year</w:t>
      </w:r>
      <w:r>
        <w:rPr>
          <w:i/>
          <w:iCs/>
        </w:rPr>
        <w:t xml:space="preserve">, </w:t>
      </w:r>
      <w:r>
        <w:t>Cat. no. 8167</w:t>
      </w:r>
      <w:r w:rsidR="007B3ABC">
        <w:t>.0</w:t>
      </w:r>
      <w:r w:rsidR="00C76D83">
        <w:t>)</w:t>
      </w:r>
      <w:r w:rsidRPr="00ED46E8">
        <w:t>.</w:t>
      </w:r>
    </w:p>
    <w:p w14:paraId="517B16E4" w14:textId="192765C1" w:rsidR="00B40A20" w:rsidRDefault="00B40A20" w:rsidP="00B40A20">
      <w:pPr>
        <w:pStyle w:val="BodyText"/>
      </w:pPr>
      <w:r>
        <w:t>More detailed information is available on the distribution of performance in Australian manufacturing, which illustrates a wide dispersion in managerial capability across firms (figure 1.</w:t>
      </w:r>
      <w:r w:rsidR="00ED0346">
        <w:t>4</w:t>
      </w:r>
      <w:r>
        <w:t>).</w:t>
      </w:r>
      <w:r w:rsidR="00176066">
        <w:t xml:space="preserve"> In addition, w</w:t>
      </w:r>
      <w:r>
        <w:t>hile entrepreneurship and managerial capability will always vary across business managers, the global evidence suggests that there are opportunities to improve average capabilities and with that, improve upon the slow accretion of better practices.</w:t>
      </w:r>
      <w:r w:rsidR="00176066" w:rsidRPr="00176066">
        <w:t xml:space="preserve"> </w:t>
      </w:r>
      <w:r w:rsidR="00176066">
        <w:t xml:space="preserve">In manufacturing, </w:t>
      </w:r>
      <w:r w:rsidR="00596353">
        <w:t xml:space="preserve">Australian firms </w:t>
      </w:r>
      <w:r w:rsidR="00176066">
        <w:t>are worse than the United States, which has higher average capabilities (figures 1.</w:t>
      </w:r>
      <w:r w:rsidR="00ED0346">
        <w:t>5</w:t>
      </w:r>
      <w:r w:rsidR="00176066">
        <w:t xml:space="preserve"> and 1.</w:t>
      </w:r>
      <w:r w:rsidR="00ED0346">
        <w:t>6</w:t>
      </w:r>
      <w:r w:rsidR="00176066">
        <w:t xml:space="preserve">). Empirical work suggests half of the productivity gap in manufacturing between Australia and the United States is the result of lower levels of management capability </w:t>
      </w:r>
      <w:r w:rsidR="00176066" w:rsidRPr="00740815">
        <w:rPr>
          <w:rFonts w:ascii="Arial" w:hAnsi="Arial" w:cs="Arial"/>
          <w:szCs w:val="24"/>
        </w:rPr>
        <w:t>(Bloom, Sadun and Van Reenen 2017)</w:t>
      </w:r>
      <w:r w:rsidR="00176066">
        <w:t>.</w:t>
      </w:r>
    </w:p>
    <w:p w14:paraId="17C05BAB" w14:textId="63F6964E" w:rsidR="00694F56" w:rsidRPr="00146382" w:rsidRDefault="00694F56" w:rsidP="00694F56">
      <w:pPr>
        <w:pStyle w:val="FigureTableHeading"/>
      </w:pPr>
      <w:r>
        <w:lastRenderedPageBreak/>
        <w:t>Figure 1.</w:t>
      </w:r>
      <w:r w:rsidR="00ED0346">
        <w:t>4</w:t>
      </w:r>
      <w:r>
        <w:rPr>
          <w:noProof/>
        </w:rPr>
        <w:t xml:space="preserve"> </w:t>
      </w:r>
      <w:r>
        <w:t>– There is wide dispersion in managerial capability in Australia</w:t>
      </w:r>
      <w:r w:rsidRPr="00066CF5">
        <w:rPr>
          <w:vertAlign w:val="superscript"/>
        </w:rPr>
        <w:t>a</w:t>
      </w:r>
    </w:p>
    <w:p w14:paraId="49897C5F" w14:textId="77777777" w:rsidR="00694F56" w:rsidRDefault="00694F56" w:rsidP="00694F56">
      <w:pPr>
        <w:pStyle w:val="FigureTableSubheading"/>
        <w:keepLines/>
      </w:pPr>
      <w:r>
        <w:t>Manufacturing firms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47"/>
        <w:gridCol w:w="4791"/>
      </w:tblGrid>
      <w:tr w:rsidR="00694F56" w:rsidRPr="005550A0" w14:paraId="798A7656" w14:textId="77777777" w:rsidTr="00EC7588">
        <w:trPr>
          <w:tblHeader/>
        </w:trPr>
        <w:tc>
          <w:tcPr>
            <w:tcW w:w="2502" w:type="pct"/>
            <w:shd w:val="clear" w:color="auto" w:fill="auto"/>
          </w:tcPr>
          <w:p w14:paraId="3A752CC4" w14:textId="4F29149C" w:rsidR="00694F56" w:rsidRPr="005550A0" w:rsidRDefault="009368C2" w:rsidP="00EC7588">
            <w:pPr>
              <w:pStyle w:val="TableBody"/>
            </w:pPr>
            <w:r w:rsidRPr="009368C2">
              <w:rPr>
                <w:noProof/>
              </w:rPr>
              <w:drawing>
                <wp:inline distT="0" distB="0" distL="0" distR="0" wp14:anchorId="0B0E1634" wp14:editId="5920971A">
                  <wp:extent cx="3002280" cy="2872740"/>
                  <wp:effectExtent l="0" t="0" r="7620" b="3810"/>
                  <wp:docPr id="17" name="Picture 17" descr="This figure contains four charts showing the distribution of management capability across businesses in the manufacturing industry in Australia. The charts each show the distribution of scores across different measures: the first chart shows scores for overall management capability, the second shows scores for ‘effective monitoring’, the third shows scores for ‘targeting the right things’, and the fourth shows scores for ‘people management’. The charts show a wide dispersion in management capability across different busin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contains four charts showing the distribution of management capability across businesses in the manufacturing industry in Australia. The charts each show the distribution of scores across different measures: the first chart shows scores for overall management capability, the second shows scores for ‘effective monitoring’, the third shows scores for ‘targeting the right things’, and the fourth shows scores for ‘people management’. The charts show a wide dispersion in management capability across different businesses.&#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2280" cy="2872740"/>
                          </a:xfrm>
                          <a:prstGeom prst="rect">
                            <a:avLst/>
                          </a:prstGeom>
                          <a:noFill/>
                          <a:ln>
                            <a:noFill/>
                          </a:ln>
                        </pic:spPr>
                      </pic:pic>
                    </a:graphicData>
                  </a:graphic>
                </wp:inline>
              </w:drawing>
            </w:r>
          </w:p>
        </w:tc>
        <w:tc>
          <w:tcPr>
            <w:tcW w:w="2498" w:type="pct"/>
            <w:shd w:val="clear" w:color="auto" w:fill="auto"/>
          </w:tcPr>
          <w:p w14:paraId="3C433664" w14:textId="2D38B45B" w:rsidR="00694F56" w:rsidRPr="005550A0" w:rsidRDefault="00315E13" w:rsidP="00EC7588">
            <w:pPr>
              <w:pStyle w:val="TableBody"/>
            </w:pPr>
            <w:r w:rsidRPr="00315E13">
              <w:rPr>
                <w:noProof/>
              </w:rPr>
              <w:drawing>
                <wp:inline distT="0" distB="0" distL="0" distR="0" wp14:anchorId="0C358689" wp14:editId="4B9E898A">
                  <wp:extent cx="3002280" cy="2872740"/>
                  <wp:effectExtent l="0" t="0" r="7620" b="3810"/>
                  <wp:docPr id="20" name="Picture 20" descr="This figure contains four charts showing the distribution of management capability across businesses in the manufacturing industry in Australia. The charts each show the distribution of scores across different measures: the first chart shows scores for overall management capability, the second shows scores for ‘effective monitoring’, the third shows scores for ‘targeting the right things’, and the fourth shows scores for ‘people management’. The charts show a wide dispersion in management capability across different busin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figure contains four charts showing the distribution of management capability across businesses in the manufacturing industry in Australia. The charts each show the distribution of scores across different measures: the first chart shows scores for overall management capability, the second shows scores for ‘effective monitoring’, the third shows scores for ‘targeting the right things’, and the fourth shows scores for ‘people management’. The charts show a wide dispersion in management capability across different businesses.&#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2280" cy="2872740"/>
                          </a:xfrm>
                          <a:prstGeom prst="rect">
                            <a:avLst/>
                          </a:prstGeom>
                          <a:noFill/>
                          <a:ln>
                            <a:noFill/>
                          </a:ln>
                        </pic:spPr>
                      </pic:pic>
                    </a:graphicData>
                  </a:graphic>
                </wp:inline>
              </w:drawing>
            </w:r>
          </w:p>
        </w:tc>
      </w:tr>
      <w:tr w:rsidR="00694F56" w:rsidRPr="00E133E8" w14:paraId="03BC0E32" w14:textId="77777777" w:rsidTr="00EC7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502" w:type="pct"/>
            <w:tcBorders>
              <w:top w:val="nil"/>
              <w:left w:val="nil"/>
              <w:bottom w:val="nil"/>
              <w:right w:val="nil"/>
            </w:tcBorders>
          </w:tcPr>
          <w:p w14:paraId="4FEAC38B" w14:textId="2790B3E9" w:rsidR="00694F56" w:rsidRPr="00E133E8" w:rsidRDefault="00315E13" w:rsidP="00EC7588">
            <w:pPr>
              <w:pStyle w:val="TableBody"/>
            </w:pPr>
            <w:r w:rsidRPr="00315E13">
              <w:rPr>
                <w:noProof/>
              </w:rPr>
              <w:drawing>
                <wp:inline distT="0" distB="0" distL="0" distR="0" wp14:anchorId="13AB5613" wp14:editId="0DA70987">
                  <wp:extent cx="3002280" cy="2872740"/>
                  <wp:effectExtent l="0" t="0" r="7620" b="3810"/>
                  <wp:docPr id="35" name="Picture 35" descr="This figure contains four charts showing the distribution of management capability across businesses in the manufacturing industry in Australia. The charts each show the distribution of scores across different measures: the first chart shows scores for overall management capability, the second shows scores for ‘effective monitoring’, the third shows scores for ‘targeting the right things’, and the fourth shows scores for ‘people management’. The charts show a wide dispersion in management capability across different busin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figure contains four charts showing the distribution of management capability across businesses in the manufacturing industry in Australia. The charts each show the distribution of scores across different measures: the first chart shows scores for overall management capability, the second shows scores for ‘effective monitoring’, the third shows scores for ‘targeting the right things’, and the fourth shows scores for ‘people management’. The charts show a wide dispersion in management capability across different businesses.&#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2280" cy="2872740"/>
                          </a:xfrm>
                          <a:prstGeom prst="rect">
                            <a:avLst/>
                          </a:prstGeom>
                          <a:noFill/>
                          <a:ln>
                            <a:noFill/>
                          </a:ln>
                        </pic:spPr>
                      </pic:pic>
                    </a:graphicData>
                  </a:graphic>
                </wp:inline>
              </w:drawing>
            </w:r>
          </w:p>
        </w:tc>
        <w:tc>
          <w:tcPr>
            <w:tcW w:w="2498" w:type="pct"/>
            <w:tcBorders>
              <w:top w:val="nil"/>
              <w:left w:val="nil"/>
              <w:bottom w:val="nil"/>
              <w:right w:val="nil"/>
            </w:tcBorders>
          </w:tcPr>
          <w:p w14:paraId="7C5C8089" w14:textId="0E904AA6" w:rsidR="00694F56" w:rsidRPr="00E133E8" w:rsidRDefault="000955AA" w:rsidP="001939C2">
            <w:pPr>
              <w:pStyle w:val="TableBody"/>
              <w:ind w:left="0"/>
            </w:pPr>
            <w:r w:rsidRPr="000955AA">
              <w:rPr>
                <w:noProof/>
              </w:rPr>
              <w:drawing>
                <wp:inline distT="0" distB="0" distL="0" distR="0" wp14:anchorId="52F8531F" wp14:editId="2449D858">
                  <wp:extent cx="3002280" cy="2872740"/>
                  <wp:effectExtent l="0" t="0" r="7620" b="3810"/>
                  <wp:docPr id="36" name="Picture 36" descr="This figure contains four charts showing the distribution of management capability across businesses in the manufacturing industry in Australia. The charts each show the distribution of scores across different measures: the first chart shows scores for overall management capability, the second shows scores for ‘effective monitoring’, the third shows scores for ‘targeting the right things’, and the fourth shows scores for ‘people management’. The charts show a wide dispersion in management capability across different busin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figure contains four charts showing the distribution of management capability across businesses in the manufacturing industry in Australia. The charts each show the distribution of scores across different measures: the first chart shows scores for overall management capability, the second shows scores for ‘effective monitoring’, the third shows scores for ‘targeting the right things’, and the fourth shows scores for ‘people management’. The charts show a wide dispersion in management capability across different businesses.&#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2280" cy="2872740"/>
                          </a:xfrm>
                          <a:prstGeom prst="rect">
                            <a:avLst/>
                          </a:prstGeom>
                          <a:noFill/>
                          <a:ln>
                            <a:noFill/>
                          </a:ln>
                        </pic:spPr>
                      </pic:pic>
                    </a:graphicData>
                  </a:graphic>
                </wp:inline>
              </w:drawing>
            </w:r>
          </w:p>
        </w:tc>
      </w:tr>
    </w:tbl>
    <w:p w14:paraId="6079428B" w14:textId="77777777" w:rsidR="00694F56" w:rsidRDefault="00694F56" w:rsidP="00694F56">
      <w:pPr>
        <w:pStyle w:val="Note"/>
        <w:keepLines/>
      </w:pPr>
      <w:r w:rsidRPr="00180E66">
        <w:rPr>
          <w:b/>
          <w:bCs/>
        </w:rPr>
        <w:t>a.</w:t>
      </w:r>
      <w:r>
        <w:t xml:space="preserve"> Lower scores reflect poor management practices.</w:t>
      </w:r>
    </w:p>
    <w:p w14:paraId="26FAB90C" w14:textId="319CD453" w:rsidR="00694F56" w:rsidRDefault="00694F56" w:rsidP="00694F56">
      <w:pPr>
        <w:pStyle w:val="Source"/>
      </w:pPr>
      <w:r w:rsidRPr="00696447">
        <w:t xml:space="preserve">Source: </w:t>
      </w:r>
      <w:r w:rsidRPr="0021483D">
        <w:t xml:space="preserve">Based on data from 451 Australian manufacturing businesses from the World Management Survey </w:t>
      </w:r>
      <w:r w:rsidRPr="0021483D">
        <w:rPr>
          <w:rFonts w:ascii="Arial" w:hAnsi="Arial" w:cs="Arial"/>
          <w:szCs w:val="24"/>
        </w:rPr>
        <w:t>(Bloom et al. 2021)</w:t>
      </w:r>
      <w:r>
        <w:t xml:space="preserve"> </w:t>
      </w:r>
      <w:r w:rsidRPr="0021483D">
        <w:t xml:space="preserve">and described in Bloom et al. </w:t>
      </w:r>
      <w:r w:rsidRPr="0021483D">
        <w:rPr>
          <w:rFonts w:ascii="Arial" w:hAnsi="Arial" w:cs="Arial"/>
        </w:rPr>
        <w:t>(2014)</w:t>
      </w:r>
      <w:r w:rsidRPr="0021483D">
        <w:t>.</w:t>
      </w:r>
    </w:p>
    <w:p w14:paraId="5582EF94" w14:textId="67B9498A" w:rsidR="000C2054" w:rsidRPr="00146382" w:rsidRDefault="0003438B" w:rsidP="000C2054">
      <w:pPr>
        <w:pStyle w:val="FigureTableHeading"/>
      </w:pPr>
      <w:r>
        <w:lastRenderedPageBreak/>
        <w:t>Figure 1.</w:t>
      </w:r>
      <w:r w:rsidR="00ED0346">
        <w:t>5</w:t>
      </w:r>
      <w:r w:rsidR="000C2054">
        <w:rPr>
          <w:noProof/>
        </w:rPr>
        <w:t xml:space="preserve"> </w:t>
      </w:r>
      <w:r w:rsidR="000C2054">
        <w:t xml:space="preserve">– Closing the </w:t>
      </w:r>
      <w:r w:rsidR="000C2054" w:rsidRPr="0003390C">
        <w:t>gap — there</w:t>
      </w:r>
      <w:r w:rsidR="000C2054">
        <w:t xml:space="preserve"> appears good scope for Australian firms to move closer to the best practice management frontier</w:t>
      </w:r>
      <w:r w:rsidR="000C2054" w:rsidRPr="00066CF5">
        <w:rPr>
          <w:vertAlign w:val="superscript"/>
        </w:rPr>
        <w:t>a</w:t>
      </w:r>
    </w:p>
    <w:p w14:paraId="1B2DD4C3" w14:textId="627A31A7" w:rsidR="000C2054" w:rsidRDefault="00C75827" w:rsidP="000C2054">
      <w:pPr>
        <w:pStyle w:val="FigureTableSubheading"/>
        <w:keepLines/>
      </w:pPr>
      <w:r w:rsidRPr="00C75827">
        <w:rPr>
          <w:noProof/>
        </w:rPr>
        <w:drawing>
          <wp:inline distT="0" distB="0" distL="0" distR="0" wp14:anchorId="753C0C48" wp14:editId="2767DB99">
            <wp:extent cx="6120130" cy="2974340"/>
            <wp:effectExtent l="0" t="0" r="0" b="0"/>
            <wp:docPr id="34" name="Picture 34" descr="This figure shows the probability density function for management capability among Australian and US manufacturing firms. It shows that the average management capability of Australian manufacturing firms is below that of their US counterpa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figure shows the probability density function for management capability among Australian and US manufacturing firms. It shows that the average management capability of Australian manufacturing firms is below that of their US counterparts.&#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2974340"/>
                    </a:xfrm>
                    <a:prstGeom prst="rect">
                      <a:avLst/>
                    </a:prstGeom>
                    <a:noFill/>
                    <a:ln>
                      <a:noFill/>
                    </a:ln>
                  </pic:spPr>
                </pic:pic>
              </a:graphicData>
            </a:graphic>
          </wp:inline>
        </w:drawing>
      </w:r>
    </w:p>
    <w:p w14:paraId="0E6A5C1B" w14:textId="10BF417A" w:rsidR="000C2054" w:rsidRPr="00440FC2" w:rsidRDefault="000C2054" w:rsidP="00425D05">
      <w:pPr>
        <w:pStyle w:val="Note"/>
        <w:keepLines/>
        <w:rPr>
          <w:spacing w:val="-4"/>
        </w:rPr>
      </w:pPr>
      <w:r w:rsidRPr="00440FC2">
        <w:rPr>
          <w:spacing w:val="-4"/>
        </w:rPr>
        <w:t xml:space="preserve"> </w:t>
      </w:r>
      <w:r w:rsidRPr="00440FC2">
        <w:rPr>
          <w:b/>
          <w:bCs/>
          <w:spacing w:val="-4"/>
        </w:rPr>
        <w:t>a.</w:t>
      </w:r>
      <w:r w:rsidRPr="00440FC2">
        <w:rPr>
          <w:spacing w:val="-4"/>
        </w:rPr>
        <w:t xml:space="preserve"> Density kernels based on data from 451 Australian and 953 US manufacturing businesses from the World Management Survey </w:t>
      </w:r>
      <w:r w:rsidRPr="00440FC2">
        <w:rPr>
          <w:rFonts w:cs="Arial"/>
          <w:spacing w:val="-4"/>
          <w:szCs w:val="24"/>
        </w:rPr>
        <w:t>(Bloom et al. 2021)</w:t>
      </w:r>
      <w:r w:rsidRPr="00440FC2">
        <w:rPr>
          <w:spacing w:val="-4"/>
        </w:rPr>
        <w:t xml:space="preserve"> and described in Bloom et al. (2014). Higher scores represent better management capability.</w:t>
      </w:r>
    </w:p>
    <w:p w14:paraId="215C28D0" w14:textId="20390C81" w:rsidR="000C2054" w:rsidRDefault="000C2054" w:rsidP="000C2054">
      <w:pPr>
        <w:pStyle w:val="FigureTableHeading"/>
      </w:pPr>
      <w:r>
        <w:t>Figure</w:t>
      </w:r>
      <w:r w:rsidR="00A43B86">
        <w:t> </w:t>
      </w:r>
      <w:r>
        <w:t>1.</w:t>
      </w:r>
      <w:r w:rsidR="00ED0346">
        <w:t>6</w:t>
      </w:r>
      <w:r>
        <w:rPr>
          <w:noProof/>
        </w:rPr>
        <w:t xml:space="preserve"> </w:t>
      </w:r>
      <w:r>
        <w:t xml:space="preserve">– Management capability in Australia </w:t>
      </w:r>
      <w:proofErr w:type="gramStart"/>
      <w:r>
        <w:t>lags behind</w:t>
      </w:r>
      <w:proofErr w:type="gramEnd"/>
      <w:r>
        <w:t xml:space="preserve"> our global peers</w:t>
      </w:r>
      <w:r w:rsidRPr="00066CF5">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B83FF9" w:rsidRPr="005550A0" w14:paraId="2B1FC556" w14:textId="77777777" w:rsidTr="00EC7588">
        <w:trPr>
          <w:tblHeader/>
        </w:trPr>
        <w:tc>
          <w:tcPr>
            <w:tcW w:w="2500" w:type="pct"/>
            <w:shd w:val="clear" w:color="auto" w:fill="auto"/>
          </w:tcPr>
          <w:p w14:paraId="67968575" w14:textId="77777777" w:rsidR="000C2054" w:rsidRPr="005550A0" w:rsidRDefault="000C2054" w:rsidP="00EC7588">
            <w:pPr>
              <w:pStyle w:val="TableBody"/>
            </w:pPr>
            <w:r w:rsidRPr="002806C2">
              <w:rPr>
                <w:noProof/>
              </w:rPr>
              <w:drawing>
                <wp:inline distT="0" distB="0" distL="0" distR="0" wp14:anchorId="5B355FE5" wp14:editId="471BBF67">
                  <wp:extent cx="2988000" cy="2876109"/>
                  <wp:effectExtent l="0" t="0" r="0" b="0"/>
                  <wp:docPr id="75" name="Picture 75" descr="This figure contains two charts. The left chart shows the average management capability of Australian manufacturing firms compared to manufacturing firms among Australia’s global peers. It shows Australia lags behind global peers in management capability. The right chart shows the share of divergence between manufacturing total factor productivity in each country and the United States which can be explained by management. It shows that around half of this divergence in Australia can be explained by management, relatively high among Australia’s global pe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is figure contains two charts. The left chart shows the average management capability of Australian manufacturing firms compared to manufacturing firms among Australia’s global peers. It shows Australia lags behind global peers in management capability. The right chart shows the share of divergence between manufacturing total factor productivity in each country and the United States which can be explained by management. It shows that around half of this divergence in Australia can be explained by management, relatively high among Australia’s global peers.&#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8000" cy="2876109"/>
                          </a:xfrm>
                          <a:prstGeom prst="rect">
                            <a:avLst/>
                          </a:prstGeom>
                          <a:noFill/>
                          <a:ln>
                            <a:noFill/>
                          </a:ln>
                        </pic:spPr>
                      </pic:pic>
                    </a:graphicData>
                  </a:graphic>
                </wp:inline>
              </w:drawing>
            </w:r>
          </w:p>
        </w:tc>
        <w:tc>
          <w:tcPr>
            <w:tcW w:w="2500" w:type="pct"/>
            <w:shd w:val="clear" w:color="auto" w:fill="auto"/>
          </w:tcPr>
          <w:p w14:paraId="148AC7CD" w14:textId="77777777" w:rsidR="000C2054" w:rsidRPr="005550A0" w:rsidRDefault="000C2054" w:rsidP="00EC7588">
            <w:pPr>
              <w:pStyle w:val="TableBody"/>
            </w:pPr>
            <w:r w:rsidRPr="00841B00">
              <w:rPr>
                <w:noProof/>
              </w:rPr>
              <w:drawing>
                <wp:inline distT="0" distB="0" distL="0" distR="0" wp14:anchorId="63E1B4F1" wp14:editId="2AE32B75">
                  <wp:extent cx="2988000" cy="2867567"/>
                  <wp:effectExtent l="0" t="0" r="0" b="0"/>
                  <wp:docPr id="78" name="Picture 78" descr="This figure contains two charts. The left chart shows the average management capability of Australian manufacturing firms compared to manufacturing firms among Australia’s global peers. It shows Australia lags behind global peers in management capability. The right chart shows the share of divergence between manufacturing total factor productivity in each country and the United States which can be explained by management. It shows that around half of this divergence in Australia can be explained by management, relatively high among Australia’s global pe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figure contains two charts. The left chart shows the average management capability of Australian manufacturing firms compared to manufacturing firms among Australia’s global peers. It shows Australia lags behind global peers in management capability. The right chart shows the share of divergence between manufacturing total factor productivity in each country and the United States which can be explained by management. It shows that around half of this divergence in Australia can be explained by management, relatively high among Australia’s global peers.&#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8000" cy="2867567"/>
                          </a:xfrm>
                          <a:prstGeom prst="rect">
                            <a:avLst/>
                          </a:prstGeom>
                          <a:noFill/>
                          <a:ln>
                            <a:noFill/>
                          </a:ln>
                        </pic:spPr>
                      </pic:pic>
                    </a:graphicData>
                  </a:graphic>
                </wp:inline>
              </w:drawing>
            </w:r>
          </w:p>
        </w:tc>
      </w:tr>
    </w:tbl>
    <w:p w14:paraId="7CE2411D" w14:textId="77777777" w:rsidR="000C2054" w:rsidRPr="00440FC2" w:rsidRDefault="000C2054" w:rsidP="000C2054">
      <w:pPr>
        <w:pStyle w:val="Note"/>
        <w:keepLines/>
        <w:rPr>
          <w:spacing w:val="-4"/>
        </w:rPr>
      </w:pPr>
      <w:r w:rsidRPr="00440FC2">
        <w:rPr>
          <w:b/>
          <w:bCs/>
          <w:spacing w:val="-4"/>
        </w:rPr>
        <w:t>a.</w:t>
      </w:r>
      <w:r w:rsidRPr="00440FC2">
        <w:rPr>
          <w:spacing w:val="-4"/>
        </w:rPr>
        <w:t xml:space="preserve"> Relates only to manufacturing. The right</w:t>
      </w:r>
      <w:r w:rsidRPr="00440FC2">
        <w:rPr>
          <w:spacing w:val="-4"/>
        </w:rPr>
        <w:noBreakHyphen/>
        <w:t>hand side chart explains the extent to which the management capabilities of businesses explain the divergence between manufacturing multi</w:t>
      </w:r>
      <w:r w:rsidRPr="00440FC2">
        <w:rPr>
          <w:spacing w:val="-4"/>
        </w:rPr>
        <w:noBreakHyphen/>
        <w:t>factor productivity in each country and the United States.</w:t>
      </w:r>
    </w:p>
    <w:p w14:paraId="0EE903AD" w14:textId="354B9007" w:rsidR="000C2054" w:rsidRDefault="000C2054" w:rsidP="000C2054">
      <w:pPr>
        <w:pStyle w:val="Source"/>
      </w:pPr>
      <w:r w:rsidRPr="00696447">
        <w:t xml:space="preserve">Source: </w:t>
      </w:r>
      <w:r w:rsidRPr="31384605">
        <w:rPr>
          <w:rFonts w:cs="Arial"/>
        </w:rPr>
        <w:t>Bloom, Sadun and Van Reenen</w:t>
      </w:r>
      <w:r>
        <w:t xml:space="preserve"> </w:t>
      </w:r>
      <w:r w:rsidRPr="00416EF0">
        <w:rPr>
          <w:rFonts w:ascii="Arial" w:hAnsi="Arial" w:cs="Arial"/>
        </w:rPr>
        <w:t>(2017)</w:t>
      </w:r>
      <w:r w:rsidRPr="00696447">
        <w:t>.</w:t>
      </w:r>
    </w:p>
    <w:p w14:paraId="32198629" w14:textId="7A671A7E" w:rsidR="00CF5257" w:rsidRDefault="00CF5257" w:rsidP="00425D05">
      <w:pPr>
        <w:pStyle w:val="Heading3"/>
        <w:pageBreakBefore/>
      </w:pPr>
      <w:r>
        <w:lastRenderedPageBreak/>
        <w:t>Inve</w:t>
      </w:r>
      <w:r w:rsidR="00874010">
        <w:t>s</w:t>
      </w:r>
      <w:r>
        <w:t>tment in capital with brains and job mobility have slowed</w:t>
      </w:r>
    </w:p>
    <w:p w14:paraId="183CAB63" w14:textId="3124F232" w:rsidR="00CF5257" w:rsidRDefault="00806B0F" w:rsidP="00CF5257">
      <w:pPr>
        <w:pStyle w:val="BodyText"/>
      </w:pPr>
      <w:r>
        <w:t xml:space="preserve">Beyond managerial capabilities, there are other factors that underpin diffusion </w:t>
      </w:r>
      <w:r w:rsidR="00EA0EB2">
        <w:t>of knowledge across Australian firms. D</w:t>
      </w:r>
      <w:r w:rsidR="00CF5257">
        <w:t>iffusion</w:t>
      </w:r>
      <w:r w:rsidR="00CF5257" w:rsidDel="00EA0EB2">
        <w:t xml:space="preserve"> </w:t>
      </w:r>
      <w:r w:rsidR="00CF5257">
        <w:t>is also a product of investments in the resources that shift businesses’ productive capabilities — ‘knowledge</w:t>
      </w:r>
      <w:r w:rsidR="00CF5257">
        <w:noBreakHyphen/>
        <w:t>based’ capital or capital with ‘</w:t>
      </w:r>
      <w:proofErr w:type="gramStart"/>
      <w:r w:rsidR="00CF5257">
        <w:t>brains’</w:t>
      </w:r>
      <w:proofErr w:type="gramEnd"/>
      <w:r w:rsidR="00CF5257">
        <w:t>. These investments include the acquisition of intangible capital in software, research and development, exploration, and artistic works, the skills of workers, and</w:t>
      </w:r>
      <w:r w:rsidR="00CF5257" w:rsidRPr="00924D81">
        <w:t xml:space="preserve"> </w:t>
      </w:r>
      <w:r w:rsidR="00CF5257">
        <w:t>the knowledge embedded in machinery and equipment. While investments in the latter are often not seen as a part of knowledge</w:t>
      </w:r>
      <w:r w:rsidR="00CF5257">
        <w:noBreakHyphen/>
        <w:t xml:space="preserve">based capital, they facilitate learning through use and reverse engineering. (There are other forms of intangible capital, such as databases and managerial capabilities, but these are incompletely captured by official </w:t>
      </w:r>
      <w:r w:rsidR="00CF5257" w:rsidRPr="00183435">
        <w:t>statistics.)</w:t>
      </w:r>
      <w:r w:rsidR="00CF5257" w:rsidRPr="002E227D">
        <w:rPr>
          <w:rStyle w:val="FootnoteReference"/>
        </w:rPr>
        <w:footnoteReference w:id="10"/>
      </w:r>
    </w:p>
    <w:p w14:paraId="6A87BC4B" w14:textId="755ABA08" w:rsidR="00CF5257" w:rsidRDefault="00CF5257" w:rsidP="00CF5257">
      <w:pPr>
        <w:pStyle w:val="BodyText"/>
      </w:pPr>
      <w:r>
        <w:t>Putting aside investments in workers’ skills (which are not collected by the Australian Bureau of Statistics on the same basis as other knowledge</w:t>
      </w:r>
      <w:r>
        <w:noBreakHyphen/>
        <w:t>based investments), overall investments in capital with ‘brains’ has been falling in recent years, especially R&amp;D and machinery and equipment (figure 1.</w:t>
      </w:r>
      <w:r w:rsidR="00ED0346">
        <w:t>7</w:t>
      </w:r>
      <w:r>
        <w:t>). In contrast, investments in the quality of labour — a summary measure of skill development and relevant to the creation and absorption of knowledge — has been rising consistently over the past 15 years (figure 1.</w:t>
      </w:r>
      <w:r w:rsidR="00ED0346">
        <w:t>8</w:t>
      </w:r>
      <w:r>
        <w:t>).</w:t>
      </w:r>
    </w:p>
    <w:p w14:paraId="744F8673" w14:textId="6177AEAC" w:rsidR="00CF5257" w:rsidRDefault="009F291E" w:rsidP="00CF5257">
      <w:pPr>
        <w:pStyle w:val="BodyText"/>
      </w:pPr>
      <w:r>
        <w:t>Worker mobility between firms is another</w:t>
      </w:r>
      <w:r w:rsidR="00CF5257">
        <w:t xml:space="preserve"> conduit for diffusion of knowledge</w:t>
      </w:r>
      <w:r w:rsidR="00CF5257" w:rsidDel="009F291E">
        <w:t xml:space="preserve">, </w:t>
      </w:r>
      <w:r w:rsidR="00CF5257">
        <w:t>regardless of whether that is precipitated by a firm exit. Workers acquire capabilities through formal learning and training, through job experience and with personal experiences. When they move between organisations, they carry those capabilities across. There are two gains for the recipient organisations. They acquire variety — people with new ideas compared with the incumbent workforce. They also benefit from matching efficiency. A worker who finds their current job does not fully use their skills searches for more compatible and often more highly paid jobs. If job mobility falls, especially for workers with less routine jobs, then this can disrupt this beneficial source of diffusion and innovation. The evidence suggests that job mobility has been falling in Australia.</w:t>
      </w:r>
      <w:r w:rsidR="00CF5257" w:rsidRPr="002E227D">
        <w:rPr>
          <w:rStyle w:val="FootnoteReference"/>
        </w:rPr>
        <w:footnoteReference w:id="11"/>
      </w:r>
    </w:p>
    <w:p w14:paraId="29E5D7A0" w14:textId="2FFB7AEF" w:rsidR="00CF5257" w:rsidRPr="00146382" w:rsidRDefault="00CF5257" w:rsidP="00CF5257">
      <w:pPr>
        <w:pStyle w:val="FigureTableHeading"/>
      </w:pPr>
      <w:r>
        <w:lastRenderedPageBreak/>
        <w:t>Figure 1.</w:t>
      </w:r>
      <w:r w:rsidR="00ED0346">
        <w:t>7</w:t>
      </w:r>
      <w:r>
        <w:rPr>
          <w:noProof/>
        </w:rPr>
        <w:t xml:space="preserve"> </w:t>
      </w:r>
      <w:r>
        <w:t xml:space="preserve">– Capital with ‘brains’ has been </w:t>
      </w:r>
      <w:proofErr w:type="gramStart"/>
      <w:r>
        <w:t>falling</w:t>
      </w:r>
      <w:r w:rsidRPr="00066CF5">
        <w:rPr>
          <w:vertAlign w:val="superscript"/>
        </w:rPr>
        <w:t>a,b</w:t>
      </w:r>
      <w:proofErr w:type="gramEnd"/>
    </w:p>
    <w:p w14:paraId="718DD3B0" w14:textId="77777777" w:rsidR="00CF5257" w:rsidRDefault="00CF5257" w:rsidP="00CF5257">
      <w:pPr>
        <w:pStyle w:val="FigureTableSubheading"/>
        <w:keepLines/>
      </w:pPr>
      <w:r>
        <w:t>Capital spending as a share of gross domestic product 1959</w:t>
      </w:r>
      <w:r>
        <w:noBreakHyphen/>
        <w:t>60 to 2020</w:t>
      </w:r>
      <w:r>
        <w:noBreakHyphen/>
        <w:t>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CF5257" w:rsidRPr="005550A0" w14:paraId="49BC945C" w14:textId="77777777" w:rsidTr="006B059C">
        <w:trPr>
          <w:tblHeader/>
        </w:trPr>
        <w:tc>
          <w:tcPr>
            <w:tcW w:w="2500" w:type="pct"/>
            <w:shd w:val="clear" w:color="auto" w:fill="auto"/>
          </w:tcPr>
          <w:p w14:paraId="68FEFA7A" w14:textId="077CF3EE" w:rsidR="00CF5257" w:rsidRPr="005550A0" w:rsidRDefault="006919B0" w:rsidP="006B059C">
            <w:pPr>
              <w:pStyle w:val="TableBody"/>
            </w:pPr>
            <w:r w:rsidRPr="006919B0">
              <w:rPr>
                <w:noProof/>
              </w:rPr>
              <w:drawing>
                <wp:inline distT="0" distB="0" distL="0" distR="0" wp14:anchorId="32053A94" wp14:editId="45D4B7CC">
                  <wp:extent cx="3070860" cy="2812415"/>
                  <wp:effectExtent l="0" t="0" r="0" b="0"/>
                  <wp:docPr id="38" name="Picture 38"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0860" cy="2812415"/>
                          </a:xfrm>
                          <a:prstGeom prst="rect">
                            <a:avLst/>
                          </a:prstGeom>
                          <a:noFill/>
                          <a:ln>
                            <a:noFill/>
                          </a:ln>
                        </pic:spPr>
                      </pic:pic>
                    </a:graphicData>
                  </a:graphic>
                </wp:inline>
              </w:drawing>
            </w:r>
          </w:p>
        </w:tc>
        <w:tc>
          <w:tcPr>
            <w:tcW w:w="2500" w:type="pct"/>
            <w:shd w:val="clear" w:color="auto" w:fill="auto"/>
          </w:tcPr>
          <w:p w14:paraId="18DBF7C2" w14:textId="270E60EE" w:rsidR="00CF5257" w:rsidRPr="005550A0" w:rsidRDefault="00FC7277" w:rsidP="006B059C">
            <w:pPr>
              <w:pStyle w:val="TableBody"/>
            </w:pPr>
            <w:r w:rsidRPr="00FC7277">
              <w:rPr>
                <w:noProof/>
              </w:rPr>
              <w:drawing>
                <wp:inline distT="0" distB="0" distL="0" distR="0" wp14:anchorId="3AEB4606" wp14:editId="4105D598">
                  <wp:extent cx="3070860" cy="2812415"/>
                  <wp:effectExtent l="0" t="0" r="0" b="0"/>
                  <wp:docPr id="39" name="Picture 39"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0860" cy="2812415"/>
                          </a:xfrm>
                          <a:prstGeom prst="rect">
                            <a:avLst/>
                          </a:prstGeom>
                          <a:noFill/>
                          <a:ln>
                            <a:noFill/>
                          </a:ln>
                        </pic:spPr>
                      </pic:pic>
                    </a:graphicData>
                  </a:graphic>
                </wp:inline>
              </w:drawing>
            </w:r>
          </w:p>
        </w:tc>
      </w:tr>
      <w:tr w:rsidR="006274F0" w:rsidRPr="006274F0" w14:paraId="1AEB84E3" w14:textId="77777777" w:rsidTr="006B059C">
        <w:trPr>
          <w:tblHeader/>
        </w:trPr>
        <w:tc>
          <w:tcPr>
            <w:tcW w:w="2500" w:type="pct"/>
            <w:shd w:val="clear" w:color="auto" w:fill="auto"/>
          </w:tcPr>
          <w:p w14:paraId="629460D1" w14:textId="757DE8AD" w:rsidR="00CF5257" w:rsidRPr="006274F0" w:rsidRDefault="00FC7277" w:rsidP="001939C2">
            <w:pPr>
              <w:pStyle w:val="TableBody"/>
              <w:ind w:left="0"/>
              <w:rPr>
                <w:noProof/>
              </w:rPr>
            </w:pPr>
            <w:r w:rsidRPr="00FC7277">
              <w:rPr>
                <w:noProof/>
              </w:rPr>
              <w:drawing>
                <wp:inline distT="0" distB="0" distL="0" distR="0" wp14:anchorId="3128DC8C" wp14:editId="0EC0E010">
                  <wp:extent cx="3002280" cy="2924175"/>
                  <wp:effectExtent l="0" t="0" r="0" b="0"/>
                  <wp:docPr id="40" name="Picture 40"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2280" cy="2924175"/>
                          </a:xfrm>
                          <a:prstGeom prst="rect">
                            <a:avLst/>
                          </a:prstGeom>
                          <a:noFill/>
                          <a:ln>
                            <a:noFill/>
                          </a:ln>
                        </pic:spPr>
                      </pic:pic>
                    </a:graphicData>
                  </a:graphic>
                </wp:inline>
              </w:drawing>
            </w:r>
          </w:p>
        </w:tc>
        <w:tc>
          <w:tcPr>
            <w:tcW w:w="2500" w:type="pct"/>
            <w:shd w:val="clear" w:color="auto" w:fill="auto"/>
          </w:tcPr>
          <w:p w14:paraId="71531222" w14:textId="2F2CD87F" w:rsidR="00CF5257" w:rsidRPr="006274F0" w:rsidRDefault="00FC7277" w:rsidP="006B059C">
            <w:pPr>
              <w:pStyle w:val="TableBody"/>
              <w:rPr>
                <w:noProof/>
              </w:rPr>
            </w:pPr>
            <w:r w:rsidRPr="00FC7277">
              <w:rPr>
                <w:noProof/>
              </w:rPr>
              <w:drawing>
                <wp:inline distT="0" distB="0" distL="0" distR="0" wp14:anchorId="1D098C75" wp14:editId="1ABB99B6">
                  <wp:extent cx="3002280" cy="2924175"/>
                  <wp:effectExtent l="0" t="0" r="0" b="0"/>
                  <wp:docPr id="44" name="Picture 44"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2280" cy="2924175"/>
                          </a:xfrm>
                          <a:prstGeom prst="rect">
                            <a:avLst/>
                          </a:prstGeom>
                          <a:noFill/>
                          <a:ln>
                            <a:noFill/>
                          </a:ln>
                        </pic:spPr>
                      </pic:pic>
                    </a:graphicData>
                  </a:graphic>
                </wp:inline>
              </w:drawing>
            </w:r>
          </w:p>
        </w:tc>
      </w:tr>
    </w:tbl>
    <w:p w14:paraId="5855A68B" w14:textId="77777777" w:rsidR="00CF5257" w:rsidRDefault="00CF5257" w:rsidP="00CF5257">
      <w:pPr>
        <w:pStyle w:val="Note"/>
        <w:keepLines/>
      </w:pPr>
      <w:r w:rsidRPr="00180E66">
        <w:rPr>
          <w:b/>
          <w:bCs/>
        </w:rPr>
        <w:t>a.</w:t>
      </w:r>
      <w:r>
        <w:t xml:space="preserve"> Knowledge</w:t>
      </w:r>
      <w:r>
        <w:noBreakHyphen/>
        <w:t>based capital spending is often defined as the sum of gross fixed capital spending on computer software, research and development, mineral and petroleum exploration, and artistic works. The individual shares of current price spending on these to current price gross domestic product is shown above. In addition, investment in machinery and equipment and weapons systems also embody knowledge. While this is partly an outcome of knowledge</w:t>
      </w:r>
      <w:r>
        <w:noBreakHyphen/>
        <w:t xml:space="preserve">based capital spending, much of these forms of capital are imported and provide an independent source of knowledge. Accordingly, the combination of all of these forms of capital </w:t>
      </w:r>
      <w:proofErr w:type="gramStart"/>
      <w:r>
        <w:t>are</w:t>
      </w:r>
      <w:proofErr w:type="gramEnd"/>
      <w:r>
        <w:t xml:space="preserve"> referred to as investment with ‘brains’. Some important aspects of such capital are not included, such as investments in workers’ skills and organisational capabilities.</w:t>
      </w:r>
    </w:p>
    <w:p w14:paraId="68E31788" w14:textId="5AEFBE47" w:rsidR="00CF5257" w:rsidRDefault="00CF5257" w:rsidP="00CF5257">
      <w:pPr>
        <w:pStyle w:val="Source"/>
      </w:pPr>
      <w:r w:rsidRPr="00696447">
        <w:t xml:space="preserve">Source: </w:t>
      </w:r>
      <w:r>
        <w:t>ABS (</w:t>
      </w:r>
      <w:r w:rsidRPr="009C16BB">
        <w:rPr>
          <w:i/>
          <w:iCs/>
        </w:rPr>
        <w:t xml:space="preserve">Australian System of National Accounts, </w:t>
      </w:r>
      <w:r w:rsidRPr="00174F4B">
        <w:t>2020</w:t>
      </w:r>
      <w:r w:rsidRPr="00174F4B">
        <w:noBreakHyphen/>
        <w:t>21</w:t>
      </w:r>
      <w:r w:rsidR="00B86E77" w:rsidRPr="00174F4B">
        <w:t xml:space="preserve"> financial year</w:t>
      </w:r>
      <w:r w:rsidRPr="00174F4B">
        <w:t>,</w:t>
      </w:r>
      <w:r>
        <w:t xml:space="preserve"> Cat. no. 5204.0</w:t>
      </w:r>
      <w:r w:rsidR="00C76D83">
        <w:t>).</w:t>
      </w:r>
    </w:p>
    <w:p w14:paraId="6B0AB1F7" w14:textId="35E739C2" w:rsidR="00CF5257" w:rsidRPr="00146382" w:rsidRDefault="00CF5257" w:rsidP="00CF5257">
      <w:pPr>
        <w:pStyle w:val="FigureTableHeading"/>
      </w:pPr>
      <w:r>
        <w:lastRenderedPageBreak/>
        <w:t>Figure 1.</w:t>
      </w:r>
      <w:r w:rsidR="00ED0346">
        <w:t>8</w:t>
      </w:r>
      <w:r>
        <w:rPr>
          <w:noProof/>
        </w:rPr>
        <w:t xml:space="preserve"> </w:t>
      </w:r>
      <w:r>
        <w:t>– The latent capabilities of labour has been increasing slowly but steadily</w:t>
      </w:r>
      <w:r w:rsidRPr="00066CF5">
        <w:rPr>
          <w:vertAlign w:val="superscript"/>
        </w:rPr>
        <w:t>a</w:t>
      </w:r>
    </w:p>
    <w:p w14:paraId="145A50B6" w14:textId="77777777" w:rsidR="00CF5257" w:rsidRPr="00C15E78" w:rsidRDefault="00CF5257" w:rsidP="00CF5257">
      <w:pPr>
        <w:pStyle w:val="FigureTableSubheading"/>
        <w:keepLines/>
      </w:pPr>
      <w:r>
        <w:t>Annual changes in labour quality 1990</w:t>
      </w:r>
      <w:r>
        <w:noBreakHyphen/>
        <w:t>91 to 2020</w:t>
      </w:r>
      <w:r>
        <w:noBreakHyphen/>
        <w:t>21</w:t>
      </w:r>
    </w:p>
    <w:p w14:paraId="67D712E2" w14:textId="77777777" w:rsidR="00CF5257" w:rsidRDefault="00CF5257" w:rsidP="00CF5257">
      <w:pPr>
        <w:pStyle w:val="Note"/>
        <w:keepLines/>
        <w:rPr>
          <w:b/>
          <w:bCs/>
        </w:rPr>
      </w:pPr>
      <w:r w:rsidRPr="00AE2692">
        <w:rPr>
          <w:noProof/>
        </w:rPr>
        <w:drawing>
          <wp:inline distT="0" distB="0" distL="0" distR="0" wp14:anchorId="19E4DDC8" wp14:editId="78DB7358">
            <wp:extent cx="6120130" cy="2874645"/>
            <wp:effectExtent l="0" t="0" r="0" b="0"/>
            <wp:docPr id="46" name="Picture 46" descr="This figure shows the annual growth rate of labour quality in Australia from 1990-91 to 2020-21. It shows that in general, labour quality has been slowly but steadily increasing over time i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figure shows the annual growth rate of labour quality in Australia from 1990-91 to 2020-21. It shows that in general, labour quality has been slowly but steadily increasing over time in Australia.&#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40FC4DDB" w14:textId="77777777" w:rsidR="00CF5257" w:rsidRDefault="00CF5257" w:rsidP="00CF5257">
      <w:pPr>
        <w:pStyle w:val="Note"/>
        <w:keepLines/>
      </w:pPr>
      <w:r w:rsidRPr="00180E66">
        <w:rPr>
          <w:b/>
          <w:bCs/>
        </w:rPr>
        <w:t>a.</w:t>
      </w:r>
      <w:r>
        <w:t xml:space="preserve"> The measure of labour quality is derived as the ratio of quality</w:t>
      </w:r>
      <w:r>
        <w:noBreakHyphen/>
        <w:t>adjusted labour inputs to hours worked.</w:t>
      </w:r>
    </w:p>
    <w:p w14:paraId="2A4397A9" w14:textId="0A756FA5" w:rsidR="00CF5257" w:rsidRDefault="00CF5257" w:rsidP="00CF5257">
      <w:pPr>
        <w:pStyle w:val="Source"/>
      </w:pPr>
      <w:r w:rsidRPr="00696447">
        <w:t xml:space="preserve">Source: </w:t>
      </w:r>
      <w:r>
        <w:t>ABS (</w:t>
      </w:r>
      <w:r w:rsidRPr="00EC071A">
        <w:rPr>
          <w:i/>
        </w:rPr>
        <w:t xml:space="preserve">Estimates of Industry Multifactor Productivity, Australia, </w:t>
      </w:r>
      <w:r w:rsidRPr="00673BF6">
        <w:rPr>
          <w:iCs/>
        </w:rPr>
        <w:t>2020</w:t>
      </w:r>
      <w:r w:rsidRPr="00673BF6">
        <w:rPr>
          <w:iCs/>
        </w:rPr>
        <w:noBreakHyphen/>
        <w:t>21</w:t>
      </w:r>
      <w:r w:rsidR="00673BF6" w:rsidRPr="00673BF6">
        <w:rPr>
          <w:iCs/>
        </w:rPr>
        <w:t xml:space="preserve"> financial year</w:t>
      </w:r>
      <w:r w:rsidRPr="00673BF6">
        <w:rPr>
          <w:iCs/>
        </w:rPr>
        <w:t>,</w:t>
      </w:r>
      <w:r w:rsidRPr="004F0FDF">
        <w:t xml:space="preserve"> </w:t>
      </w:r>
      <w:r>
        <w:t>Cat. no. </w:t>
      </w:r>
      <w:r w:rsidRPr="004F0FDF">
        <w:t>5260.0.55.002</w:t>
      </w:r>
      <w:r w:rsidR="00C76D83">
        <w:t>)</w:t>
      </w:r>
      <w:r>
        <w:t>.</w:t>
      </w:r>
    </w:p>
    <w:p w14:paraId="3153A8CB" w14:textId="77777777" w:rsidR="002F1759" w:rsidRDefault="002F1759" w:rsidP="002F1759">
      <w:pPr>
        <w:pStyle w:val="Heading3"/>
      </w:pPr>
      <w:r>
        <w:t>Some i</w:t>
      </w:r>
      <w:r w:rsidRPr="00751154">
        <w:t xml:space="preserve">ndicators </w:t>
      </w:r>
      <w:r>
        <w:t xml:space="preserve">suggest </w:t>
      </w:r>
      <w:r w:rsidRPr="00477F85">
        <w:t>slowing</w:t>
      </w:r>
      <w:r w:rsidRPr="00751154">
        <w:t xml:space="preserve"> diffusion</w:t>
      </w:r>
    </w:p>
    <w:p w14:paraId="717F3F59" w14:textId="7B9EC23C" w:rsidR="002F1759" w:rsidRDefault="002F1759" w:rsidP="002F1759">
      <w:pPr>
        <w:pStyle w:val="BodyText"/>
      </w:pPr>
      <w:r>
        <w:t>Australia’s poor productivity performance may partly be attributed to weakening diffusion of frontier technologies from overseas. T</w:t>
      </w:r>
      <w:r w:rsidRPr="00F501DE">
        <w:t>he gap between global frontier firms and Australia</w:t>
      </w:r>
      <w:r>
        <w:t>n</w:t>
      </w:r>
      <w:r w:rsidRPr="00F501DE">
        <w:t xml:space="preserve"> firms </w:t>
      </w:r>
      <w:r>
        <w:t>(</w:t>
      </w:r>
      <w:r w:rsidRPr="00F501DE">
        <w:t>outside of the resources and financial market sectors</w:t>
      </w:r>
      <w:r>
        <w:t>)</w:t>
      </w:r>
      <w:r w:rsidRPr="00F501DE">
        <w:t xml:space="preserve"> </w:t>
      </w:r>
      <w:r>
        <w:t xml:space="preserve">appears to </w:t>
      </w:r>
      <w:r w:rsidRPr="00F501DE">
        <w:t>ha</w:t>
      </w:r>
      <w:r>
        <w:t>ve</w:t>
      </w:r>
      <w:r w:rsidRPr="00F501DE">
        <w:t xml:space="preserve"> grown over time, with Australia firms catching up to the frontier more slowly than previously</w:t>
      </w:r>
      <w:r>
        <w:t xml:space="preserve"> </w:t>
      </w:r>
      <w:r w:rsidRPr="00562483">
        <w:rPr>
          <w:rFonts w:ascii="Arial" w:hAnsi="Arial" w:cs="Arial"/>
          <w:szCs w:val="24"/>
        </w:rPr>
        <w:t>(Andrews et al. 2022)</w:t>
      </w:r>
      <w:r>
        <w:t>. This is a general trend, observed for OECD countries more generally, with the concern that, while progress at the global technological frontier remains strong, there has been a breakdown in the diffusion ‘machine’ so that catch</w:t>
      </w:r>
      <w:r>
        <w:noBreakHyphen/>
        <w:t xml:space="preserve">up has flagged </w:t>
      </w:r>
      <w:r w:rsidRPr="00936D73">
        <w:rPr>
          <w:rFonts w:ascii="Arial" w:hAnsi="Arial" w:cs="Arial"/>
          <w:szCs w:val="24"/>
        </w:rPr>
        <w:t>(Andrews, Criscuolo and Hansell 2019; van Ark, O’Mahony and Timmer 2008; OECD 2015b)</w:t>
      </w:r>
      <w:r w:rsidRPr="001F47E7">
        <w:t>.</w:t>
      </w:r>
    </w:p>
    <w:p w14:paraId="6985CF30" w14:textId="13EA0854" w:rsidR="00EB7209" w:rsidRPr="00BF104A" w:rsidRDefault="0003438B" w:rsidP="004A003D">
      <w:pPr>
        <w:pStyle w:val="BodyText"/>
        <w:rPr>
          <w:spacing w:val="-2"/>
        </w:rPr>
      </w:pPr>
      <w:r w:rsidRPr="00BF104A">
        <w:rPr>
          <w:spacing w:val="-2"/>
        </w:rPr>
        <w:t xml:space="preserve">The widening gap between the global frontier and Australian firms does not appear to have occurred between laggards and leaders within Australia. The dispersion in labour productivity levels across firms has </w:t>
      </w:r>
      <w:r w:rsidRPr="00BF104A">
        <w:rPr>
          <w:i/>
          <w:iCs/>
          <w:spacing w:val="-2"/>
        </w:rPr>
        <w:t>fallen</w:t>
      </w:r>
      <w:r w:rsidRPr="00BF104A">
        <w:rPr>
          <w:spacing w:val="-2"/>
        </w:rPr>
        <w:t xml:space="preserve">, especially for wholesale trade, retail trade and construction </w:t>
      </w:r>
      <w:r w:rsidRPr="00BF104A">
        <w:rPr>
          <w:rFonts w:cs="Arial"/>
          <w:spacing w:val="-2"/>
          <w:szCs w:val="24"/>
        </w:rPr>
        <w:t>(Campbell et al. 2019)</w:t>
      </w:r>
      <w:r w:rsidR="002F1759" w:rsidRPr="00BF104A">
        <w:rPr>
          <w:spacing w:val="-2"/>
        </w:rPr>
        <w:t>. Most of this reduction reflects catch</w:t>
      </w:r>
      <w:r w:rsidR="002F1759" w:rsidRPr="00BF104A">
        <w:rPr>
          <w:spacing w:val="-2"/>
        </w:rPr>
        <w:noBreakHyphen/>
        <w:t>up by the bottom 25</w:t>
      </w:r>
      <w:r w:rsidR="00E94315" w:rsidRPr="00BF104A">
        <w:rPr>
          <w:spacing w:val="-2"/>
        </w:rPr>
        <w:t>%</w:t>
      </w:r>
      <w:r w:rsidR="002F1759" w:rsidRPr="00BF104A">
        <w:rPr>
          <w:spacing w:val="-2"/>
        </w:rPr>
        <w:t xml:space="preserve"> of performers</w:t>
      </w:r>
      <w:r w:rsidR="00FF4937" w:rsidRPr="00BF104A">
        <w:rPr>
          <w:spacing w:val="-2"/>
        </w:rPr>
        <w:t>. This could imply</w:t>
      </w:r>
      <w:r w:rsidR="002F1759" w:rsidRPr="00BF104A">
        <w:rPr>
          <w:spacing w:val="-2"/>
        </w:rPr>
        <w:t xml:space="preserve"> improved diffusion within Australia and higher labour productivity growth than would have occurred had the gap not closed. </w:t>
      </w:r>
      <w:r w:rsidR="0023372D" w:rsidRPr="00BF104A">
        <w:rPr>
          <w:spacing w:val="-2"/>
        </w:rPr>
        <w:t>However</w:t>
      </w:r>
      <w:r w:rsidR="009676B8" w:rsidRPr="00BF104A">
        <w:rPr>
          <w:spacing w:val="-2"/>
        </w:rPr>
        <w:t>,</w:t>
      </w:r>
      <w:r w:rsidR="0023372D" w:rsidRPr="00BF104A">
        <w:rPr>
          <w:spacing w:val="-2"/>
        </w:rPr>
        <w:t xml:space="preserve"> it could also reflect decreasing </w:t>
      </w:r>
      <w:r w:rsidR="00AB4B1B" w:rsidRPr="00BF104A">
        <w:rPr>
          <w:spacing w:val="-2"/>
        </w:rPr>
        <w:t xml:space="preserve">firm </w:t>
      </w:r>
      <w:r w:rsidR="0023372D" w:rsidRPr="00BF104A">
        <w:rPr>
          <w:spacing w:val="-2"/>
        </w:rPr>
        <w:t xml:space="preserve">entry rates in these industries as </w:t>
      </w:r>
      <w:r w:rsidR="00B83FF9" w:rsidRPr="00BF104A">
        <w:rPr>
          <w:spacing w:val="-2"/>
        </w:rPr>
        <w:t>new</w:t>
      </w:r>
      <w:r w:rsidR="0023372D" w:rsidRPr="00BF104A">
        <w:rPr>
          <w:spacing w:val="-2"/>
        </w:rPr>
        <w:t xml:space="preserve"> firms are more likely to engage in experimental innovation activity</w:t>
      </w:r>
      <w:r w:rsidR="00B83FF9" w:rsidRPr="00BF104A">
        <w:rPr>
          <w:spacing w:val="-2"/>
        </w:rPr>
        <w:t>,</w:t>
      </w:r>
      <w:r w:rsidR="0023372D" w:rsidRPr="00BF104A">
        <w:rPr>
          <w:spacing w:val="-2"/>
        </w:rPr>
        <w:t xml:space="preserve"> which increases dispersion </w:t>
      </w:r>
      <w:r w:rsidR="00116531" w:rsidRPr="00BF104A">
        <w:rPr>
          <w:rFonts w:cs="Arial"/>
          <w:spacing w:val="-2"/>
          <w:szCs w:val="24"/>
        </w:rPr>
        <w:t>(Campbell et al. 2019, p. 17)</w:t>
      </w:r>
      <w:r w:rsidR="00B779A4" w:rsidRPr="00BF104A">
        <w:rPr>
          <w:spacing w:val="-2"/>
        </w:rPr>
        <w:t xml:space="preserve"> — implying a declin</w:t>
      </w:r>
      <w:r w:rsidR="005C532D" w:rsidRPr="00BF104A">
        <w:rPr>
          <w:spacing w:val="-2"/>
        </w:rPr>
        <w:t>e</w:t>
      </w:r>
      <w:r w:rsidR="00B779A4" w:rsidRPr="00BF104A">
        <w:rPr>
          <w:spacing w:val="-2"/>
        </w:rPr>
        <w:t xml:space="preserve"> in innovation overall</w:t>
      </w:r>
      <w:r w:rsidR="0023372D" w:rsidRPr="00BF104A">
        <w:rPr>
          <w:spacing w:val="-2"/>
        </w:rPr>
        <w:t>.</w:t>
      </w:r>
      <w:r w:rsidR="00B779A4" w:rsidRPr="00BF104A">
        <w:rPr>
          <w:spacing w:val="-2"/>
        </w:rPr>
        <w:t xml:space="preserve"> </w:t>
      </w:r>
      <w:r w:rsidR="009D7914" w:rsidRPr="00BF104A">
        <w:rPr>
          <w:spacing w:val="-2"/>
        </w:rPr>
        <w:t>T</w:t>
      </w:r>
      <w:r w:rsidR="002F1759" w:rsidRPr="00BF104A">
        <w:rPr>
          <w:spacing w:val="-2"/>
        </w:rPr>
        <w:t>he labour productivity gap of firms at the 75</w:t>
      </w:r>
      <w:r w:rsidR="002F1759" w:rsidRPr="00BF104A">
        <w:rPr>
          <w:spacing w:val="-2"/>
          <w:vertAlign w:val="superscript"/>
        </w:rPr>
        <w:t>th</w:t>
      </w:r>
      <w:r w:rsidR="002F1759" w:rsidRPr="00BF104A">
        <w:rPr>
          <w:spacing w:val="-2"/>
        </w:rPr>
        <w:t xml:space="preserve"> percentile and 25</w:t>
      </w:r>
      <w:r w:rsidR="002F1759" w:rsidRPr="00BF104A">
        <w:rPr>
          <w:spacing w:val="-2"/>
          <w:vertAlign w:val="superscript"/>
        </w:rPr>
        <w:t>th</w:t>
      </w:r>
      <w:r w:rsidR="002F1759" w:rsidRPr="00BF104A">
        <w:rPr>
          <w:spacing w:val="-2"/>
        </w:rPr>
        <w:t> percentile is still wide.</w:t>
      </w:r>
      <w:r w:rsidR="007C495A" w:rsidRPr="00BF104A">
        <w:rPr>
          <w:spacing w:val="-2"/>
        </w:rPr>
        <w:t xml:space="preserve"> </w:t>
      </w:r>
    </w:p>
    <w:p w14:paraId="0A456902" w14:textId="77777777" w:rsidR="002F1759" w:rsidRDefault="002F1759" w:rsidP="008331F4">
      <w:pPr>
        <w:pStyle w:val="Heading4"/>
      </w:pPr>
      <w:r>
        <w:t>Business entry and exits</w:t>
      </w:r>
    </w:p>
    <w:p w14:paraId="23DA280D" w14:textId="283BA09D" w:rsidR="0003438B" w:rsidRDefault="0003438B" w:rsidP="0003438B">
      <w:pPr>
        <w:pStyle w:val="BodyText"/>
      </w:pPr>
      <w:r>
        <w:t xml:space="preserve">Business exits and entries are a potentially important dimension of business dynamism. New entrants increase competitive pressures on incumbent firms, increasing their incentive to improve and reduce costs through innovation </w:t>
      </w:r>
      <w:r w:rsidRPr="00883628">
        <w:rPr>
          <w:rFonts w:cs="Arial"/>
          <w:szCs w:val="24"/>
        </w:rPr>
        <w:t>(Aghion et al. 2005)</w:t>
      </w:r>
      <w:r>
        <w:t xml:space="preserve">. New entrants also purchase a disproportionate share of old physical capital, providing an opportunity for incumbents to sell existing capital and </w:t>
      </w:r>
      <w:r w:rsidR="00880187">
        <w:t xml:space="preserve">buy </w:t>
      </w:r>
      <w:r w:rsidR="002F1759">
        <w:t>innovative new capital</w:t>
      </w:r>
      <w:r>
        <w:t xml:space="preserve"> </w:t>
      </w:r>
      <w:r w:rsidRPr="0018139E">
        <w:rPr>
          <w:rFonts w:cs="Arial"/>
          <w:szCs w:val="24"/>
        </w:rPr>
        <w:t>(Ma, Murfin and Pratt 2021)</w:t>
      </w:r>
      <w:r>
        <w:t>.</w:t>
      </w:r>
      <w:r w:rsidRPr="004329DC">
        <w:t xml:space="preserve"> </w:t>
      </w:r>
      <w:r>
        <w:t>New and younger firms also tend to be innovative and more likely to adopt new technologies, with start</w:t>
      </w:r>
      <w:r>
        <w:noBreakHyphen/>
        <w:t xml:space="preserve">ups and entrepreneurs often bringing existing ideas to new places or industries. </w:t>
      </w:r>
      <w:r>
        <w:lastRenderedPageBreak/>
        <w:t>Recent empirical work also suggests that younger firms catch</w:t>
      </w:r>
      <w:r>
        <w:noBreakHyphen/>
        <w:t>up to the productivity frontier</w:t>
      </w:r>
      <w:r w:rsidDel="005671EF">
        <w:t xml:space="preserve"> </w:t>
      </w:r>
      <w:r>
        <w:t xml:space="preserve">more quickly than mature firms </w:t>
      </w:r>
      <w:r w:rsidRPr="00840429">
        <w:rPr>
          <w:rFonts w:cs="Arial"/>
          <w:szCs w:val="24"/>
        </w:rPr>
        <w:t>(Berlingieri et al. 2020)</w:t>
      </w:r>
      <w:r>
        <w:t xml:space="preserve">. However, not all new entrants thrive — many </w:t>
      </w:r>
      <w:proofErr w:type="gramStart"/>
      <w:r>
        <w:t>exit</w:t>
      </w:r>
      <w:proofErr w:type="gramEnd"/>
      <w:r>
        <w:t xml:space="preserve"> soon afterwards due to poor profitability and productivity.</w:t>
      </w:r>
    </w:p>
    <w:p w14:paraId="033F48A7" w14:textId="6977B7A0" w:rsidR="0003438B" w:rsidRDefault="0003438B" w:rsidP="0003438B">
      <w:pPr>
        <w:pStyle w:val="BodyText"/>
      </w:pPr>
      <w:r>
        <w:t xml:space="preserve">There is some evidence of a weak downward trend in entry rates for employing businesses, but the rates are volatile (figure 1.9). </w:t>
      </w:r>
      <w:r w:rsidR="002F1759">
        <w:t>While probably much less important for business dynamism, entry rates for non</w:t>
      </w:r>
      <w:r w:rsidR="002F1759">
        <w:noBreakHyphen/>
        <w:t xml:space="preserve">employing businesses have </w:t>
      </w:r>
      <w:r w:rsidR="002F1759" w:rsidRPr="00B37D34">
        <w:rPr>
          <w:i/>
          <w:iCs/>
        </w:rPr>
        <w:t>risen</w:t>
      </w:r>
      <w:r w:rsidR="002F1759">
        <w:t xml:space="preserve"> significantly from 2012</w:t>
      </w:r>
      <w:r w:rsidR="002F1759">
        <w:noBreakHyphen/>
        <w:t>13,</w:t>
      </w:r>
      <w:r w:rsidR="002F1759" w:rsidDel="00BD7B8E">
        <w:t xml:space="preserve"> </w:t>
      </w:r>
      <w:r w:rsidR="00BD7B8E">
        <w:t xml:space="preserve">partly </w:t>
      </w:r>
      <w:r w:rsidR="002F1759">
        <w:t>due to the rise of self</w:t>
      </w:r>
      <w:r w:rsidR="00A43B86">
        <w:noBreakHyphen/>
      </w:r>
      <w:r w:rsidR="002F1759">
        <w:t>employment in the gig economy</w:t>
      </w:r>
      <w:r w:rsidR="008C4E14">
        <w:t>, parti</w:t>
      </w:r>
      <w:r w:rsidR="00776882">
        <w:t>cularly in the ride</w:t>
      </w:r>
      <w:r w:rsidR="00776882">
        <w:noBreakHyphen/>
        <w:t xml:space="preserve">share and other transport industries </w:t>
      </w:r>
      <w:r w:rsidR="00B053FC">
        <w:t xml:space="preserve">— as highlighted in </w:t>
      </w:r>
      <w:r w:rsidR="00FE236A">
        <w:t xml:space="preserve">Ellis </w:t>
      </w:r>
      <w:r w:rsidR="00116531" w:rsidRPr="00116531">
        <w:rPr>
          <w:rFonts w:ascii="Arial" w:hAnsi="Arial" w:cs="Arial"/>
          <w:szCs w:val="24"/>
        </w:rPr>
        <w:t>(2021)</w:t>
      </w:r>
      <w:r w:rsidR="00B053FC">
        <w:t xml:space="preserve"> and </w:t>
      </w:r>
      <w:r w:rsidR="00D352A7">
        <w:t xml:space="preserve">this inquiry’s companion </w:t>
      </w:r>
      <w:r w:rsidR="006A08BD">
        <w:t>volume</w:t>
      </w:r>
      <w:r w:rsidR="00D352A7">
        <w:t xml:space="preserve"> </w:t>
      </w:r>
      <w:r w:rsidR="00D352A7">
        <w:rPr>
          <w:i/>
          <w:iCs/>
        </w:rPr>
        <w:t>A more productive labour market</w:t>
      </w:r>
      <w:r w:rsidR="002F1759">
        <w:t>. (The data for 2020</w:t>
      </w:r>
      <w:r w:rsidR="002F1759">
        <w:noBreakHyphen/>
        <w:t xml:space="preserve">21 </w:t>
      </w:r>
      <w:r w:rsidR="00BD7B8E">
        <w:t>and 2021</w:t>
      </w:r>
      <w:r w:rsidR="00A43B86">
        <w:noBreakHyphen/>
      </w:r>
      <w:r w:rsidR="00BD7B8E">
        <w:t>22</w:t>
      </w:r>
      <w:r>
        <w:t xml:space="preserve"> are non</w:t>
      </w:r>
      <w:r>
        <w:noBreakHyphen/>
        <w:t>representative, reflecting the impact of COVID</w:t>
      </w:r>
      <w:r>
        <w:noBreakHyphen/>
        <w:t>19.)</w:t>
      </w:r>
    </w:p>
    <w:p w14:paraId="2DD2DE8C" w14:textId="666A9E53" w:rsidR="002F1759" w:rsidRPr="00146382" w:rsidRDefault="002F1759" w:rsidP="002F1759">
      <w:pPr>
        <w:pStyle w:val="FigureTableHeading"/>
      </w:pPr>
      <w:r>
        <w:t>Figure 1.9 – Rates of business exits and entries showed generally declining rates prior to the COVID</w:t>
      </w:r>
      <w:r>
        <w:noBreakHyphen/>
        <w:t>19 pandemic</w:t>
      </w:r>
      <w:r w:rsidRPr="00066CF5">
        <w:rPr>
          <w:vertAlign w:val="superscript"/>
        </w:rPr>
        <w:t>a</w:t>
      </w:r>
    </w:p>
    <w:p w14:paraId="0DB07D54" w14:textId="77777777" w:rsidR="0003438B" w:rsidRDefault="0003438B" w:rsidP="0003438B">
      <w:pPr>
        <w:pStyle w:val="FigureTableSubheading"/>
        <w:keepLines/>
      </w:pPr>
      <w:r>
        <w:t>2005</w:t>
      </w:r>
      <w:r>
        <w:noBreakHyphen/>
        <w:t>06 to 2021</w:t>
      </w:r>
      <w:r>
        <w:noBreakHyphen/>
        <w:t>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2F1759" w:rsidRPr="000C3002" w14:paraId="31E46CA1" w14:textId="77777777" w:rsidTr="006B059C">
        <w:trPr>
          <w:tblHeader/>
        </w:trPr>
        <w:tc>
          <w:tcPr>
            <w:tcW w:w="2500" w:type="pct"/>
            <w:shd w:val="clear" w:color="auto" w:fill="auto"/>
          </w:tcPr>
          <w:p w14:paraId="46C4A92D" w14:textId="68C260AC" w:rsidR="002F1759" w:rsidRPr="000C3002" w:rsidRDefault="000C3002" w:rsidP="006B059C">
            <w:pPr>
              <w:pStyle w:val="TableBody"/>
              <w:rPr>
                <w:b/>
                <w:bCs/>
              </w:rPr>
            </w:pPr>
            <w:r>
              <w:rPr>
                <w:b/>
                <w:bCs/>
              </w:rPr>
              <w:t xml:space="preserve">a. </w:t>
            </w:r>
            <w:r w:rsidR="00933AB8" w:rsidRPr="000C3002">
              <w:rPr>
                <w:b/>
                <w:bCs/>
              </w:rPr>
              <w:t>Non</w:t>
            </w:r>
            <w:r w:rsidR="00A43B86">
              <w:rPr>
                <w:b/>
                <w:bCs/>
              </w:rPr>
              <w:noBreakHyphen/>
            </w:r>
            <w:r w:rsidR="00933AB8" w:rsidRPr="000C3002">
              <w:rPr>
                <w:b/>
                <w:bCs/>
              </w:rPr>
              <w:t>employing businesses</w:t>
            </w:r>
            <w:r w:rsidR="00933AB8" w:rsidRPr="000C3002">
              <w:rPr>
                <w:b/>
                <w:bCs/>
                <w:noProof/>
              </w:rPr>
              <w:drawing>
                <wp:inline distT="0" distB="0" distL="0" distR="0" wp14:anchorId="0D356AA9" wp14:editId="3AED6E96">
                  <wp:extent cx="3010535" cy="2872740"/>
                  <wp:effectExtent l="0" t="0" r="0" b="0"/>
                  <wp:docPr id="47" name="Picture 47" descr="This figure contains two charts, showing the rate of business entries and exits over time from 2005-06 to 2021-22. The left chart shows the rates for non-employing businesses, while the right chart shows rates for employing businesses. The charts show generally declining rates prior to the Covid-19 pandemic, where government stimulus measures have caused uncharacteristic resul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figure contains two charts, showing the rate of business entries and exits over time from 2005-06 to 2021-22. The left chart shows the rates for non-employing businesses, while the right chart shows rates for employing businesses. The charts show generally declining rates prior to the Covid-19 pandemic, where government stimulus measures have caused uncharacteristic results.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0535" cy="2872740"/>
                          </a:xfrm>
                          <a:prstGeom prst="rect">
                            <a:avLst/>
                          </a:prstGeom>
                          <a:noFill/>
                          <a:ln>
                            <a:noFill/>
                          </a:ln>
                        </pic:spPr>
                      </pic:pic>
                    </a:graphicData>
                  </a:graphic>
                </wp:inline>
              </w:drawing>
            </w:r>
          </w:p>
        </w:tc>
        <w:tc>
          <w:tcPr>
            <w:tcW w:w="2500" w:type="pct"/>
            <w:shd w:val="clear" w:color="auto" w:fill="auto"/>
          </w:tcPr>
          <w:p w14:paraId="019AFCE4" w14:textId="2ABF7AA7" w:rsidR="002F1759" w:rsidRPr="000C3002" w:rsidRDefault="00933AB8" w:rsidP="006B059C">
            <w:pPr>
              <w:pStyle w:val="TableBody"/>
              <w:rPr>
                <w:b/>
                <w:bCs/>
              </w:rPr>
            </w:pPr>
            <w:r w:rsidRPr="000C3002">
              <w:rPr>
                <w:b/>
                <w:bCs/>
              </w:rPr>
              <w:t>b. Employing businesses</w:t>
            </w:r>
            <w:r w:rsidR="00537640" w:rsidRPr="000C3002">
              <w:rPr>
                <w:b/>
                <w:bCs/>
                <w:noProof/>
              </w:rPr>
              <w:drawing>
                <wp:inline distT="0" distB="0" distL="0" distR="0" wp14:anchorId="033FD39F" wp14:editId="61A4A202">
                  <wp:extent cx="3010535" cy="2872740"/>
                  <wp:effectExtent l="0" t="0" r="0" b="0"/>
                  <wp:docPr id="45" name="Picture 45" descr="This figure contains two charts, showing the rate of business entries and exits over time from 2005-06 to 2021-22. The left chart shows the rates for non-employing businesses, while the right chart shows rates for employing businesses. The charts show generally declining rates prior to the Covid-19 pandemic, where government stimulus measures have caused uncharacteristic resul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figure contains two charts, showing the rate of business entries and exits over time from 2005-06 to 2021-22. The left chart shows the rates for non-employing businesses, while the right chart shows rates for employing businesses. The charts show generally declining rates prior to the Covid-19 pandemic, where government stimulus measures have caused uncharacteristic results.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0535" cy="2872740"/>
                          </a:xfrm>
                          <a:prstGeom prst="rect">
                            <a:avLst/>
                          </a:prstGeom>
                          <a:noFill/>
                          <a:ln>
                            <a:noFill/>
                          </a:ln>
                        </pic:spPr>
                      </pic:pic>
                    </a:graphicData>
                  </a:graphic>
                </wp:inline>
              </w:drawing>
            </w:r>
          </w:p>
        </w:tc>
      </w:tr>
    </w:tbl>
    <w:p w14:paraId="23282000" w14:textId="77777777" w:rsidR="0003438B" w:rsidRDefault="0003438B" w:rsidP="0003438B">
      <w:pPr>
        <w:pStyle w:val="Note"/>
      </w:pPr>
      <w:r w:rsidRPr="00180E66">
        <w:rPr>
          <w:b/>
          <w:bCs/>
        </w:rPr>
        <w:t>a.</w:t>
      </w:r>
      <w:r>
        <w:t xml:space="preserve"> Based on measures of exit and entries over the ABS’s estimates of the counts of Australian businesses. There are minor discrepancies of numbers between successive statistical reports. The effects of the pandemic and various government policy measures to stimulate the economy explain the uncharacteristic results for 2020</w:t>
      </w:r>
      <w:r>
        <w:noBreakHyphen/>
        <w:t>21 and 2021</w:t>
      </w:r>
      <w:r w:rsidR="000565F7">
        <w:noBreakHyphen/>
      </w:r>
      <w:r>
        <w:t>22.</w:t>
      </w:r>
    </w:p>
    <w:p w14:paraId="5560783A" w14:textId="3E2FE1B8" w:rsidR="0003438B" w:rsidRDefault="0003438B" w:rsidP="0003438B">
      <w:pPr>
        <w:pStyle w:val="Source"/>
      </w:pPr>
      <w:r w:rsidRPr="00696447">
        <w:t xml:space="preserve">Source: </w:t>
      </w:r>
      <w:r>
        <w:t>ABS (</w:t>
      </w:r>
      <w:r w:rsidRPr="00423BA2">
        <w:rPr>
          <w:i/>
          <w:iCs/>
        </w:rPr>
        <w:t>Counts of Australian businesses, including Entries and Exits</w:t>
      </w:r>
      <w:r>
        <w:rPr>
          <w:i/>
        </w:rPr>
        <w:t xml:space="preserve">, </w:t>
      </w:r>
      <w:r w:rsidR="00C76D83">
        <w:t xml:space="preserve">various years, </w:t>
      </w:r>
      <w:r>
        <w:t>Cat. no. 8165.0</w:t>
      </w:r>
      <w:r w:rsidR="00A43B86">
        <w:t>).</w:t>
      </w:r>
    </w:p>
    <w:p w14:paraId="70F1318E" w14:textId="77777777" w:rsidR="0003438B" w:rsidRDefault="0003438B" w:rsidP="0003438B">
      <w:pPr>
        <w:pStyle w:val="BodyText"/>
      </w:pPr>
      <w:r>
        <w:t>Firm exit rates in Australia have been trending down for employing businesses (and been largely static for non</w:t>
      </w:r>
      <w:r>
        <w:noBreakHyphen/>
        <w:t>employing businesses over the past five years). The downward trend partly reflects significant reductions in business</w:t>
      </w:r>
      <w:r>
        <w:noBreakHyphen/>
        <w:t>related bankruptcies and personal insolvencies (box 1.2), though the share of total business exits accounted for by such business failures is small. In any case, the changes in bankruptcy and insolvency laws in recent years have been to improve the efficient re</w:t>
      </w:r>
      <w:r>
        <w:noBreakHyphen/>
        <w:t>allocation of resources to avoid ‘fire sales’ and to enable fundamentally sound businesses to be restructured.</w:t>
      </w:r>
    </w:p>
    <w:tbl>
      <w:tblPr>
        <w:tblStyle w:val="Boxtable"/>
        <w:tblW w:w="5000" w:type="pct"/>
        <w:tblLook w:val="04A0" w:firstRow="1" w:lastRow="0" w:firstColumn="1" w:lastColumn="0" w:noHBand="0" w:noVBand="1"/>
      </w:tblPr>
      <w:tblGrid>
        <w:gridCol w:w="9638"/>
      </w:tblGrid>
      <w:tr w:rsidR="002F1759" w14:paraId="555B0E88" w14:textId="77777777" w:rsidTr="006B059C">
        <w:trPr>
          <w:trHeight w:val="523"/>
          <w:tblHeader/>
        </w:trPr>
        <w:tc>
          <w:tcPr>
            <w:tcW w:w="9638" w:type="dxa"/>
            <w:tcMar>
              <w:top w:w="170" w:type="dxa"/>
              <w:left w:w="170" w:type="dxa"/>
              <w:bottom w:w="113" w:type="dxa"/>
              <w:right w:w="170" w:type="dxa"/>
            </w:tcMar>
            <w:hideMark/>
          </w:tcPr>
          <w:p w14:paraId="1C1E66D1" w14:textId="77777777" w:rsidR="002F1759" w:rsidRDefault="002F1759" w:rsidP="006B059C">
            <w:pPr>
              <w:pStyle w:val="BoxHeading1"/>
            </w:pPr>
            <w:r>
              <w:lastRenderedPageBreak/>
              <w:t>Box 1.2 – The role of bankruptcies and insolvencies in firm exit</w:t>
            </w:r>
          </w:p>
        </w:tc>
      </w:tr>
      <w:tr w:rsidR="002F1759" w14:paraId="7CE98757" w14:textId="77777777" w:rsidTr="006B059C">
        <w:trPr>
          <w:trHeight w:val="10646"/>
        </w:trPr>
        <w:tc>
          <w:tcPr>
            <w:tcW w:w="9638" w:type="dxa"/>
            <w:tcMar>
              <w:top w:w="28" w:type="dxa"/>
              <w:left w:w="170" w:type="dxa"/>
              <w:bottom w:w="170" w:type="dxa"/>
              <w:right w:w="170" w:type="dxa"/>
            </w:tcMar>
            <w:hideMark/>
          </w:tcPr>
          <w:p w14:paraId="21495080" w14:textId="464B2C3B" w:rsidR="002F1759" w:rsidRDefault="002F1759" w:rsidP="006B059C">
            <w:pPr>
              <w:pStyle w:val="Box"/>
            </w:pPr>
            <w:r>
              <w:t>In 2018</w:t>
            </w:r>
            <w:r>
              <w:noBreakHyphen/>
              <w:t xml:space="preserve">19, prior to the onset of the pandemic, bankruptcies and insolvencies were already at their lowest level since the late 1990s </w:t>
            </w:r>
            <w:r w:rsidRPr="009C2D5E">
              <w:rPr>
                <w:rFonts w:cs="Arial"/>
                <w:szCs w:val="24"/>
              </w:rPr>
              <w:t>(RBA 2020, p. 33)</w:t>
            </w:r>
            <w:r>
              <w:t>. By 2021</w:t>
            </w:r>
            <w:r>
              <w:noBreakHyphen/>
              <w:t>22, business bankruptcies and corporate insolvencies were less than half their 2018</w:t>
            </w:r>
            <w:r>
              <w:noBreakHyphen/>
              <w:t>19 levels (figure 1.10).</w:t>
            </w:r>
          </w:p>
          <w:p w14:paraId="14A1F0DB" w14:textId="77777777" w:rsidR="002F1759" w:rsidRDefault="002F1759" w:rsidP="006B059C">
            <w:pPr>
              <w:pStyle w:val="Box"/>
            </w:pPr>
            <w:r>
              <w:t xml:space="preserve">Several changes to Australia’s insolvency and bankruptcy laws in recent years will have contributed to the decline in business exits and will do so in future years. </w:t>
            </w:r>
            <w:proofErr w:type="gramStart"/>
            <w:r>
              <w:t>In particular, reforms</w:t>
            </w:r>
            <w:proofErr w:type="gramEnd"/>
            <w:r>
              <w:t xml:space="preserve"> to Australia’s corporate insolvency laws in September 2017 gave companies more breathing space to undertake a formal restructure rather than become insolvent (reforms introduced a safe harbour for company directors from personal liability for insolvent trading, and a stay on enforcement of ipso facto clauses).</w:t>
            </w:r>
          </w:p>
          <w:p w14:paraId="23A1B76F" w14:textId="6168F399" w:rsidR="002F1759" w:rsidRDefault="002F1759" w:rsidP="006B059C">
            <w:pPr>
              <w:pStyle w:val="Box"/>
            </w:pPr>
            <w:r>
              <w:t xml:space="preserve">Though its effects will not yet be obvious in the failure data, the introduction in January 2021 of a new formal debt restructuring process for small businesses is aimed at reducing exits of small businesses, while a simplified liquidation pathway is aimed at speeding up liquidation (and the subsequent reallocation of resources) for those businesses that do fail. The patterns in the </w:t>
            </w:r>
            <w:r w:rsidR="00833F61">
              <w:t>p</w:t>
            </w:r>
            <w:r w:rsidR="00706234">
              <w:t>ast</w:t>
            </w:r>
            <w:r>
              <w:t xml:space="preserve"> few years will also reflect the influence of pandemic business support programs such as JobKeeper and industry</w:t>
            </w:r>
            <w:r>
              <w:noBreakHyphen/>
              <w:t>specific supports, such as the COVID</w:t>
            </w:r>
            <w:r>
              <w:noBreakHyphen/>
              <w:t>19 Consumer Travel Support Program. Temporary changes were also introduced to insolvency arrangements during the COVID</w:t>
            </w:r>
            <w:r>
              <w:noBreakHyphen/>
              <w:t>19 pandemic as part of the package of business support measures, which reduced business failures below counterfactual levels.</w:t>
            </w:r>
          </w:p>
          <w:p w14:paraId="0E06E7CE" w14:textId="0F7DA5DB" w:rsidR="002F1759" w:rsidRPr="00146382" w:rsidRDefault="002F1759" w:rsidP="006B059C">
            <w:pPr>
              <w:pStyle w:val="FigureTableHeading"/>
              <w:spacing w:before="120"/>
            </w:pPr>
            <w:r>
              <w:t>Figure </w:t>
            </w:r>
            <w:r>
              <w:rPr>
                <w:noProof/>
              </w:rPr>
              <w:t>1</w:t>
            </w:r>
            <w:r>
              <w:t>.10</w:t>
            </w:r>
            <w:r>
              <w:rPr>
                <w:noProof/>
              </w:rPr>
              <w:t xml:space="preserve"> </w:t>
            </w:r>
            <w:r>
              <w:t>– Business</w:t>
            </w:r>
            <w:r>
              <w:noBreakHyphen/>
              <w:t>related bankruptcies and corporate insolvencies declined between 2007</w:t>
            </w:r>
            <w:r>
              <w:noBreakHyphen/>
              <w:t>08 and 2021</w:t>
            </w:r>
            <w:r>
              <w:noBreakHyphen/>
              <w:t>22</w:t>
            </w:r>
            <w:r w:rsidRPr="00066CF5">
              <w:rPr>
                <w:vertAlign w:val="superscript"/>
              </w:rPr>
              <w:t>a</w:t>
            </w:r>
          </w:p>
          <w:p w14:paraId="39F79271" w14:textId="0DCBFBD4" w:rsidR="002F1759" w:rsidRDefault="00AB081E" w:rsidP="006B059C">
            <w:pPr>
              <w:pStyle w:val="Note"/>
              <w:jc w:val="both"/>
              <w:rPr>
                <w:b/>
                <w:bCs/>
              </w:rPr>
            </w:pPr>
            <w:r w:rsidRPr="00AB081E">
              <w:rPr>
                <w:b/>
                <w:bCs/>
                <w:noProof/>
              </w:rPr>
              <w:drawing>
                <wp:inline distT="0" distB="0" distL="0" distR="0" wp14:anchorId="64B000F5" wp14:editId="5713394D">
                  <wp:extent cx="5809785" cy="2777490"/>
                  <wp:effectExtent l="0" t="0" r="0" b="0"/>
                  <wp:docPr id="88" name="Picture 88" descr="This figure shows the quarterly number of business-related bankruptcies and corporate insolvencies in Australia over time between 2007-08 and 2021-22. It shows that rates of business-related bankruptcies and corporate insolvencies have declined over ti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is figure shows the quarterly number of business-related bankruptcies and corporate insolvencies in Australia over time between 2007-08 and 2021-22. It shows that rates of business-related bankruptcies and corporate insolvencies have declined over time. &#1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52"/>
                          <a:stretch/>
                        </pic:blipFill>
                        <pic:spPr bwMode="auto">
                          <a:xfrm>
                            <a:off x="0" y="0"/>
                            <a:ext cx="5809785" cy="2777490"/>
                          </a:xfrm>
                          <a:prstGeom prst="rect">
                            <a:avLst/>
                          </a:prstGeom>
                          <a:noFill/>
                          <a:ln>
                            <a:noFill/>
                          </a:ln>
                          <a:extLst>
                            <a:ext uri="{53640926-AAD7-44D8-BBD7-CCE9431645EC}">
                              <a14:shadowObscured xmlns:a14="http://schemas.microsoft.com/office/drawing/2010/main"/>
                            </a:ext>
                          </a:extLst>
                        </pic:spPr>
                      </pic:pic>
                    </a:graphicData>
                  </a:graphic>
                </wp:inline>
              </w:drawing>
            </w:r>
          </w:p>
          <w:p w14:paraId="69B9D343" w14:textId="77777777" w:rsidR="002F1759" w:rsidRDefault="002F1759" w:rsidP="006B059C">
            <w:pPr>
              <w:pStyle w:val="Note"/>
            </w:pPr>
            <w:r w:rsidRPr="00180E66">
              <w:rPr>
                <w:b/>
                <w:bCs/>
              </w:rPr>
              <w:t>a.</w:t>
            </w:r>
            <w:r>
              <w:t xml:space="preserve"> The total is the sum of Business bankruptcies and corporate insolvencies. Non</w:t>
            </w:r>
            <w:r>
              <w:noBreakHyphen/>
              <w:t>business bankruptcies are excluded. The estimate of bankruptcies for 2021</w:t>
            </w:r>
            <w:r>
              <w:noBreakHyphen/>
              <w:t>22 includes an estimate for the last quarter of the year.</w:t>
            </w:r>
          </w:p>
          <w:p w14:paraId="18EAA5DB" w14:textId="558F0BD2" w:rsidR="002F1759" w:rsidRDefault="002F1759" w:rsidP="006B059C">
            <w:pPr>
              <w:pStyle w:val="Note"/>
            </w:pPr>
            <w:r>
              <w:t xml:space="preserve">Source: AFSA </w:t>
            </w:r>
            <w:r w:rsidRPr="008B2802">
              <w:rPr>
                <w:rFonts w:ascii="Arial" w:hAnsi="Arial" w:cs="Arial"/>
              </w:rPr>
              <w:t>(2022)</w:t>
            </w:r>
            <w:r>
              <w:t xml:space="preserve"> and ASIC </w:t>
            </w:r>
            <w:r w:rsidRPr="006F3D13">
              <w:rPr>
                <w:rFonts w:ascii="Arial" w:hAnsi="Arial" w:cs="Arial"/>
              </w:rPr>
              <w:t>(2022)</w:t>
            </w:r>
            <w:r>
              <w:t>.</w:t>
            </w:r>
          </w:p>
        </w:tc>
      </w:tr>
      <w:tr w:rsidR="002F1759" w14:paraId="04876BC3" w14:textId="77777777" w:rsidTr="006B059C">
        <w:trPr>
          <w:trHeight w:val="231"/>
          <w:hidden/>
        </w:trPr>
        <w:tc>
          <w:tcPr>
            <w:tcW w:w="9638" w:type="dxa"/>
            <w:shd w:val="clear" w:color="auto" w:fill="auto"/>
            <w:tcMar>
              <w:top w:w="0" w:type="dxa"/>
              <w:left w:w="170" w:type="dxa"/>
              <w:bottom w:w="0" w:type="dxa"/>
              <w:right w:w="170" w:type="dxa"/>
            </w:tcMar>
          </w:tcPr>
          <w:p w14:paraId="25FA0B12" w14:textId="77777777" w:rsidR="002F1759" w:rsidRPr="00465191" w:rsidRDefault="002F1759" w:rsidP="006B059C">
            <w:pPr>
              <w:pStyle w:val="BodyText"/>
              <w:spacing w:before="0" w:after="0" w:line="80" w:lineRule="atLeast"/>
              <w:rPr>
                <w:smallCaps/>
                <w:vanish/>
              </w:rPr>
            </w:pPr>
          </w:p>
        </w:tc>
      </w:tr>
    </w:tbl>
    <w:p w14:paraId="15DD5935" w14:textId="77777777" w:rsidR="00902C61" w:rsidRDefault="00902C61" w:rsidP="00902C61">
      <w:pPr>
        <w:pStyle w:val="BodyText"/>
      </w:pPr>
      <w:r>
        <w:lastRenderedPageBreak/>
        <w:t>Of the remaining exits, many will not entail failure as businesses can cease due to retirement of the owner, re</w:t>
      </w:r>
      <w:r>
        <w:noBreakHyphen/>
        <w:t>structuring or the sale of a profitable business. Nevertheless, many other exits reflect poor productivity and profitability arising from unanticipated demand and supply shocks or management deficiencies.</w:t>
      </w:r>
      <w:r w:rsidRPr="004B61DD">
        <w:rPr>
          <w:rStyle w:val="FootnoteReference"/>
        </w:rPr>
        <w:footnoteReference w:id="12"/>
      </w:r>
      <w:r>
        <w:t xml:space="preserve"> </w:t>
      </w:r>
    </w:p>
    <w:p w14:paraId="735D0B7C" w14:textId="67B3FFB9" w:rsidR="00902C61" w:rsidRDefault="00902C61" w:rsidP="00902C61">
      <w:pPr>
        <w:pStyle w:val="BodyText"/>
      </w:pPr>
      <w:r>
        <w:t>Declining rates of exits will be problematic to the degree that low productivity businesses survive, slowing the diffusion of best practice and using resources best allocated to more efficient businesses. While exits can be adverse for business owners and employees, they also build up entrepreneurial experience and encourage the acquisition of new skills.</w:t>
      </w:r>
    </w:p>
    <w:p w14:paraId="529B77E7" w14:textId="518938E0" w:rsidR="0003438B" w:rsidRPr="0036308E" w:rsidRDefault="0003438B" w:rsidP="00902C61">
      <w:pPr>
        <w:pStyle w:val="BodyText"/>
        <w:rPr>
          <w:spacing w:val="-4"/>
        </w:rPr>
      </w:pPr>
      <w:r w:rsidRPr="0036308E">
        <w:rPr>
          <w:spacing w:val="-4"/>
        </w:rPr>
        <w:t xml:space="preserve">The overall picture is that a smaller share of businesses </w:t>
      </w:r>
      <w:proofErr w:type="gramStart"/>
      <w:r w:rsidRPr="0036308E">
        <w:rPr>
          <w:spacing w:val="-4"/>
        </w:rPr>
        <w:t>exit</w:t>
      </w:r>
      <w:proofErr w:type="gramEnd"/>
      <w:r w:rsidRPr="0036308E">
        <w:rPr>
          <w:spacing w:val="-4"/>
        </w:rPr>
        <w:t xml:space="preserve"> than 15 years ago, particularly for employing businesses, which is where most activity in the economy is concentrated. Why that is the case and whether it really interferes with the ‘diffusion machine’ is not clear. Some evidence suggests that the number of businesses at the edge of financial viability (‘zombie’ businesses) has </w:t>
      </w:r>
      <w:r w:rsidRPr="0036308E">
        <w:rPr>
          <w:i/>
          <w:iCs/>
          <w:spacing w:val="-4"/>
        </w:rPr>
        <w:t>not</w:t>
      </w:r>
      <w:r w:rsidRPr="0036308E">
        <w:rPr>
          <w:spacing w:val="-4"/>
        </w:rPr>
        <w:t xml:space="preserve"> risen as a share of all businesses since 2007, and that these businesses have had limited adverse effects on aggregate firm performance </w:t>
      </w:r>
      <w:r w:rsidRPr="0036308E">
        <w:rPr>
          <w:rFonts w:cs="Arial"/>
          <w:spacing w:val="-4"/>
          <w:szCs w:val="24"/>
        </w:rPr>
        <w:t>(Bowman 2022)</w:t>
      </w:r>
      <w:r w:rsidRPr="0036308E">
        <w:rPr>
          <w:spacing w:val="-4"/>
        </w:rPr>
        <w:t>.</w:t>
      </w:r>
    </w:p>
    <w:p w14:paraId="7E1E04B5" w14:textId="77777777" w:rsidR="0003438B" w:rsidRPr="00C4445E" w:rsidRDefault="0003438B" w:rsidP="0003438B">
      <w:pPr>
        <w:pStyle w:val="Heading2"/>
      </w:pPr>
      <w:bookmarkStart w:id="17" w:name="_Toc126145986"/>
      <w:bookmarkStart w:id="18" w:name="_Toc126304780"/>
      <w:r>
        <w:t>The policy levers for diffusion are different from those for novel innovation</w:t>
      </w:r>
      <w:bookmarkEnd w:id="17"/>
      <w:bookmarkEnd w:id="18"/>
    </w:p>
    <w:p w14:paraId="60A79D8C" w14:textId="77777777" w:rsidR="0003438B" w:rsidRDefault="0003438B" w:rsidP="0003438B">
      <w:pPr>
        <w:pStyle w:val="Heading3"/>
      </w:pPr>
      <w:r>
        <w:t xml:space="preserve">Policies for business </w:t>
      </w:r>
    </w:p>
    <w:p w14:paraId="1953DF33" w14:textId="10986A48" w:rsidR="0003438B" w:rsidRDefault="0003438B" w:rsidP="0003438B">
      <w:pPr>
        <w:pStyle w:val="BodyText"/>
      </w:pPr>
      <w:r>
        <w:t>Governments typically stimulate novel innovation through business tax concessions, grants and procurement policies, and via funding of public sector research institutions and universities. These policies recognise that innovation at the frontier involves especially high</w:t>
      </w:r>
      <w:r>
        <w:noBreakHyphen/>
        <w:t>risk activities</w:t>
      </w:r>
      <w:r w:rsidR="007A0851">
        <w:t>,</w:t>
      </w:r>
      <w:r w:rsidR="00CF5257">
        <w:t xml:space="preserve"> the</w:t>
      </w:r>
      <w:r>
        <w:t xml:space="preserve"> returns </w:t>
      </w:r>
      <w:r w:rsidR="00CF5257">
        <w:t xml:space="preserve">from which </w:t>
      </w:r>
      <w:r>
        <w:t>are diluted because other firms can adapt the ideas without paying for them.</w:t>
      </w:r>
      <w:r w:rsidR="00E5220E">
        <w:t xml:space="preserve"> These policies are also helpful for </w:t>
      </w:r>
      <w:proofErr w:type="gramStart"/>
      <w:r w:rsidR="00E5220E">
        <w:t>diffusion, because</w:t>
      </w:r>
      <w:proofErr w:type="gramEnd"/>
      <w:r w:rsidR="00E5220E">
        <w:t xml:space="preserve"> innovators absorb others’ ideas</w:t>
      </w:r>
      <w:r w:rsidR="00CF5257">
        <w:t>;</w:t>
      </w:r>
      <w:r w:rsidR="00E5220E">
        <w:t xml:space="preserve"> but they are not the main </w:t>
      </w:r>
      <w:r w:rsidR="00387E2A">
        <w:t xml:space="preserve">policy levers </w:t>
      </w:r>
      <w:r w:rsidR="00CF5257">
        <w:t>driving</w:t>
      </w:r>
      <w:r w:rsidR="00387E2A">
        <w:t xml:space="preserve"> diffusion.</w:t>
      </w:r>
    </w:p>
    <w:p w14:paraId="41A66B1D" w14:textId="2A74BEA4" w:rsidR="00CF5257" w:rsidRPr="0036308E" w:rsidRDefault="00CF5257" w:rsidP="00CF5257">
      <w:pPr>
        <w:pStyle w:val="BodyText"/>
        <w:rPr>
          <w:spacing w:val="-4"/>
        </w:rPr>
      </w:pPr>
      <w:r w:rsidRPr="005A658A">
        <w:t>In general, the policy approaches to diffusion relate to the broader economic environment influencing firm</w:t>
      </w:r>
      <w:r w:rsidRPr="0036308E">
        <w:rPr>
          <w:spacing w:val="-4"/>
        </w:rPr>
        <w:t xml:space="preserve"> behaviour and performance, which is a central concern of chapter 2 and </w:t>
      </w:r>
      <w:r w:rsidR="00E95B1E" w:rsidRPr="0036308E">
        <w:rPr>
          <w:spacing w:val="-4"/>
        </w:rPr>
        <w:t xml:space="preserve">other volumes of </w:t>
      </w:r>
      <w:r w:rsidRPr="0036308E">
        <w:rPr>
          <w:spacing w:val="-4"/>
        </w:rPr>
        <w:t>the Productivity Inquiry.</w:t>
      </w:r>
    </w:p>
    <w:p w14:paraId="28680B3B" w14:textId="77777777" w:rsidR="0003438B" w:rsidRDefault="0003438B" w:rsidP="00424EB8">
      <w:pPr>
        <w:pStyle w:val="ListBullet"/>
      </w:pPr>
      <w:r>
        <w:t>Regulations can stifle or encourage diffusion. For example, a benign regulatory environment for foreign investment not only increases access to financial capital but is a conduit for adoption of best practice from businesses that often operate globally.</w:t>
      </w:r>
    </w:p>
    <w:p w14:paraId="3A83AC27" w14:textId="77777777" w:rsidR="0003438B" w:rsidRDefault="0003438B" w:rsidP="00424EB8">
      <w:pPr>
        <w:pStyle w:val="ListBullet"/>
      </w:pPr>
      <w:r>
        <w:t>Skilled migration does not just bring people with valuable qualifications into Australia, but people with tacit knowledge acquired from working in overseas organisations with more varied management approaches, technologies, and cultures than those available domestically.</w:t>
      </w:r>
    </w:p>
    <w:p w14:paraId="68702636" w14:textId="77777777" w:rsidR="0003438B" w:rsidRDefault="0003438B" w:rsidP="00424EB8">
      <w:pPr>
        <w:pStyle w:val="ListBullet"/>
      </w:pPr>
      <w:r>
        <w:t>The education system is almost all about diffusion — spreading contemporary knowledge among people and giving them the skills to learn new ones.</w:t>
      </w:r>
    </w:p>
    <w:p w14:paraId="3176E1D9" w14:textId="268BE4A4" w:rsidR="0003438B" w:rsidRDefault="0003438B" w:rsidP="0003438B">
      <w:pPr>
        <w:pStyle w:val="BodyText"/>
      </w:pPr>
      <w:r>
        <w:t>Governments may themselves play a role in business knowledge diffusion though extension programs, regtech, and the provision of data and information that supports good decision</w:t>
      </w:r>
      <w:r w:rsidR="00824E0B">
        <w:t xml:space="preserve"> </w:t>
      </w:r>
      <w:r>
        <w:t>making by firms (chapter</w:t>
      </w:r>
      <w:r w:rsidR="000565F7">
        <w:t> </w:t>
      </w:r>
      <w:r>
        <w:t>2).</w:t>
      </w:r>
    </w:p>
    <w:p w14:paraId="38C321D1" w14:textId="77777777" w:rsidR="0003438B" w:rsidRDefault="0003438B" w:rsidP="0003438B">
      <w:pPr>
        <w:pStyle w:val="Heading3"/>
      </w:pPr>
      <w:r>
        <w:t>Policies for non</w:t>
      </w:r>
      <w:r>
        <w:noBreakHyphen/>
        <w:t>market services</w:t>
      </w:r>
    </w:p>
    <w:p w14:paraId="30F51C8E" w14:textId="77777777" w:rsidR="0003438B" w:rsidRDefault="0003438B" w:rsidP="0003438B">
      <w:pPr>
        <w:pStyle w:val="BodyText"/>
      </w:pPr>
      <w:r>
        <w:t xml:space="preserve">A large part of the economy and one central to many Australians’ wellbeing is not in the market sector, but funded, organised and often directly provided by governments. In that case, governments act as the </w:t>
      </w:r>
      <w:r>
        <w:lastRenderedPageBreak/>
        <w:t>equivalent of business managers and shareholders in private entities, with the same challenges of management quality, adoption and diffusion. Their management quality and capacity to innovate, adopt and diffuse best practice is as important as it is for business (chapter 3).</w:t>
      </w:r>
    </w:p>
    <w:p w14:paraId="46552DF4" w14:textId="77777777" w:rsidR="0003438B" w:rsidRDefault="0003438B" w:rsidP="0003438B">
      <w:pPr>
        <w:pStyle w:val="BodyText"/>
      </w:pPr>
      <w:r>
        <w:t>In the case of the creation and diffusion of innovations for services provided or funded by government, different considerations come into play than for private organisations.</w:t>
      </w:r>
    </w:p>
    <w:p w14:paraId="4CD0D696" w14:textId="77777777" w:rsidR="0003438B" w:rsidRDefault="0003438B" w:rsidP="00424EB8">
      <w:pPr>
        <w:pStyle w:val="ListBullet"/>
      </w:pPr>
      <w:r>
        <w:t>The incentives are different — the model of vigorous competition between private business rivals that encourages adoption is hard to emulate for such services. Unlike most market activities, many government functions are delivered through monopolies. The productivity effects of insolvency and business exits on productivity are largely non</w:t>
      </w:r>
      <w:r>
        <w:noBreakHyphen/>
        <w:t>existent.</w:t>
      </w:r>
    </w:p>
    <w:p w14:paraId="02C51662" w14:textId="77777777" w:rsidR="0003438B" w:rsidRDefault="0003438B" w:rsidP="00424EB8">
      <w:pPr>
        <w:pStyle w:val="ListBullet"/>
      </w:pPr>
      <w:r>
        <w:t>There are also significant ethical issues in scaling up innovations unless they have a strong evidential basis. For example, the universality of service provision means that adopting a new approach to teaching affects the whole student population (who, given the compulsory nature of schooling, have no capacity to opt out as customers do for most private sector innovation). The social license to innovate is different in the public sector.</w:t>
      </w:r>
    </w:p>
    <w:p w14:paraId="5DF85191" w14:textId="5A207E9F" w:rsidR="0003438B" w:rsidRDefault="0003438B" w:rsidP="00424EB8">
      <w:pPr>
        <w:pStyle w:val="ListBullet"/>
      </w:pPr>
      <w:r>
        <w:t xml:space="preserve">Government agencies are more likely to have cultures antithetical to risk taking and innovation. </w:t>
      </w:r>
      <w:r w:rsidR="00936F88">
        <w:t xml:space="preserve">Some </w:t>
      </w:r>
      <w:r>
        <w:t>risk</w:t>
      </w:r>
      <w:r>
        <w:noBreakHyphen/>
        <w:t>aversion may be justified when considering the potential human and taxpayer costs of errors. Nonetheless, the degree to which public service provision is overly conservative is something governments can change through new governance and recruitment arrangements.</w:t>
      </w:r>
    </w:p>
    <w:p w14:paraId="1A5E08B6" w14:textId="2BA67866" w:rsidR="0003438B" w:rsidRDefault="0003438B" w:rsidP="00424EB8">
      <w:pPr>
        <w:pStyle w:val="ListBullet"/>
      </w:pPr>
      <w:r>
        <w:t xml:space="preserve">Scaling up of innovation also appears to be more challenging in the public sector than in the private sector because the specialised resources to replicate successful innovation are scarce, and </w:t>
      </w:r>
      <w:r w:rsidR="00470027">
        <w:t>because</w:t>
      </w:r>
      <w:r>
        <w:t xml:space="preserve"> there are few people devoted to the task of explicit diffusion.</w:t>
      </w:r>
    </w:p>
    <w:p w14:paraId="24810137" w14:textId="77777777" w:rsidR="0003438B" w:rsidRDefault="0003438B" w:rsidP="00424EB8">
      <w:pPr>
        <w:pStyle w:val="ListBullet"/>
      </w:pPr>
      <w:r>
        <w:t>Complex funding arrangements and split responsibilities between levels of government increase the transaction costs of diffusion, which have few parallels in business where joint ventures and collaboration are typically managed through robust contractual arrangements that maximise value for the parties. And while the multiple states and territories that make up Australia’s federation can be a source of innovation, they can also make it costly to diffuse innovations (for example because of weak networking, incompatible computing systems and different bureaucratic processes).</w:t>
      </w:r>
    </w:p>
    <w:p w14:paraId="04185F52" w14:textId="584D537F" w:rsidR="00CF5257" w:rsidRDefault="00CF5257" w:rsidP="00CF5257">
      <w:pPr>
        <w:pStyle w:val="BodyText"/>
        <w:sectPr w:rsidR="00CF5257" w:rsidSect="00C74B46">
          <w:headerReference w:type="default" r:id="rId48"/>
          <w:type w:val="oddPage"/>
          <w:pgSz w:w="11906" w:h="16838" w:code="9"/>
          <w:pgMar w:top="1134" w:right="1134" w:bottom="1134" w:left="1134" w:header="794" w:footer="510" w:gutter="0"/>
          <w:pgNumType w:start="1"/>
          <w:cols w:space="708"/>
          <w:docGrid w:linePitch="360"/>
        </w:sectPr>
      </w:pPr>
      <w:r>
        <w:t xml:space="preserve">Given these unique aspects, the policy antidotes for limited </w:t>
      </w:r>
      <w:r w:rsidR="00185D2F">
        <w:t>government</w:t>
      </w:r>
      <w:r>
        <w:t xml:space="preserve"> diffusion (chapter 3) share only some commonalities with those that apply to private businesses (chapter 2). (Not</w:t>
      </w:r>
      <w:r>
        <w:noBreakHyphen/>
        <w:t>for</w:t>
      </w:r>
      <w:r>
        <w:noBreakHyphen/>
        <w:t>profit organisations straddle both groups, so that the lessons from chapters 2 and 3 will often be relevant.)</w:t>
      </w:r>
    </w:p>
    <w:p w14:paraId="4D31EFB7" w14:textId="77777777" w:rsidR="00557DD7" w:rsidRDefault="00557DD7" w:rsidP="00557DD7">
      <w:pPr>
        <w:pStyle w:val="Heading1"/>
      </w:pPr>
      <w:bookmarkStart w:id="19" w:name="_Toc126145987"/>
      <w:bookmarkStart w:id="20" w:name="_Toc126304781"/>
      <w:r>
        <w:lastRenderedPageBreak/>
        <w:t>Enabling innovation diffusion in Australia</w:t>
      </w:r>
      <w:bookmarkEnd w:id="19"/>
      <w:bookmarkEnd w:id="20"/>
    </w:p>
    <w:tbl>
      <w:tblPr>
        <w:tblStyle w:val="Texttable-Paleblue"/>
        <w:tblW w:w="5000" w:type="pct"/>
        <w:tblLook w:val="04A0" w:firstRow="1" w:lastRow="0" w:firstColumn="1" w:lastColumn="0" w:noHBand="0" w:noVBand="1"/>
      </w:tblPr>
      <w:tblGrid>
        <w:gridCol w:w="577"/>
        <w:gridCol w:w="9061"/>
      </w:tblGrid>
      <w:tr w:rsidR="00557DD7" w:rsidRPr="002F759A" w14:paraId="3EEE4324" w14:textId="77777777" w:rsidTr="00C426E9">
        <w:tc>
          <w:tcPr>
            <w:tcW w:w="9638" w:type="dxa"/>
            <w:gridSpan w:val="2"/>
            <w:tcMar>
              <w:left w:w="170" w:type="dxa"/>
            </w:tcMar>
          </w:tcPr>
          <w:p w14:paraId="0FC6210A" w14:textId="77777777" w:rsidR="00557DD7" w:rsidRPr="002F759A" w:rsidRDefault="00557DD7" w:rsidP="00C426E9">
            <w:pPr>
              <w:pStyle w:val="Keypoints-heading"/>
            </w:pPr>
            <w:r w:rsidRPr="002F759A">
              <w:t>Key points</w:t>
            </w:r>
          </w:p>
        </w:tc>
      </w:tr>
      <w:tr w:rsidR="00557DD7" w14:paraId="63359FA6" w14:textId="77777777" w:rsidTr="00C426E9">
        <w:tc>
          <w:tcPr>
            <w:tcW w:w="577" w:type="dxa"/>
            <w:tcMar>
              <w:top w:w="0" w:type="dxa"/>
              <w:bottom w:w="0" w:type="dxa"/>
              <w:right w:w="113" w:type="dxa"/>
            </w:tcMar>
          </w:tcPr>
          <w:p w14:paraId="559292FE" w14:textId="77777777" w:rsidR="00557DD7" w:rsidRDefault="00557DD7" w:rsidP="00C426E9">
            <w:pPr>
              <w:pStyle w:val="KeyPointsicon"/>
            </w:pPr>
            <w:r w:rsidRPr="00A51374">
              <w:rPr>
                <w:noProof/>
              </w:rPr>
              <w:drawing>
                <wp:inline distT="0" distB="0" distL="0" distR="0" wp14:anchorId="5565E5B8" wp14:editId="412AA553">
                  <wp:extent cx="180000" cy="180000"/>
                  <wp:effectExtent l="0" t="0" r="0" b="0"/>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31E0F15" w14:textId="267239E4" w:rsidR="00557DD7" w:rsidRDefault="00517BA4" w:rsidP="00C426E9">
            <w:pPr>
              <w:pStyle w:val="KeyPoints-Bold"/>
            </w:pPr>
            <w:r w:rsidRPr="00764020">
              <w:t>P</w:t>
            </w:r>
            <w:r>
              <w:t>romoting</w:t>
            </w:r>
            <w:r w:rsidR="00557DD7" w:rsidRPr="00764020">
              <w:t xml:space="preserve"> diffusion of established technologies and practices </w:t>
            </w:r>
            <w:r w:rsidR="00557DD7" w:rsidRPr="00BE69E7">
              <w:t xml:space="preserve">across firms and industries </w:t>
            </w:r>
            <w:r>
              <w:t>requires</w:t>
            </w:r>
            <w:r w:rsidR="00A43B86">
              <w:t xml:space="preserve"> </w:t>
            </w:r>
            <w:r w:rsidR="00557DD7" w:rsidRPr="00764020">
              <w:t xml:space="preserve">more </w:t>
            </w:r>
            <w:r w:rsidR="00557DD7" w:rsidRPr="00BE69E7">
              <w:t>generic</w:t>
            </w:r>
            <w:r w:rsidR="00557DD7" w:rsidRPr="00764020">
              <w:t xml:space="preserve"> </w:t>
            </w:r>
            <w:r>
              <w:t xml:space="preserve">policy settings </w:t>
            </w:r>
            <w:r w:rsidR="00557DD7" w:rsidRPr="00764020">
              <w:t>than those that target ‘new</w:t>
            </w:r>
            <w:r w:rsidR="007F5D5D">
              <w:noBreakHyphen/>
            </w:r>
            <w:r w:rsidR="00557DD7" w:rsidRPr="00764020">
              <w:t>to</w:t>
            </w:r>
            <w:r w:rsidR="007F5D5D">
              <w:noBreakHyphen/>
            </w:r>
            <w:r w:rsidR="00557DD7" w:rsidRPr="00764020">
              <w:t>the</w:t>
            </w:r>
            <w:r w:rsidR="007F5D5D">
              <w:noBreakHyphen/>
            </w:r>
            <w:r w:rsidR="00557DD7" w:rsidRPr="00764020">
              <w:t>world’ innovation</w:t>
            </w:r>
            <w:r w:rsidR="00557DD7" w:rsidRPr="00BE69E7">
              <w:t>.</w:t>
            </w:r>
          </w:p>
        </w:tc>
      </w:tr>
      <w:tr w:rsidR="00557DD7" w14:paraId="21DBF5FF" w14:textId="77777777" w:rsidTr="00C426E9">
        <w:tc>
          <w:tcPr>
            <w:tcW w:w="577" w:type="dxa"/>
            <w:tcMar>
              <w:top w:w="0" w:type="dxa"/>
              <w:bottom w:w="0" w:type="dxa"/>
              <w:right w:w="113" w:type="dxa"/>
            </w:tcMar>
          </w:tcPr>
          <w:p w14:paraId="1B3A896F" w14:textId="77777777" w:rsidR="00557DD7" w:rsidRPr="00A51374" w:rsidRDefault="00557DD7" w:rsidP="00C426E9">
            <w:pPr>
              <w:pStyle w:val="KeyPointsicon"/>
            </w:pPr>
            <w:r w:rsidRPr="00F31E73">
              <w:rPr>
                <w:noProof/>
              </w:rPr>
              <w:drawing>
                <wp:inline distT="0" distB="0" distL="0" distR="0" wp14:anchorId="1C15470F" wp14:editId="7753BF1F">
                  <wp:extent cx="180000" cy="180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FB730E8" w14:textId="31320839" w:rsidR="00557DD7" w:rsidRPr="00610627" w:rsidRDefault="00557DD7" w:rsidP="00C426E9">
            <w:pPr>
              <w:pStyle w:val="KeyPoints-Bold"/>
            </w:pPr>
            <w:r>
              <w:t xml:space="preserve">Commercial and market settings </w:t>
            </w:r>
            <w:r w:rsidR="00BA1562">
              <w:t>ultimately</w:t>
            </w:r>
            <w:r>
              <w:t xml:space="preserve"> provide incentives for firms to seek out and adopt innovations. But regulation and policy can either facilitate or unduly hinder the process. </w:t>
            </w:r>
          </w:p>
        </w:tc>
      </w:tr>
      <w:tr w:rsidR="00557DD7" w14:paraId="33BB6A31" w14:textId="77777777" w:rsidTr="00C426E9">
        <w:tc>
          <w:tcPr>
            <w:tcW w:w="577" w:type="dxa"/>
            <w:tcMar>
              <w:top w:w="0" w:type="dxa"/>
              <w:bottom w:w="0" w:type="dxa"/>
              <w:right w:w="113" w:type="dxa"/>
            </w:tcMar>
          </w:tcPr>
          <w:p w14:paraId="0E78F694" w14:textId="77777777" w:rsidR="00557DD7" w:rsidRPr="00A51374" w:rsidRDefault="00557DD7" w:rsidP="00C426E9">
            <w:pPr>
              <w:pStyle w:val="KeyPointsicon"/>
            </w:pPr>
            <w:r w:rsidRPr="00F31E73">
              <w:rPr>
                <w:noProof/>
              </w:rPr>
              <w:drawing>
                <wp:inline distT="0" distB="0" distL="0" distR="0" wp14:anchorId="62D7FCB3" wp14:editId="1306435C">
                  <wp:extent cx="180000" cy="180000"/>
                  <wp:effectExtent l="0" t="0" r="0" b="0"/>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D30881" w14:textId="0BE192BD" w:rsidR="00BE16D2" w:rsidRDefault="00557DD7" w:rsidP="00C426E9">
            <w:pPr>
              <w:pStyle w:val="KeyPoints-Bold"/>
            </w:pPr>
            <w:r w:rsidRPr="00847CB6">
              <w:t>Adopti</w:t>
            </w:r>
            <w:r w:rsidR="00266D01">
              <w:t>ng</w:t>
            </w:r>
            <w:r w:rsidRPr="00847CB6">
              <w:t xml:space="preserve"> innovations developed overseas is critical to Australia</w:t>
            </w:r>
            <w:r w:rsidR="000565F7">
              <w:t>’</w:t>
            </w:r>
            <w:r w:rsidRPr="00847CB6">
              <w:t>s productivity. Linkages with overseas firm</w:t>
            </w:r>
            <w:r>
              <w:t>s</w:t>
            </w:r>
            <w:r w:rsidRPr="00847CB6">
              <w:t xml:space="preserve"> via trade</w:t>
            </w:r>
            <w:r w:rsidR="00B24F43">
              <w:t xml:space="preserve"> and f</w:t>
            </w:r>
            <w:r w:rsidR="00B24F43" w:rsidRPr="008131EB">
              <w:t xml:space="preserve">oreign direct investment (FDI) </w:t>
            </w:r>
            <w:r w:rsidR="00D918CF">
              <w:t xml:space="preserve">give </w:t>
            </w:r>
            <w:r w:rsidR="00D918CF" w:rsidRPr="00672E61">
              <w:t xml:space="preserve">Australian </w:t>
            </w:r>
            <w:r w:rsidR="00A81DF9">
              <w:t xml:space="preserve">businesses </w:t>
            </w:r>
            <w:r w:rsidR="00D918CF" w:rsidRPr="00672E61">
              <w:t>access</w:t>
            </w:r>
            <w:r w:rsidR="00D918CF">
              <w:t xml:space="preserve"> to</w:t>
            </w:r>
            <w:r w:rsidR="00D918CF" w:rsidRPr="00672E61">
              <w:t xml:space="preserve"> information and ideas about innovation from the global frontier</w:t>
            </w:r>
            <w:r w:rsidRPr="00E66F3D">
              <w:t>.</w:t>
            </w:r>
          </w:p>
          <w:p w14:paraId="5C11D8EA" w14:textId="09D7C3CD" w:rsidR="00557DD7" w:rsidRPr="00610627" w:rsidRDefault="007E356F">
            <w:pPr>
              <w:pStyle w:val="KeyPoints-Bullet"/>
            </w:pPr>
            <w:r>
              <w:t xml:space="preserve">Reducing </w:t>
            </w:r>
            <w:r w:rsidR="00635E1A">
              <w:t xml:space="preserve">trade barriers and </w:t>
            </w:r>
            <w:r w:rsidR="007072AB">
              <w:t>FDI fees</w:t>
            </w:r>
            <w:r w:rsidR="00557DD7" w:rsidRPr="000C2882">
              <w:t xml:space="preserve"> is important to maintain this channel for diffusion</w:t>
            </w:r>
            <w:r w:rsidR="00557DD7" w:rsidRPr="00E66F3D">
              <w:t>.</w:t>
            </w:r>
          </w:p>
        </w:tc>
      </w:tr>
      <w:tr w:rsidR="00557DD7" w14:paraId="5E173078" w14:textId="77777777" w:rsidTr="00C426E9">
        <w:tc>
          <w:tcPr>
            <w:tcW w:w="577" w:type="dxa"/>
            <w:tcMar>
              <w:top w:w="0" w:type="dxa"/>
              <w:bottom w:w="0" w:type="dxa"/>
              <w:right w:w="113" w:type="dxa"/>
            </w:tcMar>
          </w:tcPr>
          <w:p w14:paraId="37E5A3D5" w14:textId="77777777" w:rsidR="00557DD7" w:rsidRPr="00A51374" w:rsidRDefault="00557DD7" w:rsidP="00C426E9">
            <w:pPr>
              <w:pStyle w:val="KeyPointsicon"/>
            </w:pPr>
            <w:r w:rsidRPr="00F31E73">
              <w:rPr>
                <w:noProof/>
              </w:rPr>
              <w:drawing>
                <wp:inline distT="0" distB="0" distL="0" distR="0" wp14:anchorId="7252DC36" wp14:editId="6FD701DE">
                  <wp:extent cx="180000" cy="180000"/>
                  <wp:effectExtent l="0" t="0" r="0" b="0"/>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FCAE789" w14:textId="1A02DA74" w:rsidR="00557DD7" w:rsidRDefault="00557DD7" w:rsidP="00C426E9">
            <w:pPr>
              <w:pStyle w:val="KeyPoints-Bold"/>
            </w:pPr>
            <w:r w:rsidRPr="006211DE">
              <w:t xml:space="preserve">A firm’s workforce — its managers and employees — </w:t>
            </w:r>
            <w:r>
              <w:t>determine</w:t>
            </w:r>
            <w:r w:rsidRPr="006211DE">
              <w:t xml:space="preserve"> its </w:t>
            </w:r>
            <w:r>
              <w:t>abilities</w:t>
            </w:r>
            <w:r w:rsidRPr="006211DE">
              <w:t xml:space="preserve"> </w:t>
            </w:r>
            <w:r>
              <w:t>to</w:t>
            </w:r>
            <w:r w:rsidRPr="006211DE">
              <w:t xml:space="preserve"> </w:t>
            </w:r>
            <w:r>
              <w:t xml:space="preserve">identify, evaluate and absorb external information and </w:t>
            </w:r>
            <w:r w:rsidRPr="006211DE">
              <w:t>make the broader organisational changes needed to benefit from transformative technologies such as digital</w:t>
            </w:r>
            <w:r w:rsidR="00236F01">
              <w:t xml:space="preserve"> technologies</w:t>
            </w:r>
            <w:r w:rsidRPr="006211DE">
              <w:t>.</w:t>
            </w:r>
          </w:p>
          <w:p w14:paraId="288C7E31" w14:textId="0DF4BEC6" w:rsidR="00D74BE1" w:rsidRDefault="00D74BE1">
            <w:pPr>
              <w:pStyle w:val="KeyPoints-Bullet"/>
            </w:pPr>
            <w:r>
              <w:t>Skilled migrants often have knowledge of frontier technologies and practices and bring skills that are lacking in Australia. Measures to facilitate skilled migration would promote innovation diffusion.</w:t>
            </w:r>
          </w:p>
          <w:p w14:paraId="6A4A393C" w14:textId="48FAC4FD" w:rsidR="000A0117" w:rsidRPr="00CF1D14" w:rsidRDefault="009C4496">
            <w:pPr>
              <w:pStyle w:val="KeyPoints-Bullet"/>
              <w:rPr>
                <w:spacing w:val="-4"/>
              </w:rPr>
            </w:pPr>
            <w:r w:rsidRPr="00CF1D14">
              <w:rPr>
                <w:spacing w:val="-4"/>
              </w:rPr>
              <w:t>Creating industry</w:t>
            </w:r>
            <w:r w:rsidR="00A43B86" w:rsidRPr="00CF1D14">
              <w:rPr>
                <w:spacing w:val="-4"/>
              </w:rPr>
              <w:noBreakHyphen/>
            </w:r>
            <w:r w:rsidRPr="00CF1D14">
              <w:rPr>
                <w:spacing w:val="-4"/>
              </w:rPr>
              <w:t>agnostic</w:t>
            </w:r>
            <w:r w:rsidR="0006066C" w:rsidRPr="00CF1D14">
              <w:rPr>
                <w:spacing w:val="-4"/>
              </w:rPr>
              <w:t xml:space="preserve"> research </w:t>
            </w:r>
            <w:r w:rsidR="002F73AD" w:rsidRPr="00CF1D14">
              <w:rPr>
                <w:spacing w:val="-4"/>
              </w:rPr>
              <w:t>and</w:t>
            </w:r>
            <w:r w:rsidR="0006066C" w:rsidRPr="00CF1D14">
              <w:rPr>
                <w:spacing w:val="-4"/>
              </w:rPr>
              <w:t xml:space="preserve"> training linkages </w:t>
            </w:r>
            <w:r w:rsidR="00510206" w:rsidRPr="00CF1D14">
              <w:rPr>
                <w:spacing w:val="-4"/>
              </w:rPr>
              <w:t>to</w:t>
            </w:r>
            <w:r w:rsidR="0006066C" w:rsidRPr="00CF1D14">
              <w:rPr>
                <w:spacing w:val="-4"/>
              </w:rPr>
              <w:t xml:space="preserve"> industry</w:t>
            </w:r>
            <w:r w:rsidR="00AB7065" w:rsidRPr="00CF1D14">
              <w:rPr>
                <w:spacing w:val="-4"/>
              </w:rPr>
              <w:t xml:space="preserve"> and removing barriers to </w:t>
            </w:r>
            <w:r w:rsidR="00E365FB" w:rsidRPr="00CF1D14">
              <w:rPr>
                <w:spacing w:val="-4"/>
              </w:rPr>
              <w:t>university</w:t>
            </w:r>
            <w:r w:rsidR="00A43B86" w:rsidRPr="00CF1D14">
              <w:rPr>
                <w:spacing w:val="-4"/>
              </w:rPr>
              <w:noBreakHyphen/>
            </w:r>
            <w:r w:rsidR="00E365FB" w:rsidRPr="00CF1D14">
              <w:rPr>
                <w:spacing w:val="-4"/>
              </w:rPr>
              <w:t>industry collaboration</w:t>
            </w:r>
            <w:r w:rsidR="00BE3A4D" w:rsidRPr="00CF1D14">
              <w:rPr>
                <w:spacing w:val="-4"/>
              </w:rPr>
              <w:t xml:space="preserve"> </w:t>
            </w:r>
            <w:r w:rsidR="006A546B" w:rsidRPr="00CF1D14">
              <w:rPr>
                <w:spacing w:val="-4"/>
              </w:rPr>
              <w:t>enable</w:t>
            </w:r>
            <w:r w:rsidR="002D091D" w:rsidRPr="00CF1D14">
              <w:rPr>
                <w:spacing w:val="-4"/>
              </w:rPr>
              <w:t xml:space="preserve"> researche</w:t>
            </w:r>
            <w:r w:rsidR="00CA0F59" w:rsidRPr="00CF1D14">
              <w:rPr>
                <w:spacing w:val="-4"/>
              </w:rPr>
              <w:t>r</w:t>
            </w:r>
            <w:r w:rsidR="002D091D" w:rsidRPr="00CF1D14">
              <w:rPr>
                <w:spacing w:val="-4"/>
              </w:rPr>
              <w:t xml:space="preserve">s </w:t>
            </w:r>
            <w:r w:rsidR="006A546B" w:rsidRPr="00CF1D14">
              <w:rPr>
                <w:spacing w:val="-4"/>
              </w:rPr>
              <w:t xml:space="preserve">to </w:t>
            </w:r>
            <w:r w:rsidR="00ED1579" w:rsidRPr="00CF1D14">
              <w:rPr>
                <w:spacing w:val="-4"/>
              </w:rPr>
              <w:t>apply</w:t>
            </w:r>
            <w:r w:rsidR="002D091D" w:rsidRPr="00CF1D14">
              <w:rPr>
                <w:spacing w:val="-4"/>
              </w:rPr>
              <w:t xml:space="preserve"> their </w:t>
            </w:r>
            <w:r w:rsidR="00F12D60" w:rsidRPr="00CF1D14">
              <w:rPr>
                <w:spacing w:val="-4"/>
              </w:rPr>
              <w:t>capacity</w:t>
            </w:r>
            <w:r w:rsidR="00A43B86" w:rsidRPr="00CF1D14">
              <w:rPr>
                <w:spacing w:val="-4"/>
              </w:rPr>
              <w:noBreakHyphen/>
            </w:r>
            <w:r w:rsidR="00F12D60" w:rsidRPr="00CF1D14">
              <w:rPr>
                <w:spacing w:val="-4"/>
              </w:rPr>
              <w:t>building</w:t>
            </w:r>
            <w:r w:rsidR="002D091D" w:rsidRPr="00CF1D14">
              <w:rPr>
                <w:spacing w:val="-4"/>
              </w:rPr>
              <w:t xml:space="preserve"> </w:t>
            </w:r>
            <w:r w:rsidR="000D6C2C" w:rsidRPr="00CF1D14">
              <w:rPr>
                <w:spacing w:val="-4"/>
              </w:rPr>
              <w:t xml:space="preserve">knowledge and </w:t>
            </w:r>
            <w:r w:rsidR="002D091D" w:rsidRPr="00CF1D14">
              <w:rPr>
                <w:spacing w:val="-4"/>
              </w:rPr>
              <w:t>skills to industry</w:t>
            </w:r>
            <w:r w:rsidR="000A0117" w:rsidRPr="00CF1D14">
              <w:rPr>
                <w:spacing w:val="-4"/>
              </w:rPr>
              <w:t>.</w:t>
            </w:r>
          </w:p>
          <w:p w14:paraId="6A47C32B" w14:textId="345B3D40" w:rsidR="00803727" w:rsidRPr="00610627" w:rsidRDefault="00803727">
            <w:pPr>
              <w:pStyle w:val="KeyPoints-Bullet"/>
            </w:pPr>
            <w:r>
              <w:t>Government</w:t>
            </w:r>
            <w:r w:rsidR="00563C8D">
              <w:t xml:space="preserve"> training</w:t>
            </w:r>
            <w:r>
              <w:t xml:space="preserve"> support </w:t>
            </w:r>
            <w:r w:rsidR="004D5791">
              <w:t>should focus</w:t>
            </w:r>
            <w:r>
              <w:t xml:space="preserve"> on transferable skills that augment the absorptive capacity of firms, such as digital and management skills. </w:t>
            </w:r>
          </w:p>
        </w:tc>
      </w:tr>
      <w:tr w:rsidR="00557DD7" w14:paraId="31523D0A" w14:textId="77777777" w:rsidTr="00C426E9">
        <w:tc>
          <w:tcPr>
            <w:tcW w:w="577" w:type="dxa"/>
            <w:tcMar>
              <w:top w:w="0" w:type="dxa"/>
              <w:bottom w:w="0" w:type="dxa"/>
              <w:right w:w="113" w:type="dxa"/>
            </w:tcMar>
          </w:tcPr>
          <w:p w14:paraId="3AAB625B" w14:textId="77777777" w:rsidR="00557DD7" w:rsidRPr="00A51374" w:rsidRDefault="00557DD7" w:rsidP="00C426E9">
            <w:pPr>
              <w:pStyle w:val="KeyPointsicon"/>
            </w:pPr>
            <w:r w:rsidRPr="00F31E73">
              <w:rPr>
                <w:noProof/>
              </w:rPr>
              <w:drawing>
                <wp:inline distT="0" distB="0" distL="0" distR="0" wp14:anchorId="266FA466" wp14:editId="2402B58C">
                  <wp:extent cx="180000" cy="180000"/>
                  <wp:effectExtent l="0" t="0" r="0" b="0"/>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BE91313" w14:textId="77777777" w:rsidR="00557DD7" w:rsidRDefault="00557DD7" w:rsidP="00C426E9">
            <w:pPr>
              <w:pStyle w:val="KeyPoints-Bold"/>
            </w:pPr>
            <w:r>
              <w:t>Innovation d</w:t>
            </w:r>
            <w:r w:rsidRPr="00B21AB6">
              <w:t xml:space="preserve">iffusion </w:t>
            </w:r>
            <w:r>
              <w:t>depends on information</w:t>
            </w:r>
            <w:r w:rsidRPr="00B21AB6">
              <w:t>. While industry organisations and business networks</w:t>
            </w:r>
            <w:r>
              <w:t xml:space="preserve"> facilitate information flows and spillovers</w:t>
            </w:r>
            <w:r w:rsidRPr="00B21AB6">
              <w:t>, businesses may benefit from more ta</w:t>
            </w:r>
            <w:r>
              <w:t>ilored</w:t>
            </w:r>
            <w:r w:rsidRPr="00B21AB6">
              <w:t xml:space="preserve"> </w:t>
            </w:r>
            <w:r>
              <w:t>information to help identify the need and opportunities for innovation</w:t>
            </w:r>
            <w:r w:rsidRPr="00B21AB6">
              <w:t>.</w:t>
            </w:r>
          </w:p>
          <w:p w14:paraId="7FB56D27" w14:textId="4ABEE003" w:rsidR="00600D6A" w:rsidRDefault="00600D6A">
            <w:pPr>
              <w:pStyle w:val="KeyPoints-Bullet"/>
            </w:pPr>
            <w:r>
              <w:t>Data collected by government agencies can be used to help businesses benchmark their performance and provid</w:t>
            </w:r>
            <w:r w:rsidR="006B1183">
              <w:t xml:space="preserve">e insights that promote innovation. </w:t>
            </w:r>
            <w:r w:rsidR="00966B8B">
              <w:t>Benchmarking tools should be accessible (</w:t>
            </w:r>
            <w:proofErr w:type="gramStart"/>
            <w:r w:rsidR="00966B8B">
              <w:t>e.g.</w:t>
            </w:r>
            <w:proofErr w:type="gramEnd"/>
            <w:r w:rsidR="00966B8B">
              <w:t xml:space="preserve"> online) and </w:t>
            </w:r>
            <w:r w:rsidR="00314B2E">
              <w:t>include</w:t>
            </w:r>
            <w:r w:rsidR="00966B8B">
              <w:t xml:space="preserve"> tailored results </w:t>
            </w:r>
            <w:r w:rsidR="00236C5D">
              <w:t>and case studies on best practice.</w:t>
            </w:r>
          </w:p>
          <w:p w14:paraId="178DADD3" w14:textId="1D71E178" w:rsidR="001F41B0" w:rsidRPr="00610627" w:rsidRDefault="00726370">
            <w:pPr>
              <w:pStyle w:val="KeyPoints-Bullet"/>
            </w:pPr>
            <w:r>
              <w:t>Government can directly increase the pool of knowledge available to businesses by r</w:t>
            </w:r>
            <w:r w:rsidR="00AE77E5" w:rsidRPr="00DA1EE4">
              <w:t>equir</w:t>
            </w:r>
            <w:r w:rsidR="00AE77E5">
              <w:t>ing</w:t>
            </w:r>
            <w:r w:rsidR="00AE77E5" w:rsidRPr="00DA1EE4">
              <w:t xml:space="preserve"> open access to government funded research </w:t>
            </w:r>
            <w:r w:rsidR="00246529">
              <w:t xml:space="preserve">and </w:t>
            </w:r>
            <w:r w:rsidR="00560623">
              <w:t xml:space="preserve">by </w:t>
            </w:r>
            <w:r w:rsidR="00AE77E5">
              <w:t xml:space="preserve">partnering with </w:t>
            </w:r>
            <w:r w:rsidR="008921C9">
              <w:t xml:space="preserve">intermediaries like industry associations. </w:t>
            </w:r>
          </w:p>
        </w:tc>
      </w:tr>
    </w:tbl>
    <w:p w14:paraId="27037511" w14:textId="239B8856" w:rsidR="00557DD7" w:rsidRDefault="008A5786" w:rsidP="00BB30FB">
      <w:pPr>
        <w:pStyle w:val="BodyText"/>
        <w:pageBreakBefore/>
      </w:pPr>
      <w:r>
        <w:lastRenderedPageBreak/>
        <w:t>As noted earlier</w:t>
      </w:r>
      <w:r w:rsidR="00557DD7" w:rsidRPr="00A36622">
        <w:t xml:space="preserve">, the </w:t>
      </w:r>
      <w:r w:rsidR="00557DD7">
        <w:t xml:space="preserve">obstacles to the diffusion of already known innovations and the policy levers to address these obstacles generally take a different form to those widely used to stimulate </w:t>
      </w:r>
      <w:r w:rsidR="00FA5825">
        <w:t>new</w:t>
      </w:r>
      <w:r w:rsidR="00A43B86">
        <w:noBreakHyphen/>
      </w:r>
      <w:r w:rsidR="00FA5825">
        <w:t>to</w:t>
      </w:r>
      <w:r w:rsidR="00A43B86">
        <w:noBreakHyphen/>
      </w:r>
      <w:r w:rsidR="00FA5825">
        <w:t>the</w:t>
      </w:r>
      <w:r w:rsidR="00A43B86">
        <w:noBreakHyphen/>
      </w:r>
      <w:r w:rsidR="00FA5825">
        <w:t>world innovation</w:t>
      </w:r>
      <w:r w:rsidR="00557DD7">
        <w:t>. In particular, the policies</w:t>
      </w:r>
      <w:r w:rsidR="00557DD7" w:rsidRPr="00B04078">
        <w:t xml:space="preserve"> </w:t>
      </w:r>
      <w:r w:rsidR="00557DD7">
        <w:t>that</w:t>
      </w:r>
      <w:r w:rsidR="00557DD7" w:rsidRPr="00B04078">
        <w:t xml:space="preserve"> promote diffusion of established technologies and practices in an economy </w:t>
      </w:r>
      <w:r w:rsidR="00557DD7">
        <w:t xml:space="preserve">tend to </w:t>
      </w:r>
      <w:r w:rsidR="00557DD7" w:rsidRPr="00B04078">
        <w:t xml:space="preserve">be </w:t>
      </w:r>
      <w:proofErr w:type="gramStart"/>
      <w:r w:rsidR="00557DD7" w:rsidRPr="00B04078">
        <w:t xml:space="preserve">more </w:t>
      </w:r>
      <w:r w:rsidR="00557DD7">
        <w:t>general and broad</w:t>
      </w:r>
      <w:proofErr w:type="gramEnd"/>
      <w:r w:rsidR="00D92353">
        <w:noBreakHyphen/>
      </w:r>
      <w:r w:rsidR="00557DD7">
        <w:t xml:space="preserve">based. They aim to </w:t>
      </w:r>
      <w:r w:rsidR="00557DD7" w:rsidRPr="00B04078">
        <w:t>affect all firms in all industries</w:t>
      </w:r>
      <w:r w:rsidR="00557DD7">
        <w:t>, not just those creating and commercialising new</w:t>
      </w:r>
      <w:r w:rsidR="00557DD7">
        <w:noBreakHyphen/>
        <w:t>to</w:t>
      </w:r>
      <w:r w:rsidR="00557DD7">
        <w:noBreakHyphen/>
        <w:t>the</w:t>
      </w:r>
      <w:r w:rsidR="00557DD7">
        <w:noBreakHyphen/>
        <w:t>world innovations.</w:t>
      </w:r>
    </w:p>
    <w:p w14:paraId="4AAEDD46" w14:textId="77777777" w:rsidR="00557DD7" w:rsidRDefault="00557DD7" w:rsidP="00557DD7">
      <w:pPr>
        <w:pStyle w:val="BodyText"/>
      </w:pPr>
      <w:r>
        <w:t>These policies include:</w:t>
      </w:r>
    </w:p>
    <w:p w14:paraId="316BA6F0" w14:textId="77777777" w:rsidR="00557DD7" w:rsidRDefault="00557DD7" w:rsidP="00424EB8">
      <w:pPr>
        <w:pStyle w:val="ListBullet"/>
      </w:pPr>
      <w:r>
        <w:t>broad conditions that maximise the incentive for firms to experiment and adopt innovations</w:t>
      </w:r>
    </w:p>
    <w:p w14:paraId="09F01D3B" w14:textId="77777777" w:rsidR="00557DD7" w:rsidRDefault="00557DD7" w:rsidP="00424EB8">
      <w:pPr>
        <w:pStyle w:val="ListBullet"/>
      </w:pPr>
      <w:r>
        <w:t>facilitating the transfer of knowledge, skills and technologies from overseas</w:t>
      </w:r>
    </w:p>
    <w:p w14:paraId="5B9E2451" w14:textId="250447D6" w:rsidR="00557DD7" w:rsidRDefault="00557DD7" w:rsidP="00424EB8">
      <w:pPr>
        <w:pStyle w:val="ListBullet"/>
      </w:pPr>
      <w:r>
        <w:t>building critical skills for firm</w:t>
      </w:r>
      <w:r>
        <w:noBreakHyphen/>
        <w:t>level innovation — management capabilities in particular</w:t>
      </w:r>
    </w:p>
    <w:p w14:paraId="5CE426FE" w14:textId="39B17AA4" w:rsidR="00557DD7" w:rsidRDefault="00557DD7" w:rsidP="00424EB8">
      <w:pPr>
        <w:pStyle w:val="ListBullet"/>
      </w:pPr>
      <w:r>
        <w:t>enabling the flows of information that support good decision</w:t>
      </w:r>
      <w:r w:rsidR="00824E0B">
        <w:t xml:space="preserve"> </w:t>
      </w:r>
      <w:r>
        <w:t>making.</w:t>
      </w:r>
    </w:p>
    <w:p w14:paraId="6282423F" w14:textId="41A786B5" w:rsidR="00783690" w:rsidRPr="005A658A" w:rsidRDefault="00AB72EA" w:rsidP="00783690">
      <w:pPr>
        <w:pStyle w:val="BodyText"/>
        <w:rPr>
          <w:spacing w:val="-2"/>
        </w:rPr>
      </w:pPr>
      <w:r w:rsidRPr="005A658A">
        <w:rPr>
          <w:spacing w:val="-2"/>
        </w:rPr>
        <w:t xml:space="preserve">Many of these policy areas are covered in companion </w:t>
      </w:r>
      <w:r w:rsidR="003805B3" w:rsidRPr="005A658A">
        <w:rPr>
          <w:spacing w:val="-2"/>
        </w:rPr>
        <w:t>volumes</w:t>
      </w:r>
      <w:r w:rsidRPr="005A658A">
        <w:rPr>
          <w:spacing w:val="-2"/>
        </w:rPr>
        <w:t xml:space="preserve"> for this inquiry, </w:t>
      </w:r>
      <w:r w:rsidR="00C84488" w:rsidRPr="005A658A">
        <w:rPr>
          <w:spacing w:val="-2"/>
        </w:rPr>
        <w:t>as they relate to broader issues around creating a dynamic business environment (</w:t>
      </w:r>
      <w:r w:rsidR="001E3D02" w:rsidRPr="005A658A">
        <w:rPr>
          <w:spacing w:val="-2"/>
        </w:rPr>
        <w:t xml:space="preserve">discussed in the </w:t>
      </w:r>
      <w:r w:rsidR="001E3D02" w:rsidRPr="005A658A">
        <w:rPr>
          <w:i/>
          <w:iCs/>
          <w:spacing w:val="-2"/>
        </w:rPr>
        <w:t>A competitive, dynamic and sustainable future</w:t>
      </w:r>
      <w:r w:rsidR="001E3D02" w:rsidRPr="005A658A">
        <w:rPr>
          <w:spacing w:val="-2"/>
        </w:rPr>
        <w:t xml:space="preserve"> </w:t>
      </w:r>
      <w:r w:rsidR="003805B3" w:rsidRPr="005A658A">
        <w:rPr>
          <w:spacing w:val="-2"/>
        </w:rPr>
        <w:t>volume</w:t>
      </w:r>
      <w:r w:rsidR="001E3D02" w:rsidRPr="005A658A">
        <w:rPr>
          <w:spacing w:val="-2"/>
        </w:rPr>
        <w:t>), flexible labour markets (</w:t>
      </w:r>
      <w:r w:rsidR="001E3D02" w:rsidRPr="005A658A">
        <w:rPr>
          <w:i/>
          <w:iCs/>
          <w:spacing w:val="-2"/>
        </w:rPr>
        <w:t>A more productive labour market</w:t>
      </w:r>
      <w:r w:rsidR="001E3D02" w:rsidRPr="005A658A">
        <w:rPr>
          <w:spacing w:val="-2"/>
        </w:rPr>
        <w:t xml:space="preserve">) and </w:t>
      </w:r>
      <w:r w:rsidR="006C1223" w:rsidRPr="005A658A">
        <w:rPr>
          <w:spacing w:val="-2"/>
        </w:rPr>
        <w:t>an education system that meets Australia’s skills needs (</w:t>
      </w:r>
      <w:r w:rsidR="006C1223" w:rsidRPr="005A658A">
        <w:rPr>
          <w:i/>
          <w:iCs/>
          <w:spacing w:val="-2"/>
        </w:rPr>
        <w:t>From learning to growth</w:t>
      </w:r>
      <w:r w:rsidR="006C1223" w:rsidRPr="005A658A">
        <w:rPr>
          <w:spacing w:val="-2"/>
        </w:rPr>
        <w:t xml:space="preserve">). </w:t>
      </w:r>
      <w:r w:rsidR="0085495B" w:rsidRPr="005A658A">
        <w:rPr>
          <w:spacing w:val="-2"/>
        </w:rPr>
        <w:t xml:space="preserve">As such, while the relevant recommendations </w:t>
      </w:r>
      <w:r w:rsidR="00FD7D1D" w:rsidRPr="005A658A">
        <w:rPr>
          <w:spacing w:val="-2"/>
        </w:rPr>
        <w:t xml:space="preserve">to improve these settings and </w:t>
      </w:r>
      <w:r w:rsidR="0081058C" w:rsidRPr="005A658A">
        <w:rPr>
          <w:spacing w:val="-2"/>
        </w:rPr>
        <w:t xml:space="preserve">their role in supporting diffusion </w:t>
      </w:r>
      <w:r w:rsidR="00864D2B" w:rsidRPr="005A658A">
        <w:rPr>
          <w:spacing w:val="-2"/>
        </w:rPr>
        <w:t xml:space="preserve">are </w:t>
      </w:r>
      <w:r w:rsidR="0081058C" w:rsidRPr="005A658A">
        <w:rPr>
          <w:spacing w:val="-2"/>
        </w:rPr>
        <w:t xml:space="preserve">discussed throughout this chapter, </w:t>
      </w:r>
      <w:r w:rsidR="0095627C" w:rsidRPr="005A658A">
        <w:rPr>
          <w:spacing w:val="-2"/>
        </w:rPr>
        <w:t xml:space="preserve">the detailed analysis </w:t>
      </w:r>
      <w:r w:rsidR="000B51DB" w:rsidRPr="005A658A">
        <w:rPr>
          <w:spacing w:val="-2"/>
        </w:rPr>
        <w:t xml:space="preserve">underpinning these recommendations are found in the respective companion </w:t>
      </w:r>
      <w:r w:rsidR="00DB0E78" w:rsidRPr="005A658A">
        <w:rPr>
          <w:spacing w:val="-2"/>
        </w:rPr>
        <w:t>volumes</w:t>
      </w:r>
      <w:r w:rsidR="000B51DB" w:rsidRPr="005A658A">
        <w:rPr>
          <w:spacing w:val="-2"/>
        </w:rPr>
        <w:t>.</w:t>
      </w:r>
    </w:p>
    <w:p w14:paraId="37B8C9DF" w14:textId="77777777" w:rsidR="00557DD7" w:rsidRDefault="00557DD7" w:rsidP="00557DD7">
      <w:pPr>
        <w:pStyle w:val="Heading2"/>
      </w:pPr>
      <w:bookmarkStart w:id="21" w:name="_Toc126145988"/>
      <w:bookmarkStart w:id="22" w:name="_Toc126304782"/>
      <w:r>
        <w:t>An enabling environment for diffusion of new knowledge and technologies</w:t>
      </w:r>
      <w:bookmarkEnd w:id="21"/>
      <w:bookmarkEnd w:id="22"/>
    </w:p>
    <w:p w14:paraId="4725438F" w14:textId="77777777" w:rsidR="00557DD7" w:rsidRDefault="00557DD7" w:rsidP="00557DD7">
      <w:pPr>
        <w:pStyle w:val="Heading3"/>
      </w:pPr>
      <w:r>
        <w:t>Framework conditions</w:t>
      </w:r>
    </w:p>
    <w:p w14:paraId="7B9D8CBA" w14:textId="77777777" w:rsidR="00557DD7" w:rsidRDefault="00557DD7" w:rsidP="00557DD7">
      <w:pPr>
        <w:pStyle w:val="BodyText"/>
      </w:pPr>
      <w:r w:rsidRPr="00E82676">
        <w:t xml:space="preserve">The broad regulatory and financial environment in which businesses operate is important for diffusion. It shapes the incentives, resources and capabilities of firms to </w:t>
      </w:r>
      <w:r w:rsidRPr="00E82676">
        <w:rPr>
          <w:i/>
          <w:iCs/>
        </w:rPr>
        <w:t>adopt</w:t>
      </w:r>
      <w:r w:rsidRPr="00E82676">
        <w:t xml:space="preserve"> established innovations and </w:t>
      </w:r>
      <w:r w:rsidRPr="00E82676">
        <w:rPr>
          <w:i/>
          <w:iCs/>
        </w:rPr>
        <w:t>adapt</w:t>
      </w:r>
      <w:r w:rsidRPr="00E82676">
        <w:t xml:space="preserve"> them to their specific circumstances.</w:t>
      </w:r>
    </w:p>
    <w:p w14:paraId="662CBC38" w14:textId="77777777" w:rsidR="00557DD7" w:rsidRDefault="00557DD7" w:rsidP="00557DD7">
      <w:pPr>
        <w:pStyle w:val="BodyText"/>
      </w:pPr>
      <w:r w:rsidRPr="00272B0E">
        <w:t xml:space="preserve">While decisions to adopt and adapt innovative product lines and processes </w:t>
      </w:r>
      <w:r>
        <w:t>predominantly</w:t>
      </w:r>
      <w:r w:rsidRPr="00272B0E">
        <w:t xml:space="preserve"> rest with firms, governments can influence aspects of the environments in which these decisions take place, altering firm incentives and barriers to adoption</w:t>
      </w:r>
      <w:r>
        <w:t>.</w:t>
      </w:r>
    </w:p>
    <w:p w14:paraId="5D3DABE6" w14:textId="77777777" w:rsidR="00557DD7" w:rsidRDefault="00557DD7" w:rsidP="00557DD7">
      <w:pPr>
        <w:pStyle w:val="Heading4"/>
      </w:pPr>
      <w:r>
        <w:t>Business and regulatory environment for innovation and its diffusion</w:t>
      </w:r>
    </w:p>
    <w:p w14:paraId="21F8848D" w14:textId="77777777" w:rsidR="00557DD7" w:rsidRPr="0094534A" w:rsidRDefault="00557DD7" w:rsidP="00557DD7">
      <w:pPr>
        <w:pStyle w:val="Heading5"/>
      </w:pPr>
      <w:r w:rsidRPr="0094534A">
        <w:t>Market conditions</w:t>
      </w:r>
      <w:r>
        <w:t xml:space="preserve"> and exposure to competition</w:t>
      </w:r>
    </w:p>
    <w:p w14:paraId="6E459C1D" w14:textId="4418F396" w:rsidR="00557DD7" w:rsidRPr="00BA169C" w:rsidRDefault="00860ACA" w:rsidP="00BA169C">
      <w:pPr>
        <w:pStyle w:val="BodyText"/>
      </w:pPr>
      <w:r w:rsidRPr="00860ACA">
        <w:t xml:space="preserve">The relationship between competition and adoption of innovation works in several ways. </w:t>
      </w:r>
      <w:r w:rsidR="00557DD7" w:rsidRPr="00D72EA5">
        <w:t>Where businesses operate in a competitive environment, they face pressures to upgrade their product lines and processes (</w:t>
      </w:r>
      <w:r w:rsidR="00557DD7">
        <w:t>by reducing</w:t>
      </w:r>
      <w:r w:rsidR="00557DD7" w:rsidRPr="00D72EA5">
        <w:t xml:space="preserve"> </w:t>
      </w:r>
      <w:proofErr w:type="gramStart"/>
      <w:r w:rsidR="00557DD7" w:rsidRPr="00D72EA5">
        <w:t>costs, or</w:t>
      </w:r>
      <w:proofErr w:type="gramEnd"/>
      <w:r w:rsidR="00557DD7" w:rsidRPr="00D72EA5">
        <w:t xml:space="preserve"> </w:t>
      </w:r>
      <w:r w:rsidR="00557DD7">
        <w:t>increasing</w:t>
      </w:r>
      <w:r w:rsidR="00557DD7" w:rsidRPr="00D72EA5">
        <w:t xml:space="preserve"> variety or quality for consumers) or risk loss of market share to competitors that do so. </w:t>
      </w:r>
      <w:r>
        <w:t>Conversely, i</w:t>
      </w:r>
      <w:r w:rsidR="00557DD7" w:rsidRPr="00D72EA5">
        <w:t>n the absence of competition, there may be less market pressure for businesses to innovate, but greater rewards for those who do.</w:t>
      </w:r>
    </w:p>
    <w:p w14:paraId="4358DA65" w14:textId="73952DA3" w:rsidR="00560BD1" w:rsidRPr="00B162C6" w:rsidRDefault="00560BD1" w:rsidP="00560BD1">
      <w:pPr>
        <w:rPr>
          <w:rFonts w:ascii="Arial" w:eastAsia="Arial" w:hAnsi="Arial" w:cs="Times New Roman"/>
        </w:rPr>
      </w:pPr>
      <w:r>
        <w:rPr>
          <w:rFonts w:ascii="Arial" w:eastAsia="Arial" w:hAnsi="Arial" w:cs="Times New Roman"/>
        </w:rPr>
        <w:t>Domestically, c</w:t>
      </w:r>
      <w:r w:rsidRPr="00B162C6">
        <w:rPr>
          <w:rFonts w:ascii="Arial" w:eastAsia="Arial" w:hAnsi="Arial" w:cs="Times New Roman"/>
        </w:rPr>
        <w:t>ompetition is not uniformly strong across product markets within the Australian economy. Some Australian markets are highly concentrated</w:t>
      </w:r>
      <w:r>
        <w:rPr>
          <w:rFonts w:ascii="Arial" w:eastAsia="Arial" w:hAnsi="Arial" w:cs="Times New Roman"/>
        </w:rPr>
        <w:t>,</w:t>
      </w:r>
      <w:r w:rsidRPr="00B162C6">
        <w:rPr>
          <w:rFonts w:ascii="Arial" w:eastAsia="Arial" w:hAnsi="Arial" w:cs="Times New Roman"/>
        </w:rPr>
        <w:t xml:space="preserve"> </w:t>
      </w:r>
      <w:r w:rsidR="000C657B">
        <w:rPr>
          <w:rFonts w:ascii="Arial" w:eastAsia="Arial" w:hAnsi="Arial" w:cs="Times New Roman"/>
        </w:rPr>
        <w:t>including in sectors</w:t>
      </w:r>
      <w:r w:rsidRPr="00B162C6">
        <w:rPr>
          <w:rFonts w:ascii="Arial" w:eastAsia="Arial" w:hAnsi="Arial" w:cs="Times New Roman"/>
        </w:rPr>
        <w:t xml:space="preserve"> where scale economies are strong (such as supermarkets), firm entry is highly regulated (such as in banking), or competition is inherently weak due to natural monopoly characteristics (such as in electricity distribution and transmission).</w:t>
      </w:r>
    </w:p>
    <w:p w14:paraId="42BF3C9E" w14:textId="0558BE18" w:rsidR="00560BD1" w:rsidRPr="00385C6B" w:rsidRDefault="00560BD1" w:rsidP="00560BD1">
      <w:pPr>
        <w:rPr>
          <w:rFonts w:ascii="Arial" w:eastAsia="Arial" w:hAnsi="Arial" w:cs="Times New Roman"/>
        </w:rPr>
      </w:pPr>
      <w:r>
        <w:rPr>
          <w:rFonts w:ascii="Arial" w:eastAsia="Arial" w:hAnsi="Arial" w:cs="Times New Roman"/>
        </w:rPr>
        <w:t>But t</w:t>
      </w:r>
      <w:r w:rsidRPr="00F70962">
        <w:rPr>
          <w:rFonts w:ascii="Arial" w:eastAsia="Arial" w:hAnsi="Arial" w:cs="Times New Roman"/>
        </w:rPr>
        <w:t xml:space="preserve">his does not, and need not, imply an absence of innovation. </w:t>
      </w:r>
      <w:r w:rsidRPr="00C03A33">
        <w:rPr>
          <w:rFonts w:ascii="Arial" w:eastAsia="Arial" w:hAnsi="Arial" w:cs="Times New Roman"/>
        </w:rPr>
        <w:t xml:space="preserve">Increased market concentration at the aggregate level does not appear to result in lower firm entry — which would reduce sources of innovation </w:t>
      </w:r>
      <w:r w:rsidRPr="00C03A33">
        <w:rPr>
          <w:rFonts w:ascii="Arial" w:eastAsia="Arial" w:hAnsi="Arial" w:cs="Times New Roman"/>
        </w:rPr>
        <w:lastRenderedPageBreak/>
        <w:t xml:space="preserve">uptake </w:t>
      </w:r>
      <w:r w:rsidRPr="00ED1DD7">
        <w:rPr>
          <w:rFonts w:ascii="Arial" w:hAnsi="Arial" w:cs="Arial"/>
          <w:szCs w:val="24"/>
        </w:rPr>
        <w:t>(Bakhtiari 2020, p. 23)</w:t>
      </w:r>
      <w:r>
        <w:rPr>
          <w:rFonts w:ascii="Arial" w:eastAsia="Arial" w:hAnsi="Arial" w:cs="Times New Roman"/>
        </w:rPr>
        <w:t>.</w:t>
      </w:r>
      <w:r w:rsidRPr="00ED1DD7">
        <w:rPr>
          <w:rFonts w:ascii="Arial" w:eastAsia="Arial" w:hAnsi="Arial" w:cs="Times New Roman"/>
        </w:rPr>
        <w:t xml:space="preserve"> (</w:t>
      </w:r>
      <w:r>
        <w:rPr>
          <w:rFonts w:ascii="Arial" w:eastAsia="Arial" w:hAnsi="Arial" w:cs="Times New Roman"/>
        </w:rPr>
        <w:t>S</w:t>
      </w:r>
      <w:r w:rsidRPr="00ED1DD7">
        <w:rPr>
          <w:rFonts w:ascii="Arial" w:eastAsia="Arial" w:hAnsi="Arial" w:cs="Times New Roman"/>
        </w:rPr>
        <w:t xml:space="preserve">ee the Commission’s companion </w:t>
      </w:r>
      <w:r w:rsidR="006D26F3">
        <w:rPr>
          <w:rFonts w:ascii="Arial" w:eastAsia="Arial" w:hAnsi="Arial" w:cs="Times New Roman"/>
        </w:rPr>
        <w:t>volume</w:t>
      </w:r>
      <w:r w:rsidRPr="00ED1DD7">
        <w:rPr>
          <w:rFonts w:ascii="Arial" w:eastAsia="Arial" w:hAnsi="Arial" w:cs="Times New Roman"/>
        </w:rPr>
        <w:t xml:space="preserve"> on </w:t>
      </w:r>
      <w:r w:rsidR="009243D5" w:rsidRPr="006D26F3">
        <w:rPr>
          <w:rFonts w:ascii="Arial" w:eastAsia="Arial" w:hAnsi="Arial" w:cs="Times New Roman"/>
          <w:i/>
          <w:iCs/>
        </w:rPr>
        <w:t>A</w:t>
      </w:r>
      <w:r w:rsidR="009243D5" w:rsidRPr="006D26F3">
        <w:rPr>
          <w:rFonts w:ascii="Arial" w:eastAsia="Arial" w:hAnsi="Arial" w:cs="Times New Roman"/>
          <w:i/>
        </w:rPr>
        <w:t xml:space="preserve"> competitive, dynamic and sustainable future</w:t>
      </w:r>
      <w:r w:rsidRPr="00ED1DD7">
        <w:rPr>
          <w:rFonts w:ascii="Arial" w:eastAsia="Arial" w:hAnsi="Arial" w:cs="Times New Roman"/>
        </w:rPr>
        <w:t xml:space="preserve"> for the Productivity Inquiry</w:t>
      </w:r>
      <w:r>
        <w:rPr>
          <w:rFonts w:ascii="Arial" w:eastAsia="Arial" w:hAnsi="Arial" w:cs="Times New Roman"/>
        </w:rPr>
        <w:t>.</w:t>
      </w:r>
      <w:r w:rsidRPr="00ED1DD7">
        <w:rPr>
          <w:rFonts w:ascii="Arial" w:eastAsia="Arial" w:hAnsi="Arial" w:cs="Times New Roman"/>
        </w:rPr>
        <w:t>)</w:t>
      </w:r>
    </w:p>
    <w:p w14:paraId="7F830269" w14:textId="61FE7146" w:rsidR="00557DD7" w:rsidRDefault="003B1B84" w:rsidP="00557DD7">
      <w:pPr>
        <w:rPr>
          <w:rFonts w:ascii="Arial" w:eastAsia="Arial" w:hAnsi="Arial" w:cs="Times New Roman"/>
        </w:rPr>
      </w:pPr>
      <w:r>
        <w:rPr>
          <w:rFonts w:ascii="Arial" w:eastAsia="Arial" w:hAnsi="Arial" w:cs="Times New Roman"/>
        </w:rPr>
        <w:t>However</w:t>
      </w:r>
      <w:r w:rsidR="00557DD7" w:rsidRPr="0094534A" w:rsidDel="00722C78">
        <w:rPr>
          <w:rFonts w:ascii="Arial" w:eastAsia="Arial" w:hAnsi="Arial" w:cs="Times New Roman"/>
        </w:rPr>
        <w:t xml:space="preserve">, </w:t>
      </w:r>
      <w:r w:rsidR="00557DD7" w:rsidRPr="0094534A">
        <w:rPr>
          <w:rFonts w:ascii="Arial" w:eastAsia="Arial" w:hAnsi="Arial" w:cs="Times New Roman"/>
        </w:rPr>
        <w:t xml:space="preserve">exposure to </w:t>
      </w:r>
      <w:r w:rsidR="00557DD7">
        <w:rPr>
          <w:rFonts w:ascii="Arial" w:eastAsia="Arial" w:hAnsi="Arial" w:cs="Times New Roman"/>
        </w:rPr>
        <w:t xml:space="preserve">international </w:t>
      </w:r>
      <w:r w:rsidR="00557DD7" w:rsidRPr="0094534A">
        <w:rPr>
          <w:rFonts w:ascii="Arial" w:eastAsia="Arial" w:hAnsi="Arial" w:cs="Times New Roman"/>
        </w:rPr>
        <w:t xml:space="preserve">competition via trade </w:t>
      </w:r>
      <w:r w:rsidR="00E706D3">
        <w:rPr>
          <w:rFonts w:ascii="Arial" w:eastAsia="Arial" w:hAnsi="Arial" w:cs="Times New Roman"/>
        </w:rPr>
        <w:t>has</w:t>
      </w:r>
      <w:r w:rsidR="00E706D3" w:rsidDel="00902D46">
        <w:rPr>
          <w:rFonts w:ascii="Arial" w:eastAsia="Arial" w:hAnsi="Arial" w:cs="Times New Roman"/>
        </w:rPr>
        <w:t xml:space="preserve"> </w:t>
      </w:r>
      <w:r w:rsidR="00902D46">
        <w:rPr>
          <w:rFonts w:ascii="Arial" w:eastAsia="Arial" w:hAnsi="Arial" w:cs="Times New Roman"/>
        </w:rPr>
        <w:t xml:space="preserve">the potential to be an important source </w:t>
      </w:r>
      <w:r w:rsidR="00557DD7" w:rsidDel="001C065A">
        <w:rPr>
          <w:rFonts w:ascii="Arial" w:eastAsia="Arial" w:hAnsi="Arial" w:cs="Times New Roman"/>
        </w:rPr>
        <w:t xml:space="preserve">of </w:t>
      </w:r>
      <w:r w:rsidR="00557DD7">
        <w:rPr>
          <w:rFonts w:ascii="Arial" w:eastAsia="Arial" w:hAnsi="Arial" w:cs="Times New Roman"/>
        </w:rPr>
        <w:t>innovation</w:t>
      </w:r>
      <w:r w:rsidR="001C065A">
        <w:rPr>
          <w:rFonts w:ascii="Arial" w:eastAsia="Arial" w:hAnsi="Arial" w:cs="Times New Roman"/>
        </w:rPr>
        <w:t xml:space="preserve"> diffusion</w:t>
      </w:r>
      <w:r w:rsidR="00557DD7" w:rsidRPr="0094534A">
        <w:rPr>
          <w:rFonts w:ascii="Arial" w:eastAsia="Arial" w:hAnsi="Arial" w:cs="Times New Roman"/>
        </w:rPr>
        <w:t xml:space="preserve">. </w:t>
      </w:r>
      <w:r w:rsidR="00557DD7">
        <w:rPr>
          <w:rFonts w:ascii="Arial" w:eastAsia="Arial" w:hAnsi="Arial" w:cs="Times New Roman"/>
        </w:rPr>
        <w:t>I</w:t>
      </w:r>
      <w:r w:rsidR="00557DD7" w:rsidRPr="0094534A">
        <w:rPr>
          <w:rFonts w:ascii="Arial" w:eastAsia="Arial" w:hAnsi="Arial" w:cs="Times New Roman"/>
        </w:rPr>
        <w:t>mport competition</w:t>
      </w:r>
      <w:r w:rsidR="00557DD7" w:rsidDel="00B564DC">
        <w:rPr>
          <w:rFonts w:ascii="Arial" w:eastAsia="Arial" w:hAnsi="Arial" w:cs="Times New Roman"/>
        </w:rPr>
        <w:t xml:space="preserve"> </w:t>
      </w:r>
      <w:r w:rsidR="00557DD7">
        <w:rPr>
          <w:rFonts w:ascii="Arial" w:eastAsia="Arial" w:hAnsi="Arial" w:cs="Times New Roman"/>
        </w:rPr>
        <w:t>provide</w:t>
      </w:r>
      <w:r w:rsidR="00B564DC">
        <w:rPr>
          <w:rFonts w:ascii="Arial" w:eastAsia="Arial" w:hAnsi="Arial" w:cs="Times New Roman"/>
        </w:rPr>
        <w:t>s</w:t>
      </w:r>
      <w:r w:rsidR="00557DD7" w:rsidRPr="0094534A">
        <w:rPr>
          <w:rFonts w:ascii="Arial" w:eastAsia="Arial" w:hAnsi="Arial" w:cs="Times New Roman"/>
        </w:rPr>
        <w:t xml:space="preserve"> </w:t>
      </w:r>
      <w:r w:rsidR="00557DD7">
        <w:rPr>
          <w:rFonts w:ascii="Arial" w:eastAsia="Arial" w:hAnsi="Arial" w:cs="Times New Roman"/>
        </w:rPr>
        <w:t>local</w:t>
      </w:r>
      <w:r w:rsidR="00557DD7" w:rsidRPr="0094534A">
        <w:rPr>
          <w:rFonts w:ascii="Arial" w:eastAsia="Arial" w:hAnsi="Arial" w:cs="Times New Roman"/>
        </w:rPr>
        <w:t xml:space="preserve"> firms with an incentive to </w:t>
      </w:r>
      <w:r w:rsidR="00557DD7">
        <w:rPr>
          <w:rFonts w:ascii="Arial" w:eastAsia="Arial" w:hAnsi="Arial" w:cs="Times New Roman"/>
        </w:rPr>
        <w:t xml:space="preserve">adopt </w:t>
      </w:r>
      <w:r w:rsidR="00557DD7" w:rsidRPr="0094534A">
        <w:rPr>
          <w:rFonts w:ascii="Arial" w:eastAsia="Arial" w:hAnsi="Arial" w:cs="Times New Roman"/>
        </w:rPr>
        <w:t>innovat</w:t>
      </w:r>
      <w:r w:rsidR="00557DD7">
        <w:rPr>
          <w:rFonts w:ascii="Arial" w:eastAsia="Arial" w:hAnsi="Arial" w:cs="Times New Roman"/>
        </w:rPr>
        <w:t>ions</w:t>
      </w:r>
      <w:r w:rsidR="00557DD7" w:rsidRPr="0094534A">
        <w:rPr>
          <w:rFonts w:ascii="Arial" w:eastAsia="Arial" w:hAnsi="Arial" w:cs="Times New Roman"/>
        </w:rPr>
        <w:t xml:space="preserve"> </w:t>
      </w:r>
      <w:proofErr w:type="gramStart"/>
      <w:r w:rsidR="00557DD7" w:rsidRPr="0094534A">
        <w:rPr>
          <w:rFonts w:ascii="Arial" w:eastAsia="Arial" w:hAnsi="Arial" w:cs="Times New Roman"/>
        </w:rPr>
        <w:t>as a way to</w:t>
      </w:r>
      <w:proofErr w:type="gramEnd"/>
      <w:r w:rsidR="00557DD7" w:rsidRPr="0094534A">
        <w:rPr>
          <w:rFonts w:ascii="Arial" w:eastAsia="Arial" w:hAnsi="Arial" w:cs="Times New Roman"/>
        </w:rPr>
        <w:t xml:space="preserve"> </w:t>
      </w:r>
      <w:r w:rsidR="00557DD7">
        <w:rPr>
          <w:rFonts w:ascii="Arial" w:eastAsia="Arial" w:hAnsi="Arial" w:cs="Times New Roman"/>
        </w:rPr>
        <w:t>remain competitive,</w:t>
      </w:r>
      <w:r w:rsidR="00557DD7" w:rsidRPr="0094534A">
        <w:rPr>
          <w:rFonts w:ascii="Arial" w:eastAsia="Arial" w:hAnsi="Arial" w:cs="Times New Roman"/>
        </w:rPr>
        <w:t xml:space="preserve"> reduce costs and improve product</w:t>
      </w:r>
      <w:r w:rsidR="00557DD7">
        <w:rPr>
          <w:rFonts w:ascii="Arial" w:eastAsia="Arial" w:hAnsi="Arial" w:cs="Times New Roman"/>
        </w:rPr>
        <w:t xml:space="preserve"> line</w:t>
      </w:r>
      <w:r w:rsidR="00557DD7" w:rsidRPr="0094534A">
        <w:rPr>
          <w:rFonts w:ascii="Arial" w:eastAsia="Arial" w:hAnsi="Arial" w:cs="Times New Roman"/>
        </w:rPr>
        <w:t>s and processes</w:t>
      </w:r>
      <w:r w:rsidR="00557DD7">
        <w:rPr>
          <w:rFonts w:ascii="Arial" w:eastAsia="Arial" w:hAnsi="Arial" w:cs="Times New Roman"/>
        </w:rPr>
        <w:t xml:space="preserve"> to maintain market share</w:t>
      </w:r>
      <w:r w:rsidR="001B6F2A">
        <w:rPr>
          <w:rFonts w:ascii="Arial" w:eastAsia="Arial" w:hAnsi="Arial" w:cs="Times New Roman"/>
        </w:rPr>
        <w:t xml:space="preserve"> </w:t>
      </w:r>
      <w:r w:rsidR="00116531" w:rsidRPr="00116531">
        <w:rPr>
          <w:rFonts w:ascii="Arial" w:hAnsi="Arial" w:cs="Arial"/>
          <w:szCs w:val="24"/>
        </w:rPr>
        <w:t>(Kiriyama 2012, pp. 15–16)</w:t>
      </w:r>
      <w:r w:rsidR="00557DD7" w:rsidRPr="00FE2C2C">
        <w:rPr>
          <w:rFonts w:ascii="Arial" w:eastAsia="Arial" w:hAnsi="Arial" w:cs="Times New Roman"/>
        </w:rPr>
        <w:t>.</w:t>
      </w:r>
    </w:p>
    <w:p w14:paraId="60007C57" w14:textId="1AF19040" w:rsidR="00557DD7" w:rsidRPr="0094534A" w:rsidRDefault="00557DD7" w:rsidP="00557DD7">
      <w:pPr>
        <w:rPr>
          <w:rFonts w:ascii="Arial" w:eastAsia="Arial" w:hAnsi="Arial" w:cs="Times New Roman"/>
        </w:rPr>
      </w:pPr>
      <w:r>
        <w:rPr>
          <w:rFonts w:ascii="Arial" w:eastAsia="Arial" w:hAnsi="Arial" w:cs="Times New Roman"/>
        </w:rPr>
        <w:t xml:space="preserve">Exports also play a role. </w:t>
      </w:r>
      <w:r w:rsidRPr="0094534A">
        <w:rPr>
          <w:rFonts w:ascii="Arial" w:eastAsia="Arial" w:hAnsi="Arial" w:cs="Times New Roman"/>
        </w:rPr>
        <w:t xml:space="preserve">For exporting firms, access to overseas markets can expose them to more intense competition, while increasing the potential returns to innovation </w:t>
      </w:r>
      <w:r>
        <w:rPr>
          <w:rFonts w:ascii="Arial" w:eastAsia="Arial" w:hAnsi="Arial" w:cs="Times New Roman"/>
        </w:rPr>
        <w:t xml:space="preserve">adoption </w:t>
      </w:r>
      <w:r w:rsidRPr="0094534A">
        <w:rPr>
          <w:rFonts w:ascii="Arial" w:eastAsia="Arial" w:hAnsi="Arial" w:cs="Times New Roman"/>
        </w:rPr>
        <w:t xml:space="preserve">due to a larger market </w:t>
      </w:r>
      <w:r w:rsidRPr="002D138D">
        <w:rPr>
          <w:rFonts w:ascii="Arial" w:eastAsia="Arial" w:hAnsi="Arial" w:cs="Times New Roman"/>
        </w:rPr>
        <w:t xml:space="preserve">size and allowing firms to spread the cost of innovation over a larger market </w:t>
      </w:r>
      <w:r w:rsidRPr="002D138D">
        <w:rPr>
          <w:rFonts w:ascii="Arial" w:hAnsi="Arial" w:cs="Arial"/>
          <w:szCs w:val="24"/>
        </w:rPr>
        <w:t>(Bloom, Van Reenen and Williams 2019, p. 177)</w:t>
      </w:r>
      <w:r w:rsidRPr="002D138D">
        <w:rPr>
          <w:rFonts w:ascii="Arial" w:eastAsia="Arial" w:hAnsi="Arial" w:cs="Times New Roman"/>
        </w:rPr>
        <w:t>. Innovation</w:t>
      </w:r>
      <w:r w:rsidRPr="0094534A">
        <w:rPr>
          <w:rFonts w:ascii="Arial" w:eastAsia="Arial" w:hAnsi="Arial" w:cs="Times New Roman"/>
        </w:rPr>
        <w:t xml:space="preserve"> </w:t>
      </w:r>
      <w:r>
        <w:rPr>
          <w:rFonts w:ascii="Arial" w:eastAsia="Arial" w:hAnsi="Arial" w:cs="Times New Roman"/>
        </w:rPr>
        <w:t>uptake is</w:t>
      </w:r>
      <w:r w:rsidRPr="0094534A">
        <w:rPr>
          <w:rFonts w:ascii="Arial" w:eastAsia="Arial" w:hAnsi="Arial" w:cs="Times New Roman"/>
        </w:rPr>
        <w:t xml:space="preserve"> strongly correlated with exporting, with exporters 7–10</w:t>
      </w:r>
      <w:r w:rsidR="00E94315">
        <w:rPr>
          <w:rFonts w:ascii="Arial" w:eastAsia="Arial" w:hAnsi="Arial" w:cs="Times New Roman"/>
        </w:rPr>
        <w:t>%</w:t>
      </w:r>
      <w:r w:rsidRPr="0094534A">
        <w:rPr>
          <w:rFonts w:ascii="Arial" w:eastAsia="Arial" w:hAnsi="Arial" w:cs="Times New Roman"/>
        </w:rPr>
        <w:t xml:space="preserve"> more likely to introduce new or significantly improved products or processes than non</w:t>
      </w:r>
      <w:r>
        <w:rPr>
          <w:rFonts w:ascii="Arial" w:eastAsia="Arial" w:hAnsi="Arial" w:cs="Times New Roman"/>
        </w:rPr>
        <w:noBreakHyphen/>
      </w:r>
      <w:r w:rsidRPr="0094534A">
        <w:rPr>
          <w:rFonts w:ascii="Arial" w:eastAsia="Arial" w:hAnsi="Arial" w:cs="Times New Roman"/>
        </w:rPr>
        <w:t xml:space="preserve">exporting firms </w:t>
      </w:r>
      <w:r w:rsidRPr="006D7AF7">
        <w:rPr>
          <w:rFonts w:ascii="Arial" w:hAnsi="Arial" w:cs="Arial"/>
          <w:szCs w:val="24"/>
        </w:rPr>
        <w:t>(Tuhin 2016, p. 2)</w:t>
      </w:r>
      <w:r>
        <w:rPr>
          <w:rFonts w:ascii="Arial" w:eastAsia="Arial" w:hAnsi="Arial" w:cs="Times New Roman"/>
        </w:rPr>
        <w:t xml:space="preserve">. </w:t>
      </w:r>
    </w:p>
    <w:p w14:paraId="0CFC24E1" w14:textId="77777777" w:rsidR="00557DD7" w:rsidRPr="00C174D9" w:rsidRDefault="00557DD7" w:rsidP="00557DD7">
      <w:pPr>
        <w:pStyle w:val="Heading5"/>
      </w:pPr>
      <w:r>
        <w:t>Regulatory and administrative procedures</w:t>
      </w:r>
    </w:p>
    <w:p w14:paraId="401F8D73" w14:textId="5B096CB1" w:rsidR="00557DD7" w:rsidRPr="006D48E7" w:rsidRDefault="00557DD7" w:rsidP="00557DD7">
      <w:pPr>
        <w:pStyle w:val="BodyText"/>
      </w:pPr>
      <w:r w:rsidRPr="006D48E7">
        <w:t>When done well, regulation can protect against harms without unduly affecting the incentive to innovate</w:t>
      </w:r>
      <w:r>
        <w:t>.</w:t>
      </w:r>
      <w:r w:rsidRPr="006D48E7">
        <w:t xml:space="preserve"> </w:t>
      </w:r>
      <w:r>
        <w:t xml:space="preserve">Indeed, </w:t>
      </w:r>
      <w:r w:rsidRPr="00FF3DF3">
        <w:t xml:space="preserve">while often not intended, regulation can </w:t>
      </w:r>
      <w:r>
        <w:t>even</w:t>
      </w:r>
      <w:r w:rsidRPr="00FF3DF3">
        <w:t xml:space="preserve"> encourage diffusion due to its </w:t>
      </w:r>
      <w:r w:rsidR="006813C0">
        <w:t>effect</w:t>
      </w:r>
      <w:r w:rsidRPr="00FF3DF3">
        <w:t xml:space="preserve"> on the capabilities of businesses. Single </w:t>
      </w:r>
      <w:r w:rsidR="00BB68E5">
        <w:t>T</w:t>
      </w:r>
      <w:r w:rsidRPr="00FF3DF3">
        <w:t xml:space="preserve">ouch </w:t>
      </w:r>
      <w:r w:rsidR="00BB68E5">
        <w:t>P</w:t>
      </w:r>
      <w:r w:rsidRPr="00FF3DF3">
        <w:t>ayroll</w:t>
      </w:r>
      <w:r w:rsidR="00BB68E5">
        <w:t xml:space="preserve"> and</w:t>
      </w:r>
      <w:r w:rsidRPr="00FF3DF3">
        <w:t xml:space="preserve"> My Health Record</w:t>
      </w:r>
      <w:r w:rsidR="00BB68E5">
        <w:t xml:space="preserve"> (</w:t>
      </w:r>
      <w:r w:rsidR="008D4289">
        <w:t xml:space="preserve">both discussed in the inquiry’s companion </w:t>
      </w:r>
      <w:r w:rsidR="00DB0E78">
        <w:t>volume</w:t>
      </w:r>
      <w:r w:rsidR="008D4289">
        <w:t xml:space="preserve"> </w:t>
      </w:r>
      <w:r w:rsidR="008D4289">
        <w:rPr>
          <w:i/>
          <w:iCs/>
        </w:rPr>
        <w:t>Australia’s data and digital dividend</w:t>
      </w:r>
      <w:r w:rsidR="008D4289">
        <w:t>)</w:t>
      </w:r>
      <w:r w:rsidRPr="00FF3DF3">
        <w:t xml:space="preserve">, and the growing importance of ‘regtech’ </w:t>
      </w:r>
      <w:r w:rsidR="00116531" w:rsidRPr="00116531">
        <w:rPr>
          <w:rFonts w:ascii="Arial" w:hAnsi="Arial" w:cs="Arial"/>
          <w:szCs w:val="24"/>
        </w:rPr>
        <w:t>(PC 2020h, and discussed in chapter</w:t>
      </w:r>
      <w:r w:rsidR="00A43B86">
        <w:rPr>
          <w:rFonts w:ascii="Arial" w:hAnsi="Arial" w:cs="Arial"/>
          <w:szCs w:val="24"/>
        </w:rPr>
        <w:t> </w:t>
      </w:r>
      <w:r w:rsidR="00116531" w:rsidRPr="00116531">
        <w:rPr>
          <w:rFonts w:ascii="Arial" w:hAnsi="Arial" w:cs="Arial"/>
          <w:szCs w:val="24"/>
        </w:rPr>
        <w:t>3)</w:t>
      </w:r>
      <w:r w:rsidR="001E6E80">
        <w:t>,</w:t>
      </w:r>
      <w:r>
        <w:t xml:space="preserve"> </w:t>
      </w:r>
      <w:r w:rsidRPr="00FF3DF3">
        <w:t xml:space="preserve">have </w:t>
      </w:r>
      <w:r w:rsidR="001E6E80">
        <w:t xml:space="preserve">encouraged </w:t>
      </w:r>
      <w:r w:rsidRPr="00FF3DF3">
        <w:t>many businesses to go digital, or have lowered the costs of compliance, reducing business</w:t>
      </w:r>
      <w:r w:rsidR="00836642">
        <w:t>es</w:t>
      </w:r>
      <w:r w:rsidRPr="00FF3DF3">
        <w:t>’ administrative inefficiencies.</w:t>
      </w:r>
      <w:r w:rsidRPr="006D48E7">
        <w:t xml:space="preserve"> </w:t>
      </w:r>
      <w:r w:rsidRPr="004F73E0">
        <w:t>Competition policy limits the market power of large dominant incumbents, facilitating entry and discouraging complacency.</w:t>
      </w:r>
    </w:p>
    <w:p w14:paraId="15825A15" w14:textId="508A5AFB" w:rsidR="00557DD7" w:rsidRDefault="00557DD7" w:rsidP="00557DD7">
      <w:pPr>
        <w:pStyle w:val="BodyText"/>
      </w:pPr>
      <w:r w:rsidRPr="006D48E7">
        <w:t xml:space="preserve">Nevertheless, poorly designed regulation can reduce incentives for </w:t>
      </w:r>
      <w:r>
        <w:t>existing firms</w:t>
      </w:r>
      <w:r w:rsidRPr="006D48E7">
        <w:t xml:space="preserve"> to </w:t>
      </w:r>
      <w:r>
        <w:t>adopt productivity</w:t>
      </w:r>
      <w:r>
        <w:noBreakHyphen/>
        <w:t xml:space="preserve">enhancing technologies and </w:t>
      </w:r>
      <w:proofErr w:type="gramStart"/>
      <w:r>
        <w:t>practices</w:t>
      </w:r>
      <w:r w:rsidRPr="006D48E7">
        <w:t>, and</w:t>
      </w:r>
      <w:proofErr w:type="gramEnd"/>
      <w:r w:rsidRPr="006D48E7">
        <w:t xml:space="preserve"> prevent new entrants from bringing innovative ways of doing things into an industry or country </w:t>
      </w:r>
      <w:r w:rsidR="00936D73" w:rsidRPr="00936D73">
        <w:rPr>
          <w:rFonts w:ascii="Arial" w:hAnsi="Arial" w:cs="Arial"/>
          <w:szCs w:val="24"/>
        </w:rPr>
        <w:t>(OECD 2015a, p. 79)</w:t>
      </w:r>
      <w:r w:rsidRPr="006D48E7">
        <w:t>. This is likely to be particularly limiting for labour</w:t>
      </w:r>
      <w:r>
        <w:noBreakHyphen/>
      </w:r>
      <w:r w:rsidRPr="006D48E7">
        <w:t xml:space="preserve">intensive service industries where innovation diffusion relies more on adoption of new business models and processes as a vehicle for experimentation (rather than large capital investment or traditional R&amp;D) </w:t>
      </w:r>
      <w:r w:rsidR="00936D73" w:rsidRPr="00936D73">
        <w:rPr>
          <w:rFonts w:ascii="Arial" w:hAnsi="Arial" w:cs="Arial"/>
          <w:szCs w:val="24"/>
        </w:rPr>
        <w:t>(PC 2020f, p. 37)</w:t>
      </w:r>
      <w:r w:rsidRPr="006D48E7">
        <w:t>. For example, adoption of new approaches could be hampered by regulations that</w:t>
      </w:r>
      <w:r>
        <w:t>:</w:t>
      </w:r>
    </w:p>
    <w:p w14:paraId="44C6A149" w14:textId="06F657A1" w:rsidR="00557DD7" w:rsidRPr="0014704E" w:rsidRDefault="00FC2875" w:rsidP="00F71FFE">
      <w:pPr>
        <w:pStyle w:val="ListBullet"/>
      </w:pPr>
      <w:r>
        <w:t>c</w:t>
      </w:r>
      <w:r w:rsidR="00557DD7" w:rsidRPr="0014704E">
        <w:t xml:space="preserve">reate barriers to entry, for example, barriers to entry in retail pharmacy. On the one hand, pharmacy regulations eliminate competition from other potential providers, stifling technology, while conversely, the potential role of pharmacists </w:t>
      </w:r>
      <w:r w:rsidR="00045688">
        <w:t>to take on some clinical roles</w:t>
      </w:r>
      <w:r w:rsidR="00557DD7" w:rsidRPr="0014704E">
        <w:t xml:space="preserve"> is limited by scope of practice restrictions</w:t>
      </w:r>
    </w:p>
    <w:p w14:paraId="13263634" w14:textId="77777777" w:rsidR="00557DD7" w:rsidRPr="0014704E" w:rsidRDefault="00557DD7" w:rsidP="00F71FFE">
      <w:pPr>
        <w:pStyle w:val="ListBullet"/>
      </w:pPr>
      <w:r w:rsidRPr="0014704E">
        <w:t>reduce the scope to use technology as a replacement or complement to labour input, for example, because of workplace agreements</w:t>
      </w:r>
    </w:p>
    <w:p w14:paraId="3BFA23B6" w14:textId="30C4609D" w:rsidR="00557DD7" w:rsidRDefault="00557DD7" w:rsidP="00F71FFE">
      <w:pPr>
        <w:pStyle w:val="ListBullet"/>
      </w:pPr>
      <w:r>
        <w:t xml:space="preserve">curb incentives of business managers and directors to take risks with innovative new approaches, for example, because of personal or professional liability concerns, including in contracts with governments </w:t>
      </w:r>
      <w:r w:rsidRPr="00F71FFE">
        <w:t>(AICD, sub.</w:t>
      </w:r>
      <w:r w:rsidR="00A43B86">
        <w:t> </w:t>
      </w:r>
      <w:r w:rsidRPr="00F71FFE">
        <w:t>44, p.</w:t>
      </w:r>
      <w:r w:rsidR="00A43B86">
        <w:t> </w:t>
      </w:r>
      <w:r w:rsidRPr="00F71FFE">
        <w:t>3; Consult Australia 2018, p. 8)</w:t>
      </w:r>
    </w:p>
    <w:p w14:paraId="0638C726" w14:textId="0FE3BB4B" w:rsidR="00557DD7" w:rsidRDefault="00557DD7" w:rsidP="00F71FFE">
      <w:pPr>
        <w:pStyle w:val="ListBullet"/>
      </w:pPr>
      <w:r>
        <w:t>limit scope to employ staff skilled in new technologies or processes because their qualifications or skills are not recognised in the relevant jurisdiction</w:t>
      </w:r>
    </w:p>
    <w:p w14:paraId="4B3CC1F7" w14:textId="1DD0D243" w:rsidR="00557DD7" w:rsidRDefault="00557DD7" w:rsidP="00F71FFE">
      <w:pPr>
        <w:pStyle w:val="ListBullet"/>
      </w:pPr>
      <w:r>
        <w:t xml:space="preserve">presume the use of a particular technology to enable compliance, or specify </w:t>
      </w:r>
      <w:proofErr w:type="gramStart"/>
      <w:r w:rsidRPr="00745A06">
        <w:t>the means by which</w:t>
      </w:r>
      <w:proofErr w:type="gramEnd"/>
      <w:r w:rsidRPr="00745A06">
        <w:t xml:space="preserve"> </w:t>
      </w:r>
      <w:r>
        <w:t>compliance</w:t>
      </w:r>
      <w:r w:rsidRPr="00745A06">
        <w:t xml:space="preserve"> must be achieved</w:t>
      </w:r>
      <w:r>
        <w:t xml:space="preserve"> (compared with performance</w:t>
      </w:r>
      <w:r>
        <w:noBreakHyphen/>
        <w:t xml:space="preserve">based regulation, </w:t>
      </w:r>
      <w:r w:rsidRPr="00745A06">
        <w:t>which specifies required outcomes or objectives</w:t>
      </w:r>
      <w:r>
        <w:t xml:space="preserve">) </w:t>
      </w:r>
      <w:r w:rsidRPr="00F71FFE">
        <w:t>(Attrey, Lesher and Lomax 2020, p. 6)</w:t>
      </w:r>
    </w:p>
    <w:p w14:paraId="74E9ED4E" w14:textId="77777777" w:rsidR="00557DD7" w:rsidRDefault="00557DD7" w:rsidP="00F71FFE">
      <w:pPr>
        <w:pStyle w:val="ListBullet"/>
      </w:pPr>
      <w:r>
        <w:t>favour, through industry or product standards, incumbents using existing technology or processes</w:t>
      </w:r>
    </w:p>
    <w:p w14:paraId="4D41BB9A" w14:textId="77777777" w:rsidR="00557DD7" w:rsidRDefault="00557DD7" w:rsidP="00F71FFE">
      <w:pPr>
        <w:pStyle w:val="ListBullet"/>
      </w:pPr>
      <w:r>
        <w:t>limit capacity to use an existing building or site in an innovative manner, for example, because of the way the site is zoned or the need to undergo a lengthy redevelopment approval process.</w:t>
      </w:r>
    </w:p>
    <w:p w14:paraId="6DC6DCEF" w14:textId="77777777" w:rsidR="00557DD7" w:rsidRPr="00C9070B" w:rsidRDefault="00557DD7" w:rsidP="00557DD7">
      <w:pPr>
        <w:pStyle w:val="BodyText"/>
      </w:pPr>
      <w:r w:rsidRPr="00C9070B">
        <w:t>As this list indicates, there is no single regulatory policy lever that drives innovation and diffusion. Rather, it is the ‘hard grind’ of regulatory design and implementation on multiple fronts that makes a difference, supported by strong frameworks like transparent regulatory impact analysis.</w:t>
      </w:r>
    </w:p>
    <w:p w14:paraId="01169C70" w14:textId="02187924" w:rsidR="00557DD7" w:rsidRPr="00C9070B" w:rsidRDefault="00557DD7" w:rsidP="00557DD7">
      <w:pPr>
        <w:pStyle w:val="BodyText"/>
      </w:pPr>
      <w:r w:rsidRPr="00C9070B">
        <w:lastRenderedPageBreak/>
        <w:t>In many cases, progress is being made, such as Automatic Mutual Recognition of occupational licen</w:t>
      </w:r>
      <w:r w:rsidR="00D7296B">
        <w:t>c</w:t>
      </w:r>
      <w:r w:rsidRPr="00C9070B">
        <w:t xml:space="preserve">es, reforms to bankruptcy and insolvency arrangements over the past </w:t>
      </w:r>
      <w:r w:rsidR="00B57A48">
        <w:t>five</w:t>
      </w:r>
      <w:r w:rsidRPr="00C9070B">
        <w:t xml:space="preserve"> years (box</w:t>
      </w:r>
      <w:r w:rsidR="000565F7">
        <w:t> </w:t>
      </w:r>
      <w:r w:rsidRPr="00C9070B">
        <w:t>1.2 in chapter</w:t>
      </w:r>
      <w:r w:rsidR="000565F7">
        <w:t> </w:t>
      </w:r>
      <w:r w:rsidRPr="00C9070B">
        <w:t>1) and the increasing awareness of the need for technology</w:t>
      </w:r>
      <w:r>
        <w:noBreakHyphen/>
      </w:r>
      <w:r w:rsidRPr="00C9070B">
        <w:t>neutral regulation. Overall, regulatory barriers to firm entry and expansion are generally lower in Australia than in most OECD countries (figure</w:t>
      </w:r>
      <w:r>
        <w:t> 2.1</w:t>
      </w:r>
      <w:r w:rsidRPr="00C9070B">
        <w:t>) (OECD 2018).</w:t>
      </w:r>
    </w:p>
    <w:p w14:paraId="5B7C1F78" w14:textId="77777777" w:rsidR="00557DD7" w:rsidRDefault="00557DD7" w:rsidP="00557DD7">
      <w:pPr>
        <w:pStyle w:val="BodyText"/>
      </w:pPr>
      <w:r w:rsidRPr="00CB5BC7">
        <w:t>But the regulatory thickets caused by the accumulation (and combination) of past rules still limit the pathways for firm</w:t>
      </w:r>
      <w:r>
        <w:noBreakHyphen/>
      </w:r>
      <w:r w:rsidRPr="00CB5BC7">
        <w:t xml:space="preserve">based innovation. The unglamourous task of achieving greater regulatory neutrality in specific areas is arguably more important to the economy’s innovative capability than many of the policies aimed at </w:t>
      </w:r>
      <w:proofErr w:type="gramStart"/>
      <w:r w:rsidRPr="00CB5BC7">
        <w:t>high</w:t>
      </w:r>
      <w:r>
        <w:noBreakHyphen/>
      </w:r>
      <w:r w:rsidRPr="00CB5BC7">
        <w:t>end</w:t>
      </w:r>
      <w:proofErr w:type="gramEnd"/>
      <w:r w:rsidRPr="00CB5BC7">
        <w:t xml:space="preserve"> new discoveries.</w:t>
      </w:r>
      <w:r>
        <w:t xml:space="preserve"> </w:t>
      </w:r>
    </w:p>
    <w:p w14:paraId="43D033EF" w14:textId="764A6ECC" w:rsidR="00557DD7" w:rsidRPr="00146382" w:rsidRDefault="00557DD7" w:rsidP="00557DD7">
      <w:pPr>
        <w:pStyle w:val="FigureTableHeading"/>
      </w:pPr>
      <w:r>
        <w:t>Figure</w:t>
      </w:r>
      <w:r w:rsidR="00A43B86">
        <w:t> </w:t>
      </w:r>
      <w:r>
        <w:rPr>
          <w:noProof/>
        </w:rPr>
        <w:t>2</w:t>
      </w:r>
      <w:r>
        <w:t>.</w:t>
      </w:r>
      <w:r>
        <w:rPr>
          <w:noProof/>
        </w:rPr>
        <w:t xml:space="preserve">1 </w:t>
      </w:r>
      <w:r>
        <w:t xml:space="preserve">– </w:t>
      </w:r>
      <w:r w:rsidRPr="00F41A8C">
        <w:t xml:space="preserve">Australia </w:t>
      </w:r>
      <w:r>
        <w:t xml:space="preserve">has relatively light administrative requirements to set up businesses but burdensome licensing and permit </w:t>
      </w:r>
      <w:proofErr w:type="gramStart"/>
      <w:r>
        <w:t>requirements</w:t>
      </w:r>
      <w:r w:rsidRPr="00066CF5">
        <w:rPr>
          <w:vertAlign w:val="superscript"/>
        </w:rPr>
        <w:t>a</w:t>
      </w:r>
      <w:r>
        <w:rPr>
          <w:vertAlign w:val="superscript"/>
        </w:rPr>
        <w:t>,b</w:t>
      </w:r>
      <w:proofErr w:type="gramEnd"/>
    </w:p>
    <w:p w14:paraId="25652800" w14:textId="77C69BF8" w:rsidR="00557DD7" w:rsidRDefault="00557DD7" w:rsidP="00557DD7">
      <w:pPr>
        <w:pStyle w:val="FigureTableSubheading"/>
        <w:keepLines/>
      </w:pPr>
      <w:r w:rsidRPr="00F41A8C">
        <w:t>OECD Product Market Regulation Indicators, sub</w:t>
      </w:r>
      <w:r w:rsidR="000565F7">
        <w:noBreakHyphen/>
      </w:r>
      <w:r w:rsidRPr="00F41A8C">
        <w:t>categories 2018</w:t>
      </w:r>
    </w:p>
    <w:p w14:paraId="2F69E4CC" w14:textId="51B8DC5D" w:rsidR="00F56D55" w:rsidRDefault="006E1234" w:rsidP="0035738B">
      <w:pPr>
        <w:pStyle w:val="BodyText"/>
        <w:rPr>
          <w:b/>
          <w:bCs/>
        </w:rPr>
      </w:pPr>
      <w:r w:rsidRPr="006E1234">
        <w:rPr>
          <w:b/>
          <w:bCs/>
        </w:rPr>
        <w:t xml:space="preserve"> </w:t>
      </w:r>
      <w:r w:rsidRPr="006E1234">
        <w:rPr>
          <w:noProof/>
        </w:rPr>
        <w:drawing>
          <wp:inline distT="0" distB="0" distL="0" distR="0" wp14:anchorId="5FB2E8B9" wp14:editId="3833754E">
            <wp:extent cx="6021070" cy="2734310"/>
            <wp:effectExtent l="0" t="0" r="0" b="0"/>
            <wp:docPr id="89" name="Picture 89" descr="This figure shows three of the OECD’s product market Regulation Indicators ---  (1) the Overall product market regulation indicator; (2) the administrative requirements for limited liability companies and personally owned enterprises; and (3) the licenses and permits --- for Australia, the OECD Average and the Average of the OECD Top 5. Australia has relatively low administrative requirements to set up businesses, but the burden from licensing and permit requirements is higher than the OECD aver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figure shows three of the OECD’s product market Regulation Indicators ---  (1) the Overall product market regulation indicator; (2) the administrative requirements for limited liability companies and personally owned enterprises; and (3) the licenses and permits --- for Australia, the OECD Average and the Average of the OECD Top 5. Australia has relatively low administrative requirements to set up businesses, but the burden from licensing and permit requirements is higher than the OECD averag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1070" cy="2734310"/>
                    </a:xfrm>
                    <a:prstGeom prst="rect">
                      <a:avLst/>
                    </a:prstGeom>
                    <a:noFill/>
                    <a:ln>
                      <a:noFill/>
                    </a:ln>
                  </pic:spPr>
                </pic:pic>
              </a:graphicData>
            </a:graphic>
          </wp:inline>
        </w:drawing>
      </w:r>
    </w:p>
    <w:p w14:paraId="364DB175" w14:textId="183E770D" w:rsidR="00557DD7" w:rsidRDefault="00557DD7" w:rsidP="008A745A">
      <w:pPr>
        <w:pStyle w:val="Note"/>
      </w:pPr>
      <w:r w:rsidRPr="00180E66">
        <w:rPr>
          <w:b/>
          <w:bCs/>
        </w:rPr>
        <w:t>a.</w:t>
      </w:r>
      <w:r>
        <w:t xml:space="preserve"> Index scale from most to least competition friendly (0 to 6). 0 represents international best practice. Admin. requirements measures the costs of complying with requirements to set up new businesses; licences and permits measures the existence of measures to simplify licensing procedures. </w:t>
      </w:r>
      <w:r>
        <w:rPr>
          <w:b/>
          <w:bCs/>
        </w:rPr>
        <w:t>b</w:t>
      </w:r>
      <w:r w:rsidRPr="00180E66">
        <w:rPr>
          <w:b/>
          <w:bCs/>
        </w:rPr>
        <w:t>.</w:t>
      </w:r>
      <w:r>
        <w:t xml:space="preserve"> NSW data has been used by the OECD as representative for Australia. </w:t>
      </w:r>
    </w:p>
    <w:p w14:paraId="5D9D99C3" w14:textId="49171C10" w:rsidR="00557DD7" w:rsidRDefault="00557DD7" w:rsidP="00557DD7">
      <w:pPr>
        <w:pStyle w:val="Source"/>
      </w:pPr>
      <w:r w:rsidRPr="00696447">
        <w:t xml:space="preserve">Source: </w:t>
      </w:r>
      <w:r>
        <w:t xml:space="preserve">OECD </w:t>
      </w:r>
      <w:r w:rsidRPr="005C5E06">
        <w:rPr>
          <w:rFonts w:ascii="Arial" w:hAnsi="Arial" w:cs="Arial"/>
          <w:szCs w:val="24"/>
        </w:rPr>
        <w:t>(2018)</w:t>
      </w:r>
      <w:r>
        <w:t xml:space="preserve"> </w:t>
      </w:r>
      <w:r w:rsidRPr="00F41A8C">
        <w:rPr>
          <w:i/>
          <w:iCs/>
        </w:rPr>
        <w:t>Product Market Regulation Database</w:t>
      </w:r>
      <w:r w:rsidRPr="00696447">
        <w:t>.</w:t>
      </w:r>
    </w:p>
    <w:p w14:paraId="0220B9E4" w14:textId="77777777" w:rsidR="00557DD7" w:rsidRDefault="00557DD7" w:rsidP="00557DD7">
      <w:pPr>
        <w:pStyle w:val="Heading5"/>
      </w:pPr>
      <w:r>
        <w:t>Access to finance</w:t>
      </w:r>
    </w:p>
    <w:p w14:paraId="3C881075" w14:textId="7C9A73BE" w:rsidR="00557DD7" w:rsidRDefault="00557DD7" w:rsidP="00557DD7">
      <w:pPr>
        <w:pStyle w:val="BodyText"/>
      </w:pPr>
      <w:r w:rsidRPr="00712D14">
        <w:t>Uptake of innovative new product lines and processes</w:t>
      </w:r>
      <w:r w:rsidRPr="00712D14" w:rsidDel="004A1D94">
        <w:t xml:space="preserve"> </w:t>
      </w:r>
      <w:r w:rsidRPr="00712D14">
        <w:t>can be costly to finance. For firms with relatively low access to internal resources, including many small businesses and start</w:t>
      </w:r>
      <w:r>
        <w:noBreakHyphen/>
      </w:r>
      <w:r w:rsidRPr="00712D14">
        <w:t xml:space="preserve">ups, access to external finance could be crucial to adopting new approaches. </w:t>
      </w:r>
      <w:proofErr w:type="gramStart"/>
      <w:r w:rsidRPr="00712D14">
        <w:t>Well</w:t>
      </w:r>
      <w:proofErr w:type="gramEnd"/>
      <w:r>
        <w:noBreakHyphen/>
      </w:r>
      <w:r w:rsidRPr="00712D14">
        <w:t>functioning financial markets can therefore play an important role in supporting business innovation uptake</w:t>
      </w:r>
      <w:r>
        <w:t xml:space="preserve"> </w:t>
      </w:r>
      <w:r w:rsidRPr="00280ACC">
        <w:rPr>
          <w:rFonts w:ascii="Arial" w:hAnsi="Arial" w:cs="Arial"/>
          <w:szCs w:val="24"/>
        </w:rPr>
        <w:t>(Levine 2005, p. 871)</w:t>
      </w:r>
      <w:r>
        <w:t>.</w:t>
      </w:r>
    </w:p>
    <w:p w14:paraId="4AEC2DED" w14:textId="34BE0F20" w:rsidR="00557DD7" w:rsidRDefault="00557DD7" w:rsidP="00557DD7">
      <w:pPr>
        <w:pStyle w:val="BodyText"/>
      </w:pPr>
      <w:r>
        <w:t xml:space="preserve">Australian businesses frequently report access to external financing as a barrier to innovation. </w:t>
      </w:r>
      <w:bookmarkStart w:id="23" w:name="_1723278595"/>
      <w:bookmarkStart w:id="24" w:name="_1723278743"/>
      <w:bookmarkEnd w:id="23"/>
      <w:bookmarkEnd w:id="24"/>
      <w:r>
        <w:t>One in five businesses (19.7</w:t>
      </w:r>
      <w:r w:rsidR="00E94315">
        <w:t>%</w:t>
      </w:r>
      <w:r>
        <w:t>) reported such problems in 2019</w:t>
      </w:r>
      <w:r w:rsidR="000565F7">
        <w:t>–</w:t>
      </w:r>
      <w:r>
        <w:t>21 (figure </w:t>
      </w:r>
      <w:bookmarkStart w:id="25" w:name="_1724049627"/>
      <w:bookmarkStart w:id="26" w:name="_1723983127"/>
      <w:bookmarkEnd w:id="25"/>
      <w:bookmarkEnd w:id="26"/>
      <w:r>
        <w:t>2.2) and this increases to almost 30</w:t>
      </w:r>
      <w:r w:rsidR="00E94315">
        <w:t>%</w:t>
      </w:r>
      <w:r>
        <w:t xml:space="preserve"> when considering only firms engaged in innovation.</w:t>
      </w:r>
      <w:r w:rsidRPr="002E227D">
        <w:rPr>
          <w:rStyle w:val="FootnoteReference"/>
        </w:rPr>
        <w:footnoteReference w:id="13"/>
      </w:r>
    </w:p>
    <w:p w14:paraId="61AAAA46" w14:textId="51F1E653" w:rsidR="00557DD7" w:rsidRDefault="00557DD7" w:rsidP="00557DD7">
      <w:pPr>
        <w:pStyle w:val="BodyText"/>
      </w:pPr>
      <w:r>
        <w:t xml:space="preserve">These difficulties are more acute for firms that are small and/or young </w:t>
      </w:r>
      <w:r w:rsidRPr="006D7AF7">
        <w:rPr>
          <w:rFonts w:ascii="Arial" w:hAnsi="Arial" w:cs="Arial"/>
          <w:szCs w:val="24"/>
        </w:rPr>
        <w:t>(Kido et al. 2020, p. 7)</w:t>
      </w:r>
      <w:r>
        <w:t>. Small businesses</w:t>
      </w:r>
      <w:proofErr w:type="gramStart"/>
      <w:r>
        <w:t>, in particular, typically</w:t>
      </w:r>
      <w:proofErr w:type="gramEnd"/>
      <w:r>
        <w:t xml:space="preserve"> do not have assets to use as collateral for debt finance, and unsecured </w:t>
      </w:r>
      <w:r>
        <w:lastRenderedPageBreak/>
        <w:t xml:space="preserve">finance </w:t>
      </w:r>
      <w:r w:rsidR="002F48B3">
        <w:t xml:space="preserve">may not be </w:t>
      </w:r>
      <w:r w:rsidR="002F48B3" w:rsidRPr="00E97F92">
        <w:t xml:space="preserve">available </w:t>
      </w:r>
      <w:r w:rsidR="00116531" w:rsidRPr="00116531">
        <w:rPr>
          <w:rFonts w:ascii="Arial" w:hAnsi="Arial" w:cs="Arial"/>
          <w:szCs w:val="24"/>
        </w:rPr>
        <w:t>(PC 2021d, p. 2)</w:t>
      </w:r>
      <w:r w:rsidR="00BC2C6E">
        <w:t xml:space="preserve"> </w:t>
      </w:r>
      <w:r w:rsidR="002F48B3" w:rsidRPr="00E97F92">
        <w:t xml:space="preserve">or may </w:t>
      </w:r>
      <w:r w:rsidRPr="00E97F92">
        <w:t>attract</w:t>
      </w:r>
      <w:r>
        <w:t xml:space="preserve"> a higher interest cost, reflecting the increased risk for the lender </w:t>
      </w:r>
      <w:r w:rsidRPr="0020695F">
        <w:rPr>
          <w:rFonts w:ascii="Arial" w:hAnsi="Arial" w:cs="Arial"/>
          <w:szCs w:val="24"/>
        </w:rPr>
        <w:t>(Connolly and Bank 2018)</w:t>
      </w:r>
      <w:r>
        <w:t xml:space="preserve">. Small firms can also be more exposed to volatility than larger firms, which can further raise the risk premium included in their cost of finance </w:t>
      </w:r>
      <w:r w:rsidR="00936D73" w:rsidRPr="00936D73">
        <w:rPr>
          <w:rFonts w:ascii="Arial" w:hAnsi="Arial" w:cs="Arial"/>
          <w:szCs w:val="24"/>
        </w:rPr>
        <w:t>(PC 2021d, p. 9)</w:t>
      </w:r>
      <w:r>
        <w:t>. In Australia, the differential in the cost of finance (</w:t>
      </w:r>
      <w:r w:rsidR="000C7CD5">
        <w:t xml:space="preserve">that is, the </w:t>
      </w:r>
      <w:r>
        <w:t>difference between interest rates charged</w:t>
      </w:r>
      <w:r w:rsidR="00A542E2">
        <w:t xml:space="preserve"> on borrowed funds</w:t>
      </w:r>
      <w:r>
        <w:t xml:space="preserve">) for small and large firms is larger than the OECD average </w:t>
      </w:r>
      <w:r w:rsidRPr="00760C45">
        <w:rPr>
          <w:rFonts w:ascii="Arial" w:hAnsi="Arial" w:cs="Arial"/>
          <w:szCs w:val="24"/>
        </w:rPr>
        <w:t>(OECD 2021, p. 95)</w:t>
      </w:r>
      <w:r>
        <w:t>.</w:t>
      </w:r>
    </w:p>
    <w:p w14:paraId="6B531CB7" w14:textId="54A454D0" w:rsidR="00557DD7" w:rsidRPr="00146382" w:rsidRDefault="00557DD7" w:rsidP="00557DD7">
      <w:pPr>
        <w:pStyle w:val="FigureTableHeading"/>
      </w:pPr>
      <w:r>
        <w:t>Figure</w:t>
      </w:r>
      <w:bookmarkStart w:id="27" w:name="OLE_LINK16"/>
      <w:bookmarkStart w:id="28" w:name="OLE_LINK9"/>
      <w:r w:rsidR="00A43B86">
        <w:t> </w:t>
      </w:r>
      <w:r>
        <w:t>2.</w:t>
      </w:r>
      <w:r>
        <w:rPr>
          <w:noProof/>
        </w:rPr>
        <w:t>2</w:t>
      </w:r>
      <w:bookmarkEnd w:id="27"/>
      <w:r>
        <w:rPr>
          <w:noProof/>
        </w:rPr>
        <w:t xml:space="preserve"> </w:t>
      </w:r>
      <w:bookmarkEnd w:id="28"/>
      <w:r>
        <w:t>– Businesses frequently report access to additional funds as a barrier to innovation</w:t>
      </w:r>
    </w:p>
    <w:p w14:paraId="6E8177C9" w14:textId="29737849" w:rsidR="00557DD7" w:rsidRDefault="00557DD7" w:rsidP="00557DD7">
      <w:pPr>
        <w:pStyle w:val="FigureTableSubheading"/>
        <w:keepLines/>
      </w:pPr>
      <w:r>
        <w:t>Lack of additional funds as a barrier to innovation, 2019</w:t>
      </w:r>
      <w:r w:rsidR="000565F7">
        <w:t>–</w:t>
      </w:r>
      <w:r>
        <w:t>21</w:t>
      </w:r>
      <w:r>
        <w:rPr>
          <w:vertAlign w:val="superscript"/>
        </w:rPr>
        <w:t>a</w:t>
      </w:r>
    </w:p>
    <w:p w14:paraId="77DD5C04" w14:textId="77777777" w:rsidR="00557DD7" w:rsidRDefault="00557DD7" w:rsidP="00557DD7">
      <w:pPr>
        <w:pStyle w:val="Note"/>
        <w:keepLines/>
      </w:pPr>
      <w:r w:rsidRPr="0027274A">
        <w:rPr>
          <w:noProof/>
        </w:rPr>
        <w:drawing>
          <wp:inline distT="0" distB="0" distL="0" distR="0" wp14:anchorId="687F126C" wp14:editId="026E94C3">
            <wp:extent cx="6120130" cy="2873375"/>
            <wp:effectExtent l="0" t="0" r="0" b="0"/>
            <wp:docPr id="19" name="Picture 19" descr="This figure shows the proportions of innovation-active and non-innovation active businesses reporting a lack of access to additional funds as a barrier to innovation, broken down by firm size. Lack of access to additional funds is frequently reported as a barrier to innovation, particular for smaller businesses and innovation-active busines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shows the proportions of innovation-active and non-innovation active businesses reporting a lack of access to additional funds as a barrier to innovation, broken down by firm size. Lack of access to additional funds is frequently reported as a barrier to innovation, particular for smaller businesses and innovation-active businesses.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02200B5B" w14:textId="28776794" w:rsidR="00557DD7" w:rsidRDefault="00557DD7" w:rsidP="00557DD7">
      <w:pPr>
        <w:pStyle w:val="Note"/>
      </w:pPr>
      <w:r>
        <w:rPr>
          <w:b/>
          <w:bCs/>
        </w:rPr>
        <w:t xml:space="preserve">a. </w:t>
      </w:r>
      <w:r>
        <w:t>Innovation</w:t>
      </w:r>
      <w:r w:rsidR="000565F7">
        <w:noBreakHyphen/>
      </w:r>
      <w:r>
        <w:t xml:space="preserve">active firms are </w:t>
      </w:r>
      <w:r w:rsidRPr="00BA0AA9">
        <w:t xml:space="preserve">firms </w:t>
      </w:r>
      <w:r>
        <w:t xml:space="preserve">that </w:t>
      </w:r>
      <w:r w:rsidRPr="003846C0">
        <w:t>reported</w:t>
      </w:r>
      <w:r w:rsidRPr="00BA0AA9">
        <w:t xml:space="preserve"> one or more innovations</w:t>
      </w:r>
      <w:r>
        <w:t>,</w:t>
      </w:r>
      <w:r w:rsidRPr="00BA0AA9">
        <w:t xml:space="preserve"> </w:t>
      </w:r>
      <w:r>
        <w:t xml:space="preserve">or </w:t>
      </w:r>
      <w:r w:rsidRPr="00BA0AA9">
        <w:t>firms with abandoned or ongoing innovation activities related to product or process innovations</w:t>
      </w:r>
      <w:r>
        <w:t>.</w:t>
      </w:r>
    </w:p>
    <w:p w14:paraId="226045F4" w14:textId="0315F971" w:rsidR="00557DD7" w:rsidRDefault="00557DD7" w:rsidP="00557DD7">
      <w:pPr>
        <w:pStyle w:val="Note"/>
        <w:keepLines/>
      </w:pPr>
      <w:r w:rsidRPr="00696447">
        <w:t xml:space="preserve">Source: </w:t>
      </w:r>
      <w:r>
        <w:t>ABS (</w:t>
      </w:r>
      <w:r>
        <w:rPr>
          <w:i/>
          <w:iCs/>
        </w:rPr>
        <w:t>Characteristics of Australian Business</w:t>
      </w:r>
      <w:r>
        <w:t xml:space="preserve">, </w:t>
      </w:r>
      <w:r w:rsidRPr="0039002F">
        <w:t>2020</w:t>
      </w:r>
      <w:r w:rsidR="000565F7" w:rsidRPr="0039002F">
        <w:noBreakHyphen/>
      </w:r>
      <w:r w:rsidRPr="0039002F">
        <w:t>21 financial year</w:t>
      </w:r>
      <w:r>
        <w:t>, Cat. no. 8158.0</w:t>
      </w:r>
      <w:r w:rsidR="00F77099">
        <w:t>)</w:t>
      </w:r>
      <w:r>
        <w:t>.</w:t>
      </w:r>
    </w:p>
    <w:p w14:paraId="0B64906F" w14:textId="48D95A9E" w:rsidR="00EF5522" w:rsidRDefault="00557DD7" w:rsidP="00557DD7">
      <w:pPr>
        <w:pStyle w:val="BodyText"/>
      </w:pPr>
      <w:r w:rsidRPr="00E464A5">
        <w:t xml:space="preserve">Australia’s prudential rules for lending to SMEs are more stringent than international standards, which partly explains the relatively lower availability of capital for SMEs </w:t>
      </w:r>
      <w:r>
        <w:t>—</w:t>
      </w:r>
      <w:r w:rsidRPr="00E464A5">
        <w:t xml:space="preserve"> particularly for loans not secured by property (PC 2018, p. 35). </w:t>
      </w:r>
      <w:r w:rsidR="0019794E">
        <w:t>C</w:t>
      </w:r>
      <w:r>
        <w:t xml:space="preserve">hanging </w:t>
      </w:r>
      <w:r w:rsidRPr="00E464A5">
        <w:t>the underlying prudential requirements for SME business lending</w:t>
      </w:r>
      <w:r>
        <w:t xml:space="preserve"> </w:t>
      </w:r>
      <w:r w:rsidRPr="00E464A5">
        <w:t>would significantly improve SME access to finance</w:t>
      </w:r>
      <w:r>
        <w:t xml:space="preserve"> </w:t>
      </w:r>
      <w:r w:rsidRPr="00E464A5">
        <w:t>(PC 2018, p. 32).</w:t>
      </w:r>
      <w:r w:rsidR="0011617A">
        <w:t xml:space="preserve"> C</w:t>
      </w:r>
      <w:r w:rsidR="0011617A" w:rsidRPr="00E464A5">
        <w:t>hanges to capital adequacy requirements for authorised deposit</w:t>
      </w:r>
      <w:r w:rsidR="0011617A">
        <w:noBreakHyphen/>
      </w:r>
      <w:r w:rsidR="0011617A" w:rsidRPr="00E464A5">
        <w:t xml:space="preserve">taking institutions </w:t>
      </w:r>
      <w:r w:rsidR="00EF5522">
        <w:t>that commenced i</w:t>
      </w:r>
      <w:r w:rsidR="00B84E47">
        <w:t xml:space="preserve">n January </w:t>
      </w:r>
      <w:r w:rsidR="0011617A" w:rsidRPr="00E464A5">
        <w:t>2023 could support banks’ SME lending going forward (APRA 2022)</w:t>
      </w:r>
      <w:r w:rsidR="00B84E47">
        <w:t xml:space="preserve">. In particular, </w:t>
      </w:r>
      <w:r w:rsidR="005821EA">
        <w:t>the risk weights applied to SME lending that is not secured by property have been lowered from 100</w:t>
      </w:r>
      <w:r w:rsidR="00E94315">
        <w:t>%</w:t>
      </w:r>
      <w:r w:rsidR="005821EA">
        <w:t xml:space="preserve"> to </w:t>
      </w:r>
      <w:r w:rsidR="002D360E">
        <w:t>75</w:t>
      </w:r>
      <w:r w:rsidR="00E94315">
        <w:t>%</w:t>
      </w:r>
      <w:r w:rsidR="002D360E">
        <w:t xml:space="preserve"> for lending less than $1.5 million in size, and 85</w:t>
      </w:r>
      <w:r w:rsidR="00E94315">
        <w:t>%</w:t>
      </w:r>
      <w:r w:rsidR="002D360E">
        <w:t xml:space="preserve"> for lending above this amount</w:t>
      </w:r>
      <w:r w:rsidR="00B248A9">
        <w:t xml:space="preserve"> </w:t>
      </w:r>
      <w:r w:rsidR="00116531" w:rsidRPr="00116531">
        <w:rPr>
          <w:rFonts w:ascii="Arial" w:hAnsi="Arial" w:cs="Arial"/>
          <w:szCs w:val="24"/>
        </w:rPr>
        <w:t>(APRA 2021, p. 36)</w:t>
      </w:r>
      <w:r w:rsidR="002D360E">
        <w:t xml:space="preserve">. </w:t>
      </w:r>
      <w:r w:rsidR="007A1661">
        <w:t>This c</w:t>
      </w:r>
      <w:r w:rsidR="00FD1D5A">
        <w:t xml:space="preserve">ould facilitate more access to finance by SMEs </w:t>
      </w:r>
      <w:r w:rsidR="0011617A" w:rsidRPr="00E464A5">
        <w:t>and more readily enable business uptake of innovation.</w:t>
      </w:r>
      <w:r w:rsidR="00C92731">
        <w:t xml:space="preserve"> </w:t>
      </w:r>
    </w:p>
    <w:p w14:paraId="063E3D67" w14:textId="099955BD" w:rsidR="00557DD7" w:rsidRPr="005A658A" w:rsidRDefault="00770995" w:rsidP="00557DD7">
      <w:pPr>
        <w:pStyle w:val="BodyText"/>
        <w:rPr>
          <w:spacing w:val="-4"/>
        </w:rPr>
      </w:pPr>
      <w:r w:rsidRPr="005A658A">
        <w:rPr>
          <w:spacing w:val="-4"/>
        </w:rPr>
        <w:t xml:space="preserve">More broadly, </w:t>
      </w:r>
      <w:r w:rsidR="004A7188" w:rsidRPr="005A658A">
        <w:rPr>
          <w:spacing w:val="-4"/>
        </w:rPr>
        <w:t xml:space="preserve">Australia’s SME lending market is evolving as </w:t>
      </w:r>
      <w:r w:rsidR="00B11AE1" w:rsidRPr="005A658A">
        <w:rPr>
          <w:spacing w:val="-4"/>
        </w:rPr>
        <w:t xml:space="preserve">new lenders and loan products </w:t>
      </w:r>
      <w:r w:rsidR="00C717C6" w:rsidRPr="005A658A">
        <w:rPr>
          <w:spacing w:val="-4"/>
        </w:rPr>
        <w:t>emerge and</w:t>
      </w:r>
      <w:r w:rsidR="00C92731" w:rsidRPr="005A658A">
        <w:rPr>
          <w:spacing w:val="-4"/>
        </w:rPr>
        <w:t xml:space="preserve"> </w:t>
      </w:r>
      <w:r w:rsidR="00B134D9" w:rsidRPr="005A658A">
        <w:rPr>
          <w:spacing w:val="-4"/>
        </w:rPr>
        <w:t>the diffusion</w:t>
      </w:r>
      <w:r w:rsidR="00882D48" w:rsidRPr="005A658A">
        <w:rPr>
          <w:spacing w:val="-4"/>
        </w:rPr>
        <w:t xml:space="preserve"> of overseas </w:t>
      </w:r>
      <w:r w:rsidR="00C92731" w:rsidRPr="005A658A">
        <w:rPr>
          <w:spacing w:val="-4"/>
        </w:rPr>
        <w:t>innovation</w:t>
      </w:r>
      <w:r w:rsidR="00882D48" w:rsidRPr="005A658A">
        <w:rPr>
          <w:spacing w:val="-4"/>
        </w:rPr>
        <w:t>s</w:t>
      </w:r>
      <w:r w:rsidR="00C92731" w:rsidRPr="005A658A">
        <w:rPr>
          <w:spacing w:val="-4"/>
        </w:rPr>
        <w:t xml:space="preserve"> in the use of data and AI </w:t>
      </w:r>
      <w:proofErr w:type="gramStart"/>
      <w:r w:rsidR="00DD0CFD" w:rsidRPr="005A658A">
        <w:rPr>
          <w:spacing w:val="-4"/>
        </w:rPr>
        <w:t>open</w:t>
      </w:r>
      <w:r w:rsidR="00E558EE" w:rsidRPr="005A658A">
        <w:rPr>
          <w:spacing w:val="-4"/>
        </w:rPr>
        <w:t>s</w:t>
      </w:r>
      <w:r w:rsidR="00DD0CFD" w:rsidRPr="005A658A">
        <w:rPr>
          <w:spacing w:val="-4"/>
        </w:rPr>
        <w:t xml:space="preserve"> up</w:t>
      </w:r>
      <w:proofErr w:type="gramEnd"/>
      <w:r w:rsidR="00DD0CFD" w:rsidRPr="005A658A">
        <w:rPr>
          <w:spacing w:val="-4"/>
        </w:rPr>
        <w:t xml:space="preserve"> new ways for many SMEs to access finance </w:t>
      </w:r>
      <w:r w:rsidR="00DD0CFD" w:rsidRPr="005A658A">
        <w:rPr>
          <w:rFonts w:cs="Arial"/>
          <w:spacing w:val="-4"/>
          <w:szCs w:val="24"/>
        </w:rPr>
        <w:t>(PC 2021d, p. 2)</w:t>
      </w:r>
      <w:r w:rsidR="00DD0CFD" w:rsidRPr="005A658A">
        <w:rPr>
          <w:spacing w:val="-4"/>
        </w:rPr>
        <w:t xml:space="preserve">. </w:t>
      </w:r>
      <w:r w:rsidR="006C574F" w:rsidRPr="005A658A">
        <w:rPr>
          <w:spacing w:val="-4"/>
        </w:rPr>
        <w:t xml:space="preserve">This includes lending against intangible assets (such as invoices and other expected receipts) and on an unsecured basis. </w:t>
      </w:r>
      <w:r w:rsidR="001F7E0D" w:rsidRPr="005A658A">
        <w:rPr>
          <w:spacing w:val="-4"/>
        </w:rPr>
        <w:t xml:space="preserve">The </w:t>
      </w:r>
      <w:r w:rsidR="0019794E">
        <w:rPr>
          <w:spacing w:val="-4"/>
        </w:rPr>
        <w:t xml:space="preserve">Productivity </w:t>
      </w:r>
      <w:r w:rsidR="001F7E0D" w:rsidRPr="005A658A">
        <w:rPr>
          <w:spacing w:val="-4"/>
        </w:rPr>
        <w:t xml:space="preserve">Commission has observed that the relatively small funding market for </w:t>
      </w:r>
      <w:r w:rsidR="00D174A7" w:rsidRPr="005A658A">
        <w:rPr>
          <w:spacing w:val="-4"/>
        </w:rPr>
        <w:t xml:space="preserve">newer lenders in Australia could constrain lending to SMEs via these channels </w:t>
      </w:r>
      <w:r w:rsidR="00116531" w:rsidRPr="005A658A">
        <w:rPr>
          <w:rFonts w:cs="Arial"/>
          <w:spacing w:val="-4"/>
          <w:szCs w:val="24"/>
        </w:rPr>
        <w:t>(PC 2021d, p. 3)</w:t>
      </w:r>
      <w:r w:rsidR="00D174A7" w:rsidRPr="005A658A">
        <w:rPr>
          <w:spacing w:val="-4"/>
        </w:rPr>
        <w:t xml:space="preserve">. </w:t>
      </w:r>
      <w:r w:rsidR="00FB35FE" w:rsidRPr="005A658A">
        <w:rPr>
          <w:spacing w:val="-4"/>
        </w:rPr>
        <w:t xml:space="preserve">Recent government initiatives — </w:t>
      </w:r>
      <w:r w:rsidR="001B57E4" w:rsidRPr="005A658A">
        <w:rPr>
          <w:spacing w:val="-4"/>
        </w:rPr>
        <w:t>such as</w:t>
      </w:r>
      <w:r w:rsidR="00FB35FE" w:rsidRPr="005A658A">
        <w:rPr>
          <w:spacing w:val="-4"/>
        </w:rPr>
        <w:t xml:space="preserve"> the Australian Business Securitisation Fund </w:t>
      </w:r>
      <w:r w:rsidR="00407CCD" w:rsidRPr="005A658A">
        <w:rPr>
          <w:spacing w:val="-4"/>
        </w:rPr>
        <w:t xml:space="preserve">(ABSF) </w:t>
      </w:r>
      <w:r w:rsidR="00FB35FE" w:rsidRPr="005A658A">
        <w:rPr>
          <w:spacing w:val="-4"/>
        </w:rPr>
        <w:t xml:space="preserve">— </w:t>
      </w:r>
      <w:r w:rsidR="009D25E5" w:rsidRPr="005A658A">
        <w:rPr>
          <w:spacing w:val="-4"/>
        </w:rPr>
        <w:t>have sought to expand the pool of capital available to these lenders through securitisation.</w:t>
      </w:r>
      <w:r w:rsidR="001B57E4" w:rsidRPr="005A658A">
        <w:rPr>
          <w:spacing w:val="-4"/>
        </w:rPr>
        <w:t xml:space="preserve"> </w:t>
      </w:r>
      <w:r w:rsidR="005E6378" w:rsidRPr="005A658A">
        <w:rPr>
          <w:spacing w:val="-4"/>
        </w:rPr>
        <w:t>In addition to investing in funding facilities that are providing capital to SME lenders, t</w:t>
      </w:r>
      <w:r w:rsidR="00F046A6" w:rsidRPr="005A658A">
        <w:rPr>
          <w:spacing w:val="-4"/>
        </w:rPr>
        <w:t xml:space="preserve">he </w:t>
      </w:r>
      <w:r w:rsidR="00E15F23" w:rsidRPr="005A658A">
        <w:rPr>
          <w:spacing w:val="-4"/>
        </w:rPr>
        <w:t>Australian Office of Financial Management</w:t>
      </w:r>
      <w:r w:rsidR="003A4B12" w:rsidRPr="005A658A">
        <w:rPr>
          <w:spacing w:val="-4"/>
        </w:rPr>
        <w:t xml:space="preserve"> </w:t>
      </w:r>
      <w:r w:rsidR="00E15F23" w:rsidRPr="005A658A">
        <w:rPr>
          <w:spacing w:val="-4"/>
        </w:rPr>
        <w:t xml:space="preserve">— in administering the </w:t>
      </w:r>
      <w:r w:rsidR="00F046A6" w:rsidRPr="005A658A">
        <w:rPr>
          <w:spacing w:val="-4"/>
        </w:rPr>
        <w:t xml:space="preserve">ABSF </w:t>
      </w:r>
      <w:r w:rsidR="00E15F23" w:rsidRPr="005A658A">
        <w:rPr>
          <w:spacing w:val="-4"/>
        </w:rPr>
        <w:t xml:space="preserve">— </w:t>
      </w:r>
      <w:r w:rsidR="00F046A6" w:rsidRPr="005A658A">
        <w:rPr>
          <w:spacing w:val="-4"/>
        </w:rPr>
        <w:t>has also suppo</w:t>
      </w:r>
      <w:r w:rsidR="005E6378" w:rsidRPr="005A658A">
        <w:rPr>
          <w:spacing w:val="-4"/>
        </w:rPr>
        <w:t xml:space="preserve">rted </w:t>
      </w:r>
      <w:r w:rsidR="006566BE" w:rsidRPr="005A658A">
        <w:rPr>
          <w:spacing w:val="-4"/>
        </w:rPr>
        <w:t xml:space="preserve">more standardised reporting </w:t>
      </w:r>
      <w:r w:rsidR="000E4562" w:rsidRPr="005A658A">
        <w:rPr>
          <w:spacing w:val="-4"/>
        </w:rPr>
        <w:t xml:space="preserve">of SME loan data, which could facilitate </w:t>
      </w:r>
      <w:r w:rsidR="00BA795F" w:rsidRPr="005A658A">
        <w:rPr>
          <w:spacing w:val="-4"/>
        </w:rPr>
        <w:t xml:space="preserve">more accurate </w:t>
      </w:r>
      <w:r w:rsidR="00BA795F" w:rsidRPr="005A658A">
        <w:rPr>
          <w:spacing w:val="-4"/>
        </w:rPr>
        <w:lastRenderedPageBreak/>
        <w:t xml:space="preserve">assessments of </w:t>
      </w:r>
      <w:r w:rsidR="00161449" w:rsidRPr="005A658A">
        <w:rPr>
          <w:spacing w:val="-4"/>
        </w:rPr>
        <w:t xml:space="preserve">loan </w:t>
      </w:r>
      <w:r w:rsidR="00BA795F" w:rsidRPr="005A658A">
        <w:rPr>
          <w:spacing w:val="-4"/>
        </w:rPr>
        <w:t xml:space="preserve">quality </w:t>
      </w:r>
      <w:r w:rsidR="00161449" w:rsidRPr="005A658A">
        <w:rPr>
          <w:spacing w:val="-4"/>
        </w:rPr>
        <w:t xml:space="preserve">(by investors and credit ratings agencies) </w:t>
      </w:r>
      <w:r w:rsidR="00671EB2" w:rsidRPr="005A658A">
        <w:rPr>
          <w:spacing w:val="-4"/>
        </w:rPr>
        <w:t xml:space="preserve">and therefore more willingness to provide </w:t>
      </w:r>
      <w:r w:rsidR="00F83A25" w:rsidRPr="005A658A">
        <w:rPr>
          <w:spacing w:val="-4"/>
        </w:rPr>
        <w:t>capital</w:t>
      </w:r>
      <w:r w:rsidR="00671EB2" w:rsidRPr="005A658A">
        <w:rPr>
          <w:spacing w:val="-4"/>
        </w:rPr>
        <w:t xml:space="preserve"> to these lenders</w:t>
      </w:r>
      <w:r w:rsidR="00336060" w:rsidRPr="005A658A">
        <w:rPr>
          <w:spacing w:val="-4"/>
        </w:rPr>
        <w:t xml:space="preserve"> </w:t>
      </w:r>
      <w:r w:rsidR="00116531" w:rsidRPr="005A658A">
        <w:rPr>
          <w:rFonts w:cs="Arial"/>
          <w:spacing w:val="-4"/>
          <w:szCs w:val="24"/>
        </w:rPr>
        <w:t>(PC 2022d)</w:t>
      </w:r>
      <w:r w:rsidR="00671EB2" w:rsidRPr="005A658A">
        <w:rPr>
          <w:spacing w:val="-4"/>
        </w:rPr>
        <w:t>.</w:t>
      </w:r>
      <w:r w:rsidR="00917BC6" w:rsidRPr="005A658A">
        <w:rPr>
          <w:spacing w:val="-4"/>
        </w:rPr>
        <w:t xml:space="preserve"> This </w:t>
      </w:r>
      <w:r w:rsidR="00AD7FCC" w:rsidRPr="005A658A">
        <w:rPr>
          <w:spacing w:val="-4"/>
        </w:rPr>
        <w:t>c</w:t>
      </w:r>
      <w:r w:rsidR="00917BC6" w:rsidRPr="005A658A">
        <w:rPr>
          <w:spacing w:val="-4"/>
        </w:rPr>
        <w:t xml:space="preserve">ould </w:t>
      </w:r>
      <w:r w:rsidR="004D08CC" w:rsidRPr="005A658A">
        <w:rPr>
          <w:spacing w:val="-4"/>
        </w:rPr>
        <w:t xml:space="preserve">eventually </w:t>
      </w:r>
      <w:r w:rsidR="00917BC6" w:rsidRPr="005A658A">
        <w:rPr>
          <w:spacing w:val="-4"/>
        </w:rPr>
        <w:t xml:space="preserve">further improve SME access to finance and </w:t>
      </w:r>
      <w:r w:rsidR="00B92B4B" w:rsidRPr="005A658A">
        <w:rPr>
          <w:spacing w:val="-4"/>
        </w:rPr>
        <w:t>support businesses that require additional capital to invest in innovation.</w:t>
      </w:r>
    </w:p>
    <w:p w14:paraId="4EE8EE2A" w14:textId="39AE5F9E" w:rsidR="00B92B4B" w:rsidRDefault="00EE1171" w:rsidP="00557DD7">
      <w:pPr>
        <w:pStyle w:val="BodyText"/>
      </w:pPr>
      <w:r>
        <w:t>How t</w:t>
      </w:r>
      <w:r w:rsidR="004D08CC">
        <w:t xml:space="preserve">hese recent initiatives, including APRA’s changes to capital adequacy requirements and the </w:t>
      </w:r>
      <w:r w:rsidR="00F91EE9">
        <w:t xml:space="preserve">activities of the ABSF, </w:t>
      </w:r>
      <w:r>
        <w:t>have affected</w:t>
      </w:r>
      <w:r w:rsidR="00F91EE9">
        <w:t xml:space="preserve"> SME access to finance is unclear, as it is too early to </w:t>
      </w:r>
      <w:r>
        <w:t xml:space="preserve">fully assess their impacts across the Australian economy. </w:t>
      </w:r>
      <w:r w:rsidR="00697AE4">
        <w:t xml:space="preserve">The government should monitor the effects of these initiatives on SME lending </w:t>
      </w:r>
      <w:r w:rsidR="00E42150">
        <w:t xml:space="preserve">over time to understand whether they are having the desired </w:t>
      </w:r>
      <w:r w:rsidR="00F01264">
        <w:t>result and whether adjustments or further responses are required</w:t>
      </w:r>
      <w:r w:rsidR="002547F3">
        <w:t xml:space="preserve"> to reduce barriers in accessing finance</w:t>
      </w:r>
      <w:r w:rsidR="00F01264">
        <w:t>.</w:t>
      </w:r>
      <w:r w:rsidR="002B6395">
        <w:t xml:space="preserve"> This monitoring may require </w:t>
      </w:r>
      <w:r w:rsidR="007C0DDE">
        <w:t xml:space="preserve">more detailed and comprehensive data collection on business lending, </w:t>
      </w:r>
      <w:r w:rsidR="00CD428D">
        <w:t xml:space="preserve">for example by APRA, </w:t>
      </w:r>
      <w:r w:rsidR="007C0DDE">
        <w:t xml:space="preserve">as existing datasets </w:t>
      </w:r>
      <w:r w:rsidR="009B6568">
        <w:t>are relatively aggregated and typically do not capture SME lending by smaller lenders</w:t>
      </w:r>
      <w:r w:rsidR="008F31F1">
        <w:t xml:space="preserve"> (which new market entrants tend to be)</w:t>
      </w:r>
      <w:r w:rsidR="00120061">
        <w:t xml:space="preserve"> </w:t>
      </w:r>
      <w:r w:rsidR="00116531" w:rsidRPr="00116531">
        <w:rPr>
          <w:rFonts w:ascii="Arial" w:hAnsi="Arial" w:cs="Arial"/>
          <w:szCs w:val="24"/>
        </w:rPr>
        <w:t>(PC 2021d, p. 46)</w:t>
      </w:r>
      <w:r w:rsidR="008F31F1">
        <w:t>.</w:t>
      </w:r>
    </w:p>
    <w:p w14:paraId="1CC6423B" w14:textId="77777777" w:rsidR="00557DD7" w:rsidRDefault="00557DD7" w:rsidP="00557DD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57DD7" w14:paraId="76D4E10D" w14:textId="77777777" w:rsidTr="00C426E9">
        <w:trPr>
          <w:trHeight w:val="765"/>
          <w:tblHeader/>
        </w:trPr>
        <w:tc>
          <w:tcPr>
            <w:tcW w:w="366" w:type="pct"/>
            <w:tcBorders>
              <w:bottom w:val="nil"/>
            </w:tcBorders>
            <w:tcMar>
              <w:bottom w:w="0" w:type="dxa"/>
            </w:tcMar>
            <w:vAlign w:val="center"/>
          </w:tcPr>
          <w:p w14:paraId="7CE7928B" w14:textId="77777777" w:rsidR="00557DD7" w:rsidRDefault="00557DD7" w:rsidP="00C426E9">
            <w:pPr>
              <w:pStyle w:val="NoSpacing"/>
              <w:keepLines/>
              <w:jc w:val="right"/>
            </w:pPr>
            <w:r w:rsidRPr="00A51374">
              <w:rPr>
                <w:noProof/>
              </w:rPr>
              <w:drawing>
                <wp:inline distT="0" distB="0" distL="0" distR="0" wp14:anchorId="0FA4BEB2" wp14:editId="3E3471D4">
                  <wp:extent cx="288000" cy="288000"/>
                  <wp:effectExtent l="0" t="0" r="0" b="0"/>
                  <wp:docPr id="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AEDD8C7" w14:textId="2BCED96D" w:rsidR="00557DD7" w:rsidRPr="00A4395A" w:rsidRDefault="00557DD7" w:rsidP="00C426E9">
            <w:pPr>
              <w:pStyle w:val="TableHeading"/>
              <w:keepLines/>
              <w:spacing w:before="60" w:after="120"/>
              <w:contextualSpacing/>
              <w:rPr>
                <w:sz w:val="20"/>
              </w:rPr>
            </w:pPr>
            <w:r w:rsidRPr="00A4395A">
              <w:rPr>
                <w:sz w:val="20"/>
              </w:rPr>
              <w:t xml:space="preserve">Finding </w:t>
            </w:r>
            <w:r w:rsidR="00F61953">
              <w:rPr>
                <w:sz w:val="20"/>
              </w:rPr>
              <w:t>5.1</w:t>
            </w:r>
          </w:p>
          <w:p w14:paraId="71A234EA" w14:textId="77777777" w:rsidR="00557DD7" w:rsidRDefault="00557DD7" w:rsidP="00C426E9">
            <w:pPr>
              <w:pStyle w:val="TableHeading"/>
              <w:keepLines/>
              <w:spacing w:before="60" w:after="120"/>
              <w:contextualSpacing/>
            </w:pPr>
            <w:r>
              <w:rPr>
                <w:sz w:val="20"/>
              </w:rPr>
              <w:t xml:space="preserve">A business environment conducive to diffusion </w:t>
            </w:r>
          </w:p>
        </w:tc>
      </w:tr>
      <w:tr w:rsidR="00557DD7" w14:paraId="7D646D7F" w14:textId="77777777" w:rsidTr="00C426E9">
        <w:tc>
          <w:tcPr>
            <w:tcW w:w="5000" w:type="pct"/>
            <w:gridSpan w:val="2"/>
            <w:tcBorders>
              <w:top w:val="nil"/>
              <w:bottom w:val="single" w:sz="4" w:space="0" w:color="66BCDB" w:themeColor="text2"/>
            </w:tcBorders>
          </w:tcPr>
          <w:p w14:paraId="5FCAAD3A" w14:textId="05930D17" w:rsidR="00557DD7" w:rsidRDefault="00557DD7" w:rsidP="00C426E9">
            <w:pPr>
              <w:pStyle w:val="BodyText"/>
              <w:keepLines/>
            </w:pPr>
            <w:r w:rsidRPr="00AD5B18">
              <w:t>The business environment provides the incentives</w:t>
            </w:r>
            <w:r w:rsidR="000F3B32">
              <w:t xml:space="preserve"> </w:t>
            </w:r>
            <w:r w:rsidRPr="00AD5B18">
              <w:t>and capabilities f</w:t>
            </w:r>
            <w:r w:rsidR="00B90443">
              <w:t>or</w:t>
            </w:r>
            <w:r w:rsidRPr="00AD5B18">
              <w:t xml:space="preserve"> firms to adopt innovations. The policies that shape the business environment to promote diffusion of established technologies and practices tend to be </w:t>
            </w:r>
            <w:proofErr w:type="gramStart"/>
            <w:r w:rsidRPr="00AD5B18">
              <w:t>more general and broad</w:t>
            </w:r>
            <w:proofErr w:type="gramEnd"/>
            <w:r w:rsidR="006C6296">
              <w:noBreakHyphen/>
            </w:r>
            <w:r w:rsidRPr="00AD5B18">
              <w:t>based than those that target new</w:t>
            </w:r>
            <w:r>
              <w:noBreakHyphen/>
            </w:r>
            <w:r w:rsidRPr="00AD5B18">
              <w:t>to</w:t>
            </w:r>
            <w:r>
              <w:noBreakHyphen/>
            </w:r>
            <w:r w:rsidRPr="00AD5B18">
              <w:t>the</w:t>
            </w:r>
            <w:r>
              <w:noBreakHyphen/>
            </w:r>
            <w:r w:rsidRPr="00AD5B18">
              <w:t xml:space="preserve">world innovation. They aim to affect all firms in all industries, not just those investing in creating and commercialising </w:t>
            </w:r>
            <w:r>
              <w:t>highly novel</w:t>
            </w:r>
            <w:r w:rsidRPr="00AD5B18">
              <w:t xml:space="preserve"> innovations.</w:t>
            </w:r>
            <w:r w:rsidR="001D0634">
              <w:t xml:space="preserve"> Policies that promote </w:t>
            </w:r>
            <w:r w:rsidR="00D20677">
              <w:t xml:space="preserve">openness and </w:t>
            </w:r>
            <w:r w:rsidR="001D0634">
              <w:t xml:space="preserve">competition, </w:t>
            </w:r>
            <w:r w:rsidR="00380B4D">
              <w:t xml:space="preserve">implement </w:t>
            </w:r>
            <w:r w:rsidR="00D20677">
              <w:t>well</w:t>
            </w:r>
            <w:r w:rsidR="00A43B86">
              <w:noBreakHyphen/>
            </w:r>
            <w:r w:rsidR="00D20677">
              <w:t>designed</w:t>
            </w:r>
            <w:r w:rsidR="007C4FE1">
              <w:t xml:space="preserve"> </w:t>
            </w:r>
            <w:r w:rsidR="001D0634">
              <w:t xml:space="preserve">regulation and </w:t>
            </w:r>
            <w:r w:rsidR="00D20677">
              <w:t>improve</w:t>
            </w:r>
            <w:r w:rsidR="007C4FE1">
              <w:t xml:space="preserve"> </w:t>
            </w:r>
            <w:r w:rsidR="001D0634">
              <w:t>access to finance all play a role.</w:t>
            </w:r>
          </w:p>
        </w:tc>
      </w:tr>
      <w:tr w:rsidR="00557DD7" w14:paraId="2275F5F9" w14:textId="77777777" w:rsidTr="00C426E9">
        <w:tc>
          <w:tcPr>
            <w:tcW w:w="5000" w:type="pct"/>
            <w:gridSpan w:val="2"/>
            <w:tcBorders>
              <w:top w:val="single" w:sz="4" w:space="0" w:color="66BCDB" w:themeColor="text2"/>
              <w:left w:val="nil"/>
              <w:bottom w:val="nil"/>
              <w:right w:val="nil"/>
            </w:tcBorders>
            <w:tcMar>
              <w:bottom w:w="0" w:type="dxa"/>
            </w:tcMar>
          </w:tcPr>
          <w:p w14:paraId="10C9A2C4" w14:textId="77777777" w:rsidR="00557DD7" w:rsidRDefault="00557DD7" w:rsidP="00C426E9">
            <w:pPr>
              <w:pStyle w:val="NoSpacing"/>
              <w:spacing w:line="200" w:lineRule="atLeast"/>
            </w:pPr>
          </w:p>
        </w:tc>
      </w:tr>
    </w:tbl>
    <w:p w14:paraId="3260569F" w14:textId="77777777" w:rsidR="000B5D8C" w:rsidRDefault="000B5D8C">
      <w:pPr>
        <w:pStyle w:val="NoSpacing"/>
      </w:pPr>
    </w:p>
    <w:tbl>
      <w:tblPr>
        <w:tblStyle w:val="Texttable-Paleblue"/>
        <w:tblW w:w="5000" w:type="pct"/>
        <w:tblLook w:val="04A0" w:firstRow="1" w:lastRow="0" w:firstColumn="1" w:lastColumn="0" w:noHBand="0" w:noVBand="1"/>
      </w:tblPr>
      <w:tblGrid>
        <w:gridCol w:w="713"/>
        <w:gridCol w:w="8925"/>
      </w:tblGrid>
      <w:tr w:rsidR="000B5D8C" w14:paraId="261FF844" w14:textId="77777777">
        <w:trPr>
          <w:tblHeader/>
        </w:trPr>
        <w:tc>
          <w:tcPr>
            <w:tcW w:w="709" w:type="dxa"/>
            <w:tcMar>
              <w:top w:w="0" w:type="dxa"/>
              <w:bottom w:w="0" w:type="dxa"/>
            </w:tcMar>
            <w:vAlign w:val="center"/>
          </w:tcPr>
          <w:p w14:paraId="34E7F27F" w14:textId="77777777" w:rsidR="000B5D8C" w:rsidRDefault="000B5D8C">
            <w:pPr>
              <w:keepLines/>
              <w:jc w:val="center"/>
            </w:pPr>
            <w:r w:rsidRPr="00A51374">
              <w:rPr>
                <w:noProof/>
              </w:rPr>
              <w:drawing>
                <wp:inline distT="0" distB="0" distL="0" distR="0" wp14:anchorId="444A1791" wp14:editId="6976E7CC">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14EB8B8" w14:textId="02B101EB" w:rsidR="000B5D8C" w:rsidRPr="00715040" w:rsidRDefault="000B5D8C">
            <w:pPr>
              <w:pStyle w:val="TableHeading"/>
              <w:keepLines/>
              <w:spacing w:before="120" w:after="120"/>
              <w:contextualSpacing/>
              <w:rPr>
                <w:sz w:val="20"/>
              </w:rPr>
            </w:pPr>
            <w:r w:rsidRPr="00715040">
              <w:rPr>
                <w:sz w:val="20"/>
              </w:rPr>
              <w:t xml:space="preserve">Recommendation </w:t>
            </w:r>
            <w:r w:rsidR="007B765F">
              <w:rPr>
                <w:sz w:val="20"/>
              </w:rPr>
              <w:t>5.1</w:t>
            </w:r>
          </w:p>
          <w:p w14:paraId="041148BC" w14:textId="39195D9B" w:rsidR="000B5D8C" w:rsidRPr="00715040" w:rsidRDefault="005A73E7">
            <w:pPr>
              <w:pStyle w:val="TableHeading"/>
              <w:keepLines/>
              <w:spacing w:before="120" w:after="120"/>
              <w:contextualSpacing/>
              <w:rPr>
                <w:sz w:val="20"/>
              </w:rPr>
            </w:pPr>
            <w:r>
              <w:rPr>
                <w:sz w:val="20"/>
              </w:rPr>
              <w:t>An enabling environment for small business access to finance</w:t>
            </w:r>
          </w:p>
        </w:tc>
      </w:tr>
      <w:tr w:rsidR="000B5D8C" w14:paraId="205D387F" w14:textId="77777777">
        <w:tc>
          <w:tcPr>
            <w:tcW w:w="9583" w:type="dxa"/>
            <w:gridSpan w:val="2"/>
            <w:tcMar>
              <w:top w:w="0" w:type="dxa"/>
            </w:tcMar>
          </w:tcPr>
          <w:p w14:paraId="6A8235F7" w14:textId="34F41C61" w:rsidR="000B5D8C" w:rsidRPr="00767EAE" w:rsidRDefault="00A75A52" w:rsidP="0093227F">
            <w:pPr>
              <w:pStyle w:val="BodyText"/>
              <w:keepLines/>
            </w:pPr>
            <w:r>
              <w:t xml:space="preserve">The Australian Government should </w:t>
            </w:r>
            <w:r w:rsidR="00E151BE">
              <w:t xml:space="preserve">monitor the effects of APRA’s </w:t>
            </w:r>
            <w:r w:rsidR="007D5BA7">
              <w:t xml:space="preserve">changes to capital requirements and risk weights </w:t>
            </w:r>
            <w:r w:rsidR="00CD6DF1">
              <w:t>for loans to small and medium enterprises (SMEs) t</w:t>
            </w:r>
            <w:r w:rsidR="00C040EB">
              <w:t xml:space="preserve">hat are not secured by property, and </w:t>
            </w:r>
            <w:r w:rsidR="009820FD">
              <w:t xml:space="preserve">the activities of the Australian Business Securitisation Fund, to understand </w:t>
            </w:r>
            <w:r w:rsidR="007B64A4">
              <w:t xml:space="preserve">whether they are having the desired impacts on SME lending. Adjustments or further responses </w:t>
            </w:r>
            <w:r w:rsidR="00EB29EB">
              <w:t>could</w:t>
            </w:r>
            <w:r w:rsidR="007B64A4">
              <w:t xml:space="preserve"> be required if barriers </w:t>
            </w:r>
            <w:r w:rsidR="00D61432">
              <w:t>to</w:t>
            </w:r>
            <w:r w:rsidR="00821917">
              <w:t xml:space="preserve"> SM</w:t>
            </w:r>
            <w:r w:rsidR="000A1FCC">
              <w:t xml:space="preserve">Es </w:t>
            </w:r>
            <w:r w:rsidR="00821917">
              <w:t>access</w:t>
            </w:r>
            <w:r w:rsidR="000A1FCC">
              <w:t xml:space="preserve">ing </w:t>
            </w:r>
            <w:r w:rsidR="00821917">
              <w:t xml:space="preserve">finance remain. </w:t>
            </w:r>
            <w:r w:rsidR="00CD428D">
              <w:t>APRA</w:t>
            </w:r>
            <w:r w:rsidR="00EB29EB">
              <w:t xml:space="preserve"> may need to collect more detailed data about business lending to </w:t>
            </w:r>
            <w:r w:rsidR="00B62204">
              <w:t xml:space="preserve">enable the government to </w:t>
            </w:r>
            <w:r w:rsidR="00EB29EB">
              <w:t>undertake this monitoring.</w:t>
            </w:r>
          </w:p>
        </w:tc>
      </w:tr>
      <w:tr w:rsidR="000B5D8C" w14:paraId="329C75AD" w14:textId="77777777">
        <w:tc>
          <w:tcPr>
            <w:tcW w:w="9583" w:type="dxa"/>
            <w:gridSpan w:val="2"/>
            <w:shd w:val="clear" w:color="auto" w:fill="auto"/>
            <w:tcMar>
              <w:top w:w="0" w:type="dxa"/>
              <w:bottom w:w="0" w:type="dxa"/>
            </w:tcMar>
          </w:tcPr>
          <w:p w14:paraId="334D2BF7" w14:textId="77777777" w:rsidR="000B5D8C" w:rsidRPr="007E0EA8" w:rsidRDefault="000B5D8C">
            <w:pPr>
              <w:pStyle w:val="NoSpacing"/>
              <w:spacing w:line="200" w:lineRule="exact"/>
            </w:pPr>
          </w:p>
        </w:tc>
      </w:tr>
    </w:tbl>
    <w:p w14:paraId="226A10D9" w14:textId="49D5D18F" w:rsidR="00557DD7" w:rsidRDefault="00557DD7" w:rsidP="00557DD7">
      <w:pPr>
        <w:pStyle w:val="Heading2"/>
      </w:pPr>
      <w:bookmarkStart w:id="29" w:name="_Toc126145989"/>
      <w:bookmarkStart w:id="30" w:name="_Toc126304783"/>
      <w:r>
        <w:t>Facilitating the diffusion of innovations developed overseas</w:t>
      </w:r>
      <w:bookmarkEnd w:id="29"/>
      <w:bookmarkEnd w:id="30"/>
    </w:p>
    <w:p w14:paraId="682A33A9" w14:textId="50B250D1" w:rsidR="003064FA" w:rsidRPr="009F0424" w:rsidDel="003064FA" w:rsidRDefault="00557DD7" w:rsidP="00557DD7">
      <w:pPr>
        <w:pStyle w:val="BodyText"/>
        <w:rPr>
          <w:spacing w:val="-2"/>
        </w:rPr>
      </w:pPr>
      <w:r w:rsidRPr="009F0424">
        <w:rPr>
          <w:spacing w:val="-2"/>
        </w:rPr>
        <w:t>As a small open economy, Australia has a comparative advantage as an importer and adapter of advanced technologies and other productivity enhancing innovations</w:t>
      </w:r>
      <w:r w:rsidR="00C12074" w:rsidRPr="009F0424">
        <w:rPr>
          <w:spacing w:val="-2"/>
        </w:rPr>
        <w:t>, because our relative size means that it is not optimal for us to invent everything domestically</w:t>
      </w:r>
      <w:r w:rsidRPr="009F0424">
        <w:rPr>
          <w:spacing w:val="-2"/>
        </w:rPr>
        <w:t xml:space="preserve"> </w:t>
      </w:r>
      <w:r w:rsidRPr="009F0424">
        <w:rPr>
          <w:rFonts w:cs="Arial"/>
          <w:spacing w:val="-2"/>
          <w:szCs w:val="24"/>
        </w:rPr>
        <w:t>(Ferris, Finkel and Fraser 2016, p. 13; Hemmings and Park 2017, p. 10)</w:t>
      </w:r>
      <w:r w:rsidRPr="009F0424">
        <w:rPr>
          <w:spacing w:val="-2"/>
        </w:rPr>
        <w:t>. The diffusion of innovation from overseas is facilitated by trade and investment between Australian and foreign firms — particularly those firms that are at the global frontier for a given good or service.</w:t>
      </w:r>
    </w:p>
    <w:p w14:paraId="0B2B8B33" w14:textId="2A579D89" w:rsidR="00557DD7" w:rsidRPr="009F0424" w:rsidRDefault="00557DD7" w:rsidP="00557DD7">
      <w:pPr>
        <w:pStyle w:val="BodyText"/>
        <w:rPr>
          <w:spacing w:val="-2"/>
        </w:rPr>
      </w:pPr>
      <w:r w:rsidRPr="009F0424">
        <w:rPr>
          <w:spacing w:val="-2"/>
        </w:rPr>
        <w:lastRenderedPageBreak/>
        <w:t xml:space="preserve">Evidence from Andrews et al. </w:t>
      </w:r>
      <w:r w:rsidRPr="009F0424">
        <w:rPr>
          <w:rFonts w:cs="Arial"/>
          <w:spacing w:val="-2"/>
          <w:szCs w:val="24"/>
        </w:rPr>
        <w:t>(2022)</w:t>
      </w:r>
      <w:r w:rsidRPr="009F0424">
        <w:rPr>
          <w:spacing w:val="-2"/>
        </w:rPr>
        <w:t xml:space="preserve"> show</w:t>
      </w:r>
      <w:r w:rsidR="00D712A2" w:rsidRPr="009F0424">
        <w:rPr>
          <w:spacing w:val="-2"/>
        </w:rPr>
        <w:t>ed</w:t>
      </w:r>
      <w:r w:rsidRPr="009F0424">
        <w:rPr>
          <w:spacing w:val="-2"/>
        </w:rPr>
        <w:t xml:space="preserve"> that the productivity gap between the global frontier firms and Australian firms is growing over time. The implication is that the gains from diffusion of technology from overseas are getting larger and more valuable over time. An Australian firm can make huge gains simply by adopting processes and technologies from global frontier </w:t>
      </w:r>
      <w:proofErr w:type="gramStart"/>
      <w:r w:rsidRPr="009F0424">
        <w:rPr>
          <w:spacing w:val="-2"/>
        </w:rPr>
        <w:t>firms, or</w:t>
      </w:r>
      <w:proofErr w:type="gramEnd"/>
      <w:r w:rsidRPr="009F0424">
        <w:rPr>
          <w:spacing w:val="-2"/>
        </w:rPr>
        <w:t xml:space="preserve"> patterning its products and services on theirs. Nevertheless,</w:t>
      </w:r>
      <w:r w:rsidR="00582902" w:rsidRPr="009F0424">
        <w:rPr>
          <w:spacing w:val="-2"/>
        </w:rPr>
        <w:t xml:space="preserve"> </w:t>
      </w:r>
      <w:r w:rsidRPr="009F0424">
        <w:rPr>
          <w:spacing w:val="-2"/>
        </w:rPr>
        <w:t>only 3</w:t>
      </w:r>
      <w:r w:rsidR="00E94315">
        <w:rPr>
          <w:spacing w:val="-2"/>
        </w:rPr>
        <w:t>%</w:t>
      </w:r>
      <w:r w:rsidRPr="009F0424">
        <w:rPr>
          <w:spacing w:val="-2"/>
        </w:rPr>
        <w:t xml:space="preserve"> of innovating firms in Australia introduce </w:t>
      </w:r>
      <w:r w:rsidRPr="00624CC6">
        <w:rPr>
          <w:i/>
          <w:iCs/>
          <w:spacing w:val="-2"/>
        </w:rPr>
        <w:t>processes</w:t>
      </w:r>
      <w:r w:rsidR="00796D4E">
        <w:rPr>
          <w:i/>
          <w:iCs/>
          <w:spacing w:val="-2"/>
        </w:rPr>
        <w:t xml:space="preserve"> </w:t>
      </w:r>
      <w:r w:rsidR="00796D4E" w:rsidRPr="00624CC6">
        <w:rPr>
          <w:spacing w:val="-2"/>
        </w:rPr>
        <w:t>and</w:t>
      </w:r>
      <w:r w:rsidRPr="009F0424">
        <w:rPr>
          <w:spacing w:val="-2"/>
        </w:rPr>
        <w:t xml:space="preserve"> </w:t>
      </w:r>
      <w:r w:rsidR="00796D4E" w:rsidRPr="009F0424">
        <w:rPr>
          <w:spacing w:val="-2"/>
        </w:rPr>
        <w:t>7</w:t>
      </w:r>
      <w:r w:rsidR="00796D4E">
        <w:rPr>
          <w:spacing w:val="-2"/>
        </w:rPr>
        <w:t>%</w:t>
      </w:r>
      <w:r w:rsidR="00796D4E" w:rsidRPr="009F0424">
        <w:rPr>
          <w:spacing w:val="-2"/>
        </w:rPr>
        <w:t xml:space="preserve"> of firms introduce </w:t>
      </w:r>
      <w:r w:rsidR="00796D4E" w:rsidRPr="000E46DE">
        <w:rPr>
          <w:i/>
          <w:iCs/>
          <w:spacing w:val="-2"/>
        </w:rPr>
        <w:t>products</w:t>
      </w:r>
      <w:r w:rsidR="00796D4E" w:rsidRPr="009F0424">
        <w:rPr>
          <w:spacing w:val="-2"/>
        </w:rPr>
        <w:t xml:space="preserve"> </w:t>
      </w:r>
      <w:r w:rsidRPr="009F0424">
        <w:rPr>
          <w:spacing w:val="-2"/>
        </w:rPr>
        <w:t>that are new to Australia but not the world (figure</w:t>
      </w:r>
      <w:r w:rsidR="00A43B86">
        <w:rPr>
          <w:spacing w:val="-2"/>
        </w:rPr>
        <w:t> </w:t>
      </w:r>
      <w:r w:rsidRPr="009F0424">
        <w:rPr>
          <w:spacing w:val="-2"/>
        </w:rPr>
        <w:t>1.2). Most innovating firms use products and processes that are new to their firm only, implying that there may be potential for facilitating increased diffusion of innovation to Australia from foreign sources.</w:t>
      </w:r>
    </w:p>
    <w:p w14:paraId="277CDC83" w14:textId="0114847E" w:rsidR="00557DD7" w:rsidRDefault="00557DD7" w:rsidP="00E172DA">
      <w:pPr>
        <w:pStyle w:val="Heading3"/>
      </w:pPr>
      <w:r>
        <w:t>Trade connects Australian businesses to the global frontier</w:t>
      </w:r>
    </w:p>
    <w:p w14:paraId="161A7844" w14:textId="66E29BE5" w:rsidR="00557DD7" w:rsidRPr="002666C6" w:rsidRDefault="00557DD7" w:rsidP="00557DD7">
      <w:pPr>
        <w:pStyle w:val="BodyText"/>
        <w:rPr>
          <w:spacing w:val="-2"/>
        </w:rPr>
      </w:pPr>
      <w:r w:rsidRPr="002666C6">
        <w:rPr>
          <w:spacing w:val="-2"/>
        </w:rPr>
        <w:t>Importing and exporting goods and services are major channels through which trade can facilitate innovation diffusion to Australian firms.</w:t>
      </w:r>
      <w:r w:rsidR="004B5098" w:rsidRPr="002666C6">
        <w:rPr>
          <w:spacing w:val="-2"/>
        </w:rPr>
        <w:t xml:space="preserve"> </w:t>
      </w:r>
      <w:r w:rsidRPr="002666C6">
        <w:rPr>
          <w:spacing w:val="-2"/>
        </w:rPr>
        <w:t>Information and ideas about innovation are mo</w:t>
      </w:r>
      <w:r w:rsidR="00E34135" w:rsidRPr="002666C6">
        <w:rPr>
          <w:spacing w:val="-2"/>
        </w:rPr>
        <w:t>re</w:t>
      </w:r>
      <w:r w:rsidRPr="002666C6">
        <w:rPr>
          <w:spacing w:val="-2"/>
        </w:rPr>
        <w:t xml:space="preserve"> likely to come from one’s supply chain, that is, from suppliers or from customer firms (figure 2.9</w:t>
      </w:r>
      <w:r w:rsidR="00E34135" w:rsidRPr="002666C6">
        <w:rPr>
          <w:spacing w:val="-2"/>
        </w:rPr>
        <w:t>, below</w:t>
      </w:r>
      <w:r w:rsidRPr="002666C6">
        <w:rPr>
          <w:spacing w:val="-2"/>
        </w:rPr>
        <w:t>). Given that most innovation comes from overseas, it is particularly valuable for Australian firms to be importing from (or exporting to) firms overseas.</w:t>
      </w:r>
    </w:p>
    <w:p w14:paraId="26F2216E" w14:textId="27D44D5E" w:rsidR="00823C27" w:rsidRDefault="00557DD7" w:rsidP="00557DD7">
      <w:pPr>
        <w:pStyle w:val="BodyText"/>
      </w:pPr>
      <w:r>
        <w:t xml:space="preserve">As importers, Australian firms can access frontier innovation via imports of capital goods and intermediate inputs that embody new technologies. Using imported goods can give firms new ideas for product lines and processes </w:t>
      </w:r>
      <w:r w:rsidRPr="001D63A8">
        <w:rPr>
          <w:rFonts w:ascii="Arial" w:hAnsi="Arial" w:cs="Arial"/>
          <w:szCs w:val="24"/>
        </w:rPr>
        <w:t>(Kiriyama 2012, pp. 9–10)</w:t>
      </w:r>
      <w:r>
        <w:t>,</w:t>
      </w:r>
      <w:r w:rsidRPr="00257827">
        <w:t xml:space="preserve"> </w:t>
      </w:r>
      <w:r>
        <w:t xml:space="preserve">and facilitate innovation through imitation, </w:t>
      </w:r>
      <w:r w:rsidR="000565F7">
        <w:t>‘</w:t>
      </w:r>
      <w:r>
        <w:t>leading to product cycle, in which products are first invented in some parts of the world, and then imitated in others</w:t>
      </w:r>
      <w:r w:rsidR="000565F7">
        <w:t>’</w:t>
      </w:r>
      <w:r>
        <w:t xml:space="preserve"> </w:t>
      </w:r>
      <w:r w:rsidRPr="00BB62CA">
        <w:rPr>
          <w:rFonts w:ascii="Arial" w:hAnsi="Arial" w:cs="Arial"/>
          <w:szCs w:val="24"/>
        </w:rPr>
        <w:t>(Melitz and Redding 2021, p. 3)</w:t>
      </w:r>
      <w:r>
        <w:t>.</w:t>
      </w:r>
      <w:r w:rsidR="00F5246A">
        <w:t xml:space="preserve"> </w:t>
      </w:r>
      <w:r w:rsidR="006F42B2">
        <w:t xml:space="preserve">This also applied for services imports, </w:t>
      </w:r>
      <w:r w:rsidR="00CE1DF0">
        <w:t xml:space="preserve">which could become an increasingly important channel for diffusion of innovations from overseas as global trade in services increases </w:t>
      </w:r>
      <w:r w:rsidR="0015034F">
        <w:t xml:space="preserve">in the future (as discussed in this inquiry’s companion volume </w:t>
      </w:r>
      <w:r w:rsidR="0015034F" w:rsidRPr="006D26F3">
        <w:rPr>
          <w:rFonts w:ascii="Arial" w:eastAsia="Arial" w:hAnsi="Arial" w:cs="Times New Roman"/>
          <w:i/>
          <w:iCs/>
        </w:rPr>
        <w:t>A</w:t>
      </w:r>
      <w:r w:rsidR="0015034F" w:rsidRPr="006D26F3">
        <w:rPr>
          <w:rFonts w:ascii="Arial" w:eastAsia="Arial" w:hAnsi="Arial" w:cs="Times New Roman"/>
          <w:i/>
        </w:rPr>
        <w:t xml:space="preserve"> competitive, dynamic and sustainable future</w:t>
      </w:r>
      <w:r w:rsidR="0015034F">
        <w:t xml:space="preserve">). </w:t>
      </w:r>
      <w:r w:rsidR="00255DBF">
        <w:t>For example, i</w:t>
      </w:r>
      <w:r w:rsidR="00A20CF3">
        <w:t xml:space="preserve">n the </w:t>
      </w:r>
      <w:r w:rsidR="00255DBF">
        <w:t>technology industry</w:t>
      </w:r>
      <w:r w:rsidR="00A20CF3">
        <w:t xml:space="preserve">, </w:t>
      </w:r>
      <w:r w:rsidR="002254AB">
        <w:t xml:space="preserve">exposure to foreign </w:t>
      </w:r>
      <w:r w:rsidR="00255DBF">
        <w:t>ideas</w:t>
      </w:r>
      <w:r w:rsidR="002254AB">
        <w:t xml:space="preserve"> </w:t>
      </w:r>
      <w:r w:rsidR="005071AA">
        <w:t xml:space="preserve">has already </w:t>
      </w:r>
      <w:r w:rsidR="002254AB">
        <w:t>inform</w:t>
      </w:r>
      <w:r w:rsidR="005071AA">
        <w:t>ed</w:t>
      </w:r>
      <w:r w:rsidR="002254AB">
        <w:t xml:space="preserve"> the creation of new products, platforms and services</w:t>
      </w:r>
      <w:r w:rsidR="005071AA">
        <w:t xml:space="preserve"> in Australia</w:t>
      </w:r>
      <w:r w:rsidR="00255DBF">
        <w:t>:</w:t>
      </w:r>
      <w:r w:rsidR="002254AB">
        <w:t xml:space="preserve"> </w:t>
      </w:r>
    </w:p>
    <w:p w14:paraId="10847630" w14:textId="3E6A9473" w:rsidR="00557DD7" w:rsidRPr="002666C6" w:rsidRDefault="002254AB" w:rsidP="00FB32B8">
      <w:pPr>
        <w:pStyle w:val="Quote"/>
        <w:rPr>
          <w:spacing w:val="-2"/>
        </w:rPr>
      </w:pPr>
      <w:r w:rsidRPr="002666C6">
        <w:rPr>
          <w:spacing w:val="-2"/>
        </w:rPr>
        <w:t>Australian marketplaces Catch and Kogan were created out of businesses originally developed on ebay.com.au. Similarly, the founders of Afterpay built and leveraged their knowledge of e</w:t>
      </w:r>
      <w:r w:rsidR="007B1D35" w:rsidRPr="002666C6">
        <w:rPr>
          <w:spacing w:val="-2"/>
        </w:rPr>
        <w:noBreakHyphen/>
      </w:r>
      <w:r w:rsidRPr="002666C6">
        <w:rPr>
          <w:spacing w:val="-2"/>
        </w:rPr>
        <w:t>commerce on eBay to drive new innovations in payments while thousands of Australian pure play online retailers have been able to grow from small to larger businesses on eBay</w:t>
      </w:r>
      <w:r w:rsidR="007B1D35" w:rsidRPr="002666C6">
        <w:rPr>
          <w:spacing w:val="-2"/>
        </w:rPr>
        <w:t>.</w:t>
      </w:r>
      <w:r w:rsidR="003D2886" w:rsidRPr="002666C6">
        <w:rPr>
          <w:spacing w:val="-2"/>
        </w:rPr>
        <w:t xml:space="preserve"> (eBay, sub.</w:t>
      </w:r>
      <w:r w:rsidR="00A43B86">
        <w:rPr>
          <w:spacing w:val="-2"/>
        </w:rPr>
        <w:t> </w:t>
      </w:r>
      <w:r w:rsidR="003D2886" w:rsidRPr="002666C6">
        <w:rPr>
          <w:spacing w:val="-2"/>
        </w:rPr>
        <w:t>114, p.</w:t>
      </w:r>
      <w:r w:rsidR="00A152A6" w:rsidRPr="002666C6">
        <w:rPr>
          <w:spacing w:val="-2"/>
        </w:rPr>
        <w:t> </w:t>
      </w:r>
      <w:r w:rsidR="003D2886" w:rsidRPr="002666C6">
        <w:rPr>
          <w:spacing w:val="-2"/>
        </w:rPr>
        <w:t>2)</w:t>
      </w:r>
    </w:p>
    <w:p w14:paraId="44B6CCBB" w14:textId="5C908BEF" w:rsidR="00557DD7" w:rsidRDefault="00557DD7" w:rsidP="00557DD7">
      <w:pPr>
        <w:pStyle w:val="BodyText"/>
      </w:pPr>
      <w:r>
        <w:t xml:space="preserve">Complex capital goods, like semiconductors, require advanced knowledge and some vendors are willing to transfer this knowledge so that importers can effectively use these goods </w:t>
      </w:r>
      <w:r w:rsidRPr="00042EFD">
        <w:rPr>
          <w:rFonts w:ascii="Arial" w:hAnsi="Arial" w:cs="Arial"/>
          <w:szCs w:val="24"/>
        </w:rPr>
        <w:t>(Kiriyama 2012, p. 10)</w:t>
      </w:r>
      <w:r>
        <w:t xml:space="preserve">. </w:t>
      </w:r>
      <w:r w:rsidR="005F6A8B">
        <w:t>S</w:t>
      </w:r>
      <w:r>
        <w:t>upply chains are a major source of innovation diffusion</w:t>
      </w:r>
      <w:r w:rsidR="003D1FCE">
        <w:t xml:space="preserve"> </w:t>
      </w:r>
      <w:r w:rsidR="00242EBE">
        <w:t xml:space="preserve">even </w:t>
      </w:r>
      <w:r w:rsidR="003D1FCE">
        <w:t>in the service sector</w:t>
      </w:r>
      <w:r>
        <w:t xml:space="preserve">. Supply chain management systems like </w:t>
      </w:r>
      <w:r w:rsidRPr="00542C38">
        <w:t xml:space="preserve">Systems Applications and Products </w:t>
      </w:r>
      <w:r>
        <w:t>(SAP) software create the potential for diffusion by facilitating information flows across businesses.</w:t>
      </w:r>
    </w:p>
    <w:p w14:paraId="33D8EBBD" w14:textId="1D9EBC0E" w:rsidR="00557DD7" w:rsidRDefault="00557DD7" w:rsidP="00557DD7">
      <w:pPr>
        <w:pStyle w:val="BodyText"/>
      </w:pPr>
      <w:r>
        <w:t xml:space="preserve">Firms can also import intangible technology in the form of intellectual property licences, </w:t>
      </w:r>
      <w:r w:rsidR="000565F7">
        <w:t>‘</w:t>
      </w:r>
      <w:r>
        <w:t>increasing the pool of ideas</w:t>
      </w:r>
      <w:r w:rsidR="000565F7">
        <w:t>’</w:t>
      </w:r>
      <w:r>
        <w:t xml:space="preserve"> for innovation </w:t>
      </w:r>
      <w:r w:rsidRPr="00663868">
        <w:rPr>
          <w:rFonts w:ascii="Arial" w:hAnsi="Arial" w:cs="Arial"/>
          <w:szCs w:val="24"/>
        </w:rPr>
        <w:t>(Kiriyama 2012, p. 14)</w:t>
      </w:r>
      <w:r>
        <w:t xml:space="preserve">. Australia is a net importer of innovation, with payments for foreign intellectual property far exceeding the receipts of Australian intellectual property sales </w:t>
      </w:r>
      <w:r w:rsidRPr="007A77A3">
        <w:t>(</w:t>
      </w:r>
      <w:r>
        <w:t>figure </w:t>
      </w:r>
      <w:bookmarkStart w:id="31" w:name="_1724049639"/>
      <w:bookmarkStart w:id="32" w:name="_1723876798"/>
      <w:bookmarkStart w:id="33" w:name="_1723875701"/>
      <w:bookmarkStart w:id="34" w:name="_1723636279"/>
      <w:bookmarkStart w:id="35" w:name="_1723642508"/>
      <w:bookmarkStart w:id="36" w:name="_1723987450"/>
      <w:bookmarkEnd w:id="31"/>
      <w:bookmarkEnd w:id="32"/>
      <w:bookmarkEnd w:id="33"/>
      <w:bookmarkEnd w:id="34"/>
      <w:bookmarkEnd w:id="35"/>
      <w:bookmarkEnd w:id="36"/>
      <w:r>
        <w:t>2.3)</w:t>
      </w:r>
      <w:r w:rsidRPr="007A77A3">
        <w:t>.</w:t>
      </w:r>
    </w:p>
    <w:p w14:paraId="23D88848" w14:textId="03B6B1C9" w:rsidR="00557DD7" w:rsidRPr="00146382" w:rsidRDefault="00557DD7" w:rsidP="00557DD7">
      <w:pPr>
        <w:pStyle w:val="FigureTableHeading"/>
      </w:pPr>
      <w:r>
        <w:lastRenderedPageBreak/>
        <w:t>Figure</w:t>
      </w:r>
      <w:r w:rsidR="00A43B86">
        <w:t> </w:t>
      </w:r>
      <w:r>
        <w:rPr>
          <w:noProof/>
        </w:rPr>
        <w:t>2</w:t>
      </w:r>
      <w:r>
        <w:t>.</w:t>
      </w:r>
      <w:r>
        <w:rPr>
          <w:noProof/>
        </w:rPr>
        <w:t xml:space="preserve">3 </w:t>
      </w:r>
      <w:r>
        <w:t>– Australia imports significantly more intellectual property than it exports</w:t>
      </w:r>
      <w:r w:rsidRPr="00066CF5">
        <w:rPr>
          <w:vertAlign w:val="superscript"/>
        </w:rPr>
        <w:t>a</w:t>
      </w:r>
    </w:p>
    <w:p w14:paraId="44F0E4BC" w14:textId="1D197E5D" w:rsidR="00557DD7" w:rsidRDefault="00557DD7" w:rsidP="00557DD7">
      <w:pPr>
        <w:pStyle w:val="FigureTableSubheading"/>
      </w:pPr>
      <w:r w:rsidRPr="00C91E9A">
        <w:t xml:space="preserve">Intellectual property payments </w:t>
      </w:r>
      <w:r>
        <w:t>and</w:t>
      </w:r>
      <w:r w:rsidRPr="00C91E9A">
        <w:t xml:space="preserve"> receipts</w:t>
      </w:r>
    </w:p>
    <w:p w14:paraId="23127C62" w14:textId="42C99FB4" w:rsidR="00557DD7" w:rsidRDefault="00DA1185" w:rsidP="0061514D">
      <w:pPr>
        <w:pStyle w:val="BodyText"/>
      </w:pPr>
      <w:r w:rsidRPr="00DA1185">
        <w:rPr>
          <w:noProof/>
        </w:rPr>
        <w:drawing>
          <wp:inline distT="0" distB="0" distL="0" distR="0" wp14:anchorId="4D6F9427" wp14:editId="17C0DB5E">
            <wp:extent cx="6120130" cy="2776855"/>
            <wp:effectExtent l="0" t="0" r="0" b="0"/>
            <wp:docPr id="56" name="Picture 56" descr="This figure shows Australia’s intellectual property payments and receipts from 1989 to 2021. Payments are significantly greater than receipts, diverging after 2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figure shows Australia’s intellectual property payments and receipts from 1989 to 2021. Payments are significantly greater than receipts, diverging after 2001.&#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a:noFill/>
                    </a:ln>
                  </pic:spPr>
                </pic:pic>
              </a:graphicData>
            </a:graphic>
          </wp:inline>
        </w:drawing>
      </w:r>
      <w:r w:rsidR="00CD332B" w:rsidRPr="00CD332B">
        <w:t xml:space="preserve"> </w:t>
      </w:r>
      <w:r w:rsidR="00557DD7" w:rsidRPr="00180E66">
        <w:rPr>
          <w:b/>
          <w:bCs/>
        </w:rPr>
        <w:t>a.</w:t>
      </w:r>
      <w:r w:rsidR="00557DD7">
        <w:t xml:space="preserve"> </w:t>
      </w:r>
      <w:r w:rsidR="00557DD7" w:rsidRPr="00370E38">
        <w:t xml:space="preserve">Charges for the use of intellectual </w:t>
      </w:r>
      <w:r w:rsidR="00557DD7" w:rsidRPr="0072010D">
        <w:t>property (BoP, current US</w:t>
      </w:r>
      <w:r w:rsidR="00557DD7">
        <w:t>D</w:t>
      </w:r>
      <w:r w:rsidR="00557DD7" w:rsidRPr="0072010D">
        <w:t>)</w:t>
      </w:r>
      <w:r w:rsidR="00557DD7">
        <w:t>.</w:t>
      </w:r>
    </w:p>
    <w:p w14:paraId="173A8555" w14:textId="6DDBF434" w:rsidR="00557DD7" w:rsidRDefault="00557DD7" w:rsidP="00557DD7">
      <w:pPr>
        <w:pStyle w:val="Source"/>
      </w:pPr>
      <w:r w:rsidRPr="00696447">
        <w:t>Source:</w:t>
      </w:r>
      <w:r>
        <w:t xml:space="preserve"> World Bank</w:t>
      </w:r>
      <w:r w:rsidRPr="00696447">
        <w:t xml:space="preserve"> </w:t>
      </w:r>
      <w:r w:rsidRPr="005C5E06">
        <w:rPr>
          <w:rFonts w:ascii="Arial" w:hAnsi="Arial" w:cs="Arial"/>
          <w:szCs w:val="24"/>
        </w:rPr>
        <w:t>(2021a, 2021b)</w:t>
      </w:r>
      <w:r>
        <w:t>.</w:t>
      </w:r>
    </w:p>
    <w:p w14:paraId="3B19DD87" w14:textId="13D6AF41" w:rsidR="00557DD7" w:rsidRPr="00B50FAF" w:rsidRDefault="007429B8" w:rsidP="00557DD7">
      <w:pPr>
        <w:pStyle w:val="BodyText"/>
        <w:rPr>
          <w:spacing w:val="-4"/>
        </w:rPr>
      </w:pPr>
      <w:r w:rsidRPr="00B50FAF">
        <w:rPr>
          <w:spacing w:val="-4"/>
        </w:rPr>
        <w:t>B</w:t>
      </w:r>
      <w:r w:rsidR="00557DD7" w:rsidRPr="00B50FAF">
        <w:rPr>
          <w:spacing w:val="-4"/>
        </w:rPr>
        <w:t>arriers to trade take the pressure off domestic incumbents to adopt global best practice</w:t>
      </w:r>
      <w:r w:rsidRPr="00B50FAF">
        <w:rPr>
          <w:spacing w:val="-4"/>
        </w:rPr>
        <w:t>, by weakening competition and by lowering product variety</w:t>
      </w:r>
      <w:r w:rsidR="00557DD7" w:rsidRPr="00B50FAF">
        <w:rPr>
          <w:spacing w:val="-4"/>
        </w:rPr>
        <w:t xml:space="preserve">. The Indian motor vehicle industry provides a vivid international example. Until the 1980s, the lack of import competition and diffusion meant that most Indian car manufacturers used 1950s vintage technology </w:t>
      </w:r>
      <w:r w:rsidR="00557DD7" w:rsidRPr="00B50FAF">
        <w:rPr>
          <w:rFonts w:cs="Arial"/>
          <w:spacing w:val="-4"/>
          <w:szCs w:val="24"/>
        </w:rPr>
        <w:t>(Sagar and Chandra 2004, p. 2)</w:t>
      </w:r>
      <w:r w:rsidR="00557DD7" w:rsidRPr="00B50FAF">
        <w:rPr>
          <w:spacing w:val="-4"/>
        </w:rPr>
        <w:t xml:space="preserve">. Australia was never so bad, but there is good evidence that trade liberalisation promoted productivity in domestic firms </w:t>
      </w:r>
      <w:r w:rsidR="00557DD7" w:rsidRPr="00B50FAF">
        <w:rPr>
          <w:rFonts w:cs="Arial"/>
          <w:spacing w:val="-4"/>
          <w:szCs w:val="24"/>
        </w:rPr>
        <w:t>(Bloch and McDonald 2001)</w:t>
      </w:r>
      <w:r w:rsidR="00557DD7" w:rsidRPr="00B50FAF">
        <w:rPr>
          <w:spacing w:val="-4"/>
        </w:rPr>
        <w:t>.</w:t>
      </w:r>
    </w:p>
    <w:p w14:paraId="6A54611A" w14:textId="3A48FC15" w:rsidR="00557DD7" w:rsidRPr="00144144" w:rsidRDefault="00557DD7" w:rsidP="00557DD7">
      <w:pPr>
        <w:pStyle w:val="BodyText"/>
      </w:pPr>
      <w:r>
        <w:t>Indeed,</w:t>
      </w:r>
      <w:r w:rsidRPr="00F74484" w:rsidDel="00B01D18">
        <w:t xml:space="preserve"> </w:t>
      </w:r>
      <w:r w:rsidRPr="00F74484">
        <w:t>Australia has successfully implemented reforms removing many of the traditional barriers to international trade in goods, such as import tariffs and quotas.</w:t>
      </w:r>
      <w:r>
        <w:t xml:space="preserve"> But trade barriers can come in other forms. A</w:t>
      </w:r>
      <w:r w:rsidRPr="006830EB">
        <w:t>nti</w:t>
      </w:r>
      <w:r w:rsidR="000565F7">
        <w:noBreakHyphen/>
      </w:r>
      <w:r w:rsidRPr="006830EB">
        <w:t>dumping regulations still provide significant protection for some narrow product classes.</w:t>
      </w:r>
      <w:r>
        <w:t xml:space="preserve"> Many barriers to trade in services</w:t>
      </w:r>
      <w:r w:rsidRPr="006F7C26">
        <w:t xml:space="preserve"> </w:t>
      </w:r>
      <w:r>
        <w:t>remain in place, particularly so</w:t>
      </w:r>
      <w:r>
        <w:noBreakHyphen/>
        <w:t xml:space="preserve">called ‘behind the border’ barriers, such as foreign </w:t>
      </w:r>
      <w:r w:rsidRPr="00144144">
        <w:t xml:space="preserve">licensing restrictions. The key </w:t>
      </w:r>
      <w:r w:rsidRPr="004166EC">
        <w:t>question is whether these and other trade barriers (for example, quarantine provisions) have any material impacts.</w:t>
      </w:r>
      <w:r w:rsidR="00821B46" w:rsidRPr="004166EC">
        <w:t xml:space="preserve"> This is further discussed in </w:t>
      </w:r>
      <w:r w:rsidR="00821B46" w:rsidRPr="004166EC">
        <w:rPr>
          <w:rFonts w:ascii="Arial" w:eastAsia="Arial" w:hAnsi="Arial" w:cs="Times New Roman"/>
        </w:rPr>
        <w:t xml:space="preserve">the </w:t>
      </w:r>
      <w:r w:rsidR="00CF3CA6" w:rsidRPr="004166EC">
        <w:rPr>
          <w:rFonts w:ascii="Arial" w:eastAsia="Arial" w:hAnsi="Arial" w:cs="Times New Roman"/>
        </w:rPr>
        <w:t>inquiry’s</w:t>
      </w:r>
      <w:r w:rsidR="00821B46" w:rsidRPr="004166EC">
        <w:rPr>
          <w:rFonts w:ascii="Arial" w:eastAsia="Arial" w:hAnsi="Arial" w:cs="Times New Roman"/>
        </w:rPr>
        <w:t xml:space="preserve"> companion </w:t>
      </w:r>
      <w:r w:rsidR="00846991" w:rsidRPr="004166EC">
        <w:rPr>
          <w:rFonts w:ascii="Arial" w:eastAsia="Arial" w:hAnsi="Arial" w:cs="Times New Roman"/>
        </w:rPr>
        <w:t>volume</w:t>
      </w:r>
      <w:r w:rsidR="00821B46" w:rsidRPr="004166EC">
        <w:rPr>
          <w:rFonts w:ascii="Arial" w:eastAsia="Arial" w:hAnsi="Arial" w:cs="Times New Roman"/>
        </w:rPr>
        <w:t xml:space="preserve"> </w:t>
      </w:r>
      <w:r w:rsidR="00821B46" w:rsidRPr="004166EC">
        <w:rPr>
          <w:rFonts w:ascii="Arial" w:eastAsia="Arial" w:hAnsi="Arial" w:cs="Times New Roman"/>
          <w:i/>
          <w:iCs/>
        </w:rPr>
        <w:t>A competitive, dynamic and sustainable future</w:t>
      </w:r>
      <w:r w:rsidR="00821B46" w:rsidRPr="004166EC">
        <w:rPr>
          <w:rFonts w:ascii="Arial" w:eastAsia="Arial" w:hAnsi="Arial" w:cs="Times New Roman"/>
        </w:rPr>
        <w:t xml:space="preserve">, which recommends the government reduces such barriers by </w:t>
      </w:r>
      <w:r w:rsidR="00CC3743" w:rsidRPr="004166EC">
        <w:rPr>
          <w:rFonts w:ascii="Arial" w:eastAsia="Arial" w:hAnsi="Arial" w:cs="Times New Roman"/>
        </w:rPr>
        <w:t xml:space="preserve">immediately </w:t>
      </w:r>
      <w:r w:rsidR="008531EF" w:rsidRPr="004166EC">
        <w:t>reducing Australia’s statutory import tariff</w:t>
      </w:r>
      <w:r w:rsidR="00E155FB" w:rsidRPr="004166EC">
        <w:t>s</w:t>
      </w:r>
      <w:r w:rsidR="008531EF" w:rsidRPr="004166EC">
        <w:t xml:space="preserve"> to zero</w:t>
      </w:r>
      <w:r w:rsidR="00AF2898" w:rsidRPr="004166EC">
        <w:t xml:space="preserve"> and </w:t>
      </w:r>
      <w:r w:rsidR="00901462" w:rsidRPr="004166EC">
        <w:t>progressively removing</w:t>
      </w:r>
      <w:r w:rsidR="00AF2898" w:rsidRPr="004166EC">
        <w:t xml:space="preserve"> </w:t>
      </w:r>
      <w:r w:rsidR="004246F0" w:rsidRPr="004166EC">
        <w:t>existing</w:t>
      </w:r>
      <w:r w:rsidR="008531EF" w:rsidRPr="004166EC">
        <w:t xml:space="preserve"> </w:t>
      </w:r>
      <w:r w:rsidR="00407541" w:rsidRPr="004166EC">
        <w:t>anti</w:t>
      </w:r>
      <w:r w:rsidR="00F32ED4">
        <w:noBreakHyphen/>
      </w:r>
      <w:r w:rsidR="00407541" w:rsidRPr="004166EC">
        <w:t>dumping</w:t>
      </w:r>
      <w:r w:rsidR="008857B0" w:rsidRPr="004166EC">
        <w:t xml:space="preserve"> </w:t>
      </w:r>
      <w:r w:rsidR="00E226A9" w:rsidRPr="004166EC">
        <w:t>and countervailing measures</w:t>
      </w:r>
      <w:r w:rsidR="00821B46" w:rsidRPr="004166EC">
        <w:t>.</w:t>
      </w:r>
    </w:p>
    <w:p w14:paraId="421E1336" w14:textId="7F5F2CBB" w:rsidR="00557DD7" w:rsidRPr="00B50FAF" w:rsidRDefault="00557DD7" w:rsidP="00557DD7">
      <w:pPr>
        <w:pStyle w:val="BodyText"/>
        <w:rPr>
          <w:spacing w:val="-2"/>
        </w:rPr>
      </w:pPr>
      <w:r w:rsidRPr="00B50FAF">
        <w:rPr>
          <w:spacing w:val="-2"/>
        </w:rPr>
        <w:t xml:space="preserve">Regulatory restrictions on </w:t>
      </w:r>
      <w:proofErr w:type="gramStart"/>
      <w:r w:rsidRPr="00B50FAF">
        <w:rPr>
          <w:spacing w:val="-2"/>
        </w:rPr>
        <w:t>particular types</w:t>
      </w:r>
      <w:proofErr w:type="gramEnd"/>
      <w:r w:rsidRPr="00B50FAF">
        <w:rPr>
          <w:spacing w:val="-2"/>
        </w:rPr>
        <w:t xml:space="preserve"> of technologies can also impede innovation diffusion from overseas — for example, outdated vehicle design rules that preclude a freight business from importing a vehicle that is more productive than currently permitted vehicles (Terrill, Burfurd and Fox 2022, p. 29). Slow approval processes for pharmaceuticals and other medical technologies can reduce the diffusion of interventions that are more effective than existing </w:t>
      </w:r>
      <w:proofErr w:type="gramStart"/>
      <w:r w:rsidRPr="00B50FAF">
        <w:rPr>
          <w:spacing w:val="-2"/>
        </w:rPr>
        <w:t xml:space="preserve">ones, </w:t>
      </w:r>
      <w:r w:rsidR="00F55AEC" w:rsidRPr="00B50FAF">
        <w:rPr>
          <w:spacing w:val="-2"/>
        </w:rPr>
        <w:t>or</w:t>
      </w:r>
      <w:proofErr w:type="gramEnd"/>
      <w:r w:rsidR="00F55AEC" w:rsidRPr="00B50FAF">
        <w:rPr>
          <w:spacing w:val="-2"/>
        </w:rPr>
        <w:t xml:space="preserve"> can prevent us from resolving a shortage of any given pharmaceutical, </w:t>
      </w:r>
      <w:r w:rsidRPr="00B50FAF">
        <w:rPr>
          <w:spacing w:val="-2"/>
        </w:rPr>
        <w:t>reducing the effectiveness (‘productivity’) of health care. Issues of regulatory barriers can be addressed by more responsively and quickly updating compliance requirements for industry or, in some cases, could be solved by more widely aligning with or accepting international standards, wherever practicable (</w:t>
      </w:r>
      <w:r w:rsidRPr="00B50FAF">
        <w:rPr>
          <w:rFonts w:eastAsia="Arial" w:cs="Times New Roman"/>
          <w:spacing w:val="-2"/>
        </w:rPr>
        <w:t xml:space="preserve">see the Commission’s companion </w:t>
      </w:r>
      <w:r w:rsidR="00846991" w:rsidRPr="00B50FAF">
        <w:rPr>
          <w:rFonts w:eastAsia="Arial" w:cs="Times New Roman"/>
          <w:spacing w:val="-2"/>
        </w:rPr>
        <w:t>volume</w:t>
      </w:r>
      <w:r w:rsidR="00967C75" w:rsidRPr="00B50FAF">
        <w:rPr>
          <w:rFonts w:eastAsia="Arial" w:cs="Times New Roman"/>
          <w:spacing w:val="-2"/>
        </w:rPr>
        <w:t>,</w:t>
      </w:r>
      <w:r w:rsidRPr="00B50FAF">
        <w:rPr>
          <w:rFonts w:eastAsia="Arial" w:cs="Times New Roman"/>
          <w:spacing w:val="-2"/>
        </w:rPr>
        <w:t xml:space="preserve"> </w:t>
      </w:r>
      <w:r w:rsidR="00DB5322" w:rsidRPr="00B50FAF">
        <w:rPr>
          <w:rFonts w:eastAsia="Arial" w:cs="Times New Roman"/>
          <w:i/>
          <w:iCs/>
          <w:spacing w:val="-2"/>
        </w:rPr>
        <w:t>A competitive, dynamic and sustainable future</w:t>
      </w:r>
      <w:r w:rsidR="00DB5322" w:rsidRPr="00B50FAF">
        <w:rPr>
          <w:rFonts w:eastAsia="Arial" w:cs="Times New Roman"/>
          <w:spacing w:val="-2"/>
        </w:rPr>
        <w:t>, which recommends that</w:t>
      </w:r>
      <w:r w:rsidR="00B22523" w:rsidRPr="00B50FAF">
        <w:rPr>
          <w:rFonts w:eastAsia="Arial" w:cs="Times New Roman"/>
          <w:spacing w:val="-2"/>
        </w:rPr>
        <w:t xml:space="preserve"> gover</w:t>
      </w:r>
      <w:r w:rsidR="00CB259D" w:rsidRPr="00B50FAF">
        <w:rPr>
          <w:rFonts w:eastAsia="Arial" w:cs="Times New Roman"/>
          <w:spacing w:val="-2"/>
        </w:rPr>
        <w:t>n</w:t>
      </w:r>
      <w:r w:rsidR="00B22523" w:rsidRPr="00B50FAF">
        <w:rPr>
          <w:rFonts w:eastAsia="Arial" w:cs="Times New Roman"/>
          <w:spacing w:val="-2"/>
        </w:rPr>
        <w:t xml:space="preserve">ments </w:t>
      </w:r>
      <w:r w:rsidR="00BA1350" w:rsidRPr="00B50FAF">
        <w:rPr>
          <w:spacing w:val="-2"/>
        </w:rPr>
        <w:t>increasingly</w:t>
      </w:r>
      <w:r w:rsidR="008857B0" w:rsidRPr="00B50FAF">
        <w:rPr>
          <w:spacing w:val="-2"/>
        </w:rPr>
        <w:t xml:space="preserve"> accept product standards</w:t>
      </w:r>
      <w:r w:rsidR="0025627E" w:rsidRPr="00B50FAF">
        <w:rPr>
          <w:spacing w:val="-2"/>
        </w:rPr>
        <w:t xml:space="preserve"> </w:t>
      </w:r>
      <w:r w:rsidR="00BA1350" w:rsidRPr="00B50FAF">
        <w:rPr>
          <w:spacing w:val="-2"/>
        </w:rPr>
        <w:t xml:space="preserve">adopted in other leading economies as ‘deemed to comply’, provided that a transparent review </w:t>
      </w:r>
      <w:r w:rsidR="00BF552A" w:rsidRPr="00B50FAF">
        <w:rPr>
          <w:spacing w:val="-2"/>
        </w:rPr>
        <w:t xml:space="preserve">can </w:t>
      </w:r>
      <w:r w:rsidR="00BA1350" w:rsidRPr="00B50FAF">
        <w:rPr>
          <w:spacing w:val="-2"/>
        </w:rPr>
        <w:t xml:space="preserve">be undertaken </w:t>
      </w:r>
      <w:r w:rsidR="00BF552A" w:rsidRPr="00B50FAF">
        <w:rPr>
          <w:spacing w:val="-2"/>
        </w:rPr>
        <w:t xml:space="preserve">where a </w:t>
      </w:r>
      <w:r w:rsidR="00BA1350" w:rsidRPr="00B50FAF">
        <w:rPr>
          <w:spacing w:val="-2"/>
        </w:rPr>
        <w:t>significant safety risk</w:t>
      </w:r>
      <w:r w:rsidR="002C662F" w:rsidRPr="00B50FAF">
        <w:rPr>
          <w:spacing w:val="-2"/>
        </w:rPr>
        <w:t xml:space="preserve"> </w:t>
      </w:r>
      <w:r w:rsidR="00BF552A" w:rsidRPr="00B50FAF">
        <w:rPr>
          <w:spacing w:val="-2"/>
        </w:rPr>
        <w:t>is identified</w:t>
      </w:r>
      <w:r w:rsidRPr="00B50FAF">
        <w:rPr>
          <w:spacing w:val="-2"/>
        </w:rPr>
        <w:t>.</w:t>
      </w:r>
    </w:p>
    <w:p w14:paraId="5A4319BB" w14:textId="67662C62" w:rsidR="00557DD7" w:rsidRDefault="00557DD7" w:rsidP="00557DD7">
      <w:pPr>
        <w:pStyle w:val="BodyText"/>
      </w:pPr>
      <w:r>
        <w:rPr>
          <w:rFonts w:ascii="Arial" w:eastAsia="Arial" w:hAnsi="Arial" w:cs="Times New Roman"/>
        </w:rPr>
        <w:lastRenderedPageBreak/>
        <w:t xml:space="preserve">For exporters, competition with goods and services from overseas provides exposure to new ideas and creates incentives to adopt those ideas. And access to larger markets can make some technology adoption more feasible, if the technology requires a larger scale to be viable </w:t>
      </w:r>
      <w:r w:rsidRPr="002D138D">
        <w:rPr>
          <w:rFonts w:ascii="Arial" w:hAnsi="Arial" w:cs="Arial"/>
          <w:szCs w:val="24"/>
        </w:rPr>
        <w:t>(Bloom, Van Reenen and Williams 2019, p. 177)</w:t>
      </w:r>
      <w:r w:rsidRPr="002D138D">
        <w:rPr>
          <w:rFonts w:ascii="Arial" w:eastAsia="Arial" w:hAnsi="Arial" w:cs="Times New Roman"/>
        </w:rPr>
        <w:t xml:space="preserve">. </w:t>
      </w:r>
      <w:r>
        <w:rPr>
          <w:rFonts w:ascii="Arial" w:eastAsia="Arial" w:hAnsi="Arial" w:cs="Times New Roman"/>
        </w:rPr>
        <w:t>For firms in the business</w:t>
      </w:r>
      <w:r>
        <w:rPr>
          <w:rFonts w:ascii="Arial" w:eastAsia="Arial" w:hAnsi="Arial" w:cs="Times New Roman"/>
        </w:rPr>
        <w:noBreakHyphen/>
        <w:t>to</w:t>
      </w:r>
      <w:r>
        <w:rPr>
          <w:rFonts w:ascii="Arial" w:eastAsia="Arial" w:hAnsi="Arial" w:cs="Times New Roman"/>
        </w:rPr>
        <w:noBreakHyphen/>
        <w:t xml:space="preserve">business segment, they may be selling to overseas firms who introduce them to more advanced systems and expectations. There is strong evidence that as firms become exporters, their productivity increases significantly, in part due to the diffusion of innovation </w:t>
      </w:r>
      <w:r w:rsidRPr="006D7AF7">
        <w:rPr>
          <w:rFonts w:ascii="Arial" w:hAnsi="Arial" w:cs="Arial"/>
          <w:szCs w:val="24"/>
        </w:rPr>
        <w:t>(Melitz and Redding 2021, p. 26)</w:t>
      </w:r>
      <w:r>
        <w:rPr>
          <w:rFonts w:ascii="Arial" w:eastAsia="Arial" w:hAnsi="Arial" w:cs="Times New Roman"/>
        </w:rPr>
        <w:t>.</w:t>
      </w:r>
      <w:r w:rsidR="0048483D">
        <w:rPr>
          <w:rFonts w:ascii="Arial" w:eastAsia="Arial" w:hAnsi="Arial" w:cs="Times New Roman"/>
        </w:rPr>
        <w:t xml:space="preserve"> For example, e</w:t>
      </w:r>
      <w:r w:rsidR="0048483D" w:rsidRPr="0094534A">
        <w:rPr>
          <w:rFonts w:ascii="Arial" w:eastAsia="Arial" w:hAnsi="Arial" w:cs="Times New Roman"/>
        </w:rPr>
        <w:t>xporting by SMEs in the manufacturing</w:t>
      </w:r>
      <w:r w:rsidR="0048483D">
        <w:rPr>
          <w:rFonts w:ascii="Arial" w:eastAsia="Arial" w:hAnsi="Arial" w:cs="Times New Roman"/>
        </w:rPr>
        <w:t xml:space="preserve"> and</w:t>
      </w:r>
      <w:r w:rsidR="0048483D" w:rsidRPr="0094534A">
        <w:rPr>
          <w:rFonts w:ascii="Arial" w:eastAsia="Arial" w:hAnsi="Arial" w:cs="Times New Roman"/>
        </w:rPr>
        <w:t xml:space="preserve"> professional, scientific and technical services </w:t>
      </w:r>
      <w:r w:rsidR="0048483D">
        <w:rPr>
          <w:rFonts w:ascii="Arial" w:eastAsia="Arial" w:hAnsi="Arial" w:cs="Times New Roman"/>
        </w:rPr>
        <w:t xml:space="preserve">industries </w:t>
      </w:r>
      <w:r w:rsidR="0048483D" w:rsidRPr="0094534A">
        <w:rPr>
          <w:rFonts w:ascii="Arial" w:eastAsia="Arial" w:hAnsi="Arial" w:cs="Times New Roman"/>
        </w:rPr>
        <w:t>is associated with an increased probability of introducing</w:t>
      </w:r>
      <w:r w:rsidR="0048483D">
        <w:rPr>
          <w:rFonts w:ascii="Arial" w:eastAsia="Arial" w:hAnsi="Arial" w:cs="Times New Roman"/>
        </w:rPr>
        <w:t xml:space="preserve"> new</w:t>
      </w:r>
      <w:r w:rsidR="0048483D">
        <w:rPr>
          <w:rFonts w:ascii="Arial" w:eastAsia="Arial" w:hAnsi="Arial" w:cs="Times New Roman"/>
        </w:rPr>
        <w:noBreakHyphen/>
        <w:t>to</w:t>
      </w:r>
      <w:r w:rsidR="0048483D">
        <w:rPr>
          <w:rFonts w:ascii="Arial" w:eastAsia="Arial" w:hAnsi="Arial" w:cs="Times New Roman"/>
        </w:rPr>
        <w:noBreakHyphen/>
        <w:t>market</w:t>
      </w:r>
      <w:r w:rsidR="0048483D" w:rsidRPr="0094534A">
        <w:rPr>
          <w:rFonts w:ascii="Arial" w:eastAsia="Arial" w:hAnsi="Arial" w:cs="Times New Roman"/>
        </w:rPr>
        <w:t xml:space="preserve"> innovation</w:t>
      </w:r>
      <w:r w:rsidR="0048483D">
        <w:rPr>
          <w:rFonts w:ascii="Arial" w:eastAsia="Arial" w:hAnsi="Arial" w:cs="Times New Roman"/>
        </w:rPr>
        <w:t xml:space="preserve">s </w:t>
      </w:r>
      <w:r w:rsidR="0048483D" w:rsidRPr="0094534A">
        <w:rPr>
          <w:rFonts w:ascii="Arial" w:eastAsia="Arial" w:hAnsi="Arial" w:cs="Times New Roman"/>
        </w:rPr>
        <w:t xml:space="preserve">compared </w:t>
      </w:r>
      <w:r w:rsidR="0048483D">
        <w:rPr>
          <w:rFonts w:ascii="Arial" w:eastAsia="Arial" w:hAnsi="Arial" w:cs="Times New Roman"/>
        </w:rPr>
        <w:t>with</w:t>
      </w:r>
      <w:r w:rsidR="0048483D" w:rsidRPr="0094534A">
        <w:rPr>
          <w:rFonts w:ascii="Arial" w:eastAsia="Arial" w:hAnsi="Arial" w:cs="Times New Roman"/>
        </w:rPr>
        <w:t xml:space="preserve"> non</w:t>
      </w:r>
      <w:r w:rsidR="0048483D">
        <w:rPr>
          <w:rFonts w:ascii="Arial" w:eastAsia="Arial" w:hAnsi="Arial" w:cs="Times New Roman"/>
        </w:rPr>
        <w:noBreakHyphen/>
      </w:r>
      <w:r w:rsidR="0048483D" w:rsidRPr="0094534A">
        <w:rPr>
          <w:rFonts w:ascii="Arial" w:eastAsia="Arial" w:hAnsi="Arial" w:cs="Times New Roman"/>
        </w:rPr>
        <w:t xml:space="preserve">exporting SMEs </w:t>
      </w:r>
      <w:r w:rsidR="0048483D" w:rsidRPr="0094534A">
        <w:rPr>
          <w:rFonts w:ascii="Arial" w:eastAsia="Arial" w:hAnsi="Arial" w:cs="Arial"/>
          <w:szCs w:val="24"/>
        </w:rPr>
        <w:t>(Majeed and Breunig 2021, p. 15)</w:t>
      </w:r>
      <w:r w:rsidR="0048483D" w:rsidRPr="0094534A">
        <w:rPr>
          <w:rFonts w:ascii="Arial" w:eastAsia="Arial" w:hAnsi="Arial" w:cs="Times New Roman"/>
        </w:rPr>
        <w:t>.</w:t>
      </w:r>
    </w:p>
    <w:p w14:paraId="5B3F0F12" w14:textId="050DCBDF" w:rsidR="00557DD7" w:rsidRDefault="00557DD7" w:rsidP="00557DD7">
      <w:pPr>
        <w:pStyle w:val="BodyText"/>
      </w:pPr>
      <w:r>
        <w:t>Finally, importers and exporters may learn about overseas innovations through more informal channels; participating in trade conferences, business networks, and so on (discussed in section</w:t>
      </w:r>
      <w:r w:rsidR="000565F7">
        <w:t> </w:t>
      </w:r>
      <w:r>
        <w:t>2.4). Other Australian firms may also</w:t>
      </w:r>
      <w:r w:rsidRPr="00D1220D">
        <w:t xml:space="preserve"> </w:t>
      </w:r>
      <w:r>
        <w:t>learn</w:t>
      </w:r>
      <w:r w:rsidRPr="00D1220D">
        <w:t xml:space="preserve"> about </w:t>
      </w:r>
      <w:r>
        <w:t>productivity</w:t>
      </w:r>
      <w:r>
        <w:noBreakHyphen/>
        <w:t>enhancing</w:t>
      </w:r>
      <w:r w:rsidRPr="00D1220D">
        <w:t xml:space="preserve"> technologies or superior organi</w:t>
      </w:r>
      <w:r>
        <w:t>s</w:t>
      </w:r>
      <w:r w:rsidRPr="00D1220D">
        <w:t>ational and managerial practices</w:t>
      </w:r>
      <w:r>
        <w:t xml:space="preserve"> via knowledge spillovers from other trade</w:t>
      </w:r>
      <w:r>
        <w:noBreakHyphen/>
        <w:t>exposed Australian firms</w:t>
      </w:r>
      <w:r w:rsidRPr="00D1220D">
        <w:t xml:space="preserve"> </w:t>
      </w:r>
      <w:r w:rsidRPr="00BB13C0">
        <w:rPr>
          <w:rFonts w:ascii="Arial" w:hAnsi="Arial" w:cs="Arial"/>
          <w:szCs w:val="24"/>
        </w:rPr>
        <w:t>(Ciuriak 2013, p. 36; Saia, Andrews and Albrizio 2015, p. 9)</w:t>
      </w:r>
      <w:r>
        <w:t xml:space="preserve"> and simply inspecting new goods can generate ideas </w:t>
      </w:r>
      <w:r w:rsidRPr="001D63A8">
        <w:rPr>
          <w:rFonts w:ascii="Arial" w:hAnsi="Arial" w:cs="Arial"/>
          <w:szCs w:val="24"/>
        </w:rPr>
        <w:t>(Kiriyama 2012, pp. 9–10)</w:t>
      </w:r>
      <w:r>
        <w:t>. However, firms need to have sufficient ‘absorptive capacity’ to identify and incorporate these ideas and practices into their operations (</w:t>
      </w:r>
      <w:r w:rsidRPr="008474CE">
        <w:t>section 2.3</w:t>
      </w:r>
      <w:r>
        <w:t xml:space="preserve"> and box </w:t>
      </w:r>
      <w:bookmarkStart w:id="37" w:name="_1724049645"/>
      <w:bookmarkStart w:id="38" w:name="_1723989458"/>
      <w:bookmarkStart w:id="39" w:name="_1723983754"/>
      <w:bookmarkEnd w:id="37"/>
      <w:bookmarkEnd w:id="38"/>
      <w:bookmarkEnd w:id="39"/>
      <w:r>
        <w:t>2.3).</w:t>
      </w:r>
    </w:p>
    <w:p w14:paraId="0F62ADBC" w14:textId="77777777" w:rsidR="003B699D" w:rsidRPr="008C31F8" w:rsidRDefault="003B699D" w:rsidP="008C31F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B699D" w14:paraId="1D8DC29F" w14:textId="77777777" w:rsidTr="003B699D">
        <w:trPr>
          <w:trHeight w:val="765"/>
          <w:tblHeader/>
        </w:trPr>
        <w:tc>
          <w:tcPr>
            <w:tcW w:w="366" w:type="pct"/>
            <w:tcBorders>
              <w:bottom w:val="nil"/>
            </w:tcBorders>
            <w:tcMar>
              <w:bottom w:w="0" w:type="dxa"/>
            </w:tcMar>
            <w:vAlign w:val="center"/>
          </w:tcPr>
          <w:p w14:paraId="57AFBCE4" w14:textId="77777777" w:rsidR="003B699D" w:rsidRDefault="003B699D" w:rsidP="003B699D">
            <w:pPr>
              <w:pStyle w:val="NoSpacing"/>
              <w:keepLines/>
              <w:jc w:val="right"/>
            </w:pPr>
            <w:r w:rsidRPr="00A51374">
              <w:rPr>
                <w:noProof/>
              </w:rPr>
              <w:drawing>
                <wp:inline distT="0" distB="0" distL="0" distR="0" wp14:anchorId="2593D7CB" wp14:editId="33CA4E87">
                  <wp:extent cx="288000" cy="288000"/>
                  <wp:effectExtent l="0" t="0" r="0" b="0"/>
                  <wp:docPr id="10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BEE6E7E" w14:textId="50DBE491" w:rsidR="003B699D" w:rsidRPr="00A4395A" w:rsidRDefault="003B699D" w:rsidP="003B699D">
            <w:pPr>
              <w:pStyle w:val="TableHeading"/>
              <w:keepLines/>
              <w:spacing w:before="60" w:after="120"/>
              <w:contextualSpacing/>
              <w:rPr>
                <w:sz w:val="20"/>
              </w:rPr>
            </w:pPr>
            <w:r w:rsidRPr="00A4395A">
              <w:rPr>
                <w:sz w:val="20"/>
              </w:rPr>
              <w:t xml:space="preserve">Finding </w:t>
            </w:r>
            <w:r w:rsidR="00F61953">
              <w:rPr>
                <w:sz w:val="20"/>
              </w:rPr>
              <w:t>5.</w:t>
            </w:r>
            <w:r w:rsidR="00CD7205">
              <w:rPr>
                <w:sz w:val="20"/>
              </w:rPr>
              <w:t>2</w:t>
            </w:r>
          </w:p>
          <w:p w14:paraId="55118E52" w14:textId="5FEEC254" w:rsidR="003B699D" w:rsidRDefault="00D36396" w:rsidP="003B699D">
            <w:pPr>
              <w:pStyle w:val="TableHeading"/>
              <w:keepLines/>
              <w:spacing w:before="60" w:after="120"/>
              <w:contextualSpacing/>
            </w:pPr>
            <w:r>
              <w:rPr>
                <w:sz w:val="20"/>
              </w:rPr>
              <w:t xml:space="preserve">Trade </w:t>
            </w:r>
            <w:r w:rsidR="004022C9">
              <w:rPr>
                <w:sz w:val="20"/>
              </w:rPr>
              <w:t>is an important source of</w:t>
            </w:r>
            <w:r w:rsidR="005E13EA">
              <w:rPr>
                <w:sz w:val="20"/>
              </w:rPr>
              <w:t xml:space="preserve"> knowledge diffusion</w:t>
            </w:r>
          </w:p>
        </w:tc>
      </w:tr>
      <w:tr w:rsidR="003B699D" w14:paraId="0147CC2B" w14:textId="77777777" w:rsidTr="003B699D">
        <w:tc>
          <w:tcPr>
            <w:tcW w:w="5000" w:type="pct"/>
            <w:gridSpan w:val="2"/>
            <w:tcBorders>
              <w:top w:val="nil"/>
              <w:bottom w:val="single" w:sz="4" w:space="0" w:color="66BCDB" w:themeColor="text2"/>
            </w:tcBorders>
          </w:tcPr>
          <w:p w14:paraId="627017A4" w14:textId="20E8EE46" w:rsidR="00516370" w:rsidRDefault="005C777C" w:rsidP="00C02B48">
            <w:pPr>
              <w:pStyle w:val="BodyText"/>
              <w:keepLines/>
            </w:pPr>
            <w:r>
              <w:t>Trade</w:t>
            </w:r>
            <w:r w:rsidR="009E2FE1">
              <w:t xml:space="preserve"> enables</w:t>
            </w:r>
            <w:r w:rsidR="00C010E1">
              <w:t xml:space="preserve"> Australian firms to </w:t>
            </w:r>
            <w:r w:rsidR="00EB7C45">
              <w:t>a</w:t>
            </w:r>
            <w:r w:rsidR="00C010E1">
              <w:t xml:space="preserve">ccess information and ideas about innovation from </w:t>
            </w:r>
            <w:r w:rsidR="006A18F9">
              <w:t>the</w:t>
            </w:r>
            <w:r w:rsidR="00865EE0">
              <w:t xml:space="preserve"> global</w:t>
            </w:r>
            <w:r w:rsidR="006A18F9">
              <w:t xml:space="preserve"> frontier</w:t>
            </w:r>
            <w:r w:rsidR="00C010E1">
              <w:t xml:space="preserve">, via their suppliers and customers. </w:t>
            </w:r>
            <w:r>
              <w:t>Imports</w:t>
            </w:r>
            <w:r w:rsidR="00042B98">
              <w:t xml:space="preserve"> are</w:t>
            </w:r>
            <w:r w:rsidR="00EB7C45">
              <w:t xml:space="preserve"> an important source </w:t>
            </w:r>
            <w:r>
              <w:t>of</w:t>
            </w:r>
            <w:r w:rsidR="00CA0E06">
              <w:t xml:space="preserve"> </w:t>
            </w:r>
            <w:r w:rsidR="00F761F3">
              <w:t>diffusion of</w:t>
            </w:r>
            <w:r w:rsidR="00CA0E06">
              <w:t xml:space="preserve"> intangible technology, </w:t>
            </w:r>
            <w:r w:rsidR="000C2B0D">
              <w:t xml:space="preserve">with </w:t>
            </w:r>
            <w:r w:rsidR="00CA0E06">
              <w:t>the</w:t>
            </w:r>
            <w:r w:rsidR="00DE1A14">
              <w:t xml:space="preserve"> value of </w:t>
            </w:r>
            <w:r w:rsidR="009522FA">
              <w:t>Australia</w:t>
            </w:r>
            <w:r w:rsidR="00E85D30">
              <w:t xml:space="preserve">’s </w:t>
            </w:r>
            <w:r w:rsidR="00DE1A14">
              <w:t xml:space="preserve">imports of </w:t>
            </w:r>
            <w:r w:rsidR="009522FA">
              <w:t>foreign intellectual property far exceed</w:t>
            </w:r>
            <w:r w:rsidR="00CA0E06">
              <w:t>ing</w:t>
            </w:r>
            <w:r w:rsidR="009522FA">
              <w:t xml:space="preserve"> intellectual property sales</w:t>
            </w:r>
            <w:r w:rsidR="00CA0E06">
              <w:t>.</w:t>
            </w:r>
            <w:r w:rsidR="00C02B48">
              <w:t xml:space="preserve"> </w:t>
            </w:r>
            <w:r w:rsidR="00D60312">
              <w:t xml:space="preserve">And for exporters, </w:t>
            </w:r>
            <w:r w:rsidR="000455BD">
              <w:t xml:space="preserve">selling to overseas customers and competing </w:t>
            </w:r>
            <w:r w:rsidR="004B13FA">
              <w:t xml:space="preserve">with </w:t>
            </w:r>
            <w:r w:rsidR="000455BD">
              <w:t xml:space="preserve">overseas firms provides exposure to new ideas and incentivises the adoption of </w:t>
            </w:r>
            <w:r w:rsidR="000D37E9">
              <w:t>product and process improvements.</w:t>
            </w:r>
          </w:p>
        </w:tc>
      </w:tr>
      <w:tr w:rsidR="003B699D" w14:paraId="7EBD966B" w14:textId="77777777" w:rsidTr="003B699D">
        <w:tc>
          <w:tcPr>
            <w:tcW w:w="5000" w:type="pct"/>
            <w:gridSpan w:val="2"/>
            <w:tcBorders>
              <w:top w:val="single" w:sz="4" w:space="0" w:color="66BCDB" w:themeColor="text2"/>
              <w:left w:val="nil"/>
              <w:bottom w:val="nil"/>
              <w:right w:val="nil"/>
            </w:tcBorders>
            <w:tcMar>
              <w:bottom w:w="0" w:type="dxa"/>
            </w:tcMar>
          </w:tcPr>
          <w:p w14:paraId="3A703C14" w14:textId="77777777" w:rsidR="003B699D" w:rsidRDefault="003B699D" w:rsidP="003B699D">
            <w:pPr>
              <w:pStyle w:val="NoSpacing"/>
              <w:spacing w:line="200" w:lineRule="atLeast"/>
            </w:pPr>
          </w:p>
        </w:tc>
      </w:tr>
    </w:tbl>
    <w:p w14:paraId="1D321436" w14:textId="77777777" w:rsidR="00557DD7" w:rsidRDefault="00557DD7" w:rsidP="00557DD7">
      <w:pPr>
        <w:pStyle w:val="Heading3"/>
      </w:pPr>
      <w:r>
        <w:t>Foreign direct investment is an important source of knowledge and expertise for Australian firms</w:t>
      </w:r>
    </w:p>
    <w:p w14:paraId="157D18DE" w14:textId="63199A7C" w:rsidR="00557DD7" w:rsidRPr="0097705F" w:rsidRDefault="000321BE" w:rsidP="001132A4">
      <w:pPr>
        <w:pStyle w:val="BodyText"/>
        <w:rPr>
          <w:spacing w:val="-2"/>
        </w:rPr>
      </w:pPr>
      <w:r w:rsidRPr="0097705F">
        <w:rPr>
          <w:spacing w:val="-2"/>
        </w:rPr>
        <w:t xml:space="preserve">Looking at trade between OECD countries, </w:t>
      </w:r>
      <w:r w:rsidRPr="0097705F">
        <w:rPr>
          <w:rFonts w:cs="Arial"/>
          <w:spacing w:val="-2"/>
          <w:szCs w:val="24"/>
        </w:rPr>
        <w:t>Bournakis, Christopoulos and Mallick</w:t>
      </w:r>
      <w:r w:rsidRPr="0097705F">
        <w:rPr>
          <w:spacing w:val="-2"/>
        </w:rPr>
        <w:t xml:space="preserve"> </w:t>
      </w:r>
      <w:r w:rsidRPr="0097705F">
        <w:rPr>
          <w:rFonts w:cs="Arial"/>
          <w:spacing w:val="-2"/>
          <w:szCs w:val="24"/>
        </w:rPr>
        <w:t>(2018, p. 14)</w:t>
      </w:r>
      <w:r w:rsidRPr="0097705F">
        <w:rPr>
          <w:spacing w:val="-2"/>
        </w:rPr>
        <w:t xml:space="preserve"> </w:t>
      </w:r>
      <w:r w:rsidR="00324734" w:rsidRPr="0097705F">
        <w:rPr>
          <w:spacing w:val="-2"/>
        </w:rPr>
        <w:t>concluded</w:t>
      </w:r>
      <w:r w:rsidRPr="0097705F">
        <w:rPr>
          <w:spacing w:val="-2"/>
        </w:rPr>
        <w:t xml:space="preserve"> that ‘imports together with FDI </w:t>
      </w:r>
      <w:r w:rsidR="002A2323" w:rsidRPr="0097705F">
        <w:rPr>
          <w:spacing w:val="-2"/>
        </w:rPr>
        <w:t xml:space="preserve">[foreign direct investment] </w:t>
      </w:r>
      <w:r w:rsidRPr="0097705F">
        <w:rPr>
          <w:spacing w:val="-2"/>
        </w:rPr>
        <w:t>are crucial vehicles for diffusion of foreign knowledge’</w:t>
      </w:r>
      <w:r w:rsidR="00D57D1F" w:rsidRPr="0097705F">
        <w:rPr>
          <w:spacing w:val="-2"/>
        </w:rPr>
        <w:t xml:space="preserve"> </w:t>
      </w:r>
      <w:r w:rsidR="00116531" w:rsidRPr="0097705F">
        <w:rPr>
          <w:rFonts w:cs="Arial"/>
          <w:spacing w:val="-2"/>
          <w:szCs w:val="24"/>
        </w:rPr>
        <w:t>(see also PC 2020c, p. 7)</w:t>
      </w:r>
      <w:r w:rsidR="00557DD7" w:rsidRPr="0097705F">
        <w:rPr>
          <w:spacing w:val="-2"/>
        </w:rPr>
        <w:t>. This is because it involves a material level of control and influence</w:t>
      </w:r>
      <w:r w:rsidR="00557DD7" w:rsidRPr="0097705F">
        <w:rPr>
          <w:rStyle w:val="FootnoteReference"/>
          <w:spacing w:val="-2"/>
        </w:rPr>
        <w:footnoteReference w:id="14"/>
      </w:r>
      <w:r w:rsidR="00557DD7" w:rsidRPr="0097705F">
        <w:rPr>
          <w:spacing w:val="-2"/>
        </w:rPr>
        <w:t xml:space="preserve"> by the foreign investor, who </w:t>
      </w:r>
      <w:r w:rsidR="00115395" w:rsidRPr="0097705F">
        <w:rPr>
          <w:spacing w:val="-2"/>
        </w:rPr>
        <w:t xml:space="preserve">is involved long term and </w:t>
      </w:r>
      <w:r w:rsidR="00557DD7" w:rsidRPr="0097705F">
        <w:rPr>
          <w:spacing w:val="-2"/>
        </w:rPr>
        <w:t>provides much more than a source of financial capital to firms. FDI</w:t>
      </w:r>
      <w:r w:rsidR="00557DD7" w:rsidRPr="0097705F" w:rsidDel="001976B6">
        <w:rPr>
          <w:spacing w:val="-2"/>
        </w:rPr>
        <w:t xml:space="preserve"> </w:t>
      </w:r>
      <w:r w:rsidR="00557DD7" w:rsidRPr="0097705F">
        <w:rPr>
          <w:spacing w:val="-2"/>
        </w:rPr>
        <w:t>brings expertise, new business models, technologies and processes as well as global connections, which can spread knowledge and good management practices to Australian firms.</w:t>
      </w:r>
      <w:r w:rsidR="001132A4" w:rsidRPr="0097705F">
        <w:rPr>
          <w:spacing w:val="-2"/>
        </w:rPr>
        <w:t xml:space="preserve"> </w:t>
      </w:r>
      <w:r w:rsidR="00557DD7" w:rsidRPr="0097705F">
        <w:rPr>
          <w:spacing w:val="-2"/>
        </w:rPr>
        <w:t xml:space="preserve">Majeed and Breunig </w:t>
      </w:r>
      <w:r w:rsidR="00557DD7" w:rsidRPr="0097705F">
        <w:rPr>
          <w:rFonts w:cs="Arial"/>
          <w:spacing w:val="-2"/>
          <w:szCs w:val="24"/>
        </w:rPr>
        <w:t>(2021, pp. 12–13)</w:t>
      </w:r>
      <w:r w:rsidR="00557DD7" w:rsidRPr="0097705F">
        <w:rPr>
          <w:spacing w:val="-2"/>
        </w:rPr>
        <w:t xml:space="preserve"> found that for the average Australian firm, foreign ownership was nearly as likely to result in the firm introducing new</w:t>
      </w:r>
      <w:r w:rsidR="00557DD7" w:rsidRPr="0097705F">
        <w:rPr>
          <w:spacing w:val="-2"/>
        </w:rPr>
        <w:noBreakHyphen/>
        <w:t>to</w:t>
      </w:r>
      <w:r w:rsidR="00557DD7" w:rsidRPr="0097705F">
        <w:rPr>
          <w:spacing w:val="-2"/>
        </w:rPr>
        <w:noBreakHyphen/>
        <w:t>Australia and new</w:t>
      </w:r>
      <w:r w:rsidR="00557DD7" w:rsidRPr="0097705F">
        <w:rPr>
          <w:spacing w:val="-2"/>
        </w:rPr>
        <w:noBreakHyphen/>
        <w:t>to</w:t>
      </w:r>
      <w:r w:rsidR="00557DD7" w:rsidRPr="0097705F">
        <w:rPr>
          <w:spacing w:val="-2"/>
        </w:rPr>
        <w:noBreakHyphen/>
        <w:t xml:space="preserve">world innovations as firms conducting their own R&amp;D. </w:t>
      </w:r>
    </w:p>
    <w:p w14:paraId="702B45CB" w14:textId="76AEBB70" w:rsidR="00557DD7" w:rsidRDefault="00557DD7" w:rsidP="00557DD7">
      <w:pPr>
        <w:pStyle w:val="BodyText"/>
      </w:pPr>
      <w:r w:rsidRPr="0096429B">
        <w:t xml:space="preserve">Just as international trade </w:t>
      </w:r>
      <w:r>
        <w:t>in goods</w:t>
      </w:r>
      <w:r w:rsidRPr="0096429B">
        <w:t xml:space="preserve"> </w:t>
      </w:r>
      <w:r w:rsidR="00325F08">
        <w:t>and services</w:t>
      </w:r>
      <w:r w:rsidRPr="0096429B">
        <w:t xml:space="preserve"> facilitates diffusion from the global frontier via several interrelated channels, FDI can facilitate innovation diffusion to Australian firms via several </w:t>
      </w:r>
      <w:r>
        <w:t xml:space="preserve">interrelated </w:t>
      </w:r>
      <w:r w:rsidRPr="0096429B">
        <w:t>channels</w:t>
      </w:r>
      <w:r>
        <w:t xml:space="preserve">. These include </w:t>
      </w:r>
      <w:r w:rsidRPr="0096429B">
        <w:t>FDI that takes the form of investment in R&amp;D</w:t>
      </w:r>
      <w:r>
        <w:t xml:space="preserve">; </w:t>
      </w:r>
      <w:r w:rsidRPr="0096429B">
        <w:t xml:space="preserve">knowledge spillovers from </w:t>
      </w:r>
      <w:r>
        <w:lastRenderedPageBreak/>
        <w:t>multinational corporation</w:t>
      </w:r>
      <w:r w:rsidRPr="0096429B">
        <w:t>s to domestic firms</w:t>
      </w:r>
      <w:r>
        <w:t xml:space="preserve">; and spillovers </w:t>
      </w:r>
      <w:r w:rsidR="00065C66">
        <w:t xml:space="preserve">to </w:t>
      </w:r>
      <w:r w:rsidR="00951699">
        <w:t>competing</w:t>
      </w:r>
      <w:r>
        <w:t xml:space="preserve"> firms</w:t>
      </w:r>
      <w:r w:rsidRPr="0096429B">
        <w:t xml:space="preserve"> </w:t>
      </w:r>
      <w:r w:rsidR="00951699">
        <w:t>in the same industry as those receiving FDI</w:t>
      </w:r>
      <w:r w:rsidRPr="0096429B">
        <w:t xml:space="preserve"> </w:t>
      </w:r>
      <w:r w:rsidR="00936D73" w:rsidRPr="00936D73">
        <w:rPr>
          <w:rFonts w:ascii="Arial" w:hAnsi="Arial" w:cs="Arial"/>
          <w:szCs w:val="24"/>
        </w:rPr>
        <w:t>(Kiriyama 2012, p. 12; PC 2020c, p. 58)</w:t>
      </w:r>
      <w:r w:rsidRPr="0096429B">
        <w:t>. Given that over 50</w:t>
      </w:r>
      <w:r w:rsidR="00E94315">
        <w:t>%</w:t>
      </w:r>
      <w:r w:rsidRPr="0096429B">
        <w:t xml:space="preserve"> of Australia’s inward FDI comes from advanced economies — the United States, Japan, the Unite</w:t>
      </w:r>
      <w:r>
        <w:t>d</w:t>
      </w:r>
      <w:r w:rsidRPr="0096429B">
        <w:t xml:space="preserve"> Kingdom, the Netherlands and Canada (figure </w:t>
      </w:r>
      <w:bookmarkStart w:id="40" w:name="_1723632677"/>
      <w:bookmarkStart w:id="41" w:name="_1724049651"/>
      <w:bookmarkStart w:id="42" w:name="_1723876811"/>
      <w:bookmarkStart w:id="43" w:name="_1723875708"/>
      <w:bookmarkStart w:id="44" w:name="_1723635335"/>
      <w:bookmarkStart w:id="45" w:name="_1723642525"/>
      <w:bookmarkStart w:id="46" w:name="_1723987456"/>
      <w:bookmarkEnd w:id="40"/>
      <w:bookmarkEnd w:id="41"/>
      <w:bookmarkEnd w:id="42"/>
      <w:bookmarkEnd w:id="43"/>
      <w:bookmarkEnd w:id="44"/>
      <w:bookmarkEnd w:id="45"/>
      <w:bookmarkEnd w:id="46"/>
      <w:r>
        <w:t>2.4</w:t>
      </w:r>
      <w:r w:rsidRPr="0096429B">
        <w:t>) —</w:t>
      </w:r>
      <w:r>
        <w:t xml:space="preserve"> it is likely that</w:t>
      </w:r>
      <w:r w:rsidRPr="0096429B">
        <w:t xml:space="preserve"> </w:t>
      </w:r>
      <w:r>
        <w:t>FDI creates significant opportunities</w:t>
      </w:r>
      <w:r w:rsidRPr="0096429B">
        <w:t xml:space="preserve"> for technology spillovers.</w:t>
      </w:r>
    </w:p>
    <w:p w14:paraId="472173A8" w14:textId="3A3C6A90" w:rsidR="00557DD7" w:rsidRPr="00146382" w:rsidRDefault="00557DD7" w:rsidP="0061514D">
      <w:pPr>
        <w:pStyle w:val="FigureTableHeading"/>
        <w:keepLines/>
      </w:pPr>
      <w:r>
        <w:t>Figure</w:t>
      </w:r>
      <w:bookmarkStart w:id="47" w:name="OLE_LINK10"/>
      <w:r w:rsidR="00A43B86">
        <w:t> </w:t>
      </w:r>
      <w:r>
        <w:rPr>
          <w:noProof/>
        </w:rPr>
        <w:t>2</w:t>
      </w:r>
      <w:r>
        <w:t>.</w:t>
      </w:r>
      <w:r>
        <w:rPr>
          <w:noProof/>
        </w:rPr>
        <w:t>4</w:t>
      </w:r>
      <w:bookmarkEnd w:id="47"/>
      <w:r>
        <w:rPr>
          <w:noProof/>
        </w:rPr>
        <w:t xml:space="preserve"> </w:t>
      </w:r>
      <w:r w:rsidR="002D5187">
        <w:t xml:space="preserve">– </w:t>
      </w:r>
      <w:r>
        <w:t>Over $450 billon of Australia’s inward FDI comes from the United States, Japan and the United Kingdom</w:t>
      </w:r>
    </w:p>
    <w:p w14:paraId="695ED80F" w14:textId="49A208E7" w:rsidR="00557DD7" w:rsidRDefault="00557DD7" w:rsidP="0061514D">
      <w:pPr>
        <w:pStyle w:val="Note"/>
        <w:keepNext/>
        <w:keepLines/>
        <w:rPr>
          <w:noProof/>
        </w:rPr>
      </w:pPr>
      <w:r w:rsidRPr="00EC74AE">
        <w:rPr>
          <w:rFonts w:asciiTheme="majorHAnsi" w:hAnsiTheme="majorHAnsi"/>
          <w:iCs/>
          <w:color w:val="58585B"/>
          <w:sz w:val="20"/>
          <w:szCs w:val="18"/>
        </w:rPr>
        <w:t>Australia</w:t>
      </w:r>
      <w:r w:rsidR="000565F7">
        <w:rPr>
          <w:rFonts w:asciiTheme="majorHAnsi" w:hAnsiTheme="majorHAnsi"/>
          <w:iCs/>
          <w:color w:val="58585B"/>
          <w:sz w:val="20"/>
          <w:szCs w:val="18"/>
        </w:rPr>
        <w:t>’</w:t>
      </w:r>
      <w:r w:rsidRPr="00EC74AE">
        <w:rPr>
          <w:rFonts w:asciiTheme="majorHAnsi" w:hAnsiTheme="majorHAnsi"/>
          <w:iCs/>
          <w:color w:val="58585B"/>
          <w:sz w:val="20"/>
          <w:szCs w:val="18"/>
        </w:rPr>
        <w:t>s main sources of foreign direct investment, 2020</w:t>
      </w:r>
    </w:p>
    <w:p w14:paraId="7693A418" w14:textId="77777777" w:rsidR="00557DD7" w:rsidRPr="005C6411" w:rsidRDefault="00557DD7" w:rsidP="00B50FAF">
      <w:pPr>
        <w:pStyle w:val="Note"/>
        <w:keepNext/>
        <w:keepLines/>
        <w:spacing w:after="0"/>
        <w:jc w:val="both"/>
        <w:rPr>
          <w:rStyle w:val="BodyTextChar"/>
        </w:rPr>
      </w:pPr>
      <w:r w:rsidRPr="001316EC">
        <w:rPr>
          <w:noProof/>
        </w:rPr>
        <w:drawing>
          <wp:inline distT="0" distB="0" distL="0" distR="0" wp14:anchorId="5F2C3A02" wp14:editId="2DE92584">
            <wp:extent cx="6120130" cy="2879725"/>
            <wp:effectExtent l="0" t="0" r="0" b="0"/>
            <wp:docPr id="85" name="Picture 85" descr="This figure shows the countries that are Australia's main sources of foreign direct investment stock in 2020. The US, Japan, and the UK are the three larg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is figure shows the countries that are Australia's main sources of foreign direct investment stock in 2020. The US, Japan, and the UK are the three largest.&#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190B1519" w14:textId="0A5DEF4C" w:rsidR="00557DD7" w:rsidRPr="00B363A5" w:rsidRDefault="00557DD7" w:rsidP="00B50FAF">
      <w:pPr>
        <w:pStyle w:val="Source"/>
        <w:spacing w:before="0"/>
      </w:pPr>
      <w:r w:rsidRPr="00B363A5">
        <w:t>Source: Austrade</w:t>
      </w:r>
      <w:r>
        <w:t xml:space="preserve"> </w:t>
      </w:r>
      <w:r w:rsidR="00116531" w:rsidRPr="00116531">
        <w:rPr>
          <w:rFonts w:ascii="Arial" w:hAnsi="Arial" w:cs="Arial"/>
        </w:rPr>
        <w:t>(2021c)</w:t>
      </w:r>
      <w:r>
        <w:t>.</w:t>
      </w:r>
    </w:p>
    <w:p w14:paraId="3AE84C45" w14:textId="17E949AC" w:rsidR="00EB3305" w:rsidRDefault="00C50EF6" w:rsidP="00C50EF6">
      <w:pPr>
        <w:pStyle w:val="BodyText"/>
      </w:pPr>
      <w:r>
        <w:t xml:space="preserve">In addition, although the literature </w:t>
      </w:r>
      <w:r w:rsidR="002D5187">
        <w:t xml:space="preserve">focuses </w:t>
      </w:r>
      <w:r w:rsidR="008B2584">
        <w:t>on</w:t>
      </w:r>
      <w:r w:rsidR="001330E3">
        <w:t xml:space="preserve"> </w:t>
      </w:r>
      <w:r w:rsidR="00C20EE2">
        <w:t xml:space="preserve">inbound FDI as </w:t>
      </w:r>
      <w:r w:rsidR="00F83C02">
        <w:t xml:space="preserve">the more significant </w:t>
      </w:r>
      <w:r w:rsidR="00C20EE2">
        <w:t xml:space="preserve">channel for diffusing </w:t>
      </w:r>
      <w:r w:rsidR="00747EAD">
        <w:t xml:space="preserve">innovations from overseas, outbound FDI </w:t>
      </w:r>
      <w:r w:rsidR="0019687A">
        <w:t xml:space="preserve">also </w:t>
      </w:r>
      <w:r w:rsidR="008F3C58">
        <w:t>represents a potential source of new ideas</w:t>
      </w:r>
      <w:r w:rsidR="0018727F">
        <w:t xml:space="preserve"> and knowledge</w:t>
      </w:r>
      <w:r w:rsidR="009A711E">
        <w:t>.</w:t>
      </w:r>
      <w:r w:rsidR="00F83C02">
        <w:t xml:space="preserve"> For example, </w:t>
      </w:r>
      <w:r w:rsidR="00D4161C">
        <w:t xml:space="preserve">Australian </w:t>
      </w:r>
      <w:r w:rsidR="00945DF5">
        <w:t>businesses</w:t>
      </w:r>
      <w:r w:rsidR="00D4161C">
        <w:t xml:space="preserve"> making direct investments in overseas companies may </w:t>
      </w:r>
      <w:r w:rsidR="00793E41">
        <w:t xml:space="preserve">learn about and </w:t>
      </w:r>
      <w:r w:rsidR="0018727F">
        <w:t xml:space="preserve">bring back product and process </w:t>
      </w:r>
      <w:r w:rsidR="00361A23">
        <w:t xml:space="preserve">innovations that can be implemented </w:t>
      </w:r>
      <w:r w:rsidR="00EB3305">
        <w:t xml:space="preserve">in their domestic operations. </w:t>
      </w:r>
      <w:r w:rsidR="00C327DA">
        <w:t xml:space="preserve">This channel could become more important in the future as Australia </w:t>
      </w:r>
      <w:r w:rsidR="00037626">
        <w:t xml:space="preserve">increasingly exports equity capital, such as through outbound investment from </w:t>
      </w:r>
      <w:r w:rsidR="00B92D23">
        <w:t>our growing superannuation funds (noting that much of this will occur as out</w:t>
      </w:r>
      <w:r w:rsidR="00246E15">
        <w:t xml:space="preserve">bound portfolio — rather than direct — investment, </w:t>
      </w:r>
      <w:r w:rsidR="00AF33A3">
        <w:t>which would not have the same diffusion benefits).</w:t>
      </w:r>
      <w:r w:rsidR="00246E15">
        <w:t xml:space="preserve"> </w:t>
      </w:r>
    </w:p>
    <w:p w14:paraId="5935149B" w14:textId="45DBFD1C" w:rsidR="00557DD7" w:rsidRDefault="00557DD7" w:rsidP="00557DD7">
      <w:pPr>
        <w:pStyle w:val="Heading4"/>
      </w:pPr>
      <w:r>
        <w:t>Investment in R&amp;D</w:t>
      </w:r>
    </w:p>
    <w:p w14:paraId="646464CF" w14:textId="77777777" w:rsidR="00557DD7" w:rsidRDefault="00557DD7" w:rsidP="00557DD7">
      <w:pPr>
        <w:pStyle w:val="BodyText"/>
      </w:pPr>
      <w:r>
        <w:t>F</w:t>
      </w:r>
      <w:r w:rsidRPr="000845A8">
        <w:t xml:space="preserve">oreign investment in R&amp;D can be a channel for diffusing </w:t>
      </w:r>
      <w:r>
        <w:t>innovation</w:t>
      </w:r>
      <w:r w:rsidRPr="000845A8">
        <w:t xml:space="preserve"> from the global frontier </w:t>
      </w:r>
      <w:r>
        <w:t>as it provides a mechanism for innovations to be adapted to the Australian market, as well as transferring skills and knowledge to Australian firms.</w:t>
      </w:r>
    </w:p>
    <w:p w14:paraId="7A7C459E" w14:textId="2D6BCA91" w:rsidR="00557DD7" w:rsidRDefault="00557DD7" w:rsidP="00557DD7">
      <w:pPr>
        <w:pStyle w:val="BodyText"/>
      </w:pPr>
      <w:r>
        <w:t xml:space="preserve">R&amp;D can facilitate diffusion of innovation by being a channel for multinational corporation investment to adapt innovations to the Australian market. For example, </w:t>
      </w:r>
      <w:r w:rsidRPr="00526CFB">
        <w:t>Neoen</w:t>
      </w:r>
      <w:r>
        <w:t>, which has invested more than A$3 billion in Australian renewables since 2012,</w:t>
      </w:r>
      <w:r w:rsidRPr="00526CFB">
        <w:t xml:space="preserve"> </w:t>
      </w:r>
      <w:r w:rsidR="000565F7">
        <w:t>‘</w:t>
      </w:r>
      <w:r w:rsidRPr="00526CFB">
        <w:t>has also tested and deployed batteries at a large scale and with significant innovation. These projects were undertaken in collaboration with Tesla and network operators</w:t>
      </w:r>
      <w:r w:rsidR="000565F7">
        <w:t>’</w:t>
      </w:r>
      <w:r>
        <w:t xml:space="preserve"> </w:t>
      </w:r>
      <w:r w:rsidR="00116531" w:rsidRPr="00116531">
        <w:rPr>
          <w:rFonts w:ascii="Arial" w:hAnsi="Arial" w:cs="Arial"/>
          <w:szCs w:val="24"/>
        </w:rPr>
        <w:t>(Austrade 2021b)</w:t>
      </w:r>
      <w:r>
        <w:t xml:space="preserve">. Similarly, Accenture has announced it will establish the ‘Accenture Adelaide Hub’, which </w:t>
      </w:r>
      <w:r w:rsidR="000565F7">
        <w:t>‘</w:t>
      </w:r>
      <w:r w:rsidRPr="005F57DE">
        <w:t>will include the development of National Security Operations and Cyber Defence capabilities, new Advanced Technology Centres of Excellence in areas such as Oracle, SAP, Splunk and Salesforce and Intelligent Operations capabilities to develop and deploy advanced analytics and artificial intelligence</w:t>
      </w:r>
      <w:r w:rsidR="000565F7">
        <w:t>’</w:t>
      </w:r>
      <w:r>
        <w:t xml:space="preserve"> </w:t>
      </w:r>
      <w:r w:rsidRPr="00491C9E">
        <w:rPr>
          <w:rFonts w:ascii="Arial" w:hAnsi="Arial" w:cs="Arial"/>
          <w:szCs w:val="24"/>
        </w:rPr>
        <w:t>(DTI 2020)</w:t>
      </w:r>
      <w:r>
        <w:t xml:space="preserve">. As </w:t>
      </w:r>
      <w:r>
        <w:lastRenderedPageBreak/>
        <w:t>well as creating novel innovations, these initiatives can serve to diffuse ideas and expertise from abroad to the Australian market.</w:t>
      </w:r>
    </w:p>
    <w:p w14:paraId="0C87B83C" w14:textId="017010A6" w:rsidR="00557DD7" w:rsidRDefault="00557DD7" w:rsidP="00557DD7">
      <w:pPr>
        <w:pStyle w:val="BodyText"/>
      </w:pPr>
      <w:bookmarkStart w:id="48" w:name="_1723633490"/>
      <w:bookmarkEnd w:id="48"/>
      <w:r>
        <w:t>In 2019</w:t>
      </w:r>
      <w:r w:rsidR="000565F7">
        <w:noBreakHyphen/>
      </w:r>
      <w:r>
        <w:t xml:space="preserve">20 </w:t>
      </w:r>
      <w:r w:rsidR="00CB5A0C">
        <w:t>about</w:t>
      </w:r>
      <w:r>
        <w:t xml:space="preserve"> $351 million invested by businesses in Australian R&amp;D came from overseas, representing </w:t>
      </w:r>
      <w:r w:rsidR="00CB5A0C">
        <w:t>about</w:t>
      </w:r>
      <w:r>
        <w:t xml:space="preserve"> 1.9</w:t>
      </w:r>
      <w:r w:rsidR="00E94315">
        <w:t>%</w:t>
      </w:r>
      <w:r>
        <w:t xml:space="preserve"> of the total spent by businesses on R&amp;D in Australia </w:t>
      </w:r>
      <w:r w:rsidR="00116531" w:rsidRPr="00116531">
        <w:rPr>
          <w:rFonts w:ascii="Arial" w:hAnsi="Arial" w:cs="Arial"/>
          <w:szCs w:val="24"/>
        </w:rPr>
        <w:t>(ABS 2021c)</w:t>
      </w:r>
      <w:r>
        <w:t xml:space="preserve">, which is </w:t>
      </w:r>
      <w:r w:rsidR="001C7C3A">
        <w:t xml:space="preserve">very </w:t>
      </w:r>
      <w:r>
        <w:t xml:space="preserve">low compared </w:t>
      </w:r>
      <w:r w:rsidR="00037118">
        <w:t>with</w:t>
      </w:r>
      <w:r>
        <w:t xml:space="preserve"> the rest of the OECD (figure </w:t>
      </w:r>
      <w:bookmarkStart w:id="49" w:name="_1724049657"/>
      <w:bookmarkStart w:id="50" w:name="_1723876818"/>
      <w:bookmarkStart w:id="51" w:name="_1723875712"/>
      <w:bookmarkStart w:id="52" w:name="_1723635341"/>
      <w:bookmarkStart w:id="53" w:name="_1723642532"/>
      <w:bookmarkStart w:id="54" w:name="_1723989464"/>
      <w:bookmarkStart w:id="55" w:name="_1723987120"/>
      <w:bookmarkEnd w:id="49"/>
      <w:bookmarkEnd w:id="50"/>
      <w:bookmarkEnd w:id="51"/>
      <w:bookmarkEnd w:id="52"/>
      <w:bookmarkEnd w:id="53"/>
      <w:bookmarkEnd w:id="54"/>
      <w:bookmarkEnd w:id="55"/>
      <w:r>
        <w:t>2.5). This suggests that encouraging FDI may increase investment in R&amp;D from overseas sources that bring the potential for innovation diffusion.</w:t>
      </w:r>
    </w:p>
    <w:p w14:paraId="4DB396C2" w14:textId="7E4346B2" w:rsidR="00557DD7" w:rsidRPr="00146382" w:rsidRDefault="00557DD7" w:rsidP="0061514D">
      <w:pPr>
        <w:pStyle w:val="FigureTableHeading"/>
        <w:keepLines/>
      </w:pPr>
      <w:r>
        <w:t>Figure</w:t>
      </w:r>
      <w:bookmarkStart w:id="56" w:name="OLE_LINK12"/>
      <w:r w:rsidR="00A43B86">
        <w:t> </w:t>
      </w:r>
      <w:r>
        <w:rPr>
          <w:noProof/>
        </w:rPr>
        <w:t>2</w:t>
      </w:r>
      <w:r>
        <w:t>.</w:t>
      </w:r>
      <w:r>
        <w:rPr>
          <w:noProof/>
        </w:rPr>
        <w:t>5</w:t>
      </w:r>
      <w:bookmarkEnd w:id="56"/>
      <w:r>
        <w:rPr>
          <w:noProof/>
        </w:rPr>
        <w:t xml:space="preserve"> </w:t>
      </w:r>
      <w:r>
        <w:t xml:space="preserve">– Compared </w:t>
      </w:r>
      <w:r w:rsidR="00037118">
        <w:t>with</w:t>
      </w:r>
      <w:r>
        <w:t xml:space="preserve"> other OECD economies, relatively little Australian R&amp;D funding comes from overseas</w:t>
      </w:r>
      <w:r w:rsidRPr="00066CF5">
        <w:rPr>
          <w:vertAlign w:val="superscript"/>
        </w:rPr>
        <w:t>a</w:t>
      </w:r>
    </w:p>
    <w:p w14:paraId="7DAB7CD2" w14:textId="77777777" w:rsidR="00557DD7" w:rsidRDefault="00557DD7" w:rsidP="0061514D">
      <w:pPr>
        <w:pStyle w:val="Note"/>
        <w:keepNext/>
        <w:keepLines/>
      </w:pPr>
      <w:r>
        <w:rPr>
          <w:rFonts w:asciiTheme="majorHAnsi" w:hAnsiTheme="majorHAnsi"/>
          <w:iCs/>
          <w:color w:val="58585B"/>
          <w:sz w:val="20"/>
          <w:szCs w:val="18"/>
        </w:rPr>
        <w:t>B</w:t>
      </w:r>
      <w:r w:rsidRPr="005E262D">
        <w:rPr>
          <w:rFonts w:asciiTheme="majorHAnsi" w:hAnsiTheme="majorHAnsi"/>
          <w:iCs/>
          <w:color w:val="58585B"/>
          <w:sz w:val="20"/>
          <w:szCs w:val="18"/>
        </w:rPr>
        <w:t xml:space="preserve">usiness expenditure on </w:t>
      </w:r>
      <w:r>
        <w:rPr>
          <w:rFonts w:asciiTheme="majorHAnsi" w:hAnsiTheme="majorHAnsi"/>
          <w:iCs/>
          <w:color w:val="58585B"/>
          <w:sz w:val="20"/>
          <w:szCs w:val="18"/>
        </w:rPr>
        <w:t>R&amp;D</w:t>
      </w:r>
      <w:r w:rsidRPr="005E262D">
        <w:rPr>
          <w:rFonts w:asciiTheme="majorHAnsi" w:hAnsiTheme="majorHAnsi"/>
          <w:iCs/>
          <w:color w:val="58585B"/>
          <w:sz w:val="20"/>
          <w:szCs w:val="18"/>
        </w:rPr>
        <w:t xml:space="preserve"> from overseas sources</w:t>
      </w:r>
      <w:r>
        <w:rPr>
          <w:rFonts w:asciiTheme="majorHAnsi" w:hAnsiTheme="majorHAnsi"/>
          <w:iCs/>
          <w:color w:val="58585B"/>
          <w:sz w:val="20"/>
          <w:szCs w:val="18"/>
        </w:rPr>
        <w:t>, OECD 2019</w:t>
      </w:r>
    </w:p>
    <w:p w14:paraId="36E07728" w14:textId="77777777" w:rsidR="00557DD7" w:rsidRDefault="00557DD7" w:rsidP="0061514D">
      <w:pPr>
        <w:pStyle w:val="Note"/>
        <w:keepNext/>
        <w:keepLines/>
        <w:rPr>
          <w:b/>
          <w:bCs/>
        </w:rPr>
      </w:pPr>
      <w:r w:rsidRPr="00090679">
        <w:rPr>
          <w:noProof/>
        </w:rPr>
        <w:drawing>
          <wp:inline distT="0" distB="0" distL="0" distR="0" wp14:anchorId="0BF30381" wp14:editId="7586D96F">
            <wp:extent cx="6120130" cy="2873375"/>
            <wp:effectExtent l="0" t="0" r="0" b="0"/>
            <wp:docPr id="27" name="Picture 27" descr="This figure shows OECD countries per cent of total business expenditure on research and development from overseas sources in 2019. Australia has the fourth smallest sh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figure shows OECD countries per cent of total business expenditure on research and development from overseas sources in 2019. Australia has the fourth smallest share.&#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5C47FE8A" w14:textId="4B3D0B5E" w:rsidR="00557DD7" w:rsidRDefault="00557DD7" w:rsidP="00557DD7">
      <w:pPr>
        <w:pStyle w:val="Note"/>
        <w:keepLines/>
      </w:pPr>
      <w:r w:rsidRPr="00180E66">
        <w:rPr>
          <w:b/>
          <w:bCs/>
        </w:rPr>
        <w:t>a.</w:t>
      </w:r>
      <w:r>
        <w:t xml:space="preserve"> OECD data: </w:t>
      </w:r>
      <w:r w:rsidR="0096107C">
        <w:t>t</w:t>
      </w:r>
      <w:r w:rsidRPr="001E01BC">
        <w:t>his table presents research and development (R&amp;D) expenditure statistics performed in the business enterprise sector by industry according to the International Standard Industrial Classification (ISIC) revision 4 and by source of funds (business enterprise, government, other national funds, and funds from the rest of the world)</w:t>
      </w:r>
      <w:r>
        <w:t>.</w:t>
      </w:r>
    </w:p>
    <w:p w14:paraId="50FCD923" w14:textId="1807FCB0" w:rsidR="00557DD7" w:rsidRDefault="00557DD7" w:rsidP="00557DD7">
      <w:pPr>
        <w:pStyle w:val="Source"/>
      </w:pPr>
      <w:r w:rsidRPr="00696447">
        <w:t>Source:</w:t>
      </w:r>
      <w:r>
        <w:t xml:space="preserve"> OECD </w:t>
      </w:r>
      <w:r w:rsidRPr="00FE52DB">
        <w:rPr>
          <w:rFonts w:ascii="Arial" w:hAnsi="Arial" w:cs="Arial"/>
        </w:rPr>
        <w:t>(2022a)</w:t>
      </w:r>
      <w:r>
        <w:t>.</w:t>
      </w:r>
    </w:p>
    <w:p w14:paraId="0F22E7DD" w14:textId="77777777" w:rsidR="00557DD7" w:rsidRDefault="00557DD7" w:rsidP="00557DD7">
      <w:pPr>
        <w:pStyle w:val="Heading4"/>
      </w:pPr>
      <w:r>
        <w:t>Knowledge spillovers</w:t>
      </w:r>
    </w:p>
    <w:p w14:paraId="4925BC16" w14:textId="3DEE9B51" w:rsidR="00557DD7" w:rsidRDefault="00557DD7" w:rsidP="00557DD7">
      <w:pPr>
        <w:pStyle w:val="BodyText"/>
      </w:pPr>
      <w:r>
        <w:t xml:space="preserve">Inward FDI leads to interactions between multinational corporations and </w:t>
      </w:r>
      <w:r w:rsidR="00321412">
        <w:t xml:space="preserve">their </w:t>
      </w:r>
      <w:r>
        <w:t xml:space="preserve">domestic </w:t>
      </w:r>
      <w:r w:rsidR="00321412">
        <w:t>customers and suppliers</w:t>
      </w:r>
      <w:r>
        <w:t xml:space="preserve"> that</w:t>
      </w:r>
      <w:r w:rsidRPr="00F118FD">
        <w:t xml:space="preserve"> </w:t>
      </w:r>
      <w:r>
        <w:t>can</w:t>
      </w:r>
      <w:r w:rsidRPr="00F118FD">
        <w:t xml:space="preserve"> </w:t>
      </w:r>
      <w:r>
        <w:t xml:space="preserve">generate </w:t>
      </w:r>
      <w:r w:rsidRPr="00F118FD">
        <w:t>spillovers</w:t>
      </w:r>
      <w:r>
        <w:t xml:space="preserve"> — sometimes referred to as </w:t>
      </w:r>
      <w:r w:rsidR="000565F7">
        <w:t>‘</w:t>
      </w:r>
      <w:r>
        <w:t>vertical spillovers</w:t>
      </w:r>
      <w:r w:rsidR="000565F7">
        <w:t>’</w:t>
      </w:r>
      <w:r>
        <w:t xml:space="preserve"> </w:t>
      </w:r>
      <w:r w:rsidRPr="006D7AF7">
        <w:rPr>
          <w:rFonts w:ascii="Arial" w:hAnsi="Arial" w:cs="Arial"/>
          <w:szCs w:val="24"/>
        </w:rPr>
        <w:t>(Criscuolo and Timmis 2017, pp. 71–72)</w:t>
      </w:r>
      <w:r>
        <w:t>. These can include spillovers of technology, innovation, technical know</w:t>
      </w:r>
      <w:r>
        <w:noBreakHyphen/>
        <w:t xml:space="preserve">how and management capability </w:t>
      </w:r>
      <w:r w:rsidR="00936D73" w:rsidRPr="00936D73">
        <w:rPr>
          <w:rFonts w:ascii="Arial" w:hAnsi="Arial" w:cs="Arial"/>
          <w:szCs w:val="24"/>
        </w:rPr>
        <w:t>(PC 2020c, p. 58)</w:t>
      </w:r>
      <w:r w:rsidDel="00997840">
        <w:t xml:space="preserve"> </w:t>
      </w:r>
      <w:r>
        <w:t xml:space="preserve">that lead to improved general productivity for local firms </w:t>
      </w:r>
      <w:r w:rsidRPr="00B8367E">
        <w:rPr>
          <w:rFonts w:ascii="Arial" w:hAnsi="Arial" w:cs="Arial"/>
          <w:szCs w:val="24"/>
        </w:rPr>
        <w:t>(BCA 2010; McKissack and Xu 2016, p. 11; Roy 2016, p. 152)</w:t>
      </w:r>
      <w:r>
        <w:t>. For example, multinational corporations</w:t>
      </w:r>
      <w:r w:rsidRPr="00D1220D">
        <w:t xml:space="preserve"> </w:t>
      </w:r>
      <w:r>
        <w:t>may</w:t>
      </w:r>
      <w:r w:rsidRPr="00D1220D">
        <w:t xml:space="preserve"> demand more or better</w:t>
      </w:r>
      <w:r w:rsidR="00AD28D1">
        <w:noBreakHyphen/>
      </w:r>
      <w:r w:rsidRPr="00D1220D">
        <w:t xml:space="preserve">quality inputs from </w:t>
      </w:r>
      <w:proofErr w:type="gramStart"/>
      <w:r w:rsidRPr="00D1220D">
        <w:t>suppliers</w:t>
      </w:r>
      <w:r>
        <w:t>,</w:t>
      </w:r>
      <w:r w:rsidRPr="00D1220D">
        <w:t xml:space="preserve"> and</w:t>
      </w:r>
      <w:proofErr w:type="gramEnd"/>
      <w:r w:rsidRPr="00D1220D">
        <w:t xml:space="preserve"> may directly share knowledge and technology and encourage the adoption of new practices to achieve this</w:t>
      </w:r>
      <w:r w:rsidR="00D155D4">
        <w:t xml:space="preserve"> (</w:t>
      </w:r>
      <w:r w:rsidR="007A2F0C">
        <w:t>b</w:t>
      </w:r>
      <w:r w:rsidR="00D155D4">
        <w:t>ox</w:t>
      </w:r>
      <w:r w:rsidR="007A2F0C">
        <w:t> 2.1)</w:t>
      </w:r>
      <w:r>
        <w:t>.</w:t>
      </w:r>
    </w:p>
    <w:p w14:paraId="3A26249E" w14:textId="7B07C6CE" w:rsidR="00ED17B7" w:rsidRDefault="00557DD7" w:rsidP="00557DD7">
      <w:pPr>
        <w:pStyle w:val="BodyText"/>
      </w:pPr>
      <w:r>
        <w:t>FDI can have a direct impact on Australian workers’ skills and knowledge as foreign</w:t>
      </w:r>
      <w:r>
        <w:noBreakHyphen/>
        <w:t xml:space="preserve">owned firms provide formal (such as </w:t>
      </w:r>
      <w:r w:rsidRPr="002A75AF">
        <w:t>seminars</w:t>
      </w:r>
      <w:r>
        <w:t xml:space="preserve"> or courses) and informal (such as on</w:t>
      </w:r>
      <w:r>
        <w:noBreakHyphen/>
        <w:t>the</w:t>
      </w:r>
      <w:r>
        <w:noBreakHyphen/>
        <w:t xml:space="preserve">job) training </w:t>
      </w:r>
      <w:r w:rsidR="007513D7">
        <w:t>to their workers</w:t>
      </w:r>
      <w:r>
        <w:t xml:space="preserve"> </w:t>
      </w:r>
      <w:r w:rsidR="00936D73" w:rsidRPr="00936D73">
        <w:rPr>
          <w:rFonts w:ascii="Arial" w:hAnsi="Arial" w:cs="Arial"/>
          <w:szCs w:val="24"/>
        </w:rPr>
        <w:t>(PC 2020c, p. 62)</w:t>
      </w:r>
      <w:r>
        <w:t xml:space="preserve">. In the services industry, spillovers can occur when multinational corporations partner with training providers to improve the training and skills </w:t>
      </w:r>
      <w:r w:rsidR="00697C4C">
        <w:t>of their workers and of their customers’</w:t>
      </w:r>
      <w:r w:rsidR="00505724">
        <w:t xml:space="preserve"> and </w:t>
      </w:r>
      <w:r w:rsidR="00697C4C">
        <w:t>suppliers’ workers</w:t>
      </w:r>
      <w:r w:rsidRPr="003A2C36">
        <w:t>. For example,</w:t>
      </w:r>
      <w:r w:rsidR="00ED17B7" w:rsidRPr="003A2C36">
        <w:t xml:space="preserve"> </w:t>
      </w:r>
      <w:r w:rsidR="00874787">
        <w:t xml:space="preserve">in </w:t>
      </w:r>
      <w:r w:rsidR="003316ED">
        <w:t xml:space="preserve">2022 </w:t>
      </w:r>
      <w:r w:rsidR="001A54FD">
        <w:t xml:space="preserve">Apple </w:t>
      </w:r>
      <w:r w:rsidR="003316ED">
        <w:t xml:space="preserve">expanded its </w:t>
      </w:r>
      <w:r w:rsidR="001A54FD">
        <w:t>partner</w:t>
      </w:r>
      <w:r w:rsidR="003316ED">
        <w:t>ship</w:t>
      </w:r>
      <w:r w:rsidR="00702BF7">
        <w:t xml:space="preserve"> </w:t>
      </w:r>
      <w:r w:rsidR="00D01EFA">
        <w:t xml:space="preserve">with </w:t>
      </w:r>
      <w:r w:rsidR="001A54FD" w:rsidRPr="001A54FD">
        <w:t>RMIT University</w:t>
      </w:r>
      <w:r w:rsidR="00D01EFA" w:rsidRPr="003A2C36">
        <w:t xml:space="preserve"> and </w:t>
      </w:r>
      <w:r w:rsidR="001A54FD" w:rsidRPr="001A54FD">
        <w:t>the University of Technology Sydney</w:t>
      </w:r>
      <w:r w:rsidR="001A54FD" w:rsidRPr="001A54FD" w:rsidDel="00AA4795">
        <w:t xml:space="preserve"> </w:t>
      </w:r>
      <w:r w:rsidR="008F3BD5">
        <w:t>to deliver coding and iOS training</w:t>
      </w:r>
      <w:r w:rsidR="000B6185" w:rsidRPr="003A2C36">
        <w:t xml:space="preserve"> </w:t>
      </w:r>
      <w:r w:rsidR="00005A7E">
        <w:t>in Australia</w:t>
      </w:r>
      <w:r w:rsidR="008F3BD5">
        <w:t xml:space="preserve"> </w:t>
      </w:r>
      <w:r w:rsidR="00116531" w:rsidRPr="00116531">
        <w:rPr>
          <w:rFonts w:ascii="Arial" w:hAnsi="Arial" w:cs="Arial"/>
          <w:szCs w:val="24"/>
        </w:rPr>
        <w:t>(Apple 2022)</w:t>
      </w:r>
      <w:r w:rsidR="00005A7E">
        <w:t>.</w:t>
      </w:r>
      <w:bookmarkStart w:id="57" w:name="_Hlk113356477"/>
      <w:r w:rsidR="00A43B86">
        <w:t xml:space="preserve"> </w:t>
      </w:r>
    </w:p>
    <w:bookmarkEnd w:id="57"/>
    <w:p w14:paraId="64D4FFF6" w14:textId="03ED0151" w:rsidR="00557DD7" w:rsidRPr="00F82BD9" w:rsidRDefault="00557DD7" w:rsidP="00557DD7">
      <w:pPr>
        <w:pStyle w:val="BodyText"/>
      </w:pPr>
      <w:r>
        <w:lastRenderedPageBreak/>
        <w:t xml:space="preserve">Innovation diffusion can also occur through </w:t>
      </w:r>
      <w:r w:rsidR="00FC24BC">
        <w:t>‘</w:t>
      </w:r>
      <w:r>
        <w:t>horizontal spillovers</w:t>
      </w:r>
      <w:r w:rsidR="0037267C">
        <w:t>’</w:t>
      </w:r>
      <w:r>
        <w:t xml:space="preserve"> to </w:t>
      </w:r>
      <w:r w:rsidR="00FC24BC">
        <w:t>their competitors</w:t>
      </w:r>
      <w:r>
        <w:t xml:space="preserve">. </w:t>
      </w:r>
      <w:r w:rsidR="002019BE">
        <w:t>Local</w:t>
      </w:r>
      <w:r>
        <w:t xml:space="preserve"> firms </w:t>
      </w:r>
      <w:r w:rsidR="002019BE">
        <w:t>may</w:t>
      </w:r>
      <w:r>
        <w:t xml:space="preserve"> </w:t>
      </w:r>
      <w:r w:rsidR="000565F7">
        <w:t>‘</w:t>
      </w:r>
      <w:r>
        <w:t>observ</w:t>
      </w:r>
      <w:r w:rsidR="002019BE">
        <w:t>[e]</w:t>
      </w:r>
      <w:r>
        <w:t xml:space="preserve"> foreign firms, or diffusion might occur from labor turnover as domestic employees move from foreign to domestic firms</w:t>
      </w:r>
      <w:r w:rsidR="000565F7">
        <w:t>’</w:t>
      </w:r>
      <w:r>
        <w:t xml:space="preserve"> </w:t>
      </w:r>
      <w:r w:rsidRPr="003B6948">
        <w:rPr>
          <w:rFonts w:ascii="Arial" w:hAnsi="Arial" w:cs="Arial"/>
          <w:szCs w:val="24"/>
        </w:rPr>
        <w:t>(Keller 2021, p. 10)</w:t>
      </w:r>
      <w:r>
        <w:t>. A major potential channel for horizontal spillovers is the movement of workers between firms (section</w:t>
      </w:r>
      <w:r w:rsidR="000565F7">
        <w:t> </w:t>
      </w:r>
      <w:r>
        <w:t xml:space="preserve">2.4). However, empirical evidence of these spillovers is harder to observe </w:t>
      </w:r>
      <w:r w:rsidRPr="0049736B">
        <w:rPr>
          <w:rFonts w:ascii="Arial" w:hAnsi="Arial" w:cs="Arial"/>
          <w:szCs w:val="24"/>
        </w:rPr>
        <w:t>(Gorg and Greenaway 2004, p. 1; Mistura and Roulet 2019, pp. 13–14)</w:t>
      </w:r>
      <w:r>
        <w:t xml:space="preserve">, with some studies finding supporting evidence for horizontal spillovers </w:t>
      </w:r>
      <w:r w:rsidRPr="003538AA">
        <w:rPr>
          <w:rFonts w:ascii="Arial" w:hAnsi="Arial" w:cs="Arial"/>
          <w:szCs w:val="24"/>
        </w:rPr>
        <w:t>(Javorcik and Spatareanu 2008, pp. 12–15)</w:t>
      </w:r>
      <w:r>
        <w:t xml:space="preserve"> and some finding no evidence </w:t>
      </w:r>
      <w:r w:rsidRPr="000B64CA">
        <w:rPr>
          <w:rFonts w:ascii="Arial" w:hAnsi="Arial" w:cs="Arial"/>
          <w:szCs w:val="24"/>
        </w:rPr>
        <w:t>(Javorcik 2004, pp. 13–17; Newman et al. 2015, pp. 179–184)</w:t>
      </w:r>
      <w:r>
        <w:t>.</w:t>
      </w:r>
    </w:p>
    <w:p w14:paraId="211CC90F" w14:textId="77777777" w:rsidR="00306844" w:rsidRPr="00F82BD9" w:rsidRDefault="00306844" w:rsidP="00306844">
      <w:pPr>
        <w:pStyle w:val="NoSpacing"/>
      </w:pPr>
    </w:p>
    <w:tbl>
      <w:tblPr>
        <w:tblStyle w:val="Boxtable"/>
        <w:tblW w:w="5000" w:type="pct"/>
        <w:tblLook w:val="04A0" w:firstRow="1" w:lastRow="0" w:firstColumn="1" w:lastColumn="0" w:noHBand="0" w:noVBand="1"/>
      </w:tblPr>
      <w:tblGrid>
        <w:gridCol w:w="9638"/>
      </w:tblGrid>
      <w:tr w:rsidR="00557DD7" w14:paraId="0D4E4C94" w14:textId="77777777" w:rsidTr="00C426E9">
        <w:trPr>
          <w:tblHeader/>
        </w:trPr>
        <w:tc>
          <w:tcPr>
            <w:tcW w:w="9638" w:type="dxa"/>
            <w:tcMar>
              <w:top w:w="170" w:type="dxa"/>
              <w:left w:w="170" w:type="dxa"/>
              <w:bottom w:w="113" w:type="dxa"/>
              <w:right w:w="170" w:type="dxa"/>
            </w:tcMar>
            <w:hideMark/>
          </w:tcPr>
          <w:p w14:paraId="5A6C7195" w14:textId="0271C44F" w:rsidR="00557DD7" w:rsidRDefault="00557DD7" w:rsidP="00C426E9">
            <w:pPr>
              <w:pStyle w:val="BoxHeading1"/>
            </w:pPr>
            <w:r>
              <w:t>Box</w:t>
            </w:r>
            <w:bookmarkStart w:id="58" w:name="OLE_LINK23"/>
            <w:r w:rsidR="00A43B86">
              <w:t> </w:t>
            </w:r>
            <w:r>
              <w:rPr>
                <w:noProof/>
              </w:rPr>
              <w:t>2</w:t>
            </w:r>
            <w:r>
              <w:t>.</w:t>
            </w:r>
            <w:r>
              <w:rPr>
                <w:noProof/>
              </w:rPr>
              <w:t>1</w:t>
            </w:r>
            <w:bookmarkEnd w:id="58"/>
            <w:r>
              <w:t xml:space="preserve"> – </w:t>
            </w:r>
            <w:r w:rsidRPr="003135C9">
              <w:t>Examples of FDI that potentially yielded broader spillovers</w:t>
            </w:r>
          </w:p>
        </w:tc>
      </w:tr>
      <w:tr w:rsidR="00557DD7" w14:paraId="6BE21CCF" w14:textId="77777777" w:rsidTr="00C426E9">
        <w:tc>
          <w:tcPr>
            <w:tcW w:w="9638" w:type="dxa"/>
            <w:tcMar>
              <w:top w:w="28" w:type="dxa"/>
              <w:left w:w="170" w:type="dxa"/>
              <w:bottom w:w="170" w:type="dxa"/>
              <w:right w:w="170" w:type="dxa"/>
            </w:tcMar>
            <w:hideMark/>
          </w:tcPr>
          <w:p w14:paraId="0FDC8F61" w14:textId="77777777" w:rsidR="00557DD7" w:rsidRDefault="00557DD7" w:rsidP="00C426E9">
            <w:pPr>
              <w:pStyle w:val="BodyText"/>
            </w:pPr>
            <w:r>
              <w:t>Foreign investment creates potential channels for knowledge spillovers, such as:</w:t>
            </w:r>
          </w:p>
          <w:p w14:paraId="1B7525E7" w14:textId="0A25ED09" w:rsidR="00557DD7" w:rsidRDefault="000C0E62" w:rsidP="00F71FFE">
            <w:pPr>
              <w:pStyle w:val="ListBullet"/>
            </w:pPr>
            <w:r>
              <w:t>s</w:t>
            </w:r>
            <w:r w:rsidR="00557DD7">
              <w:t>pillovers from multinational corporations’ FDI that creates hubs and networks for local firms</w:t>
            </w:r>
            <w:r w:rsidR="004F755B">
              <w:t>:</w:t>
            </w:r>
          </w:p>
          <w:p w14:paraId="2791EEE2" w14:textId="1966D2F9" w:rsidR="00557DD7" w:rsidRPr="00F74C70" w:rsidRDefault="00557DD7" w:rsidP="00C426E9">
            <w:pPr>
              <w:pStyle w:val="ListBullet2"/>
            </w:pPr>
            <w:r>
              <w:t xml:space="preserve">GE Additive, a subsidiary of GE, has partnered with the University of Sydney to </w:t>
            </w:r>
            <w:r w:rsidR="000565F7">
              <w:t>‘</w:t>
            </w:r>
            <w:r w:rsidRPr="004A384D">
              <w:t>establish</w:t>
            </w:r>
            <w:r>
              <w:t xml:space="preserve"> capabilities in </w:t>
            </w:r>
            <w:r w:rsidRPr="00AC3896">
              <w:t>metal additive manufacturing technology</w:t>
            </w:r>
            <w:r w:rsidRPr="004A384D">
              <w:t xml:space="preserve"> at the Sydney Manufacturing Hub, a space for training specialists and academics working in additive manufacturing, and the incubation of small to medium manufacturing enterprises</w:t>
            </w:r>
            <w:r w:rsidR="000565F7">
              <w:t>’</w:t>
            </w:r>
            <w:r>
              <w:t xml:space="preserve"> </w:t>
            </w:r>
            <w:r w:rsidRPr="0063354C">
              <w:rPr>
                <w:rFonts w:cs="Arial"/>
                <w:szCs w:val="24"/>
              </w:rPr>
              <w:t>(University of Sydney 2020)</w:t>
            </w:r>
          </w:p>
          <w:p w14:paraId="248617C4" w14:textId="0EAF376E" w:rsidR="00557DD7" w:rsidRDefault="000C0E62" w:rsidP="00F71FFE">
            <w:pPr>
              <w:pStyle w:val="ListBullet"/>
            </w:pPr>
            <w:r>
              <w:t>s</w:t>
            </w:r>
            <w:r w:rsidR="00557DD7">
              <w:t>pillovers from multinational corporations s</w:t>
            </w:r>
            <w:r w:rsidR="00557DD7" w:rsidRPr="00F74C70">
              <w:t>haring capital goods, infrastructure and expertise</w:t>
            </w:r>
            <w:r w:rsidR="00E559A1">
              <w:t>:</w:t>
            </w:r>
          </w:p>
          <w:p w14:paraId="474A6E81" w14:textId="18B8520E" w:rsidR="00557DD7" w:rsidRPr="00F74C70" w:rsidRDefault="00557DD7" w:rsidP="00C426E9">
            <w:pPr>
              <w:pStyle w:val="ListBullet2"/>
            </w:pPr>
            <w:r w:rsidRPr="00F74C70">
              <w:t>Mitsubishi Heavy Industries has invested in Australian Green Hydrogen and Green Ammonia projects</w:t>
            </w:r>
            <w:r>
              <w:t xml:space="preserve"> </w:t>
            </w:r>
            <w:r w:rsidRPr="006F5DD0">
              <w:rPr>
                <w:rFonts w:cs="Arial"/>
                <w:szCs w:val="24"/>
              </w:rPr>
              <w:t>(MHI 2020)</w:t>
            </w:r>
          </w:p>
          <w:p w14:paraId="0D7E1C77" w14:textId="1C4956D4" w:rsidR="00557DD7" w:rsidRDefault="000C0E62" w:rsidP="00F71FFE">
            <w:pPr>
              <w:pStyle w:val="ListBullet"/>
            </w:pPr>
            <w:r>
              <w:t>s</w:t>
            </w:r>
            <w:r w:rsidR="00557DD7">
              <w:t>pillovers from multinational corporation investment in R&amp;D</w:t>
            </w:r>
            <w:r w:rsidR="00615D86">
              <w:t>:</w:t>
            </w:r>
          </w:p>
          <w:p w14:paraId="1302C23B" w14:textId="6CE147EC" w:rsidR="00557DD7" w:rsidRDefault="00557DD7" w:rsidP="00C426E9">
            <w:pPr>
              <w:pStyle w:val="ListBullet2"/>
            </w:pPr>
            <w:r>
              <w:t>IP group (UK</w:t>
            </w:r>
            <w:r>
              <w:noBreakHyphen/>
              <w:t xml:space="preserve">based) and the </w:t>
            </w:r>
            <w:r w:rsidRPr="005E6C15">
              <w:t xml:space="preserve">Clean Energy Finance Corporation </w:t>
            </w:r>
            <w:r>
              <w:t xml:space="preserve">have </w:t>
            </w:r>
            <w:r w:rsidR="000565F7">
              <w:t>‘</w:t>
            </w:r>
            <w:r w:rsidRPr="005E6C15">
              <w:t>invested in Hysata</w:t>
            </w:r>
            <w:r w:rsidR="000565F7">
              <w:t xml:space="preserve"> </w:t>
            </w:r>
            <w:r>
              <w:t>…</w:t>
            </w:r>
            <w:r w:rsidR="000565F7">
              <w:t xml:space="preserve"> </w:t>
            </w:r>
            <w:r>
              <w:t xml:space="preserve">[whose] </w:t>
            </w:r>
            <w:r w:rsidRPr="00F6143B">
              <w:t>advanced electrolyser technology has the potential to significantly improve the efficiency of hydrogen production</w:t>
            </w:r>
            <w:r w:rsidR="000565F7">
              <w:t>’</w:t>
            </w:r>
            <w:r>
              <w:t xml:space="preserve"> </w:t>
            </w:r>
            <w:r w:rsidR="00116531" w:rsidRPr="00116531">
              <w:rPr>
                <w:rFonts w:ascii="Arial" w:hAnsi="Arial" w:cs="Arial"/>
                <w:szCs w:val="24"/>
              </w:rPr>
              <w:t>(Austrade 2021a)</w:t>
            </w:r>
            <w:r>
              <w:t>.</w:t>
            </w:r>
          </w:p>
        </w:tc>
      </w:tr>
      <w:tr w:rsidR="00557DD7" w14:paraId="087F6004" w14:textId="77777777" w:rsidTr="00C426E9">
        <w:trPr>
          <w:hidden/>
        </w:trPr>
        <w:tc>
          <w:tcPr>
            <w:tcW w:w="9638" w:type="dxa"/>
            <w:shd w:val="clear" w:color="auto" w:fill="auto"/>
            <w:tcMar>
              <w:top w:w="0" w:type="dxa"/>
              <w:left w:w="170" w:type="dxa"/>
              <w:bottom w:w="0" w:type="dxa"/>
              <w:right w:w="170" w:type="dxa"/>
            </w:tcMar>
          </w:tcPr>
          <w:p w14:paraId="5C78270F" w14:textId="223E6EEA" w:rsidR="00557DD7" w:rsidRPr="00465191" w:rsidRDefault="00557DD7" w:rsidP="00C426E9">
            <w:pPr>
              <w:pStyle w:val="BodyText"/>
              <w:spacing w:before="0" w:after="0" w:line="80" w:lineRule="atLeast"/>
              <w:rPr>
                <w:smallCaps/>
                <w:vanish/>
              </w:rPr>
            </w:pPr>
          </w:p>
        </w:tc>
      </w:tr>
    </w:tbl>
    <w:p w14:paraId="19932CB5" w14:textId="77777777" w:rsidR="00557DD7" w:rsidRDefault="00557DD7" w:rsidP="00557DD7">
      <w:pPr>
        <w:pStyle w:val="Heading4"/>
      </w:pPr>
      <w:r>
        <w:t>Government has a role to play in FDI regulation</w:t>
      </w:r>
    </w:p>
    <w:p w14:paraId="3E26D885" w14:textId="7BD4B50C" w:rsidR="00557DD7" w:rsidRDefault="00557DD7" w:rsidP="00557DD7">
      <w:pPr>
        <w:pStyle w:val="BodyText"/>
      </w:pPr>
      <w:r>
        <w:t xml:space="preserve">The Australian </w:t>
      </w:r>
      <w:r w:rsidR="00892AD8">
        <w:t>G</w:t>
      </w:r>
      <w:r>
        <w:t>overnment has an important role to play in keeping barriers to FDI low. Australia’s foreign investment approvals process is seen to impose more significant screening processes than other OECD economies (figure </w:t>
      </w:r>
      <w:bookmarkStart w:id="59" w:name="_1724049663"/>
      <w:bookmarkStart w:id="60" w:name="_1723876826"/>
      <w:bookmarkStart w:id="61" w:name="_1723875715"/>
      <w:bookmarkStart w:id="62" w:name="_1723642540"/>
      <w:bookmarkStart w:id="63" w:name="_1723987463"/>
      <w:bookmarkEnd w:id="59"/>
      <w:bookmarkEnd w:id="60"/>
      <w:bookmarkEnd w:id="61"/>
      <w:bookmarkEnd w:id="62"/>
      <w:bookmarkEnd w:id="63"/>
      <w:r>
        <w:t xml:space="preserve">2.6) </w:t>
      </w:r>
      <w:r w:rsidRPr="00D277B5">
        <w:rPr>
          <w:rFonts w:ascii="Arial" w:hAnsi="Arial" w:cs="Arial"/>
          <w:szCs w:val="24"/>
        </w:rPr>
        <w:t>(IMF 2021, p. 22)</w:t>
      </w:r>
      <w:r>
        <w:t>. These screening processes have been tightened in recent years for a range of reasons, including during COVID</w:t>
      </w:r>
      <w:r w:rsidR="000565F7">
        <w:noBreakHyphen/>
      </w:r>
      <w:r>
        <w:t>19. These restrictions arguably create an additional burden — in time, compliance cost and uncertainty — to potentially desirable investments.</w:t>
      </w:r>
    </w:p>
    <w:p w14:paraId="72F0F34F" w14:textId="77777777" w:rsidR="009613B8" w:rsidRDefault="009613B8" w:rsidP="009613B8">
      <w:pPr>
        <w:pStyle w:val="BodyText"/>
      </w:pPr>
      <w:r>
        <w:t xml:space="preserve">The Australian Government also sets application fees for foreigners seeking to invest in Australia (regardless of whether the investment is allowed to proceed). As discussed in the inquiry’s companion volume </w:t>
      </w:r>
      <w:r>
        <w:rPr>
          <w:i/>
          <w:iCs/>
        </w:rPr>
        <w:t xml:space="preserve">A competitive, dynamic and sustainable </w:t>
      </w:r>
      <w:r w:rsidRPr="00703433">
        <w:rPr>
          <w:i/>
          <w:iCs/>
        </w:rPr>
        <w:t>future</w:t>
      </w:r>
      <w:r>
        <w:t xml:space="preserve">, these fees are </w:t>
      </w:r>
      <w:proofErr w:type="gramStart"/>
      <w:r>
        <w:t>in excess of</w:t>
      </w:r>
      <w:proofErr w:type="gramEnd"/>
      <w:r>
        <w:t xml:space="preserve"> recovering the costs incurred by government in assessing applications and they continue to rise, which poses a risk of chilling FDI flows and lowering the associated prod</w:t>
      </w:r>
      <w:r w:rsidRPr="006D77E6">
        <w:t>uctivity benefits. That companion volume notes that FDI application fees should not be used as a tax base and recommends that adjustments (such as indexation to investment thresholds and changing fee tiers) should be made to fees for FDI into agricultural land assets to bring them in line with other forms of investment.</w:t>
      </w:r>
    </w:p>
    <w:p w14:paraId="3DC613C3" w14:textId="77777777" w:rsidR="009613B8" w:rsidRDefault="009613B8" w:rsidP="00557DD7">
      <w:pPr>
        <w:pStyle w:val="BodyText"/>
      </w:pPr>
    </w:p>
    <w:p w14:paraId="734D4C11" w14:textId="6423C272" w:rsidR="00557DD7" w:rsidRPr="00146382" w:rsidRDefault="00557DD7" w:rsidP="00557DD7">
      <w:pPr>
        <w:pStyle w:val="FigureTableHeading"/>
      </w:pPr>
      <w:r>
        <w:lastRenderedPageBreak/>
        <w:t>Figure</w:t>
      </w:r>
      <w:bookmarkStart w:id="64" w:name="OLE_LINK3"/>
      <w:r w:rsidR="00A43B86">
        <w:t> </w:t>
      </w:r>
      <w:r>
        <w:rPr>
          <w:noProof/>
        </w:rPr>
        <w:t>2</w:t>
      </w:r>
      <w:r>
        <w:t>.</w:t>
      </w:r>
      <w:r>
        <w:rPr>
          <w:noProof/>
        </w:rPr>
        <w:t>6</w:t>
      </w:r>
      <w:bookmarkEnd w:id="64"/>
      <w:r>
        <w:rPr>
          <w:noProof/>
        </w:rPr>
        <w:t xml:space="preserve"> </w:t>
      </w:r>
      <w:r>
        <w:t xml:space="preserve">– </w:t>
      </w:r>
      <w:r w:rsidRPr="00ED2DA6">
        <w:t>Australia’s FDI restrictions are mostly screening and approval</w:t>
      </w:r>
      <w:r w:rsidRPr="00066CF5">
        <w:rPr>
          <w:vertAlign w:val="superscript"/>
        </w:rPr>
        <w:t>a</w:t>
      </w:r>
    </w:p>
    <w:p w14:paraId="776C1BA3" w14:textId="77777777" w:rsidR="00557DD7" w:rsidRDefault="00557DD7" w:rsidP="00557DD7">
      <w:pPr>
        <w:pStyle w:val="FigureTableSubheading"/>
        <w:keepLines/>
      </w:pPr>
      <w:r>
        <w:t>OECD FDI Regulatory Restrictiveness Index, 2020</w:t>
      </w:r>
    </w:p>
    <w:p w14:paraId="096D38F9" w14:textId="77777777" w:rsidR="00557DD7" w:rsidRDefault="00557DD7" w:rsidP="00557DD7">
      <w:pPr>
        <w:pStyle w:val="Note"/>
        <w:keepLines/>
        <w:rPr>
          <w:b/>
          <w:bCs/>
        </w:rPr>
      </w:pPr>
      <w:r w:rsidRPr="001570F7">
        <w:rPr>
          <w:noProof/>
        </w:rPr>
        <w:drawing>
          <wp:inline distT="0" distB="0" distL="0" distR="0" wp14:anchorId="3D3C31EF" wp14:editId="2CABDBC5">
            <wp:extent cx="6120130" cy="2879725"/>
            <wp:effectExtent l="0" t="0" r="0" b="0"/>
            <wp:docPr id="86" name="Picture 86" descr="This figure shows the OECD foreign direct investment Regulatory Restrictiveness Index in 2020, broken down by types of restrictions. Australia is the ninth most restrictive economy, with most of our restrictiveness coming from screening and approv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figure shows the OECD foreign direct investment Regulatory Restrictiveness Index in 2020, broken down by types of restrictions. Australia is the ninth most restrictive economy, with most of our restrictiveness coming from screening and approval.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3E2F6C91" w14:textId="77777777" w:rsidR="00557DD7" w:rsidRDefault="00557DD7" w:rsidP="00557DD7">
      <w:pPr>
        <w:pStyle w:val="Note"/>
        <w:keepLines/>
      </w:pPr>
      <w:r w:rsidRPr="00180E66">
        <w:rPr>
          <w:b/>
          <w:bCs/>
        </w:rPr>
        <w:t>a.</w:t>
      </w:r>
      <w:r>
        <w:t xml:space="preserve"> </w:t>
      </w:r>
      <w:r w:rsidRPr="007B69E4">
        <w:t>Scores range from 0 (open) to 1 (closed)</w:t>
      </w:r>
      <w:r w:rsidDel="00ED2DA6">
        <w:t>.</w:t>
      </w:r>
    </w:p>
    <w:p w14:paraId="3C64D4C9" w14:textId="32DD345C" w:rsidR="00557DD7" w:rsidRDefault="00557DD7" w:rsidP="00557DD7">
      <w:pPr>
        <w:pStyle w:val="Source"/>
      </w:pPr>
      <w:r w:rsidRPr="00696447">
        <w:t>Source:</w:t>
      </w:r>
      <w:r>
        <w:t xml:space="preserve"> OECD </w:t>
      </w:r>
      <w:r w:rsidRPr="005C5E06">
        <w:rPr>
          <w:rFonts w:ascii="Arial" w:hAnsi="Arial" w:cs="Arial"/>
          <w:szCs w:val="24"/>
        </w:rPr>
        <w:t>(2022c)</w:t>
      </w:r>
      <w:r>
        <w:t>.</w:t>
      </w:r>
    </w:p>
    <w:p w14:paraId="03440242" w14:textId="77777777" w:rsidR="00557DD7" w:rsidRPr="00D67773" w:rsidRDefault="00557DD7" w:rsidP="00D6777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57DD7" w14:paraId="2FC14D2C" w14:textId="77777777" w:rsidTr="00C426E9">
        <w:trPr>
          <w:trHeight w:val="765"/>
          <w:tblHeader/>
        </w:trPr>
        <w:tc>
          <w:tcPr>
            <w:tcW w:w="366" w:type="pct"/>
            <w:tcBorders>
              <w:bottom w:val="nil"/>
            </w:tcBorders>
            <w:tcMar>
              <w:bottom w:w="0" w:type="dxa"/>
            </w:tcMar>
            <w:vAlign w:val="center"/>
          </w:tcPr>
          <w:p w14:paraId="63174C48" w14:textId="77777777" w:rsidR="00557DD7" w:rsidRDefault="00557DD7" w:rsidP="00C426E9">
            <w:pPr>
              <w:pStyle w:val="NoSpacing"/>
              <w:keepLines/>
              <w:jc w:val="right"/>
            </w:pPr>
            <w:r w:rsidRPr="00A51374">
              <w:rPr>
                <w:noProof/>
              </w:rPr>
              <w:drawing>
                <wp:inline distT="0" distB="0" distL="0" distR="0" wp14:anchorId="4A51317B" wp14:editId="27E405A4">
                  <wp:extent cx="288000" cy="288000"/>
                  <wp:effectExtent l="0" t="0" r="0" b="0"/>
                  <wp:docPr id="8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FD649BE" w14:textId="11FD5EC0" w:rsidR="00557DD7" w:rsidRPr="00A4395A" w:rsidRDefault="00557DD7" w:rsidP="00C426E9">
            <w:pPr>
              <w:pStyle w:val="TableHeading"/>
              <w:keepLines/>
              <w:spacing w:before="60" w:after="120"/>
              <w:contextualSpacing/>
              <w:rPr>
                <w:sz w:val="20"/>
              </w:rPr>
            </w:pPr>
            <w:r w:rsidRPr="00A4395A">
              <w:rPr>
                <w:sz w:val="20"/>
              </w:rPr>
              <w:t xml:space="preserve">Finding </w:t>
            </w:r>
            <w:r w:rsidR="00D408A6">
              <w:rPr>
                <w:sz w:val="20"/>
              </w:rPr>
              <w:t>5.</w:t>
            </w:r>
            <w:r w:rsidR="00287325">
              <w:rPr>
                <w:sz w:val="20"/>
              </w:rPr>
              <w:t>3</w:t>
            </w:r>
          </w:p>
          <w:p w14:paraId="2AD7B180" w14:textId="623743A3" w:rsidR="00557DD7" w:rsidRDefault="00557DD7" w:rsidP="00C426E9">
            <w:pPr>
              <w:pStyle w:val="TableHeading"/>
              <w:keepLines/>
              <w:spacing w:before="60" w:after="120"/>
              <w:contextualSpacing/>
            </w:pPr>
            <w:r w:rsidRPr="002C4C78">
              <w:rPr>
                <w:sz w:val="20"/>
                <w:szCs w:val="22"/>
              </w:rPr>
              <w:t xml:space="preserve">FDI </w:t>
            </w:r>
            <w:r w:rsidR="002C4C78">
              <w:rPr>
                <w:sz w:val="20"/>
                <w:szCs w:val="22"/>
              </w:rPr>
              <w:t xml:space="preserve">brings </w:t>
            </w:r>
            <w:r w:rsidRPr="002C4C78">
              <w:rPr>
                <w:sz w:val="20"/>
                <w:szCs w:val="22"/>
              </w:rPr>
              <w:t xml:space="preserve">knowledge and </w:t>
            </w:r>
            <w:r w:rsidR="002C4C78">
              <w:rPr>
                <w:sz w:val="20"/>
                <w:szCs w:val="22"/>
              </w:rPr>
              <w:t xml:space="preserve">new </w:t>
            </w:r>
            <w:r w:rsidRPr="002C4C78">
              <w:rPr>
                <w:sz w:val="20"/>
                <w:szCs w:val="22"/>
              </w:rPr>
              <w:t>technologies</w:t>
            </w:r>
            <w:r w:rsidR="002C4C78">
              <w:rPr>
                <w:sz w:val="20"/>
                <w:szCs w:val="22"/>
              </w:rPr>
              <w:t xml:space="preserve"> into Australia</w:t>
            </w:r>
          </w:p>
        </w:tc>
      </w:tr>
      <w:tr w:rsidR="00557DD7" w14:paraId="7B8FB319" w14:textId="77777777" w:rsidTr="00C426E9">
        <w:tc>
          <w:tcPr>
            <w:tcW w:w="5000" w:type="pct"/>
            <w:gridSpan w:val="2"/>
            <w:tcBorders>
              <w:top w:val="nil"/>
              <w:bottom w:val="single" w:sz="4" w:space="0" w:color="66BCDB" w:themeColor="text2"/>
            </w:tcBorders>
          </w:tcPr>
          <w:p w14:paraId="25BA6A60" w14:textId="4C173B40" w:rsidR="00557DD7" w:rsidRDefault="002C4C78" w:rsidP="00C426E9">
            <w:pPr>
              <w:pStyle w:val="BodyText"/>
              <w:keepLines/>
            </w:pPr>
            <w:r>
              <w:t>Foreign direct investment (</w:t>
            </w:r>
            <w:r w:rsidR="00557DD7" w:rsidRPr="007C34CB">
              <w:t>FDI</w:t>
            </w:r>
            <w:r>
              <w:t>) is a</w:t>
            </w:r>
            <w:r w:rsidR="00557DD7" w:rsidRPr="007C34CB">
              <w:t xml:space="preserve"> critical channel for diffusing knowledge and technologies developed overseas to Australian firms. </w:t>
            </w:r>
            <w:r w:rsidR="00557DD7">
              <w:t>While</w:t>
            </w:r>
            <w:r w:rsidR="00557DD7" w:rsidRPr="007C34CB">
              <w:t xml:space="preserve"> Australia</w:t>
            </w:r>
            <w:r w:rsidR="00557DD7">
              <w:t xml:space="preserve"> is very open to foreign investment</w:t>
            </w:r>
            <w:r w:rsidR="00253720">
              <w:t>,</w:t>
            </w:r>
            <w:r w:rsidR="00557DD7">
              <w:t xml:space="preserve"> with relatively high FDI as a share of the economy, its</w:t>
            </w:r>
            <w:r w:rsidR="00557DD7" w:rsidRPr="007C34CB">
              <w:t xml:space="preserve"> FDI screening and approval processes are </w:t>
            </w:r>
            <w:r w:rsidR="00557DD7">
              <w:t>viewed as</w:t>
            </w:r>
            <w:r w:rsidR="00557DD7" w:rsidRPr="007C34CB">
              <w:t xml:space="preserve"> more restrictive than in other OECD countries</w:t>
            </w:r>
            <w:r w:rsidR="00557DD7">
              <w:t xml:space="preserve">. </w:t>
            </w:r>
            <w:r w:rsidR="00705436">
              <w:t xml:space="preserve">Australia’s FDI fees </w:t>
            </w:r>
            <w:r w:rsidR="001225D0">
              <w:t xml:space="preserve">are </w:t>
            </w:r>
            <w:proofErr w:type="gramStart"/>
            <w:r w:rsidR="001225D0">
              <w:t>in excess of</w:t>
            </w:r>
            <w:proofErr w:type="gramEnd"/>
            <w:r w:rsidR="001225D0">
              <w:t xml:space="preserve"> cost recovery and could risk chilling FDI flows</w:t>
            </w:r>
            <w:r w:rsidR="00557DD7">
              <w:t>.</w:t>
            </w:r>
          </w:p>
        </w:tc>
      </w:tr>
      <w:tr w:rsidR="00557DD7" w14:paraId="12654895" w14:textId="77777777" w:rsidTr="00C426E9">
        <w:tc>
          <w:tcPr>
            <w:tcW w:w="5000" w:type="pct"/>
            <w:gridSpan w:val="2"/>
            <w:tcBorders>
              <w:top w:val="single" w:sz="4" w:space="0" w:color="66BCDB" w:themeColor="text2"/>
              <w:left w:val="nil"/>
              <w:bottom w:val="nil"/>
              <w:right w:val="nil"/>
            </w:tcBorders>
            <w:tcMar>
              <w:bottom w:w="0" w:type="dxa"/>
            </w:tcMar>
          </w:tcPr>
          <w:p w14:paraId="52D6B832" w14:textId="77777777" w:rsidR="00557DD7" w:rsidRDefault="00557DD7" w:rsidP="00C426E9">
            <w:pPr>
              <w:pStyle w:val="NoSpacing"/>
              <w:spacing w:line="200" w:lineRule="atLeast"/>
            </w:pPr>
          </w:p>
        </w:tc>
      </w:tr>
    </w:tbl>
    <w:p w14:paraId="735B86DE" w14:textId="40CC6956" w:rsidR="00557DD7" w:rsidRDefault="00557DD7" w:rsidP="00557DD7">
      <w:pPr>
        <w:pStyle w:val="Heading2"/>
      </w:pPr>
      <w:bookmarkStart w:id="65" w:name="_Toc126145990"/>
      <w:bookmarkStart w:id="66" w:name="_Toc126304784"/>
      <w:r>
        <w:t>Diffusion through human capital</w:t>
      </w:r>
      <w:bookmarkEnd w:id="65"/>
      <w:bookmarkEnd w:id="66"/>
    </w:p>
    <w:p w14:paraId="1951E644" w14:textId="77777777" w:rsidR="00557DD7" w:rsidRPr="00B057D9" w:rsidRDefault="00557DD7" w:rsidP="00557DD7">
      <w:pPr>
        <w:pStyle w:val="Heading3"/>
      </w:pPr>
      <w:r>
        <w:t>Building Australia’s human capital can assist diffusion</w:t>
      </w:r>
    </w:p>
    <w:p w14:paraId="75FB8A4E" w14:textId="5B6A4F33" w:rsidR="00557DD7" w:rsidRPr="00F82BD9" w:rsidRDefault="00557DD7" w:rsidP="00557DD7">
      <w:pPr>
        <w:pStyle w:val="BodyText"/>
      </w:pPr>
      <w:r>
        <w:t xml:space="preserve">The skills and knowledge embodied in the workforce — in economic terms, the stock of human capital — is fundamentally important for innovation adoption and productivity more broadly. Human capital </w:t>
      </w:r>
      <w:r w:rsidR="009D6741">
        <w:t>is</w:t>
      </w:r>
      <w:r>
        <w:t xml:space="preserve"> the technical and tacit knowledge of a firm’s workforce and management, which can be built through channels such as formal education and work experience, and through connections and interactions with other businesses, organisations and networks. It is a critical component of a firm’s ‘absorptive capacity’ (box </w:t>
      </w:r>
      <w:bookmarkStart w:id="67" w:name="_1723630495"/>
      <w:bookmarkEnd w:id="67"/>
      <w:r>
        <w:t xml:space="preserve">2.2) — that is, a firm’s </w:t>
      </w:r>
      <w:r w:rsidRPr="00300C95">
        <w:t xml:space="preserve">ability </w:t>
      </w:r>
      <w:r>
        <w:t xml:space="preserve">to learn from and capitalise on the innovation and research of others </w:t>
      </w:r>
      <w:r w:rsidRPr="0048518A">
        <w:rPr>
          <w:rFonts w:ascii="Arial" w:hAnsi="Arial" w:cs="Arial"/>
          <w:szCs w:val="24"/>
        </w:rPr>
        <w:t>(Cohen and Levinthal 1989, pp. 569–570)</w:t>
      </w:r>
      <w:r>
        <w:t>.</w:t>
      </w:r>
    </w:p>
    <w:p w14:paraId="4DF5B6BD" w14:textId="77777777" w:rsidR="00557DD7" w:rsidRPr="00F82BD9" w:rsidRDefault="00557DD7" w:rsidP="003A19B6">
      <w:pPr>
        <w:pStyle w:val="NoSpacing"/>
      </w:pPr>
    </w:p>
    <w:tbl>
      <w:tblPr>
        <w:tblStyle w:val="Boxtable"/>
        <w:tblW w:w="5000" w:type="pct"/>
        <w:tblLook w:val="04A0" w:firstRow="1" w:lastRow="0" w:firstColumn="1" w:lastColumn="0" w:noHBand="0" w:noVBand="1"/>
      </w:tblPr>
      <w:tblGrid>
        <w:gridCol w:w="9638"/>
      </w:tblGrid>
      <w:tr w:rsidR="00557DD7" w14:paraId="7F3147C9" w14:textId="77777777" w:rsidTr="00C426E9">
        <w:trPr>
          <w:tblHeader/>
        </w:trPr>
        <w:tc>
          <w:tcPr>
            <w:tcW w:w="9638" w:type="dxa"/>
            <w:tcMar>
              <w:top w:w="170" w:type="dxa"/>
              <w:left w:w="170" w:type="dxa"/>
              <w:bottom w:w="113" w:type="dxa"/>
              <w:right w:w="170" w:type="dxa"/>
            </w:tcMar>
            <w:hideMark/>
          </w:tcPr>
          <w:p w14:paraId="667059C8" w14:textId="39AC369D" w:rsidR="00557DD7" w:rsidRDefault="00557DD7" w:rsidP="00C426E9">
            <w:pPr>
              <w:pStyle w:val="BoxHeading1"/>
            </w:pPr>
            <w:r>
              <w:lastRenderedPageBreak/>
              <w:t>Box</w:t>
            </w:r>
            <w:bookmarkStart w:id="68" w:name="OLE_LINK11"/>
            <w:r w:rsidR="00A43B86">
              <w:t> </w:t>
            </w:r>
            <w:r>
              <w:rPr>
                <w:noProof/>
              </w:rPr>
              <w:t>2</w:t>
            </w:r>
            <w:r>
              <w:t>.</w:t>
            </w:r>
            <w:r w:rsidR="00C97C1D">
              <w:rPr>
                <w:noProof/>
              </w:rPr>
              <w:t>2</w:t>
            </w:r>
            <w:bookmarkEnd w:id="68"/>
            <w:r>
              <w:t xml:space="preserve"> – Human capital is the foundation of firms’ absorptive capacity</w:t>
            </w:r>
          </w:p>
        </w:tc>
      </w:tr>
      <w:tr w:rsidR="00557DD7" w14:paraId="5D773A3E" w14:textId="77777777" w:rsidTr="00C426E9">
        <w:tc>
          <w:tcPr>
            <w:tcW w:w="9638" w:type="dxa"/>
            <w:tcMar>
              <w:top w:w="28" w:type="dxa"/>
              <w:left w:w="170" w:type="dxa"/>
              <w:bottom w:w="170" w:type="dxa"/>
              <w:right w:w="170" w:type="dxa"/>
            </w:tcMar>
            <w:hideMark/>
          </w:tcPr>
          <w:p w14:paraId="209BED12" w14:textId="77777777" w:rsidR="00557DD7" w:rsidRDefault="00557DD7" w:rsidP="009613B8">
            <w:pPr>
              <w:pStyle w:val="BodyText"/>
              <w:spacing w:line="260" w:lineRule="atLeast"/>
            </w:pPr>
            <w:r>
              <w:t>Human capital can improve a firm’s absorptive capacity in several ways.</w:t>
            </w:r>
          </w:p>
          <w:p w14:paraId="18E2998B" w14:textId="620DBFB6" w:rsidR="00557DD7" w:rsidRPr="00E31200" w:rsidRDefault="00557DD7" w:rsidP="009613B8">
            <w:pPr>
              <w:pStyle w:val="ListBullet"/>
              <w:spacing w:line="260" w:lineRule="atLeast"/>
            </w:pPr>
            <w:r w:rsidRPr="00E31200">
              <w:rPr>
                <w:b/>
              </w:rPr>
              <w:t>Having an in</w:t>
            </w:r>
            <w:r w:rsidRPr="00E31200">
              <w:rPr>
                <w:b/>
              </w:rPr>
              <w:noBreakHyphen/>
              <w:t>house research capacity</w:t>
            </w:r>
            <w:r w:rsidRPr="00E31200">
              <w:t xml:space="preserve">. This can increase a firm’s ability to identify and recognise the value of new, external information; assimilate it; and apply it to their circumstances. For example, undertaking R&amp;D can facilitate innovation adoption to the extent that an existing research capacity lowers the cost of finding and learning about existing technologies </w:t>
            </w:r>
            <w:r w:rsidRPr="00E31200">
              <w:rPr>
                <w:rFonts w:cs="Arial"/>
              </w:rPr>
              <w:t>(Bloom, Van Reenen and Williams 2019; Cohen and Levinthal 1990, pp. 148–149)</w:t>
            </w:r>
            <w:r w:rsidRPr="00E31200">
              <w:t>. In a meta</w:t>
            </w:r>
            <w:r w:rsidRPr="00E31200">
              <w:noBreakHyphen/>
              <w:t xml:space="preserve">analysis of 241 studies on innovation, knowledge transfer and absorptive capacity, Zou, Ertug and George </w:t>
            </w:r>
            <w:r w:rsidRPr="00E31200">
              <w:rPr>
                <w:rFonts w:cs="Arial"/>
              </w:rPr>
              <w:t>(2018, pp. 97–98)</w:t>
            </w:r>
            <w:r w:rsidRPr="00E31200">
              <w:t xml:space="preserve"> confirmed statistically significant positive relationships between measures of absorptive capacity and innovation, as well as between absorptive capacity and the ability of a firm to recognise the value of, assimilate and apply external knowledge.</w:t>
            </w:r>
          </w:p>
          <w:p w14:paraId="522A5491" w14:textId="22ECF993" w:rsidR="003632B7" w:rsidRDefault="00557DD7" w:rsidP="009613B8">
            <w:pPr>
              <w:pStyle w:val="ListBullet"/>
              <w:spacing w:line="260" w:lineRule="atLeast"/>
            </w:pPr>
            <w:r w:rsidRPr="00E31200">
              <w:rPr>
                <w:b/>
              </w:rPr>
              <w:t>Having</w:t>
            </w:r>
            <w:r w:rsidRPr="00E31200">
              <w:rPr>
                <w:b/>
                <w:bCs/>
              </w:rPr>
              <w:t xml:space="preserve"> employees with</w:t>
            </w:r>
            <w:r w:rsidRPr="00E31200">
              <w:rPr>
                <w:b/>
              </w:rPr>
              <w:t xml:space="preserve"> </w:t>
            </w:r>
            <w:r w:rsidR="003632B7" w:rsidRPr="00E31200">
              <w:rPr>
                <w:b/>
              </w:rPr>
              <w:t>sufficient technical</w:t>
            </w:r>
            <w:r w:rsidRPr="00E31200">
              <w:rPr>
                <w:b/>
              </w:rPr>
              <w:t xml:space="preserve"> and </w:t>
            </w:r>
            <w:r w:rsidR="003632B7" w:rsidRPr="00E31200">
              <w:rPr>
                <w:b/>
              </w:rPr>
              <w:t xml:space="preserve">tacit </w:t>
            </w:r>
            <w:r w:rsidRPr="00E31200">
              <w:rPr>
                <w:b/>
              </w:rPr>
              <w:t>knowledge</w:t>
            </w:r>
            <w:r w:rsidRPr="00E31200">
              <w:t xml:space="preserve">. The skills and knowledge embodied in a firm’s workforce is also an important factor in how easily a firm can identify new and existing technologies, learn the principles of how they work and how to use and adapt them to the firm’s specific circumstances. While traditional innovation policy tends to focus on the stock of researchers capable of undertaking R&amp;D, the successful diffusion and productive use of new technologies also relies on the capabilities of the workforce more broadly </w:t>
            </w:r>
            <w:r w:rsidRPr="00E31200">
              <w:rPr>
                <w:rFonts w:cs="Arial"/>
              </w:rPr>
              <w:t>(Criscuolo et al. 2021, p. 11; Griffith, Redding and Van Reenen 2004, p. 890)</w:t>
            </w:r>
            <w:r w:rsidRPr="00E31200">
              <w:t xml:space="preserve">. </w:t>
            </w:r>
            <w:r w:rsidR="003A50B8" w:rsidRPr="003A50B8">
              <w:t>Technical and tacit knowledge allows</w:t>
            </w:r>
            <w:r w:rsidRPr="00E31200">
              <w:t xml:space="preserve"> workers</w:t>
            </w:r>
            <w:r w:rsidR="003A50B8" w:rsidRPr="003A50B8">
              <w:t xml:space="preserve"> to identify and learn about new technologies and practices, and to adapt them for the firm’s specific needs and market. While this can mean employing </w:t>
            </w:r>
            <w:r w:rsidRPr="00E31200">
              <w:t>researchers</w:t>
            </w:r>
            <w:r w:rsidR="003A50B8" w:rsidRPr="003A50B8">
              <w:t>, engineers and technicians, firms can also access needed skills and capabilities through collaborating with or contracting out their innovation needs to other businesses, research institutes and universities.</w:t>
            </w:r>
          </w:p>
          <w:p w14:paraId="48292058" w14:textId="39FD7C48" w:rsidR="00557DD7" w:rsidRPr="00E31200" w:rsidRDefault="003632B7" w:rsidP="009613B8">
            <w:pPr>
              <w:pStyle w:val="ListBullet"/>
              <w:spacing w:line="260" w:lineRule="atLeast"/>
            </w:pPr>
            <w:r w:rsidRPr="0012662A">
              <w:rPr>
                <w:b/>
              </w:rPr>
              <w:t>Having employees with specific frontier knowledge</w:t>
            </w:r>
            <w:r w:rsidR="0012662A">
              <w:rPr>
                <w:bCs/>
              </w:rPr>
              <w:t>.</w:t>
            </w:r>
            <w:r w:rsidR="00557DD7" w:rsidRPr="00E31200">
              <w:t xml:space="preserve"> For example, a firm’s employees may know about existing technologies because of prior work experiences and connections with other businesses. In fact, businesses get most of their ideas </w:t>
            </w:r>
            <w:r w:rsidR="000616C2">
              <w:t>for</w:t>
            </w:r>
            <w:r w:rsidR="00557DD7" w:rsidRPr="00E31200">
              <w:t xml:space="preserve"> innovation from their own employees or from businesses owned by the same company </w:t>
            </w:r>
            <w:r w:rsidR="00557DD7" w:rsidRPr="00E31200">
              <w:rPr>
                <w:rFonts w:cs="Arial"/>
              </w:rPr>
              <w:t>(ABS 2022a)</w:t>
            </w:r>
            <w:r w:rsidR="00557DD7" w:rsidRPr="00E31200">
              <w:t xml:space="preserve">. This is </w:t>
            </w:r>
            <w:r w:rsidR="002C0A85">
              <w:t xml:space="preserve">in </w:t>
            </w:r>
            <w:r w:rsidR="00D253E1">
              <w:t xml:space="preserve">large </w:t>
            </w:r>
            <w:r w:rsidR="002C0A85">
              <w:t>part</w:t>
            </w:r>
            <w:r w:rsidR="00557DD7" w:rsidRPr="00E31200">
              <w:t xml:space="preserve"> a result of workers moving from one firm to another and bringing the ideas and approaches of their previous firm to their new employer.</w:t>
            </w:r>
          </w:p>
          <w:p w14:paraId="35A7BE75" w14:textId="35E460AB" w:rsidR="00557DD7" w:rsidRPr="00E31200" w:rsidRDefault="00557DD7" w:rsidP="009613B8">
            <w:pPr>
              <w:pStyle w:val="ListBullet"/>
              <w:spacing w:line="260" w:lineRule="atLeast"/>
            </w:pPr>
            <w:r w:rsidRPr="00E31200">
              <w:rPr>
                <w:b/>
                <w:bCs/>
              </w:rPr>
              <w:t>Having</w:t>
            </w:r>
            <w:r w:rsidRPr="00E31200">
              <w:rPr>
                <w:b/>
              </w:rPr>
              <w:t xml:space="preserve"> high</w:t>
            </w:r>
            <w:r w:rsidRPr="00E31200">
              <w:rPr>
                <w:b/>
              </w:rPr>
              <w:noBreakHyphen/>
              <w:t>quality managers</w:t>
            </w:r>
            <w:r w:rsidR="00381E11">
              <w:rPr>
                <w:b/>
              </w:rPr>
              <w:t xml:space="preserve"> and organisation</w:t>
            </w:r>
            <w:r w:rsidR="003632B7">
              <w:rPr>
                <w:b/>
              </w:rPr>
              <w:t>al capital</w:t>
            </w:r>
            <w:r w:rsidRPr="00E31200">
              <w:t>. A firm’s management is an important component of absorptive capacity. Firms may need to adapt and re</w:t>
            </w:r>
            <w:r w:rsidR="000565F7">
              <w:noBreakHyphen/>
            </w:r>
            <w:r w:rsidRPr="00E31200">
              <w:t xml:space="preserve">organise production processes and workflows to make the best use of newly adopted technologies. While this is particularly the case with more complex technologies like IT and digital technologies </w:t>
            </w:r>
            <w:r w:rsidRPr="00E31200">
              <w:rPr>
                <w:rFonts w:cs="Arial"/>
              </w:rPr>
              <w:t>(Andrews, Nicoletti and von Rueden 2020, p. 10; Bloom, Sadun and Reenen 2012, pp. 196–197; Pellegrino and Zingales 2018, pp. 14–23)</w:t>
            </w:r>
            <w:r w:rsidRPr="00E31200">
              <w:t>, better management</w:t>
            </w:r>
            <w:r w:rsidR="0064287A">
              <w:t> </w:t>
            </w:r>
            <w:r w:rsidRPr="00E31200">
              <w:t>—</w:t>
            </w:r>
            <w:r w:rsidR="0064287A">
              <w:t> </w:t>
            </w:r>
            <w:r w:rsidRPr="00E31200">
              <w:t>acquired through training or bringing on people with the necessary management experience —</w:t>
            </w:r>
            <w:r w:rsidR="000565F7">
              <w:t xml:space="preserve"> </w:t>
            </w:r>
            <w:r w:rsidRPr="00E31200">
              <w:t xml:space="preserve">independently increases productivity. Better management also complements productivity gains realised from technology transfer, increasing the benefits from adopting technologies embodied in capital goods </w:t>
            </w:r>
            <w:r w:rsidRPr="00E31200">
              <w:rPr>
                <w:rFonts w:cs="Arial"/>
              </w:rPr>
              <w:t>(Giorcelli 2019, pp. 139–140)</w:t>
            </w:r>
            <w:r w:rsidRPr="00E31200">
              <w:t xml:space="preserve">. </w:t>
            </w:r>
            <w:r w:rsidR="00A1053C" w:rsidRPr="00A1053C">
              <w:t>More generally, a more adaptable and creative workforce will be better able to adjust to new processes and products.</w:t>
            </w:r>
          </w:p>
          <w:p w14:paraId="3278C055" w14:textId="3B26FED2" w:rsidR="00557DD7" w:rsidRDefault="00557DD7" w:rsidP="009613B8">
            <w:pPr>
              <w:pStyle w:val="ListBullet"/>
              <w:spacing w:line="260" w:lineRule="atLeast"/>
            </w:pPr>
            <w:r w:rsidRPr="00E31200">
              <w:rPr>
                <w:b/>
              </w:rPr>
              <w:t>Having diversity in the managerial cohort</w:t>
            </w:r>
            <w:r w:rsidRPr="00E31200">
              <w:t>. Increasing the diversity of managers in firms can improve the variety of skills, perspectives</w:t>
            </w:r>
            <w:r w:rsidR="00423B40">
              <w:t>,</w:t>
            </w:r>
            <w:r w:rsidRPr="00E31200">
              <w:t xml:space="preserve"> tacit knowledge and innovative ideas within firms. Economic theory predicts that too little diversity may prevent complementarities arising between different skill sets, knowledge and practices </w:t>
            </w:r>
            <w:r w:rsidRPr="00E31200">
              <w:rPr>
                <w:rFonts w:cs="Arial"/>
              </w:rPr>
              <w:t>(Alesina, Harnoss and Rapoport 2013, p. 2)</w:t>
            </w:r>
            <w:r w:rsidRPr="00E31200">
              <w:t xml:space="preserve">. </w:t>
            </w:r>
            <w:r w:rsidR="0088147A">
              <w:t>There is an observed</w:t>
            </w:r>
            <w:r w:rsidRPr="00E31200">
              <w:t xml:space="preserve"> productivity premium associated with greater diversity amongst managers </w:t>
            </w:r>
            <w:r w:rsidRPr="00E31200">
              <w:rPr>
                <w:rFonts w:cs="Arial"/>
              </w:rPr>
              <w:t>(Criscuolo et al. 2021, pp. 32–39)</w:t>
            </w:r>
            <w:r w:rsidR="0088147A">
              <w:t xml:space="preserve"> — though </w:t>
            </w:r>
            <w:r w:rsidR="00805CB4">
              <w:t xml:space="preserve">it should be noted that management diversity </w:t>
            </w:r>
            <w:r w:rsidR="00516344">
              <w:t xml:space="preserve">may be correlated </w:t>
            </w:r>
            <w:r w:rsidR="00E63CD6">
              <w:t xml:space="preserve">with other productivity enhancing </w:t>
            </w:r>
            <w:r w:rsidR="0040192E">
              <w:t xml:space="preserve">recruitment practices, making the size of this premium </w:t>
            </w:r>
            <w:r w:rsidR="000A474B">
              <w:t>unclear.</w:t>
            </w:r>
          </w:p>
        </w:tc>
      </w:tr>
      <w:tr w:rsidR="00557DD7" w14:paraId="6E504CE3" w14:textId="77777777" w:rsidTr="00C426E9">
        <w:trPr>
          <w:hidden/>
        </w:trPr>
        <w:tc>
          <w:tcPr>
            <w:tcW w:w="9638" w:type="dxa"/>
            <w:shd w:val="clear" w:color="auto" w:fill="auto"/>
            <w:tcMar>
              <w:top w:w="0" w:type="dxa"/>
              <w:left w:w="170" w:type="dxa"/>
              <w:bottom w:w="0" w:type="dxa"/>
              <w:right w:w="170" w:type="dxa"/>
            </w:tcMar>
          </w:tcPr>
          <w:p w14:paraId="420253A9" w14:textId="6B8AB2B0" w:rsidR="00557DD7" w:rsidRPr="00465191" w:rsidRDefault="00557DD7" w:rsidP="00C426E9">
            <w:pPr>
              <w:pStyle w:val="BodyText"/>
              <w:spacing w:before="0" w:after="0" w:line="80" w:lineRule="atLeast"/>
              <w:rPr>
                <w:smallCaps/>
                <w:vanish/>
              </w:rPr>
            </w:pPr>
          </w:p>
        </w:tc>
      </w:tr>
    </w:tbl>
    <w:p w14:paraId="19A2A025" w14:textId="40035634" w:rsidR="00557DD7" w:rsidRDefault="00557DD7" w:rsidP="002A1ACC">
      <w:pPr>
        <w:pStyle w:val="BodyText"/>
        <w:keepNext/>
        <w:keepLines/>
      </w:pPr>
      <w:r>
        <w:lastRenderedPageBreak/>
        <w:t>The quality of a firm’s management is also a factor in how successfully new technologies are adopted and used by the firm. Managers have a disproportionate role in firm</w:t>
      </w:r>
      <w:r>
        <w:noBreakHyphen/>
        <w:t xml:space="preserve">level productivity to the extent that they are responsible for </w:t>
      </w:r>
      <w:r w:rsidR="000565F7">
        <w:t>‘</w:t>
      </w:r>
      <w:r>
        <w:t>deciding what to do</w:t>
      </w:r>
      <w:r w:rsidR="000565F7">
        <w:t>’</w:t>
      </w:r>
      <w:r>
        <w:t xml:space="preserve"> and </w:t>
      </w:r>
      <w:r w:rsidR="000565F7">
        <w:t>‘</w:t>
      </w:r>
      <w:r>
        <w:t>getting the organisation to do it</w:t>
      </w:r>
      <w:r w:rsidR="000565F7">
        <w:t>’</w:t>
      </w:r>
      <w:r>
        <w:t xml:space="preserve"> </w:t>
      </w:r>
      <w:r w:rsidR="00116531" w:rsidRPr="00116531">
        <w:rPr>
          <w:rFonts w:ascii="Arial" w:hAnsi="Arial" w:cs="Arial"/>
          <w:szCs w:val="24"/>
        </w:rPr>
        <w:t>(OECD 2019a, p. 8)</w:t>
      </w:r>
      <w:r>
        <w:t xml:space="preserve">, including decisions </w:t>
      </w:r>
      <w:r w:rsidR="00CB5A0C">
        <w:t>about</w:t>
      </w:r>
      <w:r>
        <w:t xml:space="preserve"> innovation.</w:t>
      </w:r>
    </w:p>
    <w:p w14:paraId="0EE672B4" w14:textId="2FDA9DC0" w:rsidR="00557DD7" w:rsidRDefault="00557DD7" w:rsidP="00557DD7">
      <w:pPr>
        <w:pStyle w:val="BodyText"/>
      </w:pPr>
      <w:r>
        <w:t>In Australia, innovation</w:t>
      </w:r>
      <w:r>
        <w:noBreakHyphen/>
        <w:t>active businesses report more frequently monitoring Key Performance Indicators (</w:t>
      </w:r>
      <w:r w:rsidRPr="004C10BD">
        <w:t>KPI</w:t>
      </w:r>
      <w:r>
        <w:t xml:space="preserve">s), offering performance bonus schemes and employing </w:t>
      </w:r>
      <w:r w:rsidRPr="00DF59D6">
        <w:t>Principal Managers under the age of 50</w:t>
      </w:r>
      <w:r w:rsidR="00E82AA3">
        <w:t> years</w:t>
      </w:r>
      <w:r>
        <w:t xml:space="preserve"> compared </w:t>
      </w:r>
      <w:r w:rsidR="00E82AA3">
        <w:t>with</w:t>
      </w:r>
      <w:r>
        <w:t xml:space="preserve"> non</w:t>
      </w:r>
      <w:r>
        <w:noBreakHyphen/>
        <w:t>innovation</w:t>
      </w:r>
      <w:r>
        <w:noBreakHyphen/>
        <w:t xml:space="preserve">active businesses </w:t>
      </w:r>
      <w:r w:rsidRPr="00A41B86">
        <w:rPr>
          <w:rFonts w:ascii="Arial" w:hAnsi="Arial" w:cs="Arial"/>
          <w:szCs w:val="24"/>
        </w:rPr>
        <w:t>(ABS 2017)</w:t>
      </w:r>
      <w:r>
        <w:t>. Moreover, better management practices increase the likelihood that firms will introduce new</w:t>
      </w:r>
      <w:r w:rsidR="000565F7">
        <w:noBreakHyphen/>
      </w:r>
      <w:r>
        <w:t>to</w:t>
      </w:r>
      <w:r w:rsidR="000565F7">
        <w:noBreakHyphen/>
      </w:r>
      <w:r>
        <w:t xml:space="preserve">market innovations </w:t>
      </w:r>
      <w:r w:rsidRPr="00675CCD">
        <w:rPr>
          <w:rFonts w:ascii="Arial" w:hAnsi="Arial" w:cs="Arial"/>
          <w:szCs w:val="24"/>
        </w:rPr>
        <w:t>(Majeed and Breunig 2021, p. 12)</w:t>
      </w:r>
      <w:r>
        <w:t xml:space="preserve">, or innovate at all </w:t>
      </w:r>
      <w:r w:rsidRPr="00010B3E">
        <w:rPr>
          <w:rFonts w:ascii="Arial" w:hAnsi="Arial" w:cs="Arial"/>
          <w:szCs w:val="24"/>
        </w:rPr>
        <w:t>(Gahan et al. 2016, p. 60)</w:t>
      </w:r>
      <w:r>
        <w:t>.</w:t>
      </w:r>
    </w:p>
    <w:p w14:paraId="39CB0CE7" w14:textId="77777777" w:rsidR="00557DD7" w:rsidRDefault="00557DD7" w:rsidP="00557DD7">
      <w:pPr>
        <w:pStyle w:val="Heading4"/>
      </w:pPr>
      <w:r>
        <w:t>Lack of skills and management capabilities is a barrier to the diffusion of innovations</w:t>
      </w:r>
    </w:p>
    <w:p w14:paraId="3DBAC585" w14:textId="0B78E884" w:rsidR="00557DD7" w:rsidRDefault="00557DD7" w:rsidP="00557DD7">
      <w:pPr>
        <w:pStyle w:val="BodyText"/>
      </w:pPr>
      <w:r>
        <w:t>A high proportion of Australian firms report a lack of skilled labour as a barrier to innovation (figure </w:t>
      </w:r>
      <w:bookmarkStart w:id="69" w:name="_1724049676"/>
      <w:bookmarkEnd w:id="69"/>
      <w:r>
        <w:t xml:space="preserve">2.7), both within their business and in the broader labour market. </w:t>
      </w:r>
      <w:r w:rsidR="00CB5A0C">
        <w:t>About</w:t>
      </w:r>
      <w:r>
        <w:t xml:space="preserve"> one third of innovation</w:t>
      </w:r>
      <w:r>
        <w:noBreakHyphen/>
        <w:t>active firms</w:t>
      </w:r>
      <w:r w:rsidRPr="002E227D">
        <w:rPr>
          <w:rStyle w:val="FootnoteReference"/>
        </w:rPr>
        <w:footnoteReference w:id="15"/>
      </w:r>
      <w:r>
        <w:t xml:space="preserve"> report that a lack of skilled labour is a barrier, suggesting that a perceived skills deficit constrains the extent and/or types of innovation undertaken even by businesses that are already innovating.</w:t>
      </w:r>
    </w:p>
    <w:p w14:paraId="2E8567DD" w14:textId="2C10E507" w:rsidR="00557DD7" w:rsidRPr="00146382" w:rsidRDefault="00557DD7" w:rsidP="004C7393">
      <w:pPr>
        <w:pStyle w:val="FigureTableHeading"/>
        <w:keepLines/>
      </w:pPr>
      <w:r>
        <w:t>Figure</w:t>
      </w:r>
      <w:bookmarkStart w:id="70" w:name="OLE_LINK5"/>
      <w:r w:rsidR="00A43B86">
        <w:t> </w:t>
      </w:r>
      <w:r>
        <w:t>2.</w:t>
      </w:r>
      <w:r>
        <w:rPr>
          <w:noProof/>
        </w:rPr>
        <w:t>7</w:t>
      </w:r>
      <w:bookmarkEnd w:id="70"/>
      <w:r>
        <w:rPr>
          <w:noProof/>
        </w:rPr>
        <w:t xml:space="preserve"> </w:t>
      </w:r>
      <w:r>
        <w:t>– Firms report a lack of skilled labour as a barrier to innovation</w:t>
      </w:r>
      <w:r w:rsidRPr="00DB67CC">
        <w:rPr>
          <w:vertAlign w:val="superscript"/>
        </w:rPr>
        <w:t>a</w:t>
      </w:r>
    </w:p>
    <w:p w14:paraId="4EEE65F9" w14:textId="4A44BFE6" w:rsidR="00557DD7" w:rsidRDefault="00557DD7" w:rsidP="004C7393">
      <w:pPr>
        <w:pStyle w:val="Note"/>
        <w:keepNext/>
        <w:keepLines/>
        <w:rPr>
          <w:rFonts w:asciiTheme="majorHAnsi" w:hAnsiTheme="majorHAnsi"/>
          <w:color w:val="58585B"/>
          <w:sz w:val="20"/>
          <w:szCs w:val="18"/>
        </w:rPr>
      </w:pPr>
      <w:r w:rsidRPr="0027592F">
        <w:rPr>
          <w:rFonts w:asciiTheme="majorHAnsi" w:hAnsiTheme="majorHAnsi"/>
          <w:iCs/>
          <w:color w:val="58585B"/>
          <w:sz w:val="20"/>
          <w:szCs w:val="18"/>
        </w:rPr>
        <w:t>20</w:t>
      </w:r>
      <w:r>
        <w:rPr>
          <w:rFonts w:asciiTheme="majorHAnsi" w:hAnsiTheme="majorHAnsi"/>
          <w:iCs/>
          <w:color w:val="58585B"/>
          <w:sz w:val="20"/>
          <w:szCs w:val="18"/>
        </w:rPr>
        <w:t>19</w:t>
      </w:r>
      <w:r w:rsidR="000565F7">
        <w:rPr>
          <w:rFonts w:asciiTheme="majorHAnsi" w:hAnsiTheme="majorHAnsi"/>
          <w:iCs/>
          <w:color w:val="58585B"/>
          <w:sz w:val="20"/>
          <w:szCs w:val="18"/>
        </w:rPr>
        <w:t>–</w:t>
      </w:r>
      <w:r>
        <w:rPr>
          <w:rFonts w:asciiTheme="majorHAnsi" w:hAnsiTheme="majorHAnsi"/>
          <w:iCs/>
          <w:color w:val="58585B"/>
          <w:sz w:val="20"/>
          <w:szCs w:val="18"/>
        </w:rPr>
        <w:t>21</w:t>
      </w:r>
    </w:p>
    <w:p w14:paraId="2ACACF62" w14:textId="3A7C6000" w:rsidR="00557DD7" w:rsidRDefault="00DC004A" w:rsidP="004C7393">
      <w:pPr>
        <w:pStyle w:val="Note"/>
        <w:keepNext/>
        <w:keepLines/>
        <w:rPr>
          <w:noProof/>
        </w:rPr>
      </w:pPr>
      <w:r w:rsidRPr="00DC004A">
        <w:rPr>
          <w:noProof/>
        </w:rPr>
        <w:drawing>
          <wp:inline distT="0" distB="0" distL="0" distR="0" wp14:anchorId="59F52D45" wp14:editId="273D1014">
            <wp:extent cx="6119495" cy="2872105"/>
            <wp:effectExtent l="0" t="0" r="0" b="0"/>
            <wp:docPr id="72" name="Picture 72" descr="This figure shows the proportions of innovation-active and non-innovation active businesses reporting a lack of access to skills within the business, within the labour market, and in either location as a barrier to innovation. Lack of access to skilled labour is frequently reported as a barrier to innovation, particularly for innovation-active busines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is figure shows the proportions of innovation-active and non-innovation active businesses reporting a lack of access to skills within the business, within the labour market, and in either location as a barrier to innovation. Lack of access to skilled labour is frequently reported as a barrier to innovation, particularly for innovation-active businesses.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9495" cy="2872105"/>
                    </a:xfrm>
                    <a:prstGeom prst="rect">
                      <a:avLst/>
                    </a:prstGeom>
                    <a:noFill/>
                    <a:ln>
                      <a:noFill/>
                    </a:ln>
                  </pic:spPr>
                </pic:pic>
              </a:graphicData>
            </a:graphic>
          </wp:inline>
        </w:drawing>
      </w:r>
      <w:r w:rsidRPr="00DC004A">
        <w:t xml:space="preserve"> </w:t>
      </w:r>
    </w:p>
    <w:p w14:paraId="4182B8D8" w14:textId="5E03FE15" w:rsidR="00557DD7" w:rsidRDefault="00557DD7" w:rsidP="00557DD7">
      <w:pPr>
        <w:pStyle w:val="Note"/>
      </w:pPr>
      <w:r>
        <w:rPr>
          <w:b/>
          <w:bCs/>
        </w:rPr>
        <w:t xml:space="preserve">a. </w:t>
      </w:r>
      <w:r>
        <w:t>Innovation</w:t>
      </w:r>
      <w:r w:rsidR="000565F7">
        <w:noBreakHyphen/>
      </w:r>
      <w:r>
        <w:t xml:space="preserve">active firms are </w:t>
      </w:r>
      <w:r w:rsidRPr="00BA0AA9">
        <w:t xml:space="preserve">firms </w:t>
      </w:r>
      <w:r>
        <w:t xml:space="preserve">that </w:t>
      </w:r>
      <w:r w:rsidRPr="003846C0">
        <w:t>reported</w:t>
      </w:r>
      <w:r w:rsidRPr="00BA0AA9">
        <w:t xml:space="preserve"> one or more innovations</w:t>
      </w:r>
      <w:r>
        <w:t>,</w:t>
      </w:r>
      <w:r w:rsidRPr="00BA0AA9">
        <w:t xml:space="preserve"> </w:t>
      </w:r>
      <w:r>
        <w:t xml:space="preserve">or </w:t>
      </w:r>
      <w:r w:rsidRPr="00BA0AA9">
        <w:t>firms with abandoned or ongoing innovation activities related to product or process innovations</w:t>
      </w:r>
      <w:r>
        <w:t xml:space="preserve">. </w:t>
      </w:r>
    </w:p>
    <w:p w14:paraId="4EFA12EE" w14:textId="2A9C792C" w:rsidR="00557DD7" w:rsidRDefault="00557DD7" w:rsidP="00557DD7">
      <w:pPr>
        <w:pStyle w:val="Source"/>
      </w:pPr>
      <w:r w:rsidRPr="00696447">
        <w:t>Source:</w:t>
      </w:r>
      <w:r>
        <w:t xml:space="preserve"> ABS (</w:t>
      </w:r>
      <w:r>
        <w:rPr>
          <w:i/>
          <w:iCs/>
        </w:rPr>
        <w:t>Characteristics of Australian Business</w:t>
      </w:r>
      <w:r>
        <w:t xml:space="preserve">, </w:t>
      </w:r>
      <w:r w:rsidRPr="00800A1F">
        <w:t>2020</w:t>
      </w:r>
      <w:r w:rsidR="000565F7" w:rsidRPr="00800A1F">
        <w:noBreakHyphen/>
      </w:r>
      <w:r w:rsidRPr="00800A1F">
        <w:t>21 financial year</w:t>
      </w:r>
      <w:r>
        <w:t>, Cat. no. 8158.0</w:t>
      </w:r>
      <w:r w:rsidR="00F77099">
        <w:t>)</w:t>
      </w:r>
      <w:r>
        <w:t>.</w:t>
      </w:r>
    </w:p>
    <w:p w14:paraId="569DBFDA" w14:textId="77777777" w:rsidR="00FA0280" w:rsidRDefault="00FA0280" w:rsidP="00FA0280">
      <w:pPr>
        <w:pStyle w:val="BodyText"/>
      </w:pPr>
      <w:r>
        <w:t>Moreover, businesses that are not actively engaged in innovation are also constrained by a lack of skilled labour, suggesting that a lack of appropriately skilled workers may also deter businesses from innovating in the first place. Skilled labour gaps are felt more acutely as a barrier to innovation by SMEs than larger firms.</w:t>
      </w:r>
      <w:r w:rsidRPr="006A6D9A">
        <w:t xml:space="preserve"> </w:t>
      </w:r>
      <w:r>
        <w:t>As noted by the Australian Small Business and Family Enterprise Ombudsman (ASBFEO):</w:t>
      </w:r>
    </w:p>
    <w:p w14:paraId="7CD5FA50" w14:textId="77777777" w:rsidR="00FA0280" w:rsidRDefault="00FA0280" w:rsidP="00FA0280">
      <w:pPr>
        <w:pStyle w:val="Quote"/>
      </w:pPr>
      <w:r>
        <w:lastRenderedPageBreak/>
        <w:t>It is difficult for small businesses to take up technology opportunities without adequately skilled staff. (ASBFEO, sub. 64, pp. 3–4)</w:t>
      </w:r>
    </w:p>
    <w:p w14:paraId="6AB513D8" w14:textId="60A50B72" w:rsidR="00557DD7" w:rsidRDefault="00FF1FA3" w:rsidP="00557DD7">
      <w:pPr>
        <w:pStyle w:val="BodyText"/>
      </w:pPr>
      <w:r w:rsidRPr="00FF1FA3">
        <w:t xml:space="preserve">Another area of skill shortage, and one that may be less obvious to firms, is in management skills. </w:t>
      </w:r>
      <w:r w:rsidR="00557DD7">
        <w:t xml:space="preserve">As argued in </w:t>
      </w:r>
      <w:r w:rsidR="009428AA">
        <w:t>c</w:t>
      </w:r>
      <w:r w:rsidR="00557DD7">
        <w:t>hapter</w:t>
      </w:r>
      <w:r w:rsidR="000565F7">
        <w:t> </w:t>
      </w:r>
      <w:r w:rsidR="00557DD7">
        <w:t xml:space="preserve">1 of this report, and previously discussed by the Commission </w:t>
      </w:r>
      <w:r w:rsidR="00936D73" w:rsidRPr="00936D73">
        <w:rPr>
          <w:rFonts w:ascii="Arial" w:hAnsi="Arial" w:cs="Arial"/>
          <w:szCs w:val="24"/>
        </w:rPr>
        <w:t>(PC 2020g, pp. 20–22)</w:t>
      </w:r>
      <w:r w:rsidR="00557DD7">
        <w:t xml:space="preserve">, </w:t>
      </w:r>
      <w:r w:rsidR="005C5B42">
        <w:t>limited</w:t>
      </w:r>
      <w:r w:rsidR="00557DD7">
        <w:t xml:space="preserve"> management capability may be holding back Australia’s productivity growth. Consultations undertaken for this </w:t>
      </w:r>
      <w:r w:rsidR="00FF202D">
        <w:t>i</w:t>
      </w:r>
      <w:r w:rsidR="00557DD7">
        <w:t>nquiry provided insights into some of the consequences for innovation of poor management capability.</w:t>
      </w:r>
    </w:p>
    <w:p w14:paraId="3FC72813" w14:textId="77B520B5" w:rsidR="00557DD7" w:rsidRDefault="00557DD7" w:rsidP="00557DD7">
      <w:pPr>
        <w:pStyle w:val="BodyText"/>
      </w:pPr>
      <w:r w:rsidRPr="00CC5DDB">
        <w:t>Managers may struggle to re</w:t>
      </w:r>
      <w:r w:rsidR="000565F7">
        <w:noBreakHyphen/>
      </w:r>
      <w:r w:rsidRPr="00CC5DDB">
        <w:t xml:space="preserve">organise their operations to make the most </w:t>
      </w:r>
      <w:r w:rsidRPr="007B244C">
        <w:rPr>
          <w:b/>
        </w:rPr>
        <w:t>effective use of adopted technologies</w:t>
      </w:r>
      <w:r w:rsidRPr="00CC5DDB">
        <w:t>. For example, the Australia Retailers Association</w:t>
      </w:r>
      <w:r>
        <w:t xml:space="preserve"> (ARA)</w:t>
      </w:r>
      <w:r w:rsidRPr="00CC5DDB">
        <w:t xml:space="preserve"> suggested that within their industry</w:t>
      </w:r>
      <w:r w:rsidR="000565F7">
        <w:t>:</w:t>
      </w:r>
    </w:p>
    <w:p w14:paraId="56593C3D" w14:textId="74C83E77" w:rsidR="00557DD7" w:rsidRDefault="00557DD7" w:rsidP="00557DD7">
      <w:pPr>
        <w:pStyle w:val="Quote"/>
      </w:pPr>
      <w:r w:rsidRPr="00CC5DDB">
        <w:t>the COVID</w:t>
      </w:r>
      <w:r w:rsidR="000565F7">
        <w:noBreakHyphen/>
      </w:r>
      <w:r w:rsidRPr="00CC5DDB">
        <w:t xml:space="preserve">19 pandemic, coupled with a </w:t>
      </w:r>
      <w:r w:rsidRPr="00EB553D">
        <w:t>huge appetite for digital transformation and use of digital technologies</w:t>
      </w:r>
      <w:r w:rsidRPr="00CC5DDB">
        <w:t xml:space="preserve">, drove an increased online presence among their members, followed by a </w:t>
      </w:r>
      <w:r>
        <w:t>“</w:t>
      </w:r>
      <w:r w:rsidRPr="00CC5DDB">
        <w:t>second wave</w:t>
      </w:r>
      <w:r>
        <w:t>”</w:t>
      </w:r>
      <w:r w:rsidRPr="00CC5DDB">
        <w:t xml:space="preserve"> of technology adoption to deal with problems arising from systems that were hastily put in place during the pandemic</w:t>
      </w:r>
      <w:r>
        <w:t>.</w:t>
      </w:r>
      <w:r w:rsidRPr="00CC5DDB">
        <w:t xml:space="preserve"> </w:t>
      </w:r>
      <w:r>
        <w:t>(pers. comm. 6</w:t>
      </w:r>
      <w:r w:rsidR="000565F7">
        <w:t> </w:t>
      </w:r>
      <w:r>
        <w:t>June 2022)</w:t>
      </w:r>
    </w:p>
    <w:p w14:paraId="3868DA1C" w14:textId="621F282B" w:rsidR="00557DD7" w:rsidRPr="00FA0280" w:rsidRDefault="00557DD7" w:rsidP="00557DD7">
      <w:pPr>
        <w:pStyle w:val="BodyText"/>
        <w:rPr>
          <w:spacing w:val="-4"/>
        </w:rPr>
      </w:pPr>
      <w:r w:rsidRPr="00FA0280">
        <w:rPr>
          <w:spacing w:val="-4"/>
        </w:rPr>
        <w:t>A recent survey of 1500 Australian SMEs showed 59</w:t>
      </w:r>
      <w:r w:rsidR="00E94315" w:rsidRPr="00FA0280">
        <w:rPr>
          <w:spacing w:val="-4"/>
        </w:rPr>
        <w:t>%</w:t>
      </w:r>
      <w:r w:rsidRPr="00FA0280">
        <w:rPr>
          <w:spacing w:val="-4"/>
        </w:rPr>
        <w:t xml:space="preserve"> of surveyed firms reporting that adopted digital solutions were hindering them in some way</w:t>
      </w:r>
      <w:r w:rsidR="00006AD8" w:rsidRPr="00FA0280">
        <w:rPr>
          <w:spacing w:val="-4"/>
        </w:rPr>
        <w:t>, suggesting that the firm had not successfully integrated the innovation into its existing processes</w:t>
      </w:r>
      <w:r w:rsidRPr="00FA0280">
        <w:rPr>
          <w:spacing w:val="-4"/>
        </w:rPr>
        <w:t>. Moreover, 42</w:t>
      </w:r>
      <w:r w:rsidR="00E94315" w:rsidRPr="00FA0280">
        <w:rPr>
          <w:spacing w:val="-4"/>
        </w:rPr>
        <w:t>%</w:t>
      </w:r>
      <w:r w:rsidRPr="00FA0280">
        <w:rPr>
          <w:spacing w:val="-4"/>
        </w:rPr>
        <w:t xml:space="preserve"> of surveyed businesses had given up on using some digital business solutions </w:t>
      </w:r>
      <w:r w:rsidR="00FC4D74" w:rsidRPr="00FA0280">
        <w:rPr>
          <w:rFonts w:cs="Arial"/>
          <w:spacing w:val="-4"/>
          <w:szCs w:val="24"/>
        </w:rPr>
        <w:t>(MYOB 2022)</w:t>
      </w:r>
      <w:r w:rsidRPr="00FA0280">
        <w:rPr>
          <w:spacing w:val="-4"/>
        </w:rPr>
        <w:t>. This points to the risk that persistent gaps in management capability may lead some firms to ‘over adopt’, or fail to benefit from adopted technologies, potentially deterring future innovation.</w:t>
      </w:r>
    </w:p>
    <w:p w14:paraId="298437DE" w14:textId="48117114" w:rsidR="00557DD7" w:rsidRPr="00A43B86" w:rsidRDefault="00557DD7" w:rsidP="00557DD7">
      <w:pPr>
        <w:pStyle w:val="BodyText"/>
        <w:rPr>
          <w:spacing w:val="-2"/>
        </w:rPr>
      </w:pPr>
      <w:r w:rsidRPr="00236433">
        <w:rPr>
          <w:spacing w:val="-2"/>
        </w:rPr>
        <w:t xml:space="preserve">Moreover, </w:t>
      </w:r>
      <w:r w:rsidR="00E6155A" w:rsidRPr="00236433">
        <w:rPr>
          <w:spacing w:val="-2"/>
        </w:rPr>
        <w:t>limited</w:t>
      </w:r>
      <w:r w:rsidRPr="00236433">
        <w:rPr>
          <w:spacing w:val="-2"/>
        </w:rPr>
        <w:t xml:space="preserve"> management capability may mean firms fail to fully </w:t>
      </w:r>
      <w:r w:rsidRPr="00236433">
        <w:rPr>
          <w:b/>
          <w:spacing w:val="-2"/>
        </w:rPr>
        <w:t>realise the benefits of their technology innovations</w:t>
      </w:r>
      <w:r w:rsidRPr="00236433">
        <w:rPr>
          <w:spacing w:val="-2"/>
        </w:rPr>
        <w:t>, even when the firm is at or near the global technology frontier. For example, the Interactive Games and Entertainment Association (IGEA), which represents the video games industry in Australia and New Zealand, suggested that while the industry was at the global frontier in terms of technical skills, some start</w:t>
      </w:r>
      <w:r w:rsidR="000565F7" w:rsidRPr="00236433">
        <w:rPr>
          <w:spacing w:val="-2"/>
        </w:rPr>
        <w:noBreakHyphen/>
      </w:r>
      <w:r w:rsidRPr="00236433">
        <w:rPr>
          <w:spacing w:val="-2"/>
        </w:rPr>
        <w:t>ups are held back by management experience. According to IGEA, the ‘sector does not need help to get on top of the latest technology or techniques for making games</w:t>
      </w:r>
      <w:r w:rsidR="000565F7" w:rsidRPr="00236433">
        <w:rPr>
          <w:spacing w:val="-2"/>
        </w:rPr>
        <w:t xml:space="preserve"> </w:t>
      </w:r>
      <w:r w:rsidRPr="00236433">
        <w:rPr>
          <w:spacing w:val="-2"/>
        </w:rPr>
        <w:t>… it’s the boring things — management, business skills — that [their members] may not always prioritise as much’ (IGEA, pers. comm. 7</w:t>
      </w:r>
      <w:r w:rsidR="000565F7" w:rsidRPr="00236433">
        <w:rPr>
          <w:spacing w:val="-2"/>
        </w:rPr>
        <w:t> </w:t>
      </w:r>
      <w:r w:rsidRPr="00236433">
        <w:rPr>
          <w:spacing w:val="-2"/>
        </w:rPr>
        <w:t>June 2022).</w:t>
      </w:r>
    </w:p>
    <w:p w14:paraId="5060155E" w14:textId="2B151B6E" w:rsidR="00557DD7" w:rsidRDefault="00557DD7" w:rsidP="00557DD7">
      <w:pPr>
        <w:pStyle w:val="BodyText"/>
      </w:pPr>
      <w:r w:rsidRPr="00D00D31">
        <w:t xml:space="preserve">The Council of Small Business Organisations Australia (COSBOA) suggested that smaller firms do not have </w:t>
      </w:r>
      <w:r w:rsidRPr="00853331">
        <w:rPr>
          <w:b/>
        </w:rPr>
        <w:t>time to allocate to up</w:t>
      </w:r>
      <w:r w:rsidR="000565F7">
        <w:rPr>
          <w:b/>
        </w:rPr>
        <w:noBreakHyphen/>
      </w:r>
      <w:r w:rsidRPr="00853331">
        <w:rPr>
          <w:b/>
        </w:rPr>
        <w:t>skilling themselves as managers and owners</w:t>
      </w:r>
      <w:r w:rsidRPr="00D00D31">
        <w:t>, because they often prioritise training their staff first</w:t>
      </w:r>
      <w:r>
        <w:t xml:space="preserve"> </w:t>
      </w:r>
      <w:r w:rsidRPr="00B77217">
        <w:t>(</w:t>
      </w:r>
      <w:r>
        <w:t>COSBOA</w:t>
      </w:r>
      <w:r w:rsidRPr="00B77217">
        <w:t xml:space="preserve">, pers. comm. </w:t>
      </w:r>
      <w:r>
        <w:t>9</w:t>
      </w:r>
      <w:r w:rsidR="000565F7">
        <w:t> </w:t>
      </w:r>
      <w:r w:rsidRPr="00B77217">
        <w:t>June 2022)</w:t>
      </w:r>
      <w:r w:rsidRPr="00D00D31">
        <w:t>.</w:t>
      </w:r>
    </w:p>
    <w:p w14:paraId="11208933" w14:textId="77777777" w:rsidR="00557DD7" w:rsidRDefault="00557DD7" w:rsidP="00557DD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57DD7" w14:paraId="5B08F9DF" w14:textId="77777777" w:rsidTr="00C426E9">
        <w:trPr>
          <w:trHeight w:val="765"/>
          <w:tblHeader/>
        </w:trPr>
        <w:tc>
          <w:tcPr>
            <w:tcW w:w="366" w:type="pct"/>
            <w:tcBorders>
              <w:bottom w:val="nil"/>
            </w:tcBorders>
            <w:tcMar>
              <w:bottom w:w="0" w:type="dxa"/>
            </w:tcMar>
            <w:vAlign w:val="center"/>
          </w:tcPr>
          <w:p w14:paraId="283C1909" w14:textId="77777777" w:rsidR="00557DD7" w:rsidRDefault="00557DD7" w:rsidP="00C426E9">
            <w:pPr>
              <w:pStyle w:val="NoSpacing"/>
              <w:keepLines/>
              <w:jc w:val="right"/>
            </w:pPr>
            <w:r w:rsidRPr="00A51374">
              <w:rPr>
                <w:noProof/>
              </w:rPr>
              <w:drawing>
                <wp:inline distT="0" distB="0" distL="0" distR="0" wp14:anchorId="6BFD4BC8" wp14:editId="6F5131DD">
                  <wp:extent cx="288000" cy="288000"/>
                  <wp:effectExtent l="0" t="0" r="0" b="0"/>
                  <wp:docPr id="9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49927E4" w14:textId="1EDCE264" w:rsidR="00557DD7" w:rsidRPr="00A4395A" w:rsidRDefault="00557DD7" w:rsidP="00C426E9">
            <w:pPr>
              <w:pStyle w:val="TableHeading"/>
              <w:keepLines/>
              <w:spacing w:before="60" w:after="120"/>
              <w:contextualSpacing/>
              <w:rPr>
                <w:sz w:val="20"/>
              </w:rPr>
            </w:pPr>
            <w:r w:rsidRPr="00A4395A">
              <w:rPr>
                <w:sz w:val="20"/>
              </w:rPr>
              <w:t xml:space="preserve">Finding </w:t>
            </w:r>
            <w:r w:rsidR="00D408A6">
              <w:rPr>
                <w:sz w:val="20"/>
              </w:rPr>
              <w:t>5.</w:t>
            </w:r>
            <w:r w:rsidR="00287325">
              <w:rPr>
                <w:sz w:val="20"/>
              </w:rPr>
              <w:t>4</w:t>
            </w:r>
          </w:p>
          <w:p w14:paraId="229C2375" w14:textId="77777777" w:rsidR="00557DD7" w:rsidRDefault="00557DD7" w:rsidP="00C426E9">
            <w:pPr>
              <w:pStyle w:val="TableHeading"/>
              <w:keepLines/>
              <w:spacing w:before="60" w:after="120"/>
              <w:contextualSpacing/>
            </w:pPr>
            <w:r>
              <w:rPr>
                <w:sz w:val="20"/>
              </w:rPr>
              <w:t>M</w:t>
            </w:r>
            <w:r w:rsidRPr="00FD2EE4">
              <w:rPr>
                <w:sz w:val="20"/>
              </w:rPr>
              <w:t xml:space="preserve">anagement capability </w:t>
            </w:r>
            <w:r>
              <w:rPr>
                <w:sz w:val="20"/>
              </w:rPr>
              <w:t>for successful technology adoption</w:t>
            </w:r>
          </w:p>
        </w:tc>
      </w:tr>
      <w:tr w:rsidR="00557DD7" w14:paraId="3CD1B0E4" w14:textId="77777777" w:rsidTr="00C426E9">
        <w:tc>
          <w:tcPr>
            <w:tcW w:w="5000" w:type="pct"/>
            <w:gridSpan w:val="2"/>
            <w:tcBorders>
              <w:top w:val="nil"/>
              <w:bottom w:val="single" w:sz="4" w:space="0" w:color="66BCDB" w:themeColor="text2"/>
            </w:tcBorders>
          </w:tcPr>
          <w:p w14:paraId="0266CCF6" w14:textId="440D031D" w:rsidR="00557DD7" w:rsidRDefault="001044E9" w:rsidP="00C426E9">
            <w:pPr>
              <w:pStyle w:val="BodyText"/>
              <w:keepLines/>
            </w:pPr>
            <w:r>
              <w:t>Limited</w:t>
            </w:r>
            <w:r w:rsidR="00557DD7" w:rsidRPr="00D66D01">
              <w:t xml:space="preserve"> management capability is holding back some businesses from making good adoption decisions and from getting the best outcome</w:t>
            </w:r>
            <w:r w:rsidR="00557DD7">
              <w:t>s</w:t>
            </w:r>
            <w:r w:rsidR="00557DD7" w:rsidRPr="00D66D01">
              <w:t xml:space="preserve"> from their investments in developing and adopting new technologies. </w:t>
            </w:r>
            <w:r w:rsidR="00557DD7" w:rsidRPr="00C57A8A">
              <w:t xml:space="preserve">Firms with stronger management are more likely to make good decisions </w:t>
            </w:r>
            <w:r w:rsidR="00CB5A0C">
              <w:t>about</w:t>
            </w:r>
            <w:r w:rsidR="00557DD7" w:rsidRPr="00C57A8A">
              <w:t xml:space="preserve"> </w:t>
            </w:r>
            <w:proofErr w:type="gramStart"/>
            <w:r w:rsidR="00557DD7" w:rsidRPr="00C57A8A">
              <w:t>whether or not</w:t>
            </w:r>
            <w:proofErr w:type="gramEnd"/>
            <w:r w:rsidR="00557DD7" w:rsidRPr="00C57A8A">
              <w:t xml:space="preserve"> to adopt new technologies and practices, </w:t>
            </w:r>
            <w:r w:rsidR="009F3007">
              <w:t xml:space="preserve">and </w:t>
            </w:r>
            <w:r w:rsidR="00557DD7">
              <w:t xml:space="preserve">when and </w:t>
            </w:r>
            <w:r w:rsidR="00557DD7" w:rsidRPr="00C57A8A">
              <w:t>how intensively to adopt them</w:t>
            </w:r>
            <w:r w:rsidR="00DB1ADA">
              <w:t>. Such</w:t>
            </w:r>
            <w:r w:rsidR="00557DD7" w:rsidRPr="00C57A8A">
              <w:t xml:space="preserve"> </w:t>
            </w:r>
            <w:r w:rsidR="00DB1ADA">
              <w:t>firms are also more likely</w:t>
            </w:r>
            <w:r w:rsidR="00557DD7" w:rsidRPr="00C57A8A">
              <w:t xml:space="preserve"> to be able to make the broader organisational changes that are needed to benefit from transformative technologies such as digital technologies. Despite a huge appetite for digital transformation in many industries, skills and management capability gaps (and a lack of tailored information) has seen some firms lose out from adopting new digital technologies, reducing their willingness to pursue future productivity</w:t>
            </w:r>
            <w:r w:rsidR="00557DD7">
              <w:noBreakHyphen/>
            </w:r>
            <w:r w:rsidR="00557DD7" w:rsidRPr="00C57A8A">
              <w:t>enhancing innovation.</w:t>
            </w:r>
          </w:p>
        </w:tc>
      </w:tr>
      <w:tr w:rsidR="00557DD7" w14:paraId="53132791" w14:textId="77777777" w:rsidTr="00C426E9">
        <w:tc>
          <w:tcPr>
            <w:tcW w:w="5000" w:type="pct"/>
            <w:gridSpan w:val="2"/>
            <w:tcBorders>
              <w:top w:val="single" w:sz="4" w:space="0" w:color="66BCDB" w:themeColor="text2"/>
              <w:left w:val="nil"/>
              <w:bottom w:val="nil"/>
              <w:right w:val="nil"/>
            </w:tcBorders>
            <w:tcMar>
              <w:bottom w:w="0" w:type="dxa"/>
            </w:tcMar>
          </w:tcPr>
          <w:p w14:paraId="537BE529" w14:textId="77777777" w:rsidR="00557DD7" w:rsidRDefault="00557DD7" w:rsidP="00C426E9">
            <w:pPr>
              <w:pStyle w:val="NoSpacing"/>
              <w:spacing w:line="200" w:lineRule="atLeast"/>
            </w:pPr>
          </w:p>
        </w:tc>
      </w:tr>
    </w:tbl>
    <w:p w14:paraId="20E1BF11" w14:textId="77777777" w:rsidR="00557DD7" w:rsidRDefault="00557DD7" w:rsidP="00557DD7">
      <w:pPr>
        <w:pStyle w:val="Heading3"/>
      </w:pPr>
      <w:r>
        <w:lastRenderedPageBreak/>
        <w:t>Governments play an important role in building the human capital that enables diffusion of innovations</w:t>
      </w:r>
    </w:p>
    <w:p w14:paraId="0F6BBD67" w14:textId="43520265" w:rsidR="00557DD7" w:rsidRDefault="00557DD7" w:rsidP="00557DD7">
      <w:pPr>
        <w:pStyle w:val="BodyText"/>
      </w:pPr>
      <w:r>
        <w:t>Governments play a pre</w:t>
      </w:r>
      <w:r>
        <w:noBreakHyphen/>
        <w:t xml:space="preserve">eminent role in developing the skills of Australians. Skills are a conduit for transferring new knowledge as well as </w:t>
      </w:r>
      <w:r w:rsidR="00666EF7">
        <w:t xml:space="preserve">information about </w:t>
      </w:r>
      <w:r w:rsidR="009940C2">
        <w:t xml:space="preserve">how to use </w:t>
      </w:r>
      <w:r>
        <w:t>novel innovation</w:t>
      </w:r>
      <w:r w:rsidR="00666EF7">
        <w:t>s</w:t>
      </w:r>
      <w:r>
        <w:t>. Governments’ role extends beyond funding and managing the education system (schools, vocational education and training (VET), and universities) to immigration policy.</w:t>
      </w:r>
    </w:p>
    <w:p w14:paraId="334DE42C" w14:textId="7D60AEC6" w:rsidR="00557DD7" w:rsidRDefault="00557DD7" w:rsidP="00557DD7">
      <w:pPr>
        <w:pStyle w:val="BodyText"/>
      </w:pPr>
      <w:r>
        <w:t xml:space="preserve">Nevertheless, the design and funding of the education system is pivotal to innovation and diffusion. Increasing the </w:t>
      </w:r>
      <w:r w:rsidRPr="001A3917">
        <w:t xml:space="preserve">attainment </w:t>
      </w:r>
      <w:r>
        <w:t xml:space="preserve">and quality of education, including early childhood education, schools, higher education and VET, increases workers’ capacity to identify and make productive use of new technologies and practices. A highly skilled workforce may also make Australia a relatively more attractive destination for foreign investment </w:t>
      </w:r>
      <w:r w:rsidR="00936D73" w:rsidRPr="00936D73">
        <w:rPr>
          <w:rFonts w:ascii="Arial" w:hAnsi="Arial" w:cs="Arial"/>
          <w:szCs w:val="24"/>
        </w:rPr>
        <w:t>(PC 2020c, p. 54)</w:t>
      </w:r>
      <w:r>
        <w:t xml:space="preserve">, and for investment in projects with high skills requirements. The </w:t>
      </w:r>
      <w:r w:rsidR="0019794E">
        <w:t xml:space="preserve">Productivity </w:t>
      </w:r>
      <w:r>
        <w:t xml:space="preserve">Commission </w:t>
      </w:r>
      <w:r w:rsidR="00B40D2E">
        <w:t xml:space="preserve">has </w:t>
      </w:r>
      <w:r>
        <w:t>undertak</w:t>
      </w:r>
      <w:r w:rsidR="00B40D2E">
        <w:t>en</w:t>
      </w:r>
      <w:r>
        <w:t xml:space="preserve"> a more detailed assessment </w:t>
      </w:r>
      <w:r w:rsidR="00B40D2E">
        <w:t>of Australia’s education system</w:t>
      </w:r>
      <w:r w:rsidR="00D21F8A">
        <w:t>’s</w:t>
      </w:r>
      <w:r w:rsidR="00B40D2E">
        <w:t xml:space="preserve"> </w:t>
      </w:r>
      <w:r w:rsidR="003867D0">
        <w:t xml:space="preserve">role in skills formation </w:t>
      </w:r>
      <w:r>
        <w:t xml:space="preserve">in </w:t>
      </w:r>
      <w:r w:rsidR="00B40D2E">
        <w:t xml:space="preserve">this inquiry’s </w:t>
      </w:r>
      <w:r>
        <w:t xml:space="preserve">companion </w:t>
      </w:r>
      <w:r w:rsidR="009E2A52">
        <w:t>volume</w:t>
      </w:r>
      <w:r>
        <w:t xml:space="preserve"> </w:t>
      </w:r>
      <w:proofErr w:type="gramStart"/>
      <w:r w:rsidR="003867D0">
        <w:rPr>
          <w:i/>
          <w:iCs/>
        </w:rPr>
        <w:t>From</w:t>
      </w:r>
      <w:proofErr w:type="gramEnd"/>
      <w:r w:rsidR="003867D0">
        <w:rPr>
          <w:i/>
          <w:iCs/>
        </w:rPr>
        <w:t xml:space="preserve"> learning to growth</w:t>
      </w:r>
      <w:r w:rsidR="003867D0">
        <w:t>,</w:t>
      </w:r>
      <w:r w:rsidR="003867D0">
        <w:rPr>
          <w:i/>
          <w:iCs/>
        </w:rPr>
        <w:t xml:space="preserve"> </w:t>
      </w:r>
      <w:r>
        <w:t>and also through a review of the National School Reform Agreement.</w:t>
      </w:r>
    </w:p>
    <w:p w14:paraId="4E3737F6" w14:textId="6F0E3058" w:rsidR="00557DD7" w:rsidRPr="008C0D16" w:rsidRDefault="00557DD7" w:rsidP="00557DD7">
      <w:pPr>
        <w:pStyle w:val="Heading4"/>
      </w:pPr>
      <w:r>
        <w:t xml:space="preserve">Skilled </w:t>
      </w:r>
      <w:r w:rsidR="00B719BC">
        <w:t>m</w:t>
      </w:r>
      <w:r>
        <w:t>igration</w:t>
      </w:r>
    </w:p>
    <w:p w14:paraId="27CC9537" w14:textId="795FC581" w:rsidR="005E6E67" w:rsidRDefault="005E6E67" w:rsidP="005E6E67">
      <w:pPr>
        <w:pStyle w:val="BodyText"/>
      </w:pPr>
      <w:r>
        <w:t xml:space="preserve">Skilled migration is viewed narrowly </w:t>
      </w:r>
      <w:proofErr w:type="gramStart"/>
      <w:r>
        <w:t>as a means to</w:t>
      </w:r>
      <w:proofErr w:type="gramEnd"/>
      <w:r>
        <w:t xml:space="preserve"> resolving short</w:t>
      </w:r>
      <w:r w:rsidR="00A43B86">
        <w:noBreakHyphen/>
      </w:r>
      <w:r>
        <w:t>term skill needs.</w:t>
      </w:r>
      <w:r w:rsidR="00F43545">
        <w:t xml:space="preserve"> But more broadly than this,</w:t>
      </w:r>
      <w:r>
        <w:t xml:space="preserve"> skilled migration </w:t>
      </w:r>
      <w:r w:rsidR="00F43545">
        <w:t xml:space="preserve">is also </w:t>
      </w:r>
      <w:r w:rsidR="00F25A7E" w:rsidRPr="00F25A7E">
        <w:t>a way of diffusing</w:t>
      </w:r>
      <w:r>
        <w:t xml:space="preserve"> innovation and </w:t>
      </w:r>
      <w:r w:rsidR="00F25A7E" w:rsidRPr="00F25A7E">
        <w:t>best practice among Australian businesses. Businesses can be conceived as experimental laboratories in delivering goods and services to consumers, so it makes sense to understand the lessons from as wide a variety of experiments as possible, particularly those overseas</w:t>
      </w:r>
      <w:r>
        <w:t xml:space="preserve">. Australia’s skilled migration policy will </w:t>
      </w:r>
      <w:r w:rsidR="00F43545">
        <w:t xml:space="preserve">therefore </w:t>
      </w:r>
      <w:r>
        <w:t>be central to the diffusion of innovation and future product</w:t>
      </w:r>
      <w:r w:rsidR="00C51F09">
        <w:t>i</w:t>
      </w:r>
      <w:r>
        <w:t xml:space="preserve">vity performance. </w:t>
      </w:r>
    </w:p>
    <w:p w14:paraId="687649E3" w14:textId="0E4F5FB9" w:rsidR="001B3154" w:rsidRDefault="00F43545" w:rsidP="00557DD7">
      <w:pPr>
        <w:pStyle w:val="BodyText"/>
      </w:pPr>
      <w:r>
        <w:t>As previously discussed, o</w:t>
      </w:r>
      <w:r w:rsidR="007003BB">
        <w:t xml:space="preserve">ne of the </w:t>
      </w:r>
      <w:proofErr w:type="gramStart"/>
      <w:r w:rsidR="007003BB">
        <w:t>key ways</w:t>
      </w:r>
      <w:proofErr w:type="gramEnd"/>
      <w:r w:rsidR="007003BB">
        <w:t xml:space="preserve"> that firms learn about </w:t>
      </w:r>
      <w:r w:rsidR="00746D7B">
        <w:t xml:space="preserve">innovations </w:t>
      </w:r>
      <w:r w:rsidR="004021F5">
        <w:t xml:space="preserve">is </w:t>
      </w:r>
      <w:r w:rsidR="00B33373">
        <w:t xml:space="preserve">through the normal churn of workers between firms in an industry. </w:t>
      </w:r>
      <w:r w:rsidR="00737E1A">
        <w:t xml:space="preserve">When hiring a worker that has been working for a competitor, or another segment of the industry, a firm </w:t>
      </w:r>
      <w:r w:rsidR="009A4DE7">
        <w:t>may learn</w:t>
      </w:r>
      <w:r w:rsidR="002C613B">
        <w:t xml:space="preserve"> about</w:t>
      </w:r>
      <w:r w:rsidR="00737E1A">
        <w:t xml:space="preserve"> new ways of doing things, techniques or equipment that it was not aware of.</w:t>
      </w:r>
      <w:r w:rsidR="00F8471C">
        <w:t xml:space="preserve"> Australian firms find more innovation ideas from their own workers than from any other source (</w:t>
      </w:r>
      <w:r w:rsidR="00BE4D5B">
        <w:t xml:space="preserve">detailed in </w:t>
      </w:r>
      <w:r w:rsidR="008658DE">
        <w:t>f</w:t>
      </w:r>
      <w:r w:rsidR="00F8471C">
        <w:t>igure</w:t>
      </w:r>
      <w:bookmarkStart w:id="71" w:name="_1736581472"/>
      <w:bookmarkStart w:id="72" w:name="_1736322860"/>
      <w:bookmarkStart w:id="73" w:name="_1736012675"/>
      <w:bookmarkStart w:id="74" w:name="_1734944845"/>
      <w:bookmarkStart w:id="75" w:name="_1735020289"/>
      <w:bookmarkStart w:id="76" w:name="_1735452156"/>
      <w:bookmarkStart w:id="77" w:name="_1735740183"/>
      <w:bookmarkStart w:id="78" w:name="_1736171408"/>
      <w:bookmarkStart w:id="79" w:name="_1736171097"/>
      <w:bookmarkStart w:id="80" w:name="_1736170454"/>
      <w:bookmarkStart w:id="81" w:name="_1736170140"/>
      <w:bookmarkStart w:id="82" w:name="_1736157789"/>
      <w:bookmarkStart w:id="83" w:name="_1736159662"/>
      <w:bookmarkStart w:id="84" w:name="_1736172633"/>
      <w:bookmarkStart w:id="85" w:name="_1736172144"/>
      <w:bookmarkStart w:id="86" w:name="_1736171909"/>
      <w:bookmarkStart w:id="87" w:name="_1736194780"/>
      <w:bookmarkStart w:id="88" w:name="_173659766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00A43B86">
        <w:t> </w:t>
      </w:r>
      <w:r w:rsidR="00354C0A">
        <w:t>2.9 below</w:t>
      </w:r>
      <w:r w:rsidR="00F8471C">
        <w:t xml:space="preserve">); and for many of those workers, their innovative ideas </w:t>
      </w:r>
      <w:r w:rsidR="004E5505">
        <w:t>are built on</w:t>
      </w:r>
      <w:r w:rsidR="00F8471C">
        <w:t xml:space="preserve"> knowledge and experience from their previous employers.</w:t>
      </w:r>
      <w:r w:rsidR="00737E1A">
        <w:t xml:space="preserve"> </w:t>
      </w:r>
      <w:r w:rsidR="00F8471C">
        <w:t>‘Knowledge spillovers’</w:t>
      </w:r>
      <w:r w:rsidR="004F5381">
        <w:t xml:space="preserve"> </w:t>
      </w:r>
      <w:r w:rsidR="00F8471C">
        <w:t xml:space="preserve">from the </w:t>
      </w:r>
      <w:r w:rsidR="004B1E3B">
        <w:t>movement of workers between firms</w:t>
      </w:r>
      <w:r w:rsidR="00F8471C">
        <w:t xml:space="preserve"> has been documented to be one of the ma</w:t>
      </w:r>
      <w:r w:rsidR="00765A90">
        <w:t>in</w:t>
      </w:r>
      <w:r w:rsidR="00F8471C">
        <w:t xml:space="preserve"> </w:t>
      </w:r>
      <w:r w:rsidR="004B1E3B">
        <w:t xml:space="preserve">ways that technology firms </w:t>
      </w:r>
      <w:r w:rsidR="00765A90">
        <w:t xml:space="preserve">learn about </w:t>
      </w:r>
      <w:r w:rsidR="00F8471C">
        <w:t xml:space="preserve">innovation and </w:t>
      </w:r>
      <w:r w:rsidR="004B1E3B">
        <w:t xml:space="preserve">grow their </w:t>
      </w:r>
      <w:r w:rsidR="00F8471C">
        <w:t xml:space="preserve">productivity in </w:t>
      </w:r>
      <w:r w:rsidR="00976076">
        <w:t>t</w:t>
      </w:r>
      <w:r w:rsidR="000B38C1">
        <w:t>he Silicon Valley</w:t>
      </w:r>
      <w:r w:rsidR="00976076">
        <w:t>, for e</w:t>
      </w:r>
      <w:r w:rsidR="00976076" w:rsidRPr="005933B3">
        <w:t>xample</w:t>
      </w:r>
      <w:r w:rsidR="00766336">
        <w:t xml:space="preserve"> Sax</w:t>
      </w:r>
      <w:r w:rsidR="008A638C">
        <w:t>enian</w:t>
      </w:r>
      <w:r w:rsidR="000B38C1" w:rsidRPr="005933B3">
        <w:t xml:space="preserve"> </w:t>
      </w:r>
      <w:r w:rsidR="00AE71A4" w:rsidRPr="00AE71A4">
        <w:rPr>
          <w:rFonts w:ascii="Arial" w:hAnsi="Arial" w:cs="Arial"/>
          <w:szCs w:val="24"/>
        </w:rPr>
        <w:t>(1996)</w:t>
      </w:r>
      <w:r w:rsidR="000B38C1" w:rsidRPr="005933B3">
        <w:t>.</w:t>
      </w:r>
      <w:r w:rsidR="00A43B86">
        <w:t xml:space="preserve"> </w:t>
      </w:r>
    </w:p>
    <w:p w14:paraId="04826C4B" w14:textId="1868D23A" w:rsidR="001B3154" w:rsidRDefault="00367B09" w:rsidP="00557DD7">
      <w:pPr>
        <w:pStyle w:val="BodyText"/>
      </w:pPr>
      <w:r>
        <w:t xml:space="preserve">In </w:t>
      </w:r>
      <w:r w:rsidR="00C735F5">
        <w:t>many industries</w:t>
      </w:r>
      <w:r w:rsidR="0014702F">
        <w:t>, the most technologically advanced firms in the world are overseas</w:t>
      </w:r>
      <w:r w:rsidR="00962588">
        <w:t>,</w:t>
      </w:r>
      <w:r w:rsidR="0014702F">
        <w:t xml:space="preserve"> </w:t>
      </w:r>
      <w:r w:rsidR="00962588">
        <w:t>a</w:t>
      </w:r>
      <w:r w:rsidR="0014702F">
        <w:t xml:space="preserve">nd </w:t>
      </w:r>
      <w:proofErr w:type="gramStart"/>
      <w:r w:rsidR="0014702F">
        <w:t>the majority of</w:t>
      </w:r>
      <w:proofErr w:type="gramEnd"/>
      <w:r w:rsidR="0014702F">
        <w:t xml:space="preserve"> innovations are taking place in firms </w:t>
      </w:r>
      <w:r w:rsidR="00BB6F15">
        <w:t xml:space="preserve">overseas. </w:t>
      </w:r>
      <w:r w:rsidR="00962588">
        <w:t>W</w:t>
      </w:r>
      <w:r w:rsidR="00BB6F15">
        <w:t xml:space="preserve">hen </w:t>
      </w:r>
      <w:r w:rsidR="008F3B07">
        <w:t xml:space="preserve">local </w:t>
      </w:r>
      <w:r w:rsidR="004A52CA">
        <w:t>firms employ</w:t>
      </w:r>
      <w:r w:rsidR="00BB6F15">
        <w:t xml:space="preserve"> skilled migrants, they are also brin</w:t>
      </w:r>
      <w:r w:rsidR="00721D33">
        <w:t xml:space="preserve">ging in some of the knowhow and ideas from overseas. </w:t>
      </w:r>
      <w:r w:rsidR="008474E2">
        <w:t>For example, a</w:t>
      </w:r>
      <w:r w:rsidR="0059250B">
        <w:t xml:space="preserve">nalysis from New Zealand finds that the share of recent, </w:t>
      </w:r>
      <w:r w:rsidR="0059250B" w:rsidDel="000D7DB4">
        <w:t>high</w:t>
      </w:r>
      <w:r w:rsidR="0059250B">
        <w:noBreakHyphen/>
        <w:t xml:space="preserve">skilled migrants (or returnee New Zealanders) in a firm is significantly and positively associated with innovation. </w:t>
      </w:r>
      <w:proofErr w:type="gramStart"/>
      <w:r w:rsidR="0059250B">
        <w:t>In particular, firms</w:t>
      </w:r>
      <w:proofErr w:type="gramEnd"/>
      <w:r w:rsidR="0059250B">
        <w:t xml:space="preserve"> that employed returning New Zealanders were more likely to introduce innovations that were new to New Zealand </w:t>
      </w:r>
      <w:r w:rsidR="0059250B" w:rsidRPr="00143E60">
        <w:rPr>
          <w:rFonts w:ascii="Arial" w:hAnsi="Arial" w:cs="Arial"/>
          <w:szCs w:val="24"/>
        </w:rPr>
        <w:t>(McLeod, Fabling and Marr 2014, pp. 21–25)</w:t>
      </w:r>
      <w:r w:rsidR="0059250B">
        <w:t>.</w:t>
      </w:r>
    </w:p>
    <w:p w14:paraId="704EB332" w14:textId="1134F925" w:rsidR="00890E59" w:rsidRDefault="000D3F41" w:rsidP="00890E59">
      <w:pPr>
        <w:pStyle w:val="BodyText"/>
      </w:pPr>
      <w:r>
        <w:t xml:space="preserve">In addition to knowledge of </w:t>
      </w:r>
      <w:r w:rsidR="00612C92">
        <w:t xml:space="preserve">specific </w:t>
      </w:r>
      <w:r>
        <w:t xml:space="preserve">innovations from overseas, skilled migrants also bring </w:t>
      </w:r>
      <w:r w:rsidR="00EA0BBA">
        <w:t>valuable skills that may be in short supply in the domestic market</w:t>
      </w:r>
      <w:r w:rsidR="005969E6">
        <w:t>, including</w:t>
      </w:r>
      <w:r w:rsidR="00303E57">
        <w:t xml:space="preserve"> skills</w:t>
      </w:r>
      <w:r w:rsidR="00D66854">
        <w:t xml:space="preserve"> </w:t>
      </w:r>
      <w:r w:rsidR="00303E57">
        <w:t>that</w:t>
      </w:r>
      <w:r w:rsidR="00D66854">
        <w:t xml:space="preserve"> limit </w:t>
      </w:r>
      <w:r w:rsidR="00303E57">
        <w:t xml:space="preserve">firms’ </w:t>
      </w:r>
      <w:r w:rsidR="00D66854">
        <w:t>ability to innovate</w:t>
      </w:r>
      <w:r w:rsidR="00303E57">
        <w:t xml:space="preserve"> (figure</w:t>
      </w:r>
      <w:r w:rsidR="00A43B86">
        <w:t> </w:t>
      </w:r>
      <w:r w:rsidR="00303E57">
        <w:t>2.7)</w:t>
      </w:r>
      <w:r w:rsidR="00D66854">
        <w:t xml:space="preserve">. </w:t>
      </w:r>
      <w:r w:rsidR="00890E59">
        <w:t>There may even be specific skills that only exist overseas in particularly innovative areas. As noted by the Business Council of Australia:</w:t>
      </w:r>
    </w:p>
    <w:p w14:paraId="28C4A22B" w14:textId="2EFB10CD" w:rsidR="0017039C" w:rsidRPr="00966F2D" w:rsidRDefault="00890E59" w:rsidP="006F3FEA">
      <w:pPr>
        <w:pStyle w:val="Quote"/>
      </w:pPr>
      <w:r>
        <w:t>… it will continue to be the case that much of the innovation occurs offshore, and the new skills supporting that innovation will first be developed offshore</w:t>
      </w:r>
      <w:r w:rsidRPr="00966F2D">
        <w:t>. (BCA, sub. 16, p.</w:t>
      </w:r>
      <w:r w:rsidR="00A43B86">
        <w:t> </w:t>
      </w:r>
      <w:r w:rsidRPr="00966F2D">
        <w:t>9)</w:t>
      </w:r>
    </w:p>
    <w:p w14:paraId="636138BE" w14:textId="6BC56F11" w:rsidR="00007BED" w:rsidRDefault="001256BF" w:rsidP="00812046">
      <w:pPr>
        <w:pStyle w:val="BodyText"/>
      </w:pPr>
      <w:r w:rsidRPr="00966F2D">
        <w:lastRenderedPageBreak/>
        <w:t xml:space="preserve">The </w:t>
      </w:r>
      <w:r w:rsidR="0019794E">
        <w:t xml:space="preserve">Productivity </w:t>
      </w:r>
      <w:r w:rsidRPr="00966F2D">
        <w:t>Commission</w:t>
      </w:r>
      <w:r w:rsidR="006A7FB3" w:rsidRPr="00966F2D">
        <w:t xml:space="preserve"> consider</w:t>
      </w:r>
      <w:r w:rsidR="0019794E">
        <w:t>s</w:t>
      </w:r>
      <w:r w:rsidR="00645191" w:rsidRPr="00966F2D">
        <w:t xml:space="preserve"> skilled migration </w:t>
      </w:r>
      <w:r w:rsidR="006A7FB3" w:rsidRPr="00966F2D">
        <w:t xml:space="preserve">policy </w:t>
      </w:r>
      <w:r w:rsidR="00645191" w:rsidRPr="00966F2D">
        <w:t xml:space="preserve">in a </w:t>
      </w:r>
      <w:r w:rsidRPr="00966F2D">
        <w:t xml:space="preserve">companion </w:t>
      </w:r>
      <w:r w:rsidR="006B7EA1" w:rsidRPr="00966F2D">
        <w:t>volume</w:t>
      </w:r>
      <w:r w:rsidRPr="00966F2D">
        <w:t xml:space="preserve"> to this inquiry, </w:t>
      </w:r>
      <w:r w:rsidR="00645191" w:rsidRPr="00966F2D">
        <w:rPr>
          <w:i/>
          <w:iCs/>
        </w:rPr>
        <w:t>A more productive labour market.</w:t>
      </w:r>
      <w:r w:rsidR="004158A3" w:rsidRPr="00966F2D">
        <w:t xml:space="preserve"> Th</w:t>
      </w:r>
      <w:r w:rsidR="006A7FB3" w:rsidRPr="00966F2D">
        <w:t>at</w:t>
      </w:r>
      <w:r w:rsidR="004158A3" w:rsidRPr="00966F2D">
        <w:t xml:space="preserve"> report recommends that the government shifts away from overly restrictive and inflexible occupation lists </w:t>
      </w:r>
      <w:r w:rsidR="00647AAF" w:rsidRPr="00966F2D">
        <w:t>for employer</w:t>
      </w:r>
      <w:r w:rsidR="00A43B86">
        <w:noBreakHyphen/>
      </w:r>
      <w:r w:rsidR="00647AAF" w:rsidRPr="00966F2D">
        <w:t>sponsored</w:t>
      </w:r>
      <w:r w:rsidR="004158A3" w:rsidRPr="00966F2D">
        <w:t xml:space="preserve"> temporary and permanent skilled migration. Instead, the government should </w:t>
      </w:r>
      <w:r w:rsidR="00647AAF" w:rsidRPr="00966F2D">
        <w:t>implement</w:t>
      </w:r>
      <w:r w:rsidR="004158A3" w:rsidRPr="00966F2D">
        <w:t xml:space="preserve"> wage thresholds</w:t>
      </w:r>
      <w:r w:rsidR="00647AAF" w:rsidRPr="00966F2D">
        <w:t xml:space="preserve"> for employer</w:t>
      </w:r>
      <w:r w:rsidR="00A43B86">
        <w:noBreakHyphen/>
      </w:r>
      <w:r w:rsidR="00647AAF" w:rsidRPr="00966F2D">
        <w:t>sponsored visas</w:t>
      </w:r>
      <w:r w:rsidR="004158A3" w:rsidRPr="00966F2D">
        <w:t xml:space="preserve">, whereby employers can sponsor overseas workers in any occupation </w:t>
      </w:r>
      <w:proofErr w:type="gramStart"/>
      <w:r w:rsidR="004158A3" w:rsidRPr="00966F2D">
        <w:t>as long as</w:t>
      </w:r>
      <w:proofErr w:type="gramEnd"/>
      <w:r w:rsidR="004158A3" w:rsidRPr="00966F2D">
        <w:t xml:space="preserve"> they are paid above the relevant threshold (with </w:t>
      </w:r>
      <w:r w:rsidR="00647AAF" w:rsidRPr="00966F2D">
        <w:t>a lower threshold</w:t>
      </w:r>
      <w:r w:rsidR="004158A3" w:rsidRPr="00966F2D">
        <w:t xml:space="preserve"> for temporary migration and permanent migration thresholds to </w:t>
      </w:r>
      <w:r w:rsidR="00647AAF" w:rsidRPr="00966F2D">
        <w:t>increase with</w:t>
      </w:r>
      <w:r w:rsidR="004158A3" w:rsidRPr="00966F2D">
        <w:t xml:space="preserve"> age).</w:t>
      </w:r>
      <w:r w:rsidR="00645191">
        <w:t xml:space="preserve"> </w:t>
      </w:r>
    </w:p>
    <w:p w14:paraId="5F401DB4" w14:textId="1DA3D520" w:rsidR="0015475B" w:rsidRPr="00A43B86" w:rsidRDefault="008B2A6E" w:rsidP="00812046">
      <w:pPr>
        <w:pStyle w:val="BodyText"/>
      </w:pPr>
      <w:r>
        <w:t>Implementing this recommendation would mean that f</w:t>
      </w:r>
      <w:r w:rsidR="00645191">
        <w:t>irms</w:t>
      </w:r>
      <w:r w:rsidR="00645191" w:rsidDel="008B2A6E">
        <w:t xml:space="preserve"> </w:t>
      </w:r>
      <w:r>
        <w:t xml:space="preserve">could </w:t>
      </w:r>
      <w:r w:rsidR="00645191">
        <w:t xml:space="preserve">hire </w:t>
      </w:r>
      <w:r w:rsidR="00A92CAC">
        <w:t xml:space="preserve">skilled </w:t>
      </w:r>
      <w:r w:rsidR="00645191">
        <w:t>migrants with any skill or knowledge th</w:t>
      </w:r>
      <w:r w:rsidR="000F3A4C">
        <w:t xml:space="preserve">at </w:t>
      </w:r>
      <w:r w:rsidR="00152BB4">
        <w:t>they would be willing to pay above the wage threshold for</w:t>
      </w:r>
      <w:r w:rsidR="003F3BA9">
        <w:t xml:space="preserve">, without waiting for a skill list to be updated. </w:t>
      </w:r>
      <w:r w:rsidR="00F8755A">
        <w:t>But importantly</w:t>
      </w:r>
      <w:r w:rsidR="004D2F04">
        <w:t>,</w:t>
      </w:r>
      <w:r w:rsidR="00F8755A">
        <w:t xml:space="preserve"> </w:t>
      </w:r>
      <w:r w:rsidR="004D2F04">
        <w:t xml:space="preserve">such a change would </w:t>
      </w:r>
      <w:r w:rsidR="00F8755A">
        <w:t>also allow firms to hire workers with valuable knowhow, even if their skills</w:t>
      </w:r>
      <w:r w:rsidR="00961362">
        <w:t xml:space="preserve"> on paper do not seem to be very different </w:t>
      </w:r>
      <w:r w:rsidR="00C20866">
        <w:t>from</w:t>
      </w:r>
      <w:r w:rsidR="00961362">
        <w:t xml:space="preserve"> local wor</w:t>
      </w:r>
      <w:r w:rsidR="00645191">
        <w:t>k</w:t>
      </w:r>
      <w:r w:rsidR="00961362">
        <w:t xml:space="preserve">ers. The local beer manufacturer who hires an engineer from a plant in Europe is aware that they are </w:t>
      </w:r>
      <w:r w:rsidR="00D562E0">
        <w:t>thereby</w:t>
      </w:r>
      <w:r w:rsidR="00961362">
        <w:t xml:space="preserve"> gaining new knowledge. </w:t>
      </w:r>
      <w:r w:rsidR="00ED15CF">
        <w:t xml:space="preserve">If the </w:t>
      </w:r>
      <w:r w:rsidR="00AF08C1">
        <w:t xml:space="preserve">firm judges </w:t>
      </w:r>
      <w:r w:rsidR="00E462B7">
        <w:t>any</w:t>
      </w:r>
      <w:r w:rsidR="00AF08C1">
        <w:t xml:space="preserve"> worker’s </w:t>
      </w:r>
      <w:r w:rsidR="00ED15CF">
        <w:t xml:space="preserve">knowledge and skills </w:t>
      </w:r>
      <w:r w:rsidR="00AF08C1">
        <w:t>to be</w:t>
      </w:r>
      <w:r w:rsidR="00ED15CF">
        <w:t xml:space="preserve"> worth paying </w:t>
      </w:r>
      <w:r w:rsidR="00AF08C1">
        <w:t xml:space="preserve">a substantial premium </w:t>
      </w:r>
      <w:r w:rsidR="00ED15CF">
        <w:t>for, th</w:t>
      </w:r>
      <w:r w:rsidR="00E462B7">
        <w:t>at type of worker would qualify for skilled migration under the proposed changes.</w:t>
      </w:r>
      <w:r w:rsidR="004D2F04">
        <w:t xml:space="preserve"> The</w:t>
      </w:r>
      <w:r w:rsidR="00D172E3">
        <w:t>se</w:t>
      </w:r>
      <w:r w:rsidR="004D2F04">
        <w:t xml:space="preserve"> change</w:t>
      </w:r>
      <w:r w:rsidR="00D172E3">
        <w:t>s</w:t>
      </w:r>
      <w:r w:rsidR="004D2F04">
        <w:t xml:space="preserve"> to skilled migration </w:t>
      </w:r>
      <w:r w:rsidR="009D5AAE">
        <w:t xml:space="preserve">policy </w:t>
      </w:r>
      <w:r w:rsidR="004D2F04">
        <w:t>would clear the path for substantially more diffusion of innovation from overseas.</w:t>
      </w:r>
    </w:p>
    <w:p w14:paraId="09E93C8F" w14:textId="13C4CCA9" w:rsidR="00557DD7" w:rsidRPr="00B945DB" w:rsidRDefault="00557DD7" w:rsidP="00557DD7">
      <w:pPr>
        <w:pStyle w:val="Heading4"/>
      </w:pPr>
      <w:r>
        <w:t>Researchers in industry</w:t>
      </w:r>
    </w:p>
    <w:p w14:paraId="53C4FAFC" w14:textId="2DB68BF0" w:rsidR="00557DD7" w:rsidRDefault="00557DD7" w:rsidP="00557DD7">
      <w:pPr>
        <w:pStyle w:val="BodyText"/>
      </w:pPr>
      <w:r>
        <w:t>For firms engaging in more technical or adaptive types of innovation, an in</w:t>
      </w:r>
      <w:r>
        <w:noBreakHyphen/>
        <w:t>house research capacity may be needed to better identify and evaluate new information and apply that information to their circumstances. For such firms, employing researchers may be</w:t>
      </w:r>
      <w:r w:rsidR="0006677A">
        <w:t xml:space="preserve"> a</w:t>
      </w:r>
      <w:r>
        <w:t xml:space="preserve"> particularly important component of their absorptive capacity.</w:t>
      </w:r>
      <w:r w:rsidRPr="002E227D">
        <w:rPr>
          <w:rStyle w:val="FootnoteReference"/>
        </w:rPr>
        <w:footnoteReference w:id="16"/>
      </w:r>
      <w:r>
        <w:t xml:space="preserve"> Increasing the supply of industry</w:t>
      </w:r>
      <w:r>
        <w:noBreakHyphen/>
        <w:t>ready researchers may complement other government incentives for firms to undertake in</w:t>
      </w:r>
      <w:r>
        <w:noBreakHyphen/>
        <w:t>house R&amp;D activities via industry policies such as the Research and Development Tax Incentive (box 2.3).</w:t>
      </w:r>
    </w:p>
    <w:p w14:paraId="3BB256A5" w14:textId="77777777" w:rsidR="00FE15D8" w:rsidRDefault="00FE15D8" w:rsidP="00FE15D8">
      <w:pPr>
        <w:pStyle w:val="NoSpacing"/>
      </w:pPr>
    </w:p>
    <w:tbl>
      <w:tblPr>
        <w:tblStyle w:val="Boxtable"/>
        <w:tblW w:w="5000" w:type="pct"/>
        <w:tblLook w:val="04A0" w:firstRow="1" w:lastRow="0" w:firstColumn="1" w:lastColumn="0" w:noHBand="0" w:noVBand="1"/>
      </w:tblPr>
      <w:tblGrid>
        <w:gridCol w:w="9638"/>
      </w:tblGrid>
      <w:tr w:rsidR="00557DD7" w14:paraId="466B1CFB" w14:textId="77777777" w:rsidTr="004C7393">
        <w:trPr>
          <w:tblHeader/>
        </w:trPr>
        <w:tc>
          <w:tcPr>
            <w:tcW w:w="9638" w:type="dxa"/>
            <w:tcMar>
              <w:top w:w="170" w:type="dxa"/>
              <w:left w:w="170" w:type="dxa"/>
              <w:bottom w:w="113" w:type="dxa"/>
              <w:right w:w="170" w:type="dxa"/>
            </w:tcMar>
            <w:hideMark/>
          </w:tcPr>
          <w:p w14:paraId="0B79457A" w14:textId="11C29FAF" w:rsidR="00557DD7" w:rsidRPr="00450592" w:rsidRDefault="00557DD7" w:rsidP="004C7393">
            <w:pPr>
              <w:pStyle w:val="BoxHeading1"/>
            </w:pPr>
            <w:r>
              <w:t>Box</w:t>
            </w:r>
            <w:bookmarkStart w:id="89" w:name="OLE_LINK17"/>
            <w:r w:rsidR="00A43B86">
              <w:t> </w:t>
            </w:r>
            <w:r>
              <w:rPr>
                <w:noProof/>
              </w:rPr>
              <w:t>2</w:t>
            </w:r>
            <w:r>
              <w:t>.</w:t>
            </w:r>
            <w:r>
              <w:rPr>
                <w:noProof/>
              </w:rPr>
              <w:t>3</w:t>
            </w:r>
            <w:bookmarkEnd w:id="89"/>
            <w:r>
              <w:t xml:space="preserve"> – Absorptive capacity and the R&amp;D Tax Incentive</w:t>
            </w:r>
          </w:p>
        </w:tc>
      </w:tr>
      <w:tr w:rsidR="00557DD7" w14:paraId="10E51589" w14:textId="77777777" w:rsidTr="004C7393">
        <w:tc>
          <w:tcPr>
            <w:tcW w:w="9638" w:type="dxa"/>
            <w:tcMar>
              <w:top w:w="28" w:type="dxa"/>
              <w:left w:w="170" w:type="dxa"/>
              <w:bottom w:w="170" w:type="dxa"/>
              <w:right w:w="170" w:type="dxa"/>
            </w:tcMar>
            <w:hideMark/>
          </w:tcPr>
          <w:p w14:paraId="1643A3DA" w14:textId="5BAD3A26" w:rsidR="00557DD7" w:rsidRDefault="00557DD7" w:rsidP="00C426E9">
            <w:pPr>
              <w:pStyle w:val="BodyText"/>
            </w:pPr>
            <w:r>
              <w:t xml:space="preserve">While business investment is R&amp;D is widely recognised as a crucial input to technological innovation — particularly highly novel innovation </w:t>
            </w:r>
            <w:r w:rsidRPr="006C7261">
              <w:rPr>
                <w:rFonts w:ascii="Arial" w:hAnsi="Arial" w:cs="Arial"/>
                <w:szCs w:val="24"/>
              </w:rPr>
              <w:t>(Majeed and Breunig 2021, p. 2)</w:t>
            </w:r>
            <w:r>
              <w:t xml:space="preserve"> — it also plays a role in innovation </w:t>
            </w:r>
            <w:r w:rsidRPr="00B435FA">
              <w:rPr>
                <w:i/>
              </w:rPr>
              <w:t>diffusion</w:t>
            </w:r>
            <w:r>
              <w:t xml:space="preserve"> through two channels. First, business R&amp;D may involve adapting existing innovations to fit a firm’s specific circumstances or market. Second, </w:t>
            </w:r>
            <w:r w:rsidRPr="00053746">
              <w:t>undertaking in</w:t>
            </w:r>
            <w:r>
              <w:noBreakHyphen/>
            </w:r>
            <w:r w:rsidRPr="00053746">
              <w:t>house R&amp;D may increase a firm’s ability</w:t>
            </w:r>
            <w:r>
              <w:t xml:space="preserve"> to identify and </w:t>
            </w:r>
            <w:r w:rsidRPr="00053746">
              <w:t xml:space="preserve">recognise the value of </w:t>
            </w:r>
            <w:r>
              <w:t>new</w:t>
            </w:r>
            <w:r w:rsidRPr="00053746">
              <w:t>, external</w:t>
            </w:r>
            <w:r>
              <w:t xml:space="preserve"> information</w:t>
            </w:r>
            <w:r w:rsidRPr="00053746">
              <w:t xml:space="preserve">, </w:t>
            </w:r>
            <w:r>
              <w:t>to</w:t>
            </w:r>
            <w:r w:rsidRPr="00053746">
              <w:t xml:space="preserve"> assimilate it, and </w:t>
            </w:r>
            <w:r>
              <w:t xml:space="preserve">to </w:t>
            </w:r>
            <w:r w:rsidRPr="00053746">
              <w:t>apply it in their operations. To the extent that this lowers the cost of learning about new technologies, R&amp;D can facilitate innovation adoption and catch</w:t>
            </w:r>
            <w:r>
              <w:noBreakHyphen/>
            </w:r>
            <w:r w:rsidRPr="00053746">
              <w:t>up to the national frontie</w:t>
            </w:r>
            <w:r>
              <w:t xml:space="preserve">r </w:t>
            </w:r>
            <w:r w:rsidRPr="00767735">
              <w:rPr>
                <w:rFonts w:ascii="Arial" w:hAnsi="Arial" w:cs="Arial"/>
                <w:szCs w:val="24"/>
              </w:rPr>
              <w:t>(Bloom, Van Reenen and Williams 2019; Cohen and Levinthal 1990, pp. 148–149)</w:t>
            </w:r>
            <w:r>
              <w:t>.</w:t>
            </w:r>
          </w:p>
          <w:p w14:paraId="3BF18D6E" w14:textId="4B4DE437" w:rsidR="00557DD7" w:rsidRDefault="00557DD7" w:rsidP="00C426E9">
            <w:pPr>
              <w:pStyle w:val="BodyText"/>
            </w:pPr>
            <w:r>
              <w:t xml:space="preserve">In Australia, the main policy lever for business R&amp;D </w:t>
            </w:r>
            <w:r w:rsidRPr="00AA63F1">
              <w:t>— and for business</w:t>
            </w:r>
            <w:r>
              <w:t xml:space="preserve"> investment in</w:t>
            </w:r>
            <w:r w:rsidRPr="00AA63F1">
              <w:t xml:space="preserve"> innovation more broadly — is provided through the Research &amp; Development Tax Incentive</w:t>
            </w:r>
            <w:r w:rsidRPr="004D4490">
              <w:rPr>
                <w:b/>
                <w:vertAlign w:val="superscript"/>
              </w:rPr>
              <w:t>a</w:t>
            </w:r>
            <w:r>
              <w:t xml:space="preserve"> (R&amp;DTI)</w:t>
            </w:r>
            <w:r w:rsidRPr="00AA63F1">
              <w:t xml:space="preserve">, </w:t>
            </w:r>
            <w:r>
              <w:t>which</w:t>
            </w:r>
            <w:r w:rsidRPr="00AA63F1">
              <w:t xml:space="preserve"> aims to encourage businesses to undertake R&amp;D that may not be viable for an individual </w:t>
            </w:r>
            <w:proofErr w:type="gramStart"/>
            <w:r w:rsidRPr="00AA63F1">
              <w:t>business, but</w:t>
            </w:r>
            <w:proofErr w:type="gramEnd"/>
            <w:r w:rsidRPr="00AA63F1">
              <w:t xml:space="preserve"> may yield outcomes that have a wider benefit to Australian society </w:t>
            </w:r>
            <w:r w:rsidRPr="00FF57B2">
              <w:rPr>
                <w:rFonts w:ascii="Arial" w:hAnsi="Arial" w:cs="Arial"/>
                <w:szCs w:val="24"/>
              </w:rPr>
              <w:t>(PC 2017a, p. 23)</w:t>
            </w:r>
            <w:r>
              <w:t>. The R&amp;DTI lowers the cost of undertaking R&amp;D and, through a refundable tax offset, alleviates liquidity constraints for cash</w:t>
            </w:r>
            <w:r>
              <w:noBreakHyphen/>
              <w:t>constrained start</w:t>
            </w:r>
            <w:r w:rsidR="000565F7">
              <w:noBreakHyphen/>
            </w:r>
            <w:r>
              <w:t>ups and SMEs. It also provides concessions</w:t>
            </w:r>
            <w:r w:rsidRPr="002A4283">
              <w:t xml:space="preserve"> </w:t>
            </w:r>
            <w:r>
              <w:t xml:space="preserve">to improve the asymmetric tax </w:t>
            </w:r>
            <w:r>
              <w:lastRenderedPageBreak/>
              <w:t xml:space="preserve">treatment of profits and losses and the bias this creates against risk taking in the economy, including R&amp;D </w:t>
            </w:r>
            <w:r w:rsidRPr="002A4283">
              <w:t>(Business Tax Working Group 2011, p. 13)</w:t>
            </w:r>
            <w:r>
              <w:t>.</w:t>
            </w:r>
          </w:p>
          <w:p w14:paraId="3CCB8762" w14:textId="1406B14D" w:rsidR="00557DD7" w:rsidRDefault="00557DD7" w:rsidP="00C426E9">
            <w:pPr>
              <w:pStyle w:val="BodyText"/>
            </w:pPr>
            <w:r>
              <w:t xml:space="preserve">Previous reviews of the R&amp;DTI, and consultations undertaken for the </w:t>
            </w:r>
            <w:r w:rsidR="005B3598">
              <w:t>i</w:t>
            </w:r>
            <w:r>
              <w:t xml:space="preserve">nquiry, have raised a number of concerns with the program, including limited additionality </w:t>
            </w:r>
            <w:r w:rsidRPr="002317E8">
              <w:rPr>
                <w:rFonts w:ascii="Arial" w:hAnsi="Arial" w:cs="Arial"/>
                <w:szCs w:val="24"/>
              </w:rPr>
              <w:t>(Ferris, Finkel and Fraser 2016, p. 14)</w:t>
            </w:r>
            <w:r>
              <w:t xml:space="preserve"> and the stifling effects of some aspects of the program’s administration, including uncertainty </w:t>
            </w:r>
            <w:r w:rsidR="00CB5A0C">
              <w:t>about</w:t>
            </w:r>
            <w:r>
              <w:t xml:space="preserve"> eligibility and the ex</w:t>
            </w:r>
            <w:r w:rsidR="000565F7">
              <w:noBreakHyphen/>
            </w:r>
            <w:r>
              <w:t xml:space="preserve">post compliance assessments that may require small firms to retrospectively pay back their offset </w:t>
            </w:r>
            <w:r w:rsidRPr="002E7E16">
              <w:rPr>
                <w:rFonts w:ascii="Arial" w:hAnsi="Arial" w:cs="Arial"/>
                <w:szCs w:val="24"/>
              </w:rPr>
              <w:t>(ASBFEO 2019, p. 5)</w:t>
            </w:r>
            <w:r>
              <w:t>.</w:t>
            </w:r>
          </w:p>
          <w:p w14:paraId="67158CF2" w14:textId="1A9EE04C" w:rsidR="00557DD7" w:rsidRPr="00236433" w:rsidRDefault="00557DD7" w:rsidP="00C426E9">
            <w:pPr>
              <w:pStyle w:val="BodyText"/>
              <w:rPr>
                <w:spacing w:val="-2"/>
              </w:rPr>
            </w:pPr>
            <w:r w:rsidRPr="00236433">
              <w:rPr>
                <w:spacing w:val="-2"/>
              </w:rPr>
              <w:t xml:space="preserve">Given the importance of policy certainty and history of tinkering with the R&amp;DTI, additional changes beyond those previously recommended may be unwise. However, given the connection between researchers and absorptive capacity, one option worth considering concerns changes to eligibility criteria. Currently, the program uses a broad concept of eligible expenditure, allowing almost any type of expense that is directly relevant to an eligible R&amp;D activity except interest payments and the purchase of capital assets </w:t>
            </w:r>
            <w:r w:rsidRPr="00236433">
              <w:rPr>
                <w:rFonts w:cs="Arial"/>
                <w:spacing w:val="-2"/>
                <w:szCs w:val="24"/>
              </w:rPr>
              <w:t>(Ferris, Finkel and Fraser 2016, p. 12)</w:t>
            </w:r>
            <w:r w:rsidRPr="00236433">
              <w:rPr>
                <w:spacing w:val="-2"/>
              </w:rPr>
              <w:t xml:space="preserve">. Focusing eligibility criteria on personnel costs could stimulate additional absorptive capacity by bringing additional researchers into firms. However, prior research suggests an increasing focus on personnel </w:t>
            </w:r>
            <w:r w:rsidR="004E1D9B" w:rsidRPr="00236433">
              <w:rPr>
                <w:spacing w:val="-2"/>
              </w:rPr>
              <w:t>with a limited supply of researchers</w:t>
            </w:r>
            <w:r w:rsidRPr="00236433">
              <w:rPr>
                <w:spacing w:val="-2"/>
              </w:rPr>
              <w:t xml:space="preserve"> may just lead to higher wages rather than additional R&amp;D activities, reducing the effectiveness of public support </w:t>
            </w:r>
            <w:r w:rsidRPr="00236433">
              <w:rPr>
                <w:rFonts w:cs="Arial"/>
                <w:spacing w:val="-2"/>
                <w:szCs w:val="24"/>
              </w:rPr>
              <w:t>(Ferris, Finkel and Fraser 2016, pp. 12–13)</w:t>
            </w:r>
            <w:r w:rsidRPr="00236433">
              <w:rPr>
                <w:spacing w:val="-2"/>
              </w:rPr>
              <w:t>.</w:t>
            </w:r>
            <w:r w:rsidR="008A2E15" w:rsidRPr="00236433">
              <w:rPr>
                <w:spacing w:val="-2"/>
              </w:rPr>
              <w:t xml:space="preserve"> Further work would be required to assess the elasticity of supply of researchers.</w:t>
            </w:r>
          </w:p>
          <w:p w14:paraId="162B2988" w14:textId="627F3B0E" w:rsidR="00557DD7" w:rsidRDefault="00557DD7" w:rsidP="004C7393">
            <w:pPr>
              <w:pStyle w:val="Note"/>
            </w:pPr>
            <w:r>
              <w:rPr>
                <w:b/>
                <w:bCs/>
              </w:rPr>
              <w:t>a</w:t>
            </w:r>
            <w:r w:rsidRPr="004D4490">
              <w:t>.</w:t>
            </w:r>
            <w:r>
              <w:rPr>
                <w:b/>
                <w:bCs/>
              </w:rPr>
              <w:t xml:space="preserve"> </w:t>
            </w:r>
            <w:r>
              <w:t>The R&amp;D Tax Incentive is</w:t>
            </w:r>
            <w:r w:rsidRPr="00AA63F1">
              <w:t xml:space="preserve"> jointly administered by the Australian Tax Office and AusIndustry</w:t>
            </w:r>
            <w:r w:rsidR="0064287A">
              <w:t>.</w:t>
            </w:r>
          </w:p>
        </w:tc>
      </w:tr>
      <w:tr w:rsidR="00557DD7" w14:paraId="73353AF9" w14:textId="77777777" w:rsidTr="004C7393">
        <w:trPr>
          <w:hidden/>
        </w:trPr>
        <w:tc>
          <w:tcPr>
            <w:tcW w:w="9638" w:type="dxa"/>
            <w:shd w:val="clear" w:color="auto" w:fill="auto"/>
            <w:tcMar>
              <w:top w:w="0" w:type="dxa"/>
              <w:left w:w="170" w:type="dxa"/>
              <w:bottom w:w="0" w:type="dxa"/>
              <w:right w:w="170" w:type="dxa"/>
            </w:tcMar>
          </w:tcPr>
          <w:p w14:paraId="3F77D50D" w14:textId="7E3356E2" w:rsidR="00557DD7" w:rsidRPr="00465191" w:rsidRDefault="00557DD7" w:rsidP="00C426E9">
            <w:pPr>
              <w:pStyle w:val="BodyText"/>
              <w:spacing w:before="0" w:after="0" w:line="80" w:lineRule="atLeast"/>
              <w:rPr>
                <w:smallCaps/>
                <w:vanish/>
              </w:rPr>
            </w:pPr>
          </w:p>
        </w:tc>
      </w:tr>
    </w:tbl>
    <w:p w14:paraId="799C499A" w14:textId="77777777" w:rsidR="00A57D33" w:rsidRDefault="00A57D33" w:rsidP="00A57D33">
      <w:pPr>
        <w:pStyle w:val="BodyText"/>
      </w:pPr>
      <w:r>
        <w:t>There is substantial scope to increase the industry</w:t>
      </w:r>
      <w:r>
        <w:noBreakHyphen/>
        <w:t>readiness of researchers by ensuring that people with postgraduate qualifications are provided with pathways to engage with industry. Some industries already tend to have large numbers of post</w:t>
      </w:r>
      <w:r>
        <w:noBreakHyphen/>
        <w:t>graduate educated employees, particularly education, professional services, financial services and health care (figure </w:t>
      </w:r>
      <w:bookmarkStart w:id="90" w:name="_1724056589"/>
      <w:bookmarkEnd w:id="90"/>
      <w:r>
        <w:t xml:space="preserve">2.8). But linkages could be improved by creating more connections between students and industry when they are engaged in study. Data from the Department of Education, Skills and </w:t>
      </w:r>
      <w:r w:rsidRPr="00D5175B">
        <w:t>Employment indicate that less than 14</w:t>
      </w:r>
      <w:r>
        <w:t>%</w:t>
      </w:r>
      <w:r w:rsidRPr="00D5175B">
        <w:t xml:space="preserve"> of higher</w:t>
      </w:r>
      <w:r>
        <w:noBreakHyphen/>
      </w:r>
      <w:r w:rsidRPr="00D5175B">
        <w:t>degree research students engage with end users in some way</w:t>
      </w:r>
      <w:r>
        <w:t xml:space="preserve"> </w:t>
      </w:r>
      <w:r w:rsidRPr="00FF57B2">
        <w:rPr>
          <w:rFonts w:ascii="Arial" w:hAnsi="Arial" w:cs="Arial"/>
          <w:szCs w:val="24"/>
        </w:rPr>
        <w:t>(DESE 2022a)</w:t>
      </w:r>
      <w:r>
        <w:t xml:space="preserve">. Although the number of </w:t>
      </w:r>
      <w:proofErr w:type="gramStart"/>
      <w:r>
        <w:t>university</w:t>
      </w:r>
      <w:proofErr w:type="gramEnd"/>
      <w:r>
        <w:noBreakHyphen/>
        <w:t xml:space="preserve">industry research collaborations have been increasing </w:t>
      </w:r>
      <w:r w:rsidRPr="0007269E">
        <w:rPr>
          <w:rFonts w:ascii="Arial" w:hAnsi="Arial" w:cs="Arial"/>
          <w:szCs w:val="24"/>
        </w:rPr>
        <w:t>(ARC 2018)</w:t>
      </w:r>
      <w:r>
        <w:t>, there is still scope to create more linkages between early career researchers and industry.</w:t>
      </w:r>
    </w:p>
    <w:p w14:paraId="52671F10" w14:textId="77777777" w:rsidR="003E791A" w:rsidRDefault="003E791A" w:rsidP="003E791A">
      <w:pPr>
        <w:pStyle w:val="BodyText"/>
      </w:pPr>
      <w:r>
        <w:t>To increase the supply of researchers with industry</w:t>
      </w:r>
      <w:r>
        <w:noBreakHyphen/>
        <w:t xml:space="preserve">relevant research experience and increase knowledge commercialisation, the federal government committed $296 million for the National Industry PhD Program under its University Research Commercialisation Action Plan </w:t>
      </w:r>
      <w:r w:rsidRPr="00FF57B2">
        <w:rPr>
          <w:rFonts w:ascii="Arial" w:hAnsi="Arial" w:cs="Arial"/>
          <w:szCs w:val="24"/>
        </w:rPr>
        <w:t>(DESE 2022d, pp. 89–95)</w:t>
      </w:r>
      <w:r>
        <w:t>. The program will support 1800 PhD candidates and 800 industry fellows to undertake industry</w:t>
      </w:r>
      <w:r>
        <w:noBreakHyphen/>
        <w:t>focused research projects over the next 10 years, with preference given to applications aligned with the National Manufacturing Priorities.</w:t>
      </w:r>
    </w:p>
    <w:p w14:paraId="591F9A67" w14:textId="77777777" w:rsidR="003E791A" w:rsidRDefault="003E791A" w:rsidP="003E791A">
      <w:pPr>
        <w:pStyle w:val="BodyText"/>
      </w:pPr>
      <w:r>
        <w:t xml:space="preserve">Creating researcher training with linkages to industry increases the likelihood that researchers can become employed in industry, which then helps diffusion take place. For example, Monash University’s Graduate Research Industry Programs, which establish and facilitate student scholarships for PhD students in particular industries, have had a high success rate linking PhD students to industries such as </w:t>
      </w:r>
      <w:r w:rsidRPr="001730EE">
        <w:t>water sustainability, food and dairy, sustainable public transport, chemicals/plastics/polymers, digital hea</w:t>
      </w:r>
      <w:r>
        <w:t>l</w:t>
      </w:r>
      <w:r w:rsidRPr="001730EE">
        <w:t>th and behaviour change for sustainability</w:t>
      </w:r>
      <w:r>
        <w:t xml:space="preserve"> (Monash University, sub. 184, pp. 8–9).</w:t>
      </w:r>
    </w:p>
    <w:p w14:paraId="543C89CC" w14:textId="77777777" w:rsidR="003E791A" w:rsidRDefault="003E791A" w:rsidP="00A57D33">
      <w:pPr>
        <w:pStyle w:val="BodyText"/>
      </w:pPr>
    </w:p>
    <w:p w14:paraId="5C2447D5" w14:textId="71E2B271" w:rsidR="00557DD7" w:rsidRDefault="00557DD7" w:rsidP="00557DD7">
      <w:pPr>
        <w:pStyle w:val="FigureTableHeading"/>
      </w:pPr>
      <w:r>
        <w:lastRenderedPageBreak/>
        <w:t>Figure</w:t>
      </w:r>
      <w:bookmarkStart w:id="91" w:name="OLE_LINK8"/>
      <w:r w:rsidR="00A43B86">
        <w:t> </w:t>
      </w:r>
      <w:r>
        <w:rPr>
          <w:noProof/>
        </w:rPr>
        <w:t>2</w:t>
      </w:r>
      <w:r>
        <w:t>.</w:t>
      </w:r>
      <w:r>
        <w:rPr>
          <w:noProof/>
        </w:rPr>
        <w:t>8</w:t>
      </w:r>
      <w:bookmarkEnd w:id="91"/>
      <w:r>
        <w:rPr>
          <w:noProof/>
        </w:rPr>
        <w:t xml:space="preserve"> </w:t>
      </w:r>
      <w:r>
        <w:t>– Education, professional and financial services, and health care have large numbers of postgraduate trained workers</w:t>
      </w:r>
    </w:p>
    <w:p w14:paraId="76E4AD70" w14:textId="065149AE" w:rsidR="00557DD7" w:rsidRDefault="00557DD7" w:rsidP="00557DD7">
      <w:pPr>
        <w:pStyle w:val="FigureTableSubheading"/>
        <w:keepLines/>
      </w:pPr>
      <w:r>
        <w:t>People employed with postgraduate education relevant to the job, 2018</w:t>
      </w:r>
      <w:r w:rsidR="000565F7">
        <w:noBreakHyphen/>
      </w:r>
      <w:r>
        <w:t>19</w:t>
      </w:r>
    </w:p>
    <w:p w14:paraId="3DDE9394" w14:textId="11C97F24" w:rsidR="00557DD7" w:rsidRDefault="000179AF" w:rsidP="00557DD7">
      <w:pPr>
        <w:pStyle w:val="Note"/>
        <w:keepLines/>
      </w:pPr>
      <w:r w:rsidRPr="000179AF">
        <w:rPr>
          <w:noProof/>
        </w:rPr>
        <w:drawing>
          <wp:inline distT="0" distB="0" distL="0" distR="0" wp14:anchorId="1C6A313E" wp14:editId="734E1DA7">
            <wp:extent cx="6120130" cy="3449320"/>
            <wp:effectExtent l="0" t="0" r="0" b="0"/>
            <wp:docPr id="21" name="Picture 21" descr="This figure shows the per cent of Australians employed in different industries with post-graduate education relevant to their job in 2018-19. It shows that education, professional and financial services, and health care have large shares of post-graduate trained work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figure shows the per cent of Australians employed in different industries with post-graduate education relevant to their job in 2018-19. It shows that education, professional and financial services, and health care have large shares of post-graduate trained workers.&#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3449320"/>
                    </a:xfrm>
                    <a:prstGeom prst="rect">
                      <a:avLst/>
                    </a:prstGeom>
                    <a:noFill/>
                    <a:ln>
                      <a:noFill/>
                    </a:ln>
                  </pic:spPr>
                </pic:pic>
              </a:graphicData>
            </a:graphic>
          </wp:inline>
        </w:drawing>
      </w:r>
    </w:p>
    <w:p w14:paraId="1ED07234" w14:textId="45EF3538" w:rsidR="00557DD7" w:rsidRDefault="00557DD7" w:rsidP="00557DD7">
      <w:pPr>
        <w:pStyle w:val="Source"/>
      </w:pPr>
      <w:r>
        <w:t>Source: ABS (</w:t>
      </w:r>
      <w:r>
        <w:rPr>
          <w:i/>
          <w:iCs/>
        </w:rPr>
        <w:t xml:space="preserve">Qualifications and work, </w:t>
      </w:r>
      <w:r w:rsidRPr="00FB7C66">
        <w:t>2018</w:t>
      </w:r>
      <w:r w:rsidR="000565F7" w:rsidRPr="00FB7C66">
        <w:noBreakHyphen/>
      </w:r>
      <w:r w:rsidRPr="00FB7C66">
        <w:t>19 financial year</w:t>
      </w:r>
      <w:r>
        <w:rPr>
          <w:i/>
          <w:iCs/>
        </w:rPr>
        <w:t xml:space="preserve">, </w:t>
      </w:r>
      <w:r>
        <w:t>Cat. no. 4235.0</w:t>
      </w:r>
      <w:r w:rsidR="00F77099">
        <w:t>).</w:t>
      </w:r>
    </w:p>
    <w:p w14:paraId="52B8865C" w14:textId="32B086F1" w:rsidR="00557DD7" w:rsidRDefault="00557DD7" w:rsidP="00557DD7">
      <w:pPr>
        <w:pStyle w:val="BodyText"/>
      </w:pPr>
      <w:r>
        <w:t>However, increasing innovative outcomes and diffusion by better leveraging highly skilled researchers in industry likely requires more than supply</w:t>
      </w:r>
      <w:r w:rsidR="000565F7">
        <w:noBreakHyphen/>
      </w:r>
      <w:r>
        <w:t xml:space="preserve">side measures — business demand for and capacity to use researchers’ skills also matters. Moreover, the program may be of insufficient scale to make a significant difference to industry </w:t>
      </w:r>
      <w:r w:rsidR="00116531" w:rsidRPr="00116531">
        <w:rPr>
          <w:rFonts w:ascii="Arial" w:hAnsi="Arial" w:cs="Arial"/>
          <w:szCs w:val="24"/>
        </w:rPr>
        <w:t>(Howard 2022; IRU 2021, pp. 7–8)</w:t>
      </w:r>
      <w:r>
        <w:t>.</w:t>
      </w:r>
      <w:r w:rsidR="00AE5AB6">
        <w:t xml:space="preserve"> P</w:t>
      </w:r>
      <w:r w:rsidR="00B74B7C">
        <w:t>referencing applications aligned with</w:t>
      </w:r>
      <w:r>
        <w:t xml:space="preserve"> the National Manufacturing Priorities restricts the range of industries, disciplines and types of research activities and that may benefit from the program — services industries and social sciences researchers, for example, are less likely to participate in the program.</w:t>
      </w:r>
    </w:p>
    <w:p w14:paraId="3F79F6D3" w14:textId="77777777" w:rsidR="00FE15D8" w:rsidRDefault="00FE15D8" w:rsidP="00FE15D8">
      <w:pPr>
        <w:pStyle w:val="NoSpacing"/>
      </w:pPr>
    </w:p>
    <w:tbl>
      <w:tblPr>
        <w:tblStyle w:val="Texttable-Paleblue"/>
        <w:tblW w:w="5000" w:type="pct"/>
        <w:tblLook w:val="04A0" w:firstRow="1" w:lastRow="0" w:firstColumn="1" w:lastColumn="0" w:noHBand="0" w:noVBand="1"/>
      </w:tblPr>
      <w:tblGrid>
        <w:gridCol w:w="713"/>
        <w:gridCol w:w="8925"/>
      </w:tblGrid>
      <w:tr w:rsidR="00633E6B" w14:paraId="3408A7F7" w14:textId="77777777" w:rsidTr="00633E6B">
        <w:trPr>
          <w:tblHeader/>
        </w:trPr>
        <w:tc>
          <w:tcPr>
            <w:tcW w:w="713" w:type="dxa"/>
            <w:tcMar>
              <w:top w:w="0" w:type="dxa"/>
              <w:bottom w:w="0" w:type="dxa"/>
            </w:tcMar>
            <w:vAlign w:val="center"/>
          </w:tcPr>
          <w:p w14:paraId="41A0282B" w14:textId="77777777" w:rsidR="00633E6B" w:rsidRDefault="00633E6B" w:rsidP="00C00A6E">
            <w:pPr>
              <w:keepLines/>
              <w:jc w:val="center"/>
            </w:pPr>
            <w:r w:rsidRPr="00A51374">
              <w:rPr>
                <w:noProof/>
              </w:rPr>
              <w:drawing>
                <wp:inline distT="0" distB="0" distL="0" distR="0" wp14:anchorId="0D0A46B3" wp14:editId="5E46F374">
                  <wp:extent cx="288000" cy="288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831BFD4" w14:textId="346C4A18" w:rsidR="00633E6B" w:rsidRPr="00715040" w:rsidRDefault="00633E6B" w:rsidP="00C00A6E">
            <w:pPr>
              <w:pStyle w:val="TableHeading"/>
              <w:keepLines/>
              <w:spacing w:before="120" w:after="120"/>
              <w:contextualSpacing/>
              <w:rPr>
                <w:sz w:val="20"/>
              </w:rPr>
            </w:pPr>
            <w:r w:rsidRPr="00715040">
              <w:rPr>
                <w:sz w:val="20"/>
              </w:rPr>
              <w:t xml:space="preserve">Recommendation </w:t>
            </w:r>
            <w:r w:rsidR="007B765F">
              <w:rPr>
                <w:sz w:val="20"/>
              </w:rPr>
              <w:t>5.</w:t>
            </w:r>
            <w:r w:rsidR="007475CD">
              <w:rPr>
                <w:sz w:val="20"/>
              </w:rPr>
              <w:t>2</w:t>
            </w:r>
          </w:p>
          <w:p w14:paraId="6799096C" w14:textId="6BC0749D" w:rsidR="00633E6B" w:rsidRPr="00715040" w:rsidRDefault="0030708C" w:rsidP="00C00A6E">
            <w:pPr>
              <w:pStyle w:val="TableHeading"/>
              <w:keepLines/>
              <w:spacing w:before="120" w:after="120"/>
              <w:contextualSpacing/>
              <w:rPr>
                <w:sz w:val="20"/>
              </w:rPr>
            </w:pPr>
            <w:r>
              <w:rPr>
                <w:sz w:val="20"/>
              </w:rPr>
              <w:t>An industry</w:t>
            </w:r>
            <w:r w:rsidR="00A43B86">
              <w:rPr>
                <w:sz w:val="20"/>
              </w:rPr>
              <w:noBreakHyphen/>
            </w:r>
            <w:r>
              <w:rPr>
                <w:sz w:val="20"/>
              </w:rPr>
              <w:t xml:space="preserve">agnostic </w:t>
            </w:r>
            <w:r w:rsidR="005624B0">
              <w:rPr>
                <w:sz w:val="20"/>
              </w:rPr>
              <w:t xml:space="preserve">approach to </w:t>
            </w:r>
            <w:r>
              <w:rPr>
                <w:sz w:val="20"/>
              </w:rPr>
              <w:t>National Industry PhD Program</w:t>
            </w:r>
          </w:p>
        </w:tc>
      </w:tr>
      <w:tr w:rsidR="00633E6B" w14:paraId="6C8C3660" w14:textId="77777777" w:rsidTr="00633E6B">
        <w:tc>
          <w:tcPr>
            <w:tcW w:w="9638" w:type="dxa"/>
            <w:gridSpan w:val="2"/>
            <w:tcMar>
              <w:top w:w="0" w:type="dxa"/>
            </w:tcMar>
          </w:tcPr>
          <w:p w14:paraId="7E3A0181" w14:textId="671F823C" w:rsidR="00633E6B" w:rsidRPr="00236433" w:rsidRDefault="00473002" w:rsidP="002743A6">
            <w:pPr>
              <w:pStyle w:val="BodyText"/>
              <w:keepLines/>
              <w:rPr>
                <w:spacing w:val="-4"/>
              </w:rPr>
            </w:pPr>
            <w:r w:rsidRPr="00236433">
              <w:rPr>
                <w:spacing w:val="-4"/>
              </w:rPr>
              <w:t>The Australian Government should actively promote innovation diffusion across a range of industries as part of its role in capability building. By a</w:t>
            </w:r>
            <w:r w:rsidR="00D441B6" w:rsidRPr="00236433">
              <w:rPr>
                <w:spacing w:val="-4"/>
              </w:rPr>
              <w:t>djust</w:t>
            </w:r>
            <w:r w:rsidRPr="00236433">
              <w:rPr>
                <w:spacing w:val="-4"/>
              </w:rPr>
              <w:t>ing</w:t>
            </w:r>
            <w:r w:rsidR="00D441B6" w:rsidRPr="00236433">
              <w:rPr>
                <w:spacing w:val="-4"/>
              </w:rPr>
              <w:t xml:space="preserve"> the National Industry PhD Program so that it </w:t>
            </w:r>
            <w:r w:rsidR="00CE38BD" w:rsidRPr="00236433">
              <w:rPr>
                <w:spacing w:val="-4"/>
              </w:rPr>
              <w:t xml:space="preserve">is </w:t>
            </w:r>
            <w:r w:rsidR="00EB5072" w:rsidRPr="00236433">
              <w:rPr>
                <w:spacing w:val="-4"/>
              </w:rPr>
              <w:t>industry</w:t>
            </w:r>
            <w:r w:rsidR="00CE38BD" w:rsidRPr="00236433">
              <w:rPr>
                <w:spacing w:val="-4"/>
              </w:rPr>
              <w:t xml:space="preserve"> </w:t>
            </w:r>
            <w:r w:rsidR="00BC7A5B" w:rsidRPr="00236433">
              <w:rPr>
                <w:spacing w:val="-4"/>
              </w:rPr>
              <w:t>‘agnostic</w:t>
            </w:r>
            <w:proofErr w:type="gramStart"/>
            <w:r w:rsidR="00BC7A5B" w:rsidRPr="00236433">
              <w:rPr>
                <w:spacing w:val="-4"/>
              </w:rPr>
              <w:t>’</w:t>
            </w:r>
            <w:proofErr w:type="gramEnd"/>
            <w:r w:rsidR="00BC7A5B" w:rsidRPr="00236433">
              <w:rPr>
                <w:spacing w:val="-4"/>
              </w:rPr>
              <w:t xml:space="preserve"> </w:t>
            </w:r>
            <w:r w:rsidR="00CE38BD" w:rsidRPr="00236433">
              <w:rPr>
                <w:spacing w:val="-4"/>
              </w:rPr>
              <w:t xml:space="preserve">and </w:t>
            </w:r>
            <w:r w:rsidR="00D441B6" w:rsidRPr="00236433">
              <w:rPr>
                <w:spacing w:val="-4"/>
              </w:rPr>
              <w:t>does</w:t>
            </w:r>
            <w:r w:rsidR="00CE38BD" w:rsidRPr="00236433">
              <w:rPr>
                <w:spacing w:val="-4"/>
              </w:rPr>
              <w:t xml:space="preserve"> not</w:t>
            </w:r>
            <w:r w:rsidR="00D441B6" w:rsidRPr="00236433">
              <w:rPr>
                <w:spacing w:val="-4"/>
              </w:rPr>
              <w:t xml:space="preserve"> preference applications aligned with the National Manufacturing Priorities</w:t>
            </w:r>
            <w:r w:rsidR="00325DCF" w:rsidRPr="00236433">
              <w:rPr>
                <w:spacing w:val="-4"/>
              </w:rPr>
              <w:t>, the Government c</w:t>
            </w:r>
            <w:r w:rsidR="007622E0" w:rsidRPr="00236433">
              <w:rPr>
                <w:spacing w:val="-4"/>
              </w:rPr>
              <w:t xml:space="preserve">ould encourage </w:t>
            </w:r>
            <w:r w:rsidR="00325DCF" w:rsidRPr="00236433">
              <w:rPr>
                <w:spacing w:val="-4"/>
              </w:rPr>
              <w:t xml:space="preserve">diffusion of new knowledge and best practice into the </w:t>
            </w:r>
            <w:r w:rsidR="00D441B6" w:rsidRPr="00236433">
              <w:rPr>
                <w:spacing w:val="-4"/>
              </w:rPr>
              <w:t>services and social sciences.</w:t>
            </w:r>
          </w:p>
        </w:tc>
      </w:tr>
      <w:tr w:rsidR="00633E6B" w14:paraId="72D2F641" w14:textId="77777777" w:rsidTr="00633E6B">
        <w:tc>
          <w:tcPr>
            <w:tcW w:w="9638" w:type="dxa"/>
            <w:gridSpan w:val="2"/>
            <w:shd w:val="clear" w:color="auto" w:fill="auto"/>
            <w:tcMar>
              <w:top w:w="0" w:type="dxa"/>
              <w:bottom w:w="0" w:type="dxa"/>
            </w:tcMar>
          </w:tcPr>
          <w:p w14:paraId="6E1EBA3B" w14:textId="77777777" w:rsidR="00633E6B" w:rsidRPr="007E0EA8" w:rsidRDefault="00633E6B" w:rsidP="00C00A6E">
            <w:pPr>
              <w:pStyle w:val="NoSpacing"/>
              <w:spacing w:line="200" w:lineRule="exact"/>
            </w:pPr>
          </w:p>
        </w:tc>
      </w:tr>
    </w:tbl>
    <w:p w14:paraId="75897BFB" w14:textId="77777777" w:rsidR="00557DD7" w:rsidRDefault="00557DD7" w:rsidP="00557DD7">
      <w:pPr>
        <w:pStyle w:val="Heading4"/>
      </w:pPr>
      <w:r>
        <w:lastRenderedPageBreak/>
        <w:t>Improving the capabilities of the existing workforce</w:t>
      </w:r>
    </w:p>
    <w:p w14:paraId="0D7644C0" w14:textId="6BF574C4" w:rsidR="00557DD7" w:rsidRPr="00F82BD9" w:rsidRDefault="00557DD7" w:rsidP="00EB4C99">
      <w:pPr>
        <w:pStyle w:val="BodyText"/>
      </w:pPr>
      <w:r>
        <w:t xml:space="preserve">There is a large market for </w:t>
      </w:r>
      <w:r w:rsidR="00797CA8">
        <w:t>workforce development and</w:t>
      </w:r>
      <w:r>
        <w:t xml:space="preserve"> training in Australia, with 23</w:t>
      </w:r>
      <w:r w:rsidR="00E94315">
        <w:t>%</w:t>
      </w:r>
      <w:r>
        <w:t xml:space="preserve"> of Australians aged 15–74 undertaking work</w:t>
      </w:r>
      <w:r w:rsidR="000565F7">
        <w:noBreakHyphen/>
      </w:r>
      <w:r>
        <w:t>related training</w:t>
      </w:r>
      <w:r w:rsidRPr="004B61DD">
        <w:rPr>
          <w:rStyle w:val="FootnoteReference"/>
        </w:rPr>
        <w:footnoteReference w:id="17"/>
      </w:r>
      <w:r>
        <w:t xml:space="preserve"> in 2020</w:t>
      </w:r>
      <w:r>
        <w:noBreakHyphen/>
        <w:t xml:space="preserve">21 </w:t>
      </w:r>
      <w:r w:rsidR="00116531" w:rsidRPr="00116531">
        <w:rPr>
          <w:rFonts w:ascii="Arial" w:hAnsi="Arial" w:cs="Arial"/>
          <w:szCs w:val="24"/>
        </w:rPr>
        <w:t>(ABS 2022e)</w:t>
      </w:r>
      <w:r>
        <w:t>. Moreover, supply chain partners, consultants and industry associations offer training to build the capabilities of firms, and in some cases, allow firms to ‘outsource’ certain management skills (</w:t>
      </w:r>
      <w:r w:rsidRPr="00A219AE">
        <w:t>box</w:t>
      </w:r>
      <w:r>
        <w:t> 2.4</w:t>
      </w:r>
      <w:r w:rsidRPr="00A219AE">
        <w:t>).</w:t>
      </w:r>
    </w:p>
    <w:p w14:paraId="59C687F6" w14:textId="77777777" w:rsidR="00FE15D8" w:rsidRPr="00F82BD9" w:rsidRDefault="00FE15D8" w:rsidP="00FE15D8">
      <w:pPr>
        <w:pStyle w:val="NoSpacing"/>
      </w:pPr>
    </w:p>
    <w:tbl>
      <w:tblPr>
        <w:tblStyle w:val="Boxtable"/>
        <w:tblW w:w="5000" w:type="pct"/>
        <w:tblLook w:val="04A0" w:firstRow="1" w:lastRow="0" w:firstColumn="1" w:lastColumn="0" w:noHBand="0" w:noVBand="1"/>
      </w:tblPr>
      <w:tblGrid>
        <w:gridCol w:w="9638"/>
      </w:tblGrid>
      <w:tr w:rsidR="00557DD7" w14:paraId="3F56F9CD" w14:textId="77777777" w:rsidTr="00C426E9">
        <w:trPr>
          <w:tblHeader/>
        </w:trPr>
        <w:tc>
          <w:tcPr>
            <w:tcW w:w="9638" w:type="dxa"/>
            <w:tcMar>
              <w:top w:w="170" w:type="dxa"/>
              <w:left w:w="170" w:type="dxa"/>
              <w:bottom w:w="113" w:type="dxa"/>
              <w:right w:w="170" w:type="dxa"/>
            </w:tcMar>
            <w:hideMark/>
          </w:tcPr>
          <w:p w14:paraId="0D382E5A" w14:textId="0059627F" w:rsidR="00557DD7" w:rsidRDefault="00557DD7" w:rsidP="00C426E9">
            <w:pPr>
              <w:pStyle w:val="BoxHeading1"/>
            </w:pPr>
            <w:r>
              <w:t>Box</w:t>
            </w:r>
            <w:bookmarkStart w:id="92" w:name="OLE_LINK18"/>
            <w:r w:rsidR="00A43B86">
              <w:t> </w:t>
            </w:r>
            <w:r>
              <w:t>2.</w:t>
            </w:r>
            <w:r>
              <w:rPr>
                <w:noProof/>
              </w:rPr>
              <w:t>4</w:t>
            </w:r>
            <w:bookmarkEnd w:id="92"/>
            <w:r>
              <w:t xml:space="preserve"> – Businesses can seek private solutions in the market to build capabilities for innovation</w:t>
            </w:r>
          </w:p>
        </w:tc>
      </w:tr>
      <w:tr w:rsidR="00557DD7" w14:paraId="5E45D520" w14:textId="77777777" w:rsidTr="00C426E9">
        <w:tc>
          <w:tcPr>
            <w:tcW w:w="9638" w:type="dxa"/>
            <w:tcMar>
              <w:top w:w="28" w:type="dxa"/>
              <w:left w:w="170" w:type="dxa"/>
              <w:bottom w:w="170" w:type="dxa"/>
              <w:right w:w="170" w:type="dxa"/>
            </w:tcMar>
            <w:hideMark/>
          </w:tcPr>
          <w:p w14:paraId="06BA15C7" w14:textId="77777777" w:rsidR="00557DD7" w:rsidRDefault="00557DD7" w:rsidP="00C426E9">
            <w:pPr>
              <w:pStyle w:val="BodyText"/>
              <w:rPr>
                <w:szCs w:val="22"/>
              </w:rPr>
            </w:pPr>
            <w:r>
              <w:t xml:space="preserve">Lifting workforce capabilities does not always require government involvement. In fact, firms are able to access a range of private solutions to build the skills of their workforce and </w:t>
            </w:r>
            <w:proofErr w:type="gramStart"/>
            <w:r>
              <w:t>managers, or</w:t>
            </w:r>
            <w:proofErr w:type="gramEnd"/>
            <w:r>
              <w:t xml:space="preserve"> outsource tasks</w:t>
            </w:r>
            <w:r>
              <w:rPr>
                <w:szCs w:val="22"/>
              </w:rPr>
              <w:t xml:space="preserve"> requiring skills lacked by the firm.</w:t>
            </w:r>
          </w:p>
          <w:p w14:paraId="2BE220C7" w14:textId="09AABDD0" w:rsidR="00557DD7" w:rsidRDefault="00557DD7" w:rsidP="00FE15D8">
            <w:pPr>
              <w:pStyle w:val="ListBullet"/>
            </w:pPr>
            <w:r>
              <w:t xml:space="preserve">For larger firms in particular, </w:t>
            </w:r>
            <w:r w:rsidRPr="00762EE8">
              <w:rPr>
                <w:b/>
              </w:rPr>
              <w:t>consultants</w:t>
            </w:r>
            <w:r>
              <w:t xml:space="preserve"> provide an outsourcing opportunity, creating a quick and easy way to bring skills and knowledge into the firm.</w:t>
            </w:r>
            <w:r w:rsidR="00935B98">
              <w:t xml:space="preserve"> </w:t>
            </w:r>
            <w:r w:rsidR="00935B98" w:rsidRPr="00935B98">
              <w:t>And smaller firms often source outside expertise (in accounting, for example).</w:t>
            </w:r>
          </w:p>
          <w:p w14:paraId="1D102F96" w14:textId="270F643C" w:rsidR="00557DD7" w:rsidRDefault="00557DD7" w:rsidP="00FE15D8">
            <w:pPr>
              <w:pStyle w:val="ListBullet"/>
            </w:pPr>
            <w:r>
              <w:t xml:space="preserve">Local </w:t>
            </w:r>
            <w:r w:rsidRPr="00FE15D8">
              <w:t>business networks</w:t>
            </w:r>
            <w:r>
              <w:t xml:space="preserve"> and </w:t>
            </w:r>
            <w:r w:rsidRPr="00FE15D8">
              <w:t>industry associations</w:t>
            </w:r>
            <w:r>
              <w:t xml:space="preserve"> provide a range of services — for example, the provision of advice and some consulting services — that are more accessible than consultants to smaller, resource</w:t>
            </w:r>
            <w:r w:rsidR="000565F7">
              <w:noBreakHyphen/>
            </w:r>
            <w:r>
              <w:t>constrained firms.</w:t>
            </w:r>
          </w:p>
          <w:p w14:paraId="10FE574D" w14:textId="210E6AC7" w:rsidR="00557DD7" w:rsidRDefault="00557DD7" w:rsidP="00FE15D8">
            <w:pPr>
              <w:pStyle w:val="ListBullet"/>
            </w:pPr>
            <w:r w:rsidRPr="007C5317">
              <w:t xml:space="preserve">Participating in </w:t>
            </w:r>
            <w:r w:rsidRPr="00FE15D8">
              <w:t>supply chains</w:t>
            </w:r>
            <w:r w:rsidRPr="007C5317">
              <w:t xml:space="preserve"> provides opportunities for up</w:t>
            </w:r>
            <w:r>
              <w:noBreakHyphen/>
            </w:r>
            <w:r w:rsidRPr="007C5317">
              <w:t>skilling through formal training and informal mechanisms, like incidental exposure to better management practices. For example, the Australian Digital</w:t>
            </w:r>
            <w:r w:rsidR="00DD0322">
              <w:t xml:space="preserve"> and</w:t>
            </w:r>
            <w:r w:rsidRPr="007C5317">
              <w:t xml:space="preserve"> Telecommunications Industry Association</w:t>
            </w:r>
            <w:r>
              <w:t xml:space="preserve"> (ADTIA)</w:t>
            </w:r>
            <w:r w:rsidRPr="007C5317">
              <w:rPr>
                <w:b/>
                <w:bCs/>
              </w:rPr>
              <w:t xml:space="preserve"> </w:t>
            </w:r>
            <w:r w:rsidRPr="007C5317">
              <w:t xml:space="preserve">told the </w:t>
            </w:r>
            <w:r w:rsidR="00135BCB">
              <w:t xml:space="preserve">Productivity </w:t>
            </w:r>
            <w:r w:rsidRPr="007C5317">
              <w:t xml:space="preserve">Commission that </w:t>
            </w:r>
            <w:r>
              <w:t>the d</w:t>
            </w:r>
            <w:r w:rsidRPr="00F43DF2">
              <w:t xml:space="preserve">igital, </w:t>
            </w:r>
            <w:r>
              <w:t>s</w:t>
            </w:r>
            <w:r w:rsidRPr="00F43DF2">
              <w:t xml:space="preserve">mart products and </w:t>
            </w:r>
            <w:r>
              <w:t>s</w:t>
            </w:r>
            <w:r w:rsidRPr="00F43DF2">
              <w:t xml:space="preserve">ubscription TV </w:t>
            </w:r>
            <w:r>
              <w:t>and streaming sector requires</w:t>
            </w:r>
            <w:r w:rsidRPr="007C5317">
              <w:t xml:space="preserve"> </w:t>
            </w:r>
            <w:r>
              <w:t>additional training for local cablers through both enterprise internal training and the VET system</w:t>
            </w:r>
            <w:r w:rsidR="00C96EB7">
              <w:t xml:space="preserve"> because</w:t>
            </w:r>
            <w:r>
              <w:t xml:space="preserve"> customer expectations of cablers often exceed i</w:t>
            </w:r>
            <w:r w:rsidRPr="00363870">
              <w:t xml:space="preserve">nstallation practices to include information about the products </w:t>
            </w:r>
            <w:r>
              <w:t>themselves (ADTIA, pers. comm. 24</w:t>
            </w:r>
            <w:r w:rsidR="000565F7">
              <w:t> </w:t>
            </w:r>
            <w:r>
              <w:t>June 2022).</w:t>
            </w:r>
          </w:p>
          <w:p w14:paraId="0867D53B" w14:textId="37D2442A" w:rsidR="00557DD7" w:rsidRDefault="00557DD7" w:rsidP="00C426E9">
            <w:pPr>
              <w:pStyle w:val="BodyText"/>
            </w:pPr>
            <w:r>
              <w:t>Given the importance of lifting the capabilities of smaller, resource</w:t>
            </w:r>
            <w:r w:rsidR="00A43B86">
              <w:noBreakHyphen/>
            </w:r>
            <w:r>
              <w:t>constrained firms, industry associations play a</w:t>
            </w:r>
            <w:r w:rsidR="00453B56">
              <w:t>n</w:t>
            </w:r>
            <w:r>
              <w:t xml:space="preserve"> important </w:t>
            </w:r>
            <w:r w:rsidR="00453B56">
              <w:t>capability</w:t>
            </w:r>
            <w:r w:rsidR="00A43B86">
              <w:noBreakHyphen/>
            </w:r>
            <w:r w:rsidR="00453B56">
              <w:t xml:space="preserve">building </w:t>
            </w:r>
            <w:r>
              <w:t>role.</w:t>
            </w:r>
          </w:p>
          <w:p w14:paraId="126BEB03" w14:textId="77777777" w:rsidR="00557DD7" w:rsidRDefault="00557DD7" w:rsidP="00FE15D8">
            <w:pPr>
              <w:pStyle w:val="ListBullet"/>
            </w:pPr>
            <w:r>
              <w:t xml:space="preserve">The </w:t>
            </w:r>
            <w:r w:rsidRPr="007D3727">
              <w:t>Interactive Games &amp; Entertainment Association</w:t>
            </w:r>
            <w:r>
              <w:t xml:space="preserve"> (IGEA) offers </w:t>
            </w:r>
            <w:r w:rsidRPr="007D3727">
              <w:rPr>
                <w:b/>
              </w:rPr>
              <w:t>short courses</w:t>
            </w:r>
            <w:r>
              <w:t xml:space="preserve"> on how to run a studio, runs webinars on areas where support is needed (such as in applying for grants and project management skills), and ran an education summit to bring together educators to ensure consistency and that available offerings target the industry’s skill needs.</w:t>
            </w:r>
          </w:p>
          <w:p w14:paraId="51239CDE" w14:textId="77777777" w:rsidR="00557DD7" w:rsidRDefault="00557DD7" w:rsidP="00FE15D8">
            <w:pPr>
              <w:pStyle w:val="ListBullet"/>
            </w:pPr>
            <w:r>
              <w:t xml:space="preserve">Some industry associations, such as the </w:t>
            </w:r>
            <w:r w:rsidRPr="007D3727">
              <w:t>Restaurant and Catering Association</w:t>
            </w:r>
            <w:r>
              <w:t xml:space="preserve"> and the </w:t>
            </w:r>
            <w:r w:rsidRPr="007D3727">
              <w:t>Australian Retailers Association,</w:t>
            </w:r>
            <w:r>
              <w:t xml:space="preserve"> deliver nationally recognised training in the VET sector </w:t>
            </w:r>
            <w:r w:rsidRPr="00FE15D8">
              <w:t>as registered training organisations</w:t>
            </w:r>
            <w:r>
              <w:t xml:space="preserve"> (RTOs). The </w:t>
            </w:r>
            <w:r w:rsidRPr="007D3727">
              <w:t>Council of Small Business Organisations Australia</w:t>
            </w:r>
            <w:r>
              <w:t xml:space="preserve"> (COSBOA) suggested that running </w:t>
            </w:r>
            <w:proofErr w:type="gramStart"/>
            <w:r>
              <w:t>a</w:t>
            </w:r>
            <w:proofErr w:type="gramEnd"/>
            <w:r>
              <w:t xml:space="preserve"> RTO was one way that industry associations can better enable diffusion. Partnering with existing RTOs is another common strategy.</w:t>
            </w:r>
          </w:p>
        </w:tc>
      </w:tr>
      <w:tr w:rsidR="00557DD7" w14:paraId="10708E7F" w14:textId="77777777" w:rsidTr="00C426E9">
        <w:trPr>
          <w:hidden/>
        </w:trPr>
        <w:tc>
          <w:tcPr>
            <w:tcW w:w="9638" w:type="dxa"/>
            <w:shd w:val="clear" w:color="auto" w:fill="auto"/>
            <w:tcMar>
              <w:top w:w="0" w:type="dxa"/>
              <w:left w:w="170" w:type="dxa"/>
              <w:bottom w:w="0" w:type="dxa"/>
              <w:right w:w="170" w:type="dxa"/>
            </w:tcMar>
          </w:tcPr>
          <w:p w14:paraId="380E1CB8" w14:textId="61750F7F" w:rsidR="00557DD7" w:rsidRPr="00465191" w:rsidRDefault="00557DD7" w:rsidP="00C426E9">
            <w:pPr>
              <w:pStyle w:val="BodyText"/>
              <w:spacing w:before="0" w:after="0" w:line="80" w:lineRule="atLeast"/>
              <w:rPr>
                <w:smallCaps/>
                <w:vanish/>
              </w:rPr>
            </w:pPr>
          </w:p>
        </w:tc>
      </w:tr>
    </w:tbl>
    <w:p w14:paraId="3A7C32E2" w14:textId="6151018E" w:rsidR="004D4FFD" w:rsidRDefault="004D4FFD" w:rsidP="001C42F4">
      <w:pPr>
        <w:pStyle w:val="BodyText"/>
        <w:spacing w:before="240"/>
      </w:pPr>
      <w:r w:rsidRPr="00B51412">
        <w:t xml:space="preserve">If governments invest in building capabilities for innovation outside of the broader education system, they should prioritise policies and programs with the highest expected social return. Given the potential effect on </w:t>
      </w:r>
      <w:r w:rsidRPr="00B51412">
        <w:lastRenderedPageBreak/>
        <w:t xml:space="preserve">productivity of improving management capabilities, programs to address skills gaps </w:t>
      </w:r>
      <w:r>
        <w:t xml:space="preserve">in </w:t>
      </w:r>
      <w:r w:rsidRPr="00B51412">
        <w:t>the firms that will most benefit from it — namely, SMEs — may be one way to generate a high social return</w:t>
      </w:r>
      <w:r>
        <w:t>.</w:t>
      </w:r>
      <w:r w:rsidRPr="002E227D">
        <w:rPr>
          <w:rStyle w:val="FootnoteReference"/>
        </w:rPr>
        <w:footnoteReference w:id="18"/>
      </w:r>
    </w:p>
    <w:p w14:paraId="1F1E6026" w14:textId="79B0088B" w:rsidR="00557DD7" w:rsidRDefault="006422E0" w:rsidP="00CD51CF">
      <w:pPr>
        <w:pStyle w:val="BodyText"/>
        <w:spacing w:before="100"/>
      </w:pPr>
      <w:r>
        <w:t xml:space="preserve">In this context, many of the </w:t>
      </w:r>
      <w:r w:rsidR="00557DD7" w:rsidRPr="00843444">
        <w:t xml:space="preserve">Australian and </w:t>
      </w:r>
      <w:r w:rsidR="00557DD7">
        <w:t>S</w:t>
      </w:r>
      <w:r w:rsidR="00557DD7" w:rsidRPr="00843444">
        <w:t xml:space="preserve">tate and </w:t>
      </w:r>
      <w:r w:rsidR="00557DD7">
        <w:t>T</w:t>
      </w:r>
      <w:r w:rsidR="00557DD7" w:rsidRPr="00843444">
        <w:t>erritory</w:t>
      </w:r>
      <w:r w:rsidR="00557DD7">
        <w:t xml:space="preserve"> g</w:t>
      </w:r>
      <w:r w:rsidR="00557DD7" w:rsidRPr="00843444">
        <w:t>overnment</w:t>
      </w:r>
      <w:r w:rsidR="00557DD7">
        <w:t xml:space="preserve"> programs </w:t>
      </w:r>
      <w:r>
        <w:t xml:space="preserve">that </w:t>
      </w:r>
      <w:r w:rsidR="00557DD7">
        <w:t xml:space="preserve">aim to build workforce skills target </w:t>
      </w:r>
      <w:proofErr w:type="gramStart"/>
      <w:r w:rsidR="00557DD7">
        <w:t>particular segments</w:t>
      </w:r>
      <w:proofErr w:type="gramEnd"/>
      <w:r w:rsidR="00557DD7">
        <w:t xml:space="preserve"> of the workforce — such as mature or young workers — or provide services to help </w:t>
      </w:r>
      <w:r w:rsidR="00731BED">
        <w:t xml:space="preserve">small </w:t>
      </w:r>
      <w:r w:rsidR="00557DD7">
        <w:t xml:space="preserve">business owners and managers improve the overall performance of their business (box 2.5). </w:t>
      </w:r>
      <w:r>
        <w:t>S</w:t>
      </w:r>
      <w:r w:rsidR="00557DD7">
        <w:t>uch programs may help to build firms’ innovation capabilities if they:</w:t>
      </w:r>
    </w:p>
    <w:p w14:paraId="6B5B5371" w14:textId="6EA5A71A" w:rsidR="00557DD7" w:rsidRPr="00236433" w:rsidRDefault="00557DD7" w:rsidP="009075FB">
      <w:pPr>
        <w:pStyle w:val="ListBullet"/>
        <w:rPr>
          <w:spacing w:val="-2"/>
        </w:rPr>
      </w:pPr>
      <w:r w:rsidRPr="00236433">
        <w:rPr>
          <w:spacing w:val="-2"/>
        </w:rPr>
        <w:t>target skills needed by businesses to effectively adopt and integrate new technologies, such as digital skills</w:t>
      </w:r>
    </w:p>
    <w:p w14:paraId="299CF463" w14:textId="726D68DE" w:rsidR="00557DD7" w:rsidRDefault="00557DD7" w:rsidP="009075FB">
      <w:pPr>
        <w:pStyle w:val="ListBullet"/>
      </w:pPr>
      <w:r w:rsidRPr="00AD4C1A">
        <w:t>help improve management skills</w:t>
      </w:r>
    </w:p>
    <w:p w14:paraId="055847D2" w14:textId="77777777" w:rsidR="00557DD7" w:rsidRDefault="00557DD7" w:rsidP="009075FB">
      <w:pPr>
        <w:pStyle w:val="ListBullet"/>
      </w:pPr>
      <w:r>
        <w:t xml:space="preserve">help businesses to identify opportunities to innovate </w:t>
      </w:r>
      <w:proofErr w:type="gramStart"/>
      <w:r>
        <w:t>as a way to</w:t>
      </w:r>
      <w:proofErr w:type="gramEnd"/>
      <w:r>
        <w:t xml:space="preserve"> reduce costs and improve performance.</w:t>
      </w:r>
    </w:p>
    <w:p w14:paraId="60B4384B" w14:textId="77777777" w:rsidR="00FE15D8" w:rsidRPr="00F82BD9" w:rsidRDefault="00FE15D8" w:rsidP="00236433">
      <w:pPr>
        <w:pStyle w:val="NoSpacing"/>
      </w:pPr>
    </w:p>
    <w:tbl>
      <w:tblPr>
        <w:tblStyle w:val="Boxtable"/>
        <w:tblW w:w="5000" w:type="pct"/>
        <w:tblLook w:val="04A0" w:firstRow="1" w:lastRow="0" w:firstColumn="1" w:lastColumn="0" w:noHBand="0" w:noVBand="1"/>
      </w:tblPr>
      <w:tblGrid>
        <w:gridCol w:w="9638"/>
      </w:tblGrid>
      <w:tr w:rsidR="00557DD7" w14:paraId="17C4737E" w14:textId="77777777" w:rsidTr="00C426E9">
        <w:trPr>
          <w:tblHeader/>
        </w:trPr>
        <w:tc>
          <w:tcPr>
            <w:tcW w:w="9638" w:type="dxa"/>
            <w:tcMar>
              <w:top w:w="170" w:type="dxa"/>
              <w:left w:w="170" w:type="dxa"/>
              <w:bottom w:w="113" w:type="dxa"/>
              <w:right w:w="170" w:type="dxa"/>
            </w:tcMar>
            <w:hideMark/>
          </w:tcPr>
          <w:p w14:paraId="7884BFF1" w14:textId="0B3A8DA1" w:rsidR="00557DD7" w:rsidRDefault="00557DD7" w:rsidP="003E078C">
            <w:pPr>
              <w:pStyle w:val="BoxHeading1"/>
              <w:keepNext w:val="0"/>
            </w:pPr>
            <w:r>
              <w:t>Box</w:t>
            </w:r>
            <w:bookmarkStart w:id="93" w:name="OLE_LINK19"/>
            <w:r w:rsidR="00A43B86">
              <w:t> </w:t>
            </w:r>
            <w:r>
              <w:t>2.</w:t>
            </w:r>
            <w:r>
              <w:rPr>
                <w:noProof/>
              </w:rPr>
              <w:t>5</w:t>
            </w:r>
            <w:bookmarkEnd w:id="93"/>
            <w:r>
              <w:t xml:space="preserve"> – Programs that may help build skills businesses need for innovation</w:t>
            </w:r>
          </w:p>
        </w:tc>
      </w:tr>
      <w:tr w:rsidR="00557DD7" w14:paraId="0D400D70" w14:textId="77777777" w:rsidTr="00C426E9">
        <w:tc>
          <w:tcPr>
            <w:tcW w:w="9638" w:type="dxa"/>
            <w:tcMar>
              <w:top w:w="28" w:type="dxa"/>
              <w:left w:w="170" w:type="dxa"/>
              <w:bottom w:w="170" w:type="dxa"/>
              <w:right w:w="170" w:type="dxa"/>
            </w:tcMar>
            <w:hideMark/>
          </w:tcPr>
          <w:p w14:paraId="668F74D3" w14:textId="77777777" w:rsidR="00557DD7" w:rsidRPr="0003700E" w:rsidRDefault="00557DD7" w:rsidP="003E078C">
            <w:pPr>
              <w:pStyle w:val="BodyText"/>
              <w:rPr>
                <w:b/>
                <w:bCs/>
              </w:rPr>
            </w:pPr>
            <w:r w:rsidRPr="0003700E">
              <w:rPr>
                <w:b/>
                <w:bCs/>
              </w:rPr>
              <w:t>General programs</w:t>
            </w:r>
          </w:p>
          <w:p w14:paraId="2881AA81" w14:textId="77777777" w:rsidR="00557DD7" w:rsidRPr="00236433" w:rsidRDefault="00557DD7" w:rsidP="003E078C">
            <w:pPr>
              <w:pStyle w:val="BodyText"/>
              <w:rPr>
                <w:spacing w:val="-4"/>
              </w:rPr>
            </w:pPr>
            <w:r w:rsidRPr="00236433">
              <w:rPr>
                <w:spacing w:val="-4"/>
              </w:rPr>
              <w:t>Various government programs that provide support to upgrade skills and improve business performance may also build the skills and management capabilities needed to successfully identify and adopt innovations.</w:t>
            </w:r>
          </w:p>
          <w:p w14:paraId="1176E744" w14:textId="3472037D" w:rsidR="00557DD7" w:rsidRDefault="00557DD7" w:rsidP="003E078C">
            <w:pPr>
              <w:pStyle w:val="BodyText"/>
            </w:pPr>
            <w:r>
              <w:t xml:space="preserve">For example, the Australian Government’s </w:t>
            </w:r>
            <w:r w:rsidRPr="00A2441D">
              <w:rPr>
                <w:b/>
                <w:bCs/>
              </w:rPr>
              <w:t>JobTrainer Fund</w:t>
            </w:r>
            <w:r>
              <w:t>, which was introduced during the COVID</w:t>
            </w:r>
            <w:r>
              <w:noBreakHyphen/>
              <w:t>19 pandemic, provides financial support for j</w:t>
            </w:r>
            <w:r w:rsidRPr="00011163">
              <w:t>ob seekers and young people (including school leavers) to upskill or reskill in areas of identified skills</w:t>
            </w:r>
            <w:r>
              <w:t xml:space="preserve"> </w:t>
            </w:r>
            <w:r w:rsidRPr="00FF57B2">
              <w:rPr>
                <w:rFonts w:ascii="Arial" w:hAnsi="Arial" w:cs="Arial"/>
                <w:szCs w:val="24"/>
              </w:rPr>
              <w:t>(DESE 2022b)</w:t>
            </w:r>
            <w:r>
              <w:t xml:space="preserve">, whereas the </w:t>
            </w:r>
            <w:r w:rsidRPr="00A2441D">
              <w:rPr>
                <w:b/>
                <w:bCs/>
              </w:rPr>
              <w:t>Skills and Training Incentive Program</w:t>
            </w:r>
            <w:r>
              <w:rPr>
                <w:b/>
                <w:bCs/>
              </w:rPr>
              <w:t xml:space="preserve"> </w:t>
            </w:r>
            <w:r w:rsidRPr="0070121E">
              <w:t>assists mature age Australians to update their skills and stay in the workforce</w:t>
            </w:r>
            <w:r>
              <w:t xml:space="preserve"> </w:t>
            </w:r>
            <w:r w:rsidRPr="00FF57B2">
              <w:rPr>
                <w:rFonts w:ascii="Arial" w:hAnsi="Arial" w:cs="Arial"/>
                <w:szCs w:val="24"/>
              </w:rPr>
              <w:t>(DESE 2022c)</w:t>
            </w:r>
            <w:r>
              <w:t>. To the extent that these programs target skills needed by businesses, they may also support innovation capabilities.</w:t>
            </w:r>
          </w:p>
          <w:p w14:paraId="1992CB5C" w14:textId="29ABE0F7" w:rsidR="00557DD7" w:rsidRPr="007F7CB9" w:rsidRDefault="00557DD7" w:rsidP="003E078C">
            <w:pPr>
              <w:pStyle w:val="BodyText"/>
            </w:pPr>
            <w:r>
              <w:t xml:space="preserve">Other programs indirectly support management capability by providing information and services that help businesses to identify opportunities to improve business performance — including through innovation. For example, the ATO’s </w:t>
            </w:r>
            <w:r w:rsidRPr="0025033D">
              <w:rPr>
                <w:b/>
                <w:bCs/>
              </w:rPr>
              <w:t>Small Business Benchmarking</w:t>
            </w:r>
            <w:r>
              <w:t xml:space="preserve"> provides free benchmarking for small businesses on industry</w:t>
            </w:r>
            <w:r w:rsidR="000565F7">
              <w:noBreakHyphen/>
            </w:r>
            <w:r>
              <w:t>relevant performance indicators, including guidance on when a</w:t>
            </w:r>
            <w:r w:rsidRPr="003867C9">
              <w:t xml:space="preserve"> business may have room to improve</w:t>
            </w:r>
            <w:r>
              <w:t xml:space="preserve"> </w:t>
            </w:r>
            <w:r w:rsidRPr="00095022">
              <w:rPr>
                <w:rFonts w:ascii="Arial" w:hAnsi="Arial" w:cs="Arial"/>
                <w:szCs w:val="24"/>
              </w:rPr>
              <w:t>(ATO 2022)</w:t>
            </w:r>
            <w:r w:rsidRPr="003867C9">
              <w:t>.</w:t>
            </w:r>
          </w:p>
          <w:p w14:paraId="2F904FFB" w14:textId="32F6FF36" w:rsidR="00557DD7" w:rsidRPr="00236433" w:rsidRDefault="00557DD7" w:rsidP="003E078C">
            <w:pPr>
              <w:pStyle w:val="BodyText"/>
              <w:rPr>
                <w:spacing w:val="-4"/>
              </w:rPr>
            </w:pPr>
            <w:r w:rsidRPr="00236433">
              <w:rPr>
                <w:spacing w:val="-4"/>
              </w:rPr>
              <w:t xml:space="preserve">State </w:t>
            </w:r>
            <w:r w:rsidR="008965BB" w:rsidRPr="00236433">
              <w:rPr>
                <w:spacing w:val="-4"/>
              </w:rPr>
              <w:t>G</w:t>
            </w:r>
            <w:r w:rsidRPr="00236433">
              <w:rPr>
                <w:spacing w:val="-4"/>
              </w:rPr>
              <w:t xml:space="preserve">overnments also play a role through a variety of programs including advisory and concierge services to small businesses, such as the NSW Government’s </w:t>
            </w:r>
            <w:r w:rsidRPr="00236433">
              <w:rPr>
                <w:b/>
                <w:bCs/>
                <w:spacing w:val="-4"/>
              </w:rPr>
              <w:t>Business Concierge</w:t>
            </w:r>
            <w:r w:rsidRPr="00236433">
              <w:rPr>
                <w:spacing w:val="-4"/>
              </w:rPr>
              <w:t xml:space="preserve"> and </w:t>
            </w:r>
            <w:r w:rsidRPr="00236433">
              <w:rPr>
                <w:b/>
                <w:bCs/>
                <w:spacing w:val="-4"/>
              </w:rPr>
              <w:t>Business Connect</w:t>
            </w:r>
            <w:r w:rsidRPr="00236433">
              <w:rPr>
                <w:spacing w:val="-4"/>
              </w:rPr>
              <w:t xml:space="preserve"> programs </w:t>
            </w:r>
            <w:r w:rsidRPr="00236433">
              <w:rPr>
                <w:rFonts w:cs="Arial"/>
                <w:spacing w:val="-4"/>
                <w:szCs w:val="24"/>
              </w:rPr>
              <w:t>(Service NSW 2022)</w:t>
            </w:r>
            <w:r w:rsidRPr="00236433">
              <w:rPr>
                <w:spacing w:val="-4"/>
              </w:rPr>
              <w:t>.</w:t>
            </w:r>
            <w:r w:rsidR="00F675BF" w:rsidRPr="00236433">
              <w:rPr>
                <w:spacing w:val="-4"/>
              </w:rPr>
              <w:t xml:space="preserve"> In addition, </w:t>
            </w:r>
            <w:r w:rsidR="0090293C" w:rsidRPr="00236433">
              <w:rPr>
                <w:spacing w:val="-4"/>
              </w:rPr>
              <w:t>initiatives</w:t>
            </w:r>
            <w:r w:rsidR="002D2C03" w:rsidRPr="00236433">
              <w:rPr>
                <w:spacing w:val="-4"/>
              </w:rPr>
              <w:t xml:space="preserve"> that </w:t>
            </w:r>
            <w:r w:rsidR="00F620C7" w:rsidRPr="00236433">
              <w:rPr>
                <w:spacing w:val="-4"/>
              </w:rPr>
              <w:t>encourage</w:t>
            </w:r>
            <w:r w:rsidR="003106FA" w:rsidRPr="00236433">
              <w:rPr>
                <w:spacing w:val="-4"/>
              </w:rPr>
              <w:t xml:space="preserve"> small businesses to </w:t>
            </w:r>
            <w:r w:rsidR="00F620C7" w:rsidRPr="00236433">
              <w:rPr>
                <w:spacing w:val="-4"/>
              </w:rPr>
              <w:t xml:space="preserve">access </w:t>
            </w:r>
            <w:r w:rsidR="00B330C6" w:rsidRPr="00236433">
              <w:rPr>
                <w:spacing w:val="-4"/>
              </w:rPr>
              <w:t>specialist advisers and</w:t>
            </w:r>
            <w:r w:rsidR="00F620C7" w:rsidRPr="00236433">
              <w:rPr>
                <w:spacing w:val="-4"/>
              </w:rPr>
              <w:t xml:space="preserve"> business</w:t>
            </w:r>
            <w:r w:rsidR="00B330C6" w:rsidRPr="00236433">
              <w:rPr>
                <w:spacing w:val="-4"/>
              </w:rPr>
              <w:t xml:space="preserve"> support service</w:t>
            </w:r>
            <w:r w:rsidR="00673637" w:rsidRPr="00236433">
              <w:rPr>
                <w:spacing w:val="-4"/>
              </w:rPr>
              <w:t xml:space="preserve">s (such as </w:t>
            </w:r>
            <w:r w:rsidR="00A262B1" w:rsidRPr="00236433">
              <w:rPr>
                <w:spacing w:val="-4"/>
              </w:rPr>
              <w:t xml:space="preserve">financial, accounting, strategic or management advice) </w:t>
            </w:r>
            <w:r w:rsidR="008F7AE4" w:rsidRPr="00236433">
              <w:rPr>
                <w:spacing w:val="-4"/>
              </w:rPr>
              <w:t xml:space="preserve">— including the Tasmanian Government’s </w:t>
            </w:r>
            <w:r w:rsidR="008F7AE4" w:rsidRPr="00236433">
              <w:rPr>
                <w:b/>
                <w:bCs/>
                <w:spacing w:val="-4"/>
              </w:rPr>
              <w:t>Small Business Advice and Financial Guidance Program</w:t>
            </w:r>
            <w:r w:rsidR="008F7AE4" w:rsidRPr="00236433">
              <w:rPr>
                <w:spacing w:val="-4"/>
              </w:rPr>
              <w:t xml:space="preserve"> and the Victorian Government’s </w:t>
            </w:r>
            <w:r w:rsidR="008F7AE4" w:rsidRPr="00236433">
              <w:rPr>
                <w:b/>
                <w:bCs/>
                <w:spacing w:val="-4"/>
              </w:rPr>
              <w:t xml:space="preserve">Small Business Specialist Advice Pathways Program </w:t>
            </w:r>
            <w:r w:rsidR="008F7AE4" w:rsidRPr="00236433">
              <w:rPr>
                <w:spacing w:val="-4"/>
              </w:rPr>
              <w:t xml:space="preserve">— </w:t>
            </w:r>
            <w:r w:rsidR="00CF4296" w:rsidRPr="00236433">
              <w:rPr>
                <w:spacing w:val="-4"/>
              </w:rPr>
              <w:t xml:space="preserve">can help these businesses to </w:t>
            </w:r>
            <w:r w:rsidR="00C13AD4" w:rsidRPr="00236433">
              <w:rPr>
                <w:spacing w:val="-4"/>
              </w:rPr>
              <w:t>access</w:t>
            </w:r>
            <w:r w:rsidR="00CF4296" w:rsidRPr="00236433">
              <w:rPr>
                <w:spacing w:val="-4"/>
              </w:rPr>
              <w:t xml:space="preserve"> the skills they need to adopt innovations (</w:t>
            </w:r>
            <w:r w:rsidR="00E24C72" w:rsidRPr="00236433">
              <w:rPr>
                <w:spacing w:val="-4"/>
              </w:rPr>
              <w:t>CPA, sub. 106, p. 6</w:t>
            </w:r>
            <w:r w:rsidR="00CF4296" w:rsidRPr="00236433">
              <w:rPr>
                <w:spacing w:val="-4"/>
              </w:rPr>
              <w:t>).</w:t>
            </w:r>
          </w:p>
          <w:p w14:paraId="4E591591" w14:textId="77777777" w:rsidR="00557DD7" w:rsidRPr="0003700E" w:rsidRDefault="00557DD7" w:rsidP="0003700E">
            <w:pPr>
              <w:pStyle w:val="BodyText"/>
              <w:keepNext/>
              <w:rPr>
                <w:b/>
                <w:bCs/>
              </w:rPr>
            </w:pPr>
            <w:r w:rsidRPr="0003700E">
              <w:rPr>
                <w:b/>
                <w:bCs/>
              </w:rPr>
              <w:lastRenderedPageBreak/>
              <w:t>Programs focussing on novel approaches and entrepreneurs</w:t>
            </w:r>
          </w:p>
          <w:p w14:paraId="4A9D3D28" w14:textId="611653FE" w:rsidR="00557DD7" w:rsidRPr="00A37126" w:rsidRDefault="00557DD7" w:rsidP="003E078C">
            <w:pPr>
              <w:pStyle w:val="BodyText"/>
              <w:rPr>
                <w:i/>
              </w:rPr>
            </w:pPr>
            <w:r>
              <w:t xml:space="preserve">Services offered under </w:t>
            </w:r>
            <w:r w:rsidRPr="00EC7C4B">
              <w:t>AusIndustry</w:t>
            </w:r>
            <w:r>
              <w:t>’s</w:t>
            </w:r>
            <w:r w:rsidRPr="00EC7C4B">
              <w:t xml:space="preserve"> </w:t>
            </w:r>
            <w:r w:rsidRPr="000F0DB4">
              <w:rPr>
                <w:b/>
                <w:bCs/>
              </w:rPr>
              <w:t>Entrepreneurs Programme</w:t>
            </w:r>
            <w:r>
              <w:t xml:space="preserve"> provide advice and funding </w:t>
            </w:r>
            <w:r w:rsidR="00AB4985">
              <w:t>for entrepreneurs and businesses</w:t>
            </w:r>
            <w:r>
              <w:t xml:space="preserve"> to connect with researchers and undertake research projects (</w:t>
            </w:r>
            <w:r w:rsidRPr="00EC7C4B">
              <w:t>Innovation Connections</w:t>
            </w:r>
            <w:r>
              <w:t xml:space="preserve">) and to bring </w:t>
            </w:r>
            <w:r w:rsidR="00C85AAA">
              <w:t xml:space="preserve">a </w:t>
            </w:r>
            <w:r w:rsidRPr="00C971DA">
              <w:t>novel product, process or service to market</w:t>
            </w:r>
            <w:r>
              <w:t xml:space="preserve"> (</w:t>
            </w:r>
            <w:r w:rsidRPr="00C971DA">
              <w:t>Accelerating Commercialisation</w:t>
            </w:r>
            <w:r>
              <w:t xml:space="preserve">) </w:t>
            </w:r>
            <w:r w:rsidR="00116531" w:rsidRPr="00116531">
              <w:rPr>
                <w:rFonts w:ascii="Arial" w:hAnsi="Arial" w:cs="Arial"/>
                <w:szCs w:val="24"/>
              </w:rPr>
              <w:t>(Business.gov 2022)</w:t>
            </w:r>
            <w:r>
              <w:t xml:space="preserve">. The CSIRO also runs a range of programs directed towards entrepreneurs and research teams, such as the </w:t>
            </w:r>
            <w:r w:rsidRPr="00B064D3">
              <w:rPr>
                <w:b/>
              </w:rPr>
              <w:t>ON programmes</w:t>
            </w:r>
            <w:r>
              <w:t xml:space="preserve">, which include training in customer discovery and market validation activities, as well as an accelerator to help commercialise ideas </w:t>
            </w:r>
            <w:r w:rsidRPr="00095022">
              <w:rPr>
                <w:rFonts w:ascii="Arial" w:hAnsi="Arial" w:cs="Arial"/>
                <w:szCs w:val="24"/>
              </w:rPr>
              <w:t>(CSIRO 2019)</w:t>
            </w:r>
            <w:r>
              <w:t>. State Governments across Australia also offer a variety of grant programs and fund accelerators and start</w:t>
            </w:r>
            <w:r w:rsidR="000565F7">
              <w:noBreakHyphen/>
            </w:r>
            <w:r>
              <w:t xml:space="preserve">up hubs, such as the </w:t>
            </w:r>
            <w:r w:rsidRPr="00AA3188">
              <w:rPr>
                <w:b/>
              </w:rPr>
              <w:t xml:space="preserve">Victorian </w:t>
            </w:r>
            <w:r w:rsidRPr="00AA3188">
              <w:rPr>
                <w:b/>
                <w:bCs/>
              </w:rPr>
              <w:t>Innovation Hub</w:t>
            </w:r>
            <w:r>
              <w:t xml:space="preserve"> and </w:t>
            </w:r>
            <w:r w:rsidRPr="001C529B">
              <w:rPr>
                <w:b/>
                <w:bCs/>
              </w:rPr>
              <w:t>Sydney Startup Hub</w:t>
            </w:r>
            <w:r>
              <w:t xml:space="preserve">, </w:t>
            </w:r>
            <w:r w:rsidR="00F67954">
              <w:t xml:space="preserve">which </w:t>
            </w:r>
            <w:r>
              <w:t>provid</w:t>
            </w:r>
            <w:r w:rsidR="00F67954">
              <w:t>e</w:t>
            </w:r>
            <w:r>
              <w:t xml:space="preserve"> </w:t>
            </w:r>
            <w:r w:rsidR="00C747BC">
              <w:t>support for collaboration</w:t>
            </w:r>
            <w:r w:rsidR="006C2399">
              <w:t xml:space="preserve"> and staff development to help</w:t>
            </w:r>
            <w:r>
              <w:t xml:space="preserve"> start</w:t>
            </w:r>
            <w:r w:rsidR="000565F7">
              <w:noBreakHyphen/>
            </w:r>
            <w:r>
              <w:t xml:space="preserve">ups grow </w:t>
            </w:r>
            <w:r w:rsidR="00116531" w:rsidRPr="00116531">
              <w:rPr>
                <w:rFonts w:ascii="Arial" w:hAnsi="Arial" w:cs="Arial"/>
                <w:szCs w:val="24"/>
              </w:rPr>
              <w:t>(Department of Jobs, Precincts and Regions and DJPR 2018; Investment NSW 2022)</w:t>
            </w:r>
            <w:r>
              <w:t>.</w:t>
            </w:r>
          </w:p>
        </w:tc>
      </w:tr>
      <w:tr w:rsidR="00557DD7" w14:paraId="39425BDC" w14:textId="77777777" w:rsidTr="00C426E9">
        <w:trPr>
          <w:hidden/>
        </w:trPr>
        <w:tc>
          <w:tcPr>
            <w:tcW w:w="9638" w:type="dxa"/>
            <w:shd w:val="clear" w:color="auto" w:fill="auto"/>
            <w:tcMar>
              <w:top w:w="0" w:type="dxa"/>
              <w:left w:w="170" w:type="dxa"/>
              <w:bottom w:w="0" w:type="dxa"/>
              <w:right w:w="170" w:type="dxa"/>
            </w:tcMar>
          </w:tcPr>
          <w:p w14:paraId="6D50365C" w14:textId="6179237F" w:rsidR="00557DD7" w:rsidRPr="00465191" w:rsidRDefault="00557DD7" w:rsidP="003E078C">
            <w:pPr>
              <w:pStyle w:val="BodyText"/>
              <w:spacing w:before="0" w:after="0" w:line="80" w:lineRule="atLeast"/>
              <w:rPr>
                <w:smallCaps/>
                <w:vanish/>
              </w:rPr>
            </w:pPr>
          </w:p>
        </w:tc>
      </w:tr>
    </w:tbl>
    <w:p w14:paraId="012F050A" w14:textId="77777777" w:rsidR="0009327E" w:rsidRPr="00F82BD9" w:rsidRDefault="0009327E" w:rsidP="0009327E">
      <w:pPr>
        <w:pStyle w:val="BodyText"/>
      </w:pPr>
      <w:r>
        <w:t>Some government programs directly target the skills and management capabilities needed for innovation</w:t>
      </w:r>
      <w:r w:rsidRPr="00A219AE">
        <w:t>.</w:t>
      </w:r>
      <w:r>
        <w:t xml:space="preserve"> Like most existing business innovation policies, these programs tend to target businesses engaging in highly novel, new</w:t>
      </w:r>
      <w:r>
        <w:noBreakHyphen/>
        <w:t>to</w:t>
      </w:r>
      <w:r>
        <w:noBreakHyphen/>
        <w:t xml:space="preserve">market innovation. Some offer support to connect businesses with research institutions and commercialise novel products and technologies. Evaluations and feedback from inquiry participants </w:t>
      </w:r>
      <w:r w:rsidRPr="00253379">
        <w:t>suggest that some of these programs</w:t>
      </w:r>
      <w:r>
        <w:t xml:space="preserve">, such as the Enterprise </w:t>
      </w:r>
      <w:r w:rsidRPr="00BA3BA0">
        <w:t>Connect</w:t>
      </w:r>
      <w:r>
        <w:t xml:space="preserve"> program</w:t>
      </w:r>
      <w:r w:rsidRPr="00BA3BA0">
        <w:t xml:space="preserve"> (2008</w:t>
      </w:r>
      <w:r>
        <w:t>–</w:t>
      </w:r>
      <w:r w:rsidRPr="00BA3BA0">
        <w:t>2014)</w:t>
      </w:r>
      <w:r w:rsidRPr="00253379">
        <w:t xml:space="preserve"> have had a positive effect on firm performance</w:t>
      </w:r>
      <w:r>
        <w:t xml:space="preserve"> </w:t>
      </w:r>
      <w:r w:rsidRPr="0078537F">
        <w:t>(Bruno 2020, pp. 12–16)</w:t>
      </w:r>
      <w:r>
        <w:t xml:space="preserve">. However, their wider impact is likely limited by a lack of program consistency over time. The relatively small number of businesses assisted (relative to the R&amp;D Tax Incentive, for example) </w:t>
      </w:r>
      <w:r w:rsidRPr="00521127">
        <w:rPr>
          <w:rFonts w:ascii="Arial" w:hAnsi="Arial" w:cs="Arial"/>
          <w:szCs w:val="24"/>
        </w:rPr>
        <w:t>(DIIS 2019b, p. 44)</w:t>
      </w:r>
      <w:r>
        <w:t xml:space="preserve"> and the focus on highly novel innovators may mean that skills imparted are not as relevant or easy to diffuse to other businesses</w:t>
      </w:r>
      <w:r w:rsidRPr="00253379">
        <w:t>.</w:t>
      </w:r>
    </w:p>
    <w:p w14:paraId="004D1D39" w14:textId="57D3EDC3" w:rsidR="004D76FE" w:rsidRDefault="00212160" w:rsidP="004D76FE">
      <w:pPr>
        <w:pStyle w:val="BodyText"/>
      </w:pPr>
      <w:r>
        <w:t>E</w:t>
      </w:r>
      <w:r w:rsidR="00DF2C18">
        <w:t>xisting worker</w:t>
      </w:r>
      <w:r w:rsidR="00EA0E37">
        <w:t xml:space="preserve">s can also develop </w:t>
      </w:r>
      <w:r w:rsidR="005867BA">
        <w:t>management capabilities and other</w:t>
      </w:r>
      <w:r w:rsidR="00EA0E37">
        <w:t xml:space="preserve"> skills relevant for improving diffusion through the</w:t>
      </w:r>
      <w:r>
        <w:t xml:space="preserve"> broader</w:t>
      </w:r>
      <w:r w:rsidR="00EA0E37">
        <w:t xml:space="preserve"> </w:t>
      </w:r>
      <w:r w:rsidR="009B50ED">
        <w:t>education and training system</w:t>
      </w:r>
      <w:r w:rsidR="00600322">
        <w:t>, which includes</w:t>
      </w:r>
      <w:r w:rsidR="00D1134E">
        <w:t xml:space="preserve"> both formal learning resulting in a qualification and </w:t>
      </w:r>
      <w:r w:rsidR="00797CA8">
        <w:t>other options such as unaccredited short courses</w:t>
      </w:r>
      <w:r w:rsidR="009B50ED">
        <w:t xml:space="preserve">. </w:t>
      </w:r>
      <w:r w:rsidR="001F5959">
        <w:t xml:space="preserve">As discussed in this inquiry’s companion </w:t>
      </w:r>
      <w:r w:rsidR="006B7EA1">
        <w:t>volume</w:t>
      </w:r>
      <w:r w:rsidR="001F5959">
        <w:t xml:space="preserve"> </w:t>
      </w:r>
      <w:proofErr w:type="gramStart"/>
      <w:r w:rsidR="001F5959">
        <w:rPr>
          <w:i/>
          <w:iCs/>
        </w:rPr>
        <w:t>From</w:t>
      </w:r>
      <w:proofErr w:type="gramEnd"/>
      <w:r w:rsidR="001F5959">
        <w:rPr>
          <w:i/>
          <w:iCs/>
        </w:rPr>
        <w:t xml:space="preserve"> learning to growth</w:t>
      </w:r>
      <w:r w:rsidR="001F5959">
        <w:t xml:space="preserve">, </w:t>
      </w:r>
      <w:r w:rsidR="00B36D2B">
        <w:t xml:space="preserve">formal learning options are more commonly undertaken by younger people (including </w:t>
      </w:r>
      <w:r w:rsidR="007F675C">
        <w:t xml:space="preserve">students </w:t>
      </w:r>
      <w:r w:rsidR="007F675C" w:rsidRPr="00CF1D49">
        <w:t xml:space="preserve">before they enter the workforce), and government investment tends to focus on </w:t>
      </w:r>
      <w:r w:rsidR="00501824" w:rsidRPr="00CF1D49">
        <w:t>the initial post</w:t>
      </w:r>
      <w:r w:rsidR="00A43B86">
        <w:noBreakHyphen/>
      </w:r>
      <w:r w:rsidR="00501824" w:rsidRPr="00CF1D49">
        <w:t>school, pre</w:t>
      </w:r>
      <w:r w:rsidR="00501824" w:rsidRPr="00CF1D49">
        <w:noBreakHyphen/>
        <w:t xml:space="preserve">employment </w:t>
      </w:r>
      <w:r w:rsidR="0029091A" w:rsidRPr="00CF1D49">
        <w:t>period, rather than ongoing training throughout a worker’s lifetime.</w:t>
      </w:r>
      <w:r w:rsidR="00501824" w:rsidRPr="00CF1D49">
        <w:t xml:space="preserve"> </w:t>
      </w:r>
      <w:r w:rsidR="00F11E73" w:rsidRPr="00CF1D49">
        <w:t xml:space="preserve">That </w:t>
      </w:r>
      <w:r w:rsidR="006B7EA1" w:rsidRPr="00CF1D49">
        <w:t>volume</w:t>
      </w:r>
      <w:r w:rsidR="00F11E73" w:rsidRPr="00CF1D49">
        <w:t xml:space="preserve"> includes a recommendation that </w:t>
      </w:r>
      <w:r w:rsidR="00084361" w:rsidRPr="00CF1D49">
        <w:t xml:space="preserve">the government could </w:t>
      </w:r>
      <w:r w:rsidR="00BA42C8" w:rsidRPr="00CF1D49">
        <w:t xml:space="preserve">encourage uptake </w:t>
      </w:r>
      <w:r w:rsidR="00056671" w:rsidRPr="00CF1D49">
        <w:t xml:space="preserve">of lifelong learning options </w:t>
      </w:r>
      <w:r w:rsidR="00BA42C8" w:rsidRPr="00CF1D49">
        <w:t>by trialling targeted policies for work</w:t>
      </w:r>
      <w:r w:rsidR="00A43B86">
        <w:noBreakHyphen/>
      </w:r>
      <w:r w:rsidR="00BA42C8" w:rsidRPr="00CF1D49">
        <w:t xml:space="preserve">related upskilling and </w:t>
      </w:r>
      <w:proofErr w:type="gramStart"/>
      <w:r w:rsidR="00BA42C8" w:rsidRPr="00CF1D49">
        <w:t>reskilling, and</w:t>
      </w:r>
      <w:proofErr w:type="gramEnd"/>
      <w:r w:rsidR="00BA42C8" w:rsidRPr="00CF1D49">
        <w:t xml:space="preserve"> extending self</w:t>
      </w:r>
      <w:r w:rsidR="00A43B86">
        <w:noBreakHyphen/>
      </w:r>
      <w:r w:rsidR="00BA42C8" w:rsidRPr="00CF1D49">
        <w:t>education tax deductions to education that is likely to lead to income outside of current employment. Existing programs designed to support lifelong learning, such as Employability Skills Training and the incoming Skills and Training Boost, should also be evaluated for their effectiveness at facilitating additional training</w:t>
      </w:r>
      <w:r w:rsidR="00B70F90" w:rsidRPr="00CF1D49">
        <w:t>.</w:t>
      </w:r>
    </w:p>
    <w:p w14:paraId="3A9684AB" w14:textId="6EF1922E" w:rsidR="00557DD7" w:rsidRDefault="00557DD7" w:rsidP="00557DD7">
      <w:pPr>
        <w:pStyle w:val="Heading2"/>
      </w:pPr>
      <w:bookmarkStart w:id="94" w:name="_Toc126145991"/>
      <w:bookmarkStart w:id="95" w:name="_Toc126304785"/>
      <w:r>
        <w:t>Collaboration and networks can catalyse innovation diffusion</w:t>
      </w:r>
      <w:bookmarkEnd w:id="94"/>
      <w:bookmarkEnd w:id="95"/>
    </w:p>
    <w:p w14:paraId="3B6C742E" w14:textId="77777777" w:rsidR="00557DD7" w:rsidRDefault="00557DD7" w:rsidP="00557DD7">
      <w:pPr>
        <w:pStyle w:val="BodyText"/>
      </w:pPr>
      <w:r>
        <w:t xml:space="preserve">The diffusion of innovation requires channels for collaboration and networks for knowledge transfer. Such linkages are critical to allow information about innovations to spread — to </w:t>
      </w:r>
      <w:r>
        <w:rPr>
          <w:i/>
          <w:iCs/>
        </w:rPr>
        <w:t>diffuse</w:t>
      </w:r>
      <w:r>
        <w:t xml:space="preserve"> — among businesses. These include:</w:t>
      </w:r>
    </w:p>
    <w:p w14:paraId="4AB1DD4E" w14:textId="35413A7A" w:rsidR="00557DD7" w:rsidRDefault="00557DD7" w:rsidP="00FE15D8">
      <w:pPr>
        <w:pStyle w:val="ListBullet"/>
      </w:pPr>
      <w:r>
        <w:t>within business and business</w:t>
      </w:r>
      <w:r w:rsidR="00E63F3C">
        <w:noBreakHyphen/>
      </w:r>
      <w:r>
        <w:t>to</w:t>
      </w:r>
      <w:r w:rsidR="00E63F3C">
        <w:noBreakHyphen/>
      </w:r>
      <w:r>
        <w:t>business linkages, such as information flows through supply chains (see section</w:t>
      </w:r>
      <w:r w:rsidR="000565F7">
        <w:t> </w:t>
      </w:r>
      <w:r>
        <w:t>2.2 for examples relating to international trade)</w:t>
      </w:r>
    </w:p>
    <w:p w14:paraId="2483D5F3" w14:textId="226D2F24" w:rsidR="00557DD7" w:rsidRDefault="00557DD7" w:rsidP="00FE15D8">
      <w:pPr>
        <w:pStyle w:val="ListBullet"/>
      </w:pPr>
      <w:r>
        <w:lastRenderedPageBreak/>
        <w:t>business</w:t>
      </w:r>
      <w:r w:rsidR="00E63F3C">
        <w:noBreakHyphen/>
      </w:r>
      <w:r>
        <w:t>to</w:t>
      </w:r>
      <w:r w:rsidR="00E63F3C">
        <w:noBreakHyphen/>
      </w:r>
      <w:r>
        <w:t xml:space="preserve">business linkages via an intermediary, such as industry associations </w:t>
      </w:r>
      <w:r w:rsidRPr="00B473E6">
        <w:t>and consultants</w:t>
      </w:r>
    </w:p>
    <w:p w14:paraId="70B3923B" w14:textId="3C1F3833" w:rsidR="00557DD7" w:rsidRDefault="00557DD7" w:rsidP="00FE15D8">
      <w:pPr>
        <w:pStyle w:val="ListBullet"/>
      </w:pPr>
      <w:r>
        <w:t>research institutions</w:t>
      </w:r>
      <w:r w:rsidR="00E63F3C">
        <w:noBreakHyphen/>
      </w:r>
      <w:r>
        <w:t>to</w:t>
      </w:r>
      <w:r w:rsidR="00E63F3C">
        <w:noBreakHyphen/>
      </w:r>
      <w:r>
        <w:t>business linkages, such as with universities</w:t>
      </w:r>
      <w:r w:rsidR="00E2422F">
        <w:t>.</w:t>
      </w:r>
    </w:p>
    <w:p w14:paraId="33FDE229" w14:textId="77777777" w:rsidR="00557DD7" w:rsidRDefault="00557DD7" w:rsidP="00557DD7">
      <w:pPr>
        <w:pStyle w:val="Heading3"/>
      </w:pPr>
      <w:r>
        <w:t xml:space="preserve">Channels for information and innovation diffusion </w:t>
      </w:r>
    </w:p>
    <w:p w14:paraId="2DDA1B22" w14:textId="1CB68F90" w:rsidR="00557DD7" w:rsidRDefault="00557DD7" w:rsidP="00557DD7">
      <w:pPr>
        <w:pStyle w:val="BodyText"/>
      </w:pPr>
      <w:r>
        <w:t xml:space="preserve">Information is critical to the uptake of innovation. Businesses need to know what technologies and practices exist in the </w:t>
      </w:r>
      <w:proofErr w:type="gramStart"/>
      <w:r>
        <w:t>market place</w:t>
      </w:r>
      <w:proofErr w:type="gramEnd"/>
      <w:r>
        <w:t xml:space="preserve">, their compatibility with the business’ organisation and how to adapt and integrate them into their organisation </w:t>
      </w:r>
      <w:r w:rsidRPr="006326BA">
        <w:rPr>
          <w:rFonts w:ascii="Arial" w:hAnsi="Arial" w:cs="Arial"/>
          <w:szCs w:val="24"/>
        </w:rPr>
        <w:t>(Hall 2004, p. 19)</w:t>
      </w:r>
      <w:r>
        <w:t>. Sources of information include research organisations (universities and</w:t>
      </w:r>
      <w:r w:rsidRPr="00787109">
        <w:t xml:space="preserve"> public research institutions); </w:t>
      </w:r>
      <w:r>
        <w:t xml:space="preserve">firms in the same or related industries </w:t>
      </w:r>
      <w:r w:rsidRPr="00787109">
        <w:t xml:space="preserve">(including foreign </w:t>
      </w:r>
      <w:r>
        <w:t>firms); and industry organisations and networks</w:t>
      </w:r>
      <w:r w:rsidRPr="00787109">
        <w:t>.</w:t>
      </w:r>
      <w:r>
        <w:t xml:space="preserve"> However, not all sources of information will be perceived as equal by firms, with some sources likely to be considered both more trustworthy and relevant to a business’ situation </w:t>
      </w:r>
      <w:r w:rsidRPr="00010B58">
        <w:rPr>
          <w:rFonts w:ascii="Arial" w:hAnsi="Arial" w:cs="Arial"/>
          <w:szCs w:val="24"/>
        </w:rPr>
        <w:t>(Nooteboom 1994, p. 343)</w:t>
      </w:r>
      <w:r>
        <w:t>.</w:t>
      </w:r>
    </w:p>
    <w:p w14:paraId="234FB1D5" w14:textId="77777777" w:rsidR="00557DD7" w:rsidRDefault="00557DD7" w:rsidP="00557DD7">
      <w:pPr>
        <w:pStyle w:val="Heading4"/>
      </w:pPr>
      <w:r>
        <w:t>The business community is the most important channel for diffusing information about innovations</w:t>
      </w:r>
    </w:p>
    <w:p w14:paraId="436600FC" w14:textId="40C88C02" w:rsidR="00557DD7" w:rsidRDefault="002D1FDD" w:rsidP="00557DD7">
      <w:pPr>
        <w:pStyle w:val="BodyText"/>
      </w:pPr>
      <w:r w:rsidRPr="002D1FDD">
        <w:t xml:space="preserve">Firms responding to the ABS </w:t>
      </w:r>
      <w:r w:rsidRPr="002A684D">
        <w:rPr>
          <w:i/>
          <w:iCs/>
        </w:rPr>
        <w:t>Business Characteristics Survey</w:t>
      </w:r>
      <w:r w:rsidR="00557DD7">
        <w:t xml:space="preserve"> (figure 2.</w:t>
      </w:r>
      <w:r w:rsidR="004C70BE">
        <w:t>9</w:t>
      </w:r>
      <w:r w:rsidRPr="002D1FDD">
        <w:t>) indicate</w:t>
      </w:r>
      <w:r w:rsidR="00585428">
        <w:t>d</w:t>
      </w:r>
      <w:r w:rsidRPr="002D1FDD">
        <w:t xml:space="preserve"> that they derive ideas and information about innovation from a wide range of sources. Interestingly, </w:t>
      </w:r>
      <w:r w:rsidR="00557DD7">
        <w:t>Australian</w:t>
      </w:r>
      <w:r w:rsidR="00557DD7" w:rsidRPr="00603917">
        <w:t xml:space="preserve"> </w:t>
      </w:r>
      <w:r w:rsidR="00557DD7">
        <w:t xml:space="preserve">businesses </w:t>
      </w:r>
      <w:r>
        <w:t>source</w:t>
      </w:r>
      <w:r w:rsidR="00557DD7">
        <w:t xml:space="preserve"> most of their ideas for innovation from within their own organisation. Although some of this comes from in</w:t>
      </w:r>
      <w:r w:rsidR="000565F7">
        <w:noBreakHyphen/>
      </w:r>
      <w:r w:rsidR="00557DD7">
        <w:t>house R&amp;D</w:t>
      </w:r>
      <w:r w:rsidR="00E83A01">
        <w:t xml:space="preserve"> and </w:t>
      </w:r>
      <w:r w:rsidR="00283F88">
        <w:t>on</w:t>
      </w:r>
      <w:r w:rsidR="00A43B86">
        <w:noBreakHyphen/>
      </w:r>
      <w:r w:rsidR="00283F88">
        <w:t>the</w:t>
      </w:r>
      <w:r w:rsidR="00A43B86">
        <w:noBreakHyphen/>
      </w:r>
      <w:r w:rsidR="00283F88">
        <w:t>job ingenuity</w:t>
      </w:r>
      <w:r w:rsidR="00557DD7">
        <w:t>, a large part of this comes about from workers moving between firms and bringing diverse skills and knowledge from their previous workplaces with them. In its 2017 Innovation Benchmark Report, PwC noted that, of the 1222 firms they interviewed, over two thirds agreed that:</w:t>
      </w:r>
    </w:p>
    <w:p w14:paraId="3B409DC3" w14:textId="486417C7" w:rsidR="00557DD7" w:rsidRDefault="00557DD7" w:rsidP="00557DD7">
      <w:pPr>
        <w:pStyle w:val="Quote"/>
      </w:pPr>
      <w:r w:rsidRPr="009B6418">
        <w:t>bringing in employees with fresh thinking and establishing innovative behaviours and cultures are the most critical success factors for innovation, well above other criteria, such as increasing the innovation budget or establishing a clear business model for innovation.</w:t>
      </w:r>
      <w:r>
        <w:t xml:space="preserve"> </w:t>
      </w:r>
      <w:r w:rsidRPr="00D81986">
        <w:rPr>
          <w:rFonts w:ascii="Arial" w:hAnsi="Arial" w:cs="Arial"/>
          <w:szCs w:val="24"/>
        </w:rPr>
        <w:t>(Eriksson 2017)</w:t>
      </w:r>
    </w:p>
    <w:p w14:paraId="38F10FFE" w14:textId="41E8A3ED" w:rsidR="00557DD7" w:rsidRDefault="00557DD7" w:rsidP="00557DD7">
      <w:pPr>
        <w:pStyle w:val="BodyText"/>
      </w:pPr>
      <w:r>
        <w:t>Businesses also learn about innovative ideas and processes from their clients, their competitors and from their suppliers</w:t>
      </w:r>
      <w:r w:rsidR="00DE6DB9">
        <w:t xml:space="preserve"> (figure 2.9)</w:t>
      </w:r>
      <w:r>
        <w:t>. Direct interactions with</w:t>
      </w:r>
      <w:r w:rsidRPr="004860CA">
        <w:t xml:space="preserve"> suppliers</w:t>
      </w:r>
      <w:r>
        <w:t xml:space="preserve"> and</w:t>
      </w:r>
      <w:r w:rsidRPr="004860CA">
        <w:t xml:space="preserve"> c</w:t>
      </w:r>
      <w:r>
        <w:t>lient</w:t>
      </w:r>
      <w:r w:rsidRPr="004860CA">
        <w:t>s</w:t>
      </w:r>
      <w:r>
        <w:t xml:space="preserve"> can be a trusted source of information, particularly where there</w:t>
      </w:r>
      <w:r w:rsidRPr="000B4ED4">
        <w:t xml:space="preserve"> </w:t>
      </w:r>
      <w:r>
        <w:t xml:space="preserve">are strong existing business relationships. Large, efficient firms (such as multinational corporations) even have incentives to </w:t>
      </w:r>
      <w:r w:rsidR="002A4423">
        <w:t xml:space="preserve">actively </w:t>
      </w:r>
      <w:r>
        <w:t>transfer information up and down their supply chain (</w:t>
      </w:r>
      <w:r w:rsidRPr="00C5786C">
        <w:t>section</w:t>
      </w:r>
      <w:r w:rsidR="000565F7">
        <w:t> </w:t>
      </w:r>
      <w:r w:rsidRPr="00C5786C">
        <w:t>2.2</w:t>
      </w:r>
      <w:r>
        <w:t xml:space="preserve">). Equally, competitors’ experience with adopting and using new technologies can be an important source of information about innovation </w:t>
      </w:r>
      <w:r w:rsidRPr="00931A5F">
        <w:rPr>
          <w:rFonts w:ascii="Arial" w:hAnsi="Arial" w:cs="Arial"/>
          <w:szCs w:val="24"/>
        </w:rPr>
        <w:t>(Stoneman and Diederen 1994, p. 924)</w:t>
      </w:r>
      <w:r>
        <w:t>, when that information can be shared</w:t>
      </w:r>
      <w:r w:rsidR="00F124C8">
        <w:t xml:space="preserve"> or observed</w:t>
      </w:r>
      <w:r>
        <w:t>.</w:t>
      </w:r>
    </w:p>
    <w:p w14:paraId="68A89BCB" w14:textId="448D18C5" w:rsidR="00070186" w:rsidRDefault="00557DD7" w:rsidP="00557DD7">
      <w:pPr>
        <w:pStyle w:val="BodyText"/>
      </w:pPr>
      <w:r>
        <w:t xml:space="preserve">Seeing how technologies have performed in other businesses can reduce uncertainty </w:t>
      </w:r>
      <w:r w:rsidR="00CB5A0C">
        <w:t>about</w:t>
      </w:r>
      <w:r>
        <w:t xml:space="preserve"> the potential costs and benefits from adoption, reduce the need for costly experimentation, and play a role in socialising more complex organisational and technological innovations. </w:t>
      </w:r>
      <w:r w:rsidR="00933EB7">
        <w:t>For example, contactless payment systems have diffused rapidly through the Australian economy because they provide immediate and clear benefits for businesses (AMTA, sub.</w:t>
      </w:r>
      <w:r w:rsidR="00A43B86">
        <w:t> </w:t>
      </w:r>
      <w:r w:rsidR="00933EB7">
        <w:t>163, p.</w:t>
      </w:r>
      <w:r w:rsidR="00CF78CB">
        <w:t> </w:t>
      </w:r>
      <w:r w:rsidR="00933EB7">
        <w:t xml:space="preserve">9), so much so that, although contactless payment technology was invented in the </w:t>
      </w:r>
      <w:r w:rsidR="007F794F">
        <w:t>United States</w:t>
      </w:r>
      <w:r w:rsidR="00933EB7">
        <w:t xml:space="preserve">, Australian adoption rates of contactless payments by 2016 were 20 times higher than in the </w:t>
      </w:r>
      <w:r w:rsidR="007F794F">
        <w:t>United States</w:t>
      </w:r>
      <w:r w:rsidR="00933EB7">
        <w:t xml:space="preserve"> </w:t>
      </w:r>
      <w:r w:rsidR="00116531" w:rsidRPr="00116531">
        <w:rPr>
          <w:rFonts w:ascii="Arial" w:hAnsi="Arial" w:cs="Arial"/>
          <w:szCs w:val="24"/>
        </w:rPr>
        <w:t>(NSW PC 2022, p. 47)</w:t>
      </w:r>
      <w:r w:rsidR="00933EB7">
        <w:t>.</w:t>
      </w:r>
      <w:r w:rsidR="007F794F">
        <w:t xml:space="preserve"> </w:t>
      </w:r>
      <w:r>
        <w:t xml:space="preserve">This is particularly </w:t>
      </w:r>
      <w:r w:rsidR="00EC1964">
        <w:t>relevant</w:t>
      </w:r>
      <w:r>
        <w:t xml:space="preserve"> for time and resource</w:t>
      </w:r>
      <w:r w:rsidR="00A43B86">
        <w:noBreakHyphen/>
      </w:r>
      <w:r>
        <w:t xml:space="preserve">poor small businesses. Participants in consultations for this report emphasised the importance of visibility </w:t>
      </w:r>
      <w:r w:rsidR="00CB5A0C">
        <w:t>for</w:t>
      </w:r>
      <w:r>
        <w:t xml:space="preserve"> successful innovations. The higher uptake of more common foundational technologies, like cloud technology, </w:t>
      </w:r>
      <w:r w:rsidR="00B42085">
        <w:t>is</w:t>
      </w:r>
      <w:r>
        <w:t xml:space="preserve"> partially due to their increased visibility to Australian businesses compared with niche technologies, such as 3D printing </w:t>
      </w:r>
      <w:r w:rsidR="00936D73" w:rsidRPr="00936D73">
        <w:rPr>
          <w:rFonts w:ascii="Arial" w:hAnsi="Arial" w:cs="Arial"/>
          <w:szCs w:val="24"/>
        </w:rPr>
        <w:t>(PC 2022a, pp. 10–11)</w:t>
      </w:r>
      <w:r>
        <w:t>.</w:t>
      </w:r>
      <w:r w:rsidR="007F287F">
        <w:t xml:space="preserve"> </w:t>
      </w:r>
    </w:p>
    <w:p w14:paraId="667C378C" w14:textId="1E769184" w:rsidR="00557DD7" w:rsidRPr="00146382" w:rsidRDefault="00557DD7" w:rsidP="00557DD7">
      <w:pPr>
        <w:pStyle w:val="FigureTableHeading"/>
      </w:pPr>
      <w:r>
        <w:lastRenderedPageBreak/>
        <w:t>Figure</w:t>
      </w:r>
      <w:bookmarkStart w:id="96" w:name="OLE_LINK13"/>
      <w:bookmarkStart w:id="97" w:name="OLE_LINK20"/>
      <w:r w:rsidR="00A43B86">
        <w:t> </w:t>
      </w:r>
      <w:r>
        <w:rPr>
          <w:noProof/>
        </w:rPr>
        <w:t>2</w:t>
      </w:r>
      <w:r>
        <w:t>.9</w:t>
      </w:r>
      <w:bookmarkEnd w:id="96"/>
      <w:r>
        <w:rPr>
          <w:noProof/>
        </w:rPr>
        <w:t xml:space="preserve"> </w:t>
      </w:r>
      <w:bookmarkEnd w:id="97"/>
      <w:r>
        <w:t>– Innovative ideas mostly come from within businesses or from clients and customers</w:t>
      </w:r>
    </w:p>
    <w:p w14:paraId="466BD65E" w14:textId="2FFC0319" w:rsidR="00557DD7" w:rsidRPr="00647415" w:rsidRDefault="00557DD7" w:rsidP="00557DD7">
      <w:pPr>
        <w:pStyle w:val="FigureTableSubheading"/>
        <w:keepLines/>
        <w:rPr>
          <w:spacing w:val="-4"/>
        </w:rPr>
      </w:pPr>
      <w:r w:rsidRPr="00647415">
        <w:rPr>
          <w:spacing w:val="-4"/>
        </w:rPr>
        <w:t>Sources of ideas or information for innovation, innovation</w:t>
      </w:r>
      <w:r w:rsidRPr="00647415">
        <w:rPr>
          <w:spacing w:val="-4"/>
        </w:rPr>
        <w:noBreakHyphen/>
        <w:t>active</w:t>
      </w:r>
      <w:r w:rsidRPr="00647415">
        <w:rPr>
          <w:spacing w:val="-4"/>
          <w:vertAlign w:val="superscript"/>
        </w:rPr>
        <w:t>a</w:t>
      </w:r>
      <w:r w:rsidRPr="00647415">
        <w:rPr>
          <w:spacing w:val="-4"/>
        </w:rPr>
        <w:t xml:space="preserve"> businesses, 2019</w:t>
      </w:r>
      <w:r w:rsidR="000565F7" w:rsidRPr="00647415">
        <w:rPr>
          <w:spacing w:val="-4"/>
        </w:rPr>
        <w:t>–</w:t>
      </w:r>
      <w:r w:rsidRPr="00647415">
        <w:rPr>
          <w:spacing w:val="-4"/>
        </w:rPr>
        <w:t>2021</w:t>
      </w:r>
    </w:p>
    <w:p w14:paraId="320BAC31" w14:textId="41836EE1" w:rsidR="00557DD7" w:rsidRPr="005550A0" w:rsidRDefault="00557DD7" w:rsidP="00647415">
      <w:pPr>
        <w:pStyle w:val="BodyText"/>
        <w:spacing w:after="0"/>
      </w:pPr>
      <w:r w:rsidRPr="005E3640">
        <w:rPr>
          <w:noProof/>
        </w:rPr>
        <w:drawing>
          <wp:inline distT="0" distB="0" distL="0" distR="0" wp14:anchorId="4EA9363F" wp14:editId="6EBB2258">
            <wp:extent cx="6120130" cy="2879725"/>
            <wp:effectExtent l="0" t="0" r="0" b="0"/>
            <wp:docPr id="94" name="Picture 94" descr="This figure shows the sources of ideas or information for innovation for Australian businesses that were innovation-active in 2019-2021. The largest source of information is from within own business or businesses owned by the same compan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his figure shows the sources of ideas or information for innovation for Australian businesses that were innovation-active in 2019-2021. The largest source of information is from within own business or businesses owned by the same company.&#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04D997B1" w14:textId="66600F82" w:rsidR="00557DD7" w:rsidRDefault="00557DD7" w:rsidP="009A22CA">
      <w:pPr>
        <w:pStyle w:val="Note"/>
        <w:keepLines/>
      </w:pPr>
      <w:r w:rsidRPr="00180E66">
        <w:rPr>
          <w:b/>
          <w:bCs/>
        </w:rPr>
        <w:t>a.</w:t>
      </w:r>
      <w:r>
        <w:rPr>
          <w:b/>
          <w:bCs/>
        </w:rPr>
        <w:t xml:space="preserve"> </w:t>
      </w:r>
      <w:r>
        <w:t>Innovation</w:t>
      </w:r>
      <w:r>
        <w:noBreakHyphen/>
        <w:t xml:space="preserve">active firms are </w:t>
      </w:r>
      <w:r w:rsidRPr="00BA0AA9">
        <w:t xml:space="preserve">firms </w:t>
      </w:r>
      <w:r>
        <w:t xml:space="preserve">that </w:t>
      </w:r>
      <w:r w:rsidRPr="00BA0AA9">
        <w:t>report</w:t>
      </w:r>
      <w:r>
        <w:t>ed</w:t>
      </w:r>
      <w:r w:rsidRPr="00BA0AA9">
        <w:t xml:space="preserve"> one or more innovations</w:t>
      </w:r>
      <w:r>
        <w:t>,</w:t>
      </w:r>
      <w:r w:rsidRPr="00BA0AA9">
        <w:t xml:space="preserve"> </w:t>
      </w:r>
      <w:r>
        <w:t xml:space="preserve">or </w:t>
      </w:r>
      <w:r w:rsidRPr="00BA0AA9">
        <w:t>firms with abandoned or ongoing innovation activities related to product or process innovations</w:t>
      </w:r>
      <w:r>
        <w:t>.</w:t>
      </w:r>
    </w:p>
    <w:p w14:paraId="2A9D0425" w14:textId="269DA380" w:rsidR="00557DD7" w:rsidRDefault="00557DD7" w:rsidP="00557DD7">
      <w:pPr>
        <w:pStyle w:val="Source"/>
      </w:pPr>
      <w:r w:rsidRPr="00696447">
        <w:t xml:space="preserve">Source: </w:t>
      </w:r>
      <w:r>
        <w:t>ABS (</w:t>
      </w:r>
      <w:r>
        <w:rPr>
          <w:i/>
          <w:iCs/>
        </w:rPr>
        <w:t>Characteristics of Australian Business</w:t>
      </w:r>
      <w:r>
        <w:t xml:space="preserve">, </w:t>
      </w:r>
      <w:r w:rsidRPr="002A684D">
        <w:t>2020</w:t>
      </w:r>
      <w:r w:rsidR="000565F7" w:rsidRPr="002A684D">
        <w:noBreakHyphen/>
      </w:r>
      <w:r w:rsidRPr="002A684D">
        <w:t>21 financial year</w:t>
      </w:r>
      <w:r>
        <w:t xml:space="preserve">, Cat. </w:t>
      </w:r>
      <w:r w:rsidR="00CF78CB">
        <w:t>N</w:t>
      </w:r>
      <w:r>
        <w:t>o. 8158.0</w:t>
      </w:r>
      <w:r w:rsidR="00F77099">
        <w:t>)</w:t>
      </w:r>
      <w:r>
        <w:t>.</w:t>
      </w:r>
    </w:p>
    <w:p w14:paraId="64B4C4AC" w14:textId="1345875B" w:rsidR="00557DD7" w:rsidRDefault="00557DD7" w:rsidP="00F1089B">
      <w:pPr>
        <w:pStyle w:val="BodyText"/>
      </w:pPr>
      <w:r>
        <w:t>Many of these information flows will occur without government intervention. In some industries, spillovers among competitors may be actively promoted, as in agriculture where on</w:t>
      </w:r>
      <w:r>
        <w:noBreakHyphen/>
        <w:t xml:space="preserve">farm demonstrations and farmer networks actively encourage learning from early adopters. This will also be the case in creative industries where </w:t>
      </w:r>
      <w:r w:rsidR="005302D2">
        <w:t>mutual support</w:t>
      </w:r>
      <w:r>
        <w:t xml:space="preserve"> is actively encouraged, such as in the interactive games and entertainment sector:</w:t>
      </w:r>
    </w:p>
    <w:p w14:paraId="05E9F466" w14:textId="6A635CEA" w:rsidR="00557DD7" w:rsidRDefault="00557DD7" w:rsidP="00557DD7">
      <w:pPr>
        <w:pStyle w:val="Quote"/>
      </w:pPr>
      <w:r>
        <w:t>[the] sector is a very sharing sector — our members are very happy to talk about and share their experiences with other companies. (IGEA, pers. comm., 7</w:t>
      </w:r>
      <w:r w:rsidR="000565F7">
        <w:t> </w:t>
      </w:r>
      <w:r>
        <w:t>June 2022)</w:t>
      </w:r>
    </w:p>
    <w:p w14:paraId="7B518E78" w14:textId="434F297A" w:rsidR="00557DD7" w:rsidRPr="00403BAC" w:rsidRDefault="00247B40" w:rsidP="00557DD7">
      <w:pPr>
        <w:pStyle w:val="BodyText"/>
      </w:pPr>
      <w:r>
        <w:t>Beyond such mutual support, b</w:t>
      </w:r>
      <w:r w:rsidR="002362DD">
        <w:t xml:space="preserve">usiness associations can facilitate </w:t>
      </w:r>
      <w:r w:rsidR="005302D2">
        <w:t xml:space="preserve">formal </w:t>
      </w:r>
      <w:r w:rsidR="002362DD">
        <w:t>collaboration</w:t>
      </w:r>
      <w:r w:rsidR="009B1E07">
        <w:t xml:space="preserve"> such as joint ventures</w:t>
      </w:r>
      <w:r w:rsidR="002362DD">
        <w:t xml:space="preserve">. </w:t>
      </w:r>
      <w:r w:rsidR="00557DD7" w:rsidRPr="00403BAC">
        <w:t xml:space="preserve">Collaboration between firms has been found to improve firms’ capacity to innovate </w:t>
      </w:r>
      <w:r w:rsidR="00557DD7" w:rsidRPr="00C32579">
        <w:rPr>
          <w:rFonts w:ascii="Arial" w:hAnsi="Arial" w:cs="Arial"/>
          <w:szCs w:val="24"/>
        </w:rPr>
        <w:t>(De Propris 2002, p. 350)</w:t>
      </w:r>
      <w:r w:rsidR="00557DD7" w:rsidRPr="00403BAC">
        <w:t xml:space="preserve"> by connecting businesses with the know</w:t>
      </w:r>
      <w:r w:rsidR="00557DD7">
        <w:noBreakHyphen/>
      </w:r>
      <w:r w:rsidR="00557DD7" w:rsidRPr="00403BAC">
        <w:t xml:space="preserve">how, capabilities and resources they need to adopt, adapt and successfully integrate </w:t>
      </w:r>
      <w:r w:rsidR="00557DD7">
        <w:t>innovations</w:t>
      </w:r>
      <w:r w:rsidR="00557DD7" w:rsidRPr="00403BAC">
        <w:t xml:space="preserve"> into their operations. For example, collaboration has been found to increase the probability that Australian firms will innovate </w:t>
      </w:r>
      <w:r w:rsidR="00557DD7" w:rsidRPr="00FF57B2">
        <w:rPr>
          <w:rFonts w:ascii="Arial" w:hAnsi="Arial" w:cs="Arial"/>
          <w:szCs w:val="24"/>
        </w:rPr>
        <w:t>(Soriano and Abello 2015, pp. 349–352)</w:t>
      </w:r>
      <w:r w:rsidR="00557DD7" w:rsidRPr="00403BAC">
        <w:t xml:space="preserve"> and introduce innovations that are new</w:t>
      </w:r>
      <w:r w:rsidR="00557DD7">
        <w:noBreakHyphen/>
      </w:r>
      <w:r w:rsidR="00557DD7" w:rsidRPr="00403BAC">
        <w:t>to</w:t>
      </w:r>
      <w:r w:rsidR="00557DD7">
        <w:noBreakHyphen/>
      </w:r>
      <w:r w:rsidR="00557DD7" w:rsidRPr="00403BAC">
        <w:t>the</w:t>
      </w:r>
      <w:r w:rsidR="00557DD7">
        <w:noBreakHyphen/>
      </w:r>
      <w:r w:rsidR="00557DD7" w:rsidRPr="00403BAC">
        <w:t xml:space="preserve">market </w:t>
      </w:r>
      <w:r w:rsidR="00557DD7" w:rsidRPr="00C1478B">
        <w:rPr>
          <w:rFonts w:ascii="Arial" w:hAnsi="Arial" w:cs="Arial"/>
          <w:szCs w:val="24"/>
        </w:rPr>
        <w:t>(Majeed and Breunig 2021, p. 13)</w:t>
      </w:r>
      <w:r w:rsidR="00557DD7" w:rsidRPr="00403BAC">
        <w:t>.</w:t>
      </w:r>
    </w:p>
    <w:p w14:paraId="02D39240" w14:textId="7027FF08" w:rsidR="00557DD7" w:rsidRPr="00F82BD9" w:rsidRDefault="00557DD7" w:rsidP="00557DD7">
      <w:pPr>
        <w:pStyle w:val="BodyText"/>
      </w:pPr>
      <w:r w:rsidRPr="00403BAC">
        <w:t xml:space="preserve">Collaborating also helps to establish networks between businesses, both formal and informal, that facilitate the flow of information and knowledge throughout the Australian economy and from overseas. Collaborations often arise </w:t>
      </w:r>
      <w:r w:rsidR="0056795C">
        <w:t>spontaneously,</w:t>
      </w:r>
      <w:r w:rsidRPr="00403BAC">
        <w:t xml:space="preserve"> as firms see </w:t>
      </w:r>
      <w:r>
        <w:t xml:space="preserve">the </w:t>
      </w:r>
      <w:r w:rsidRPr="00403BAC">
        <w:t>mutual benefit of engaging each other</w:t>
      </w:r>
      <w:r>
        <w:t>. F</w:t>
      </w:r>
      <w:r w:rsidRPr="00403BAC">
        <w:t xml:space="preserve">or example, </w:t>
      </w:r>
      <w:r w:rsidR="000565F7">
        <w:t>‘</w:t>
      </w:r>
      <w:r w:rsidRPr="009F650E">
        <w:t>young and small Australian companies who may not have a strong business focus can develop project management skills via collaborations with overseas companies</w:t>
      </w:r>
      <w:r w:rsidR="000565F7">
        <w:t>’</w:t>
      </w:r>
      <w:r w:rsidRPr="00403BAC">
        <w:t xml:space="preserve"> (IGEA, pers. comm.</w:t>
      </w:r>
      <w:r w:rsidR="001D5E7A">
        <w:t>,</w:t>
      </w:r>
      <w:r w:rsidRPr="00403BAC">
        <w:t xml:space="preserve"> </w:t>
      </w:r>
      <w:r>
        <w:t>7</w:t>
      </w:r>
      <w:r w:rsidR="000565F7">
        <w:t> </w:t>
      </w:r>
      <w:r>
        <w:t xml:space="preserve">June </w:t>
      </w:r>
      <w:r w:rsidRPr="00403BAC">
        <w:t>2022). However, these collaborations can also be facilitated by public initiatives (such as challenges, contests, hackathons), incubators and accelerators, or publicly funded mechanisms like the Cooperative Research Centres</w:t>
      </w:r>
      <w:r w:rsidR="000565F7">
        <w:t>.</w:t>
      </w:r>
    </w:p>
    <w:p w14:paraId="099E5015" w14:textId="77777777" w:rsidR="00557DD7" w:rsidRDefault="00557DD7" w:rsidP="00557DD7">
      <w:pPr>
        <w:pStyle w:val="Heading4"/>
      </w:pPr>
      <w:r>
        <w:lastRenderedPageBreak/>
        <w:t xml:space="preserve">Intermediary organisations play an important role in realising spillovers and connecting businesses </w:t>
      </w:r>
    </w:p>
    <w:p w14:paraId="1972FD44" w14:textId="11313237" w:rsidR="00557DD7" w:rsidRDefault="00557DD7" w:rsidP="00557DD7">
      <w:pPr>
        <w:pStyle w:val="BodyText"/>
      </w:pPr>
      <w:r>
        <w:t>I</w:t>
      </w:r>
      <w:r w:rsidDel="00815BBB">
        <w:t>ntermediary organisation</w:t>
      </w:r>
      <w:r>
        <w:t>s</w:t>
      </w:r>
      <w:r w:rsidDel="00815BBB">
        <w:t xml:space="preserve"> </w:t>
      </w:r>
      <w:r>
        <w:t>can play an important role in helping</w:t>
      </w:r>
      <w:r w:rsidDel="00815BBB">
        <w:t xml:space="preserve"> businesses build capacity for innovation adoption.</w:t>
      </w:r>
      <w:r>
        <w:t xml:space="preserve"> These can include consultants</w:t>
      </w:r>
      <w:r w:rsidR="007508F6">
        <w:t xml:space="preserve"> and </w:t>
      </w:r>
      <w:r w:rsidR="005960D3">
        <w:t>business advis</w:t>
      </w:r>
      <w:r w:rsidR="00151741">
        <w:t>e</w:t>
      </w:r>
      <w:r w:rsidR="005960D3">
        <w:t>rs</w:t>
      </w:r>
      <w:r>
        <w:t>, industry associations or platforms for third party information accessible via web resources.</w:t>
      </w:r>
      <w:r w:rsidDel="00815BBB">
        <w:t xml:space="preserve"> </w:t>
      </w:r>
      <w:r>
        <w:t xml:space="preserve">These intermediaries can facilitate </w:t>
      </w:r>
      <w:proofErr w:type="gramStart"/>
      <w:r>
        <w:t>early stage</w:t>
      </w:r>
      <w:proofErr w:type="gramEnd"/>
      <w:r>
        <w:t xml:space="preserve"> innovative development and transformation and can also help firms with commercialisation and diffusion later in the innovation process </w:t>
      </w:r>
      <w:r w:rsidRPr="00B8367E">
        <w:rPr>
          <w:rFonts w:ascii="Arial" w:hAnsi="Arial" w:cs="Arial"/>
          <w:szCs w:val="24"/>
        </w:rPr>
        <w:t>(Bergek 2020, pp. 379–382)</w:t>
      </w:r>
      <w:r>
        <w:t>.</w:t>
      </w:r>
    </w:p>
    <w:p w14:paraId="6B6AD6AF" w14:textId="40C6A9E4" w:rsidR="00557DD7" w:rsidRDefault="00557DD7" w:rsidP="00557DD7">
      <w:pPr>
        <w:pStyle w:val="BodyText"/>
      </w:pPr>
      <w:r>
        <w:t>Businesses rely on different intermediaries depending on firm</w:t>
      </w:r>
      <w:r>
        <w:noBreakHyphen/>
        <w:t>specific characteristics, such as firm size. For example, larger firms are more likely than small or medium firms to ‘outsource’ identifying valuable ideas by using consultants (figure </w:t>
      </w:r>
      <w:bookmarkStart w:id="98" w:name="_1724049740"/>
      <w:bookmarkStart w:id="99" w:name="_1723876849"/>
      <w:bookmarkStart w:id="100" w:name="_1723875729"/>
      <w:bookmarkStart w:id="101" w:name="_1723642564"/>
      <w:bookmarkStart w:id="102" w:name="_1723987508"/>
      <w:bookmarkEnd w:id="98"/>
      <w:bookmarkEnd w:id="99"/>
      <w:bookmarkEnd w:id="100"/>
      <w:bookmarkEnd w:id="101"/>
      <w:bookmarkEnd w:id="102"/>
      <w:r>
        <w:t>2.</w:t>
      </w:r>
      <w:r w:rsidR="00387E4E">
        <w:t>10</w:t>
      </w:r>
      <w:r>
        <w:t>). Smaller firms, on the other hand, are more likely to rely on their own research using</w:t>
      </w:r>
      <w:r w:rsidRPr="00FB50A0">
        <w:t xml:space="preserve"> open</w:t>
      </w:r>
      <w:r>
        <w:noBreakHyphen/>
      </w:r>
      <w:r w:rsidRPr="00FB50A0">
        <w:t>knowledge</w:t>
      </w:r>
      <w:r>
        <w:t xml:space="preserve"> sources (w</w:t>
      </w:r>
      <w:r w:rsidRPr="00EB6D2F">
        <w:t>ebsites, journals, research papers or publications</w:t>
      </w:r>
      <w:r>
        <w:t>)</w:t>
      </w:r>
      <w:r w:rsidR="005F15D7">
        <w:t xml:space="preserve"> than large firms</w:t>
      </w:r>
      <w:r>
        <w:t>.</w:t>
      </w:r>
    </w:p>
    <w:p w14:paraId="71AFC707" w14:textId="57E0D349" w:rsidR="00B4005F" w:rsidRDefault="00B4005F" w:rsidP="00B4005F">
      <w:pPr>
        <w:pStyle w:val="BodyText"/>
      </w:pPr>
      <w:r>
        <w:t>Access to these open</w:t>
      </w:r>
      <w:r>
        <w:noBreakHyphen/>
        <w:t xml:space="preserve">knowledge sources can be challenging for some businesses (and for intermediaries providing advice to businesses such as industry associations, discussed below). For example, many academic journals, research papers and publications are locked behind paywalls that can be expensive to access for businesses and individuals that do not have a subscription, even though the research has often been funded by taxpayers. Restricted access can limit the reach of this research and its use not only for commercialising novel innovations in areas such as medicine and climate technology, but also for disseminating existing innovative practices to small businesses and individuals </w:t>
      </w:r>
      <w:r w:rsidRPr="00116531">
        <w:rPr>
          <w:rFonts w:ascii="Arial" w:hAnsi="Arial" w:cs="Arial"/>
          <w:szCs w:val="24"/>
        </w:rPr>
        <w:t>(Foley 2021)</w:t>
      </w:r>
      <w:r>
        <w:t>.</w:t>
      </w:r>
      <w:r w:rsidRPr="001B1071">
        <w:t xml:space="preserve"> </w:t>
      </w:r>
      <w:r>
        <w:t>The impacts are felt not only by the business community, but also by government departments developing policy in areas such as education, health and climate change (chapter</w:t>
      </w:r>
      <w:r w:rsidR="00A43B86">
        <w:t> </w:t>
      </w:r>
      <w:r>
        <w:t>3), as the latest evidence on effective practice in these areas is often published in locked research journals.</w:t>
      </w:r>
    </w:p>
    <w:p w14:paraId="652F41F5" w14:textId="77777777" w:rsidR="00B4005F" w:rsidRDefault="00B4005F" w:rsidP="00557DD7">
      <w:pPr>
        <w:pStyle w:val="BodyText"/>
      </w:pPr>
    </w:p>
    <w:p w14:paraId="7CBAE2FB" w14:textId="6C7BC82E" w:rsidR="00557DD7" w:rsidRPr="00146382" w:rsidRDefault="00557DD7" w:rsidP="00557DD7">
      <w:pPr>
        <w:pStyle w:val="FigureTableHeading"/>
      </w:pPr>
      <w:r>
        <w:t>Figure</w:t>
      </w:r>
      <w:bookmarkStart w:id="103" w:name="OLE_LINK4"/>
      <w:r w:rsidR="00A43B86">
        <w:t> </w:t>
      </w:r>
      <w:r>
        <w:rPr>
          <w:noProof/>
        </w:rPr>
        <w:t>2</w:t>
      </w:r>
      <w:r>
        <w:t>.</w:t>
      </w:r>
      <w:r>
        <w:rPr>
          <w:noProof/>
        </w:rPr>
        <w:t>10</w:t>
      </w:r>
      <w:bookmarkEnd w:id="103"/>
      <w:r>
        <w:rPr>
          <w:noProof/>
        </w:rPr>
        <w:t xml:space="preserve"> </w:t>
      </w:r>
      <w:r>
        <w:t xml:space="preserve">– Larger firms are more likely to </w:t>
      </w:r>
      <w:r w:rsidR="000565F7">
        <w:t>‘</w:t>
      </w:r>
      <w:r>
        <w:t>outsource</w:t>
      </w:r>
      <w:r w:rsidR="000565F7">
        <w:t>’</w:t>
      </w:r>
      <w:r>
        <w:t xml:space="preserve"> innovation, while smaller firms rely more on open sources of information</w:t>
      </w:r>
    </w:p>
    <w:p w14:paraId="28A2B2E4" w14:textId="3AD80CFC" w:rsidR="00557DD7" w:rsidRDefault="00557DD7" w:rsidP="00557DD7">
      <w:pPr>
        <w:pStyle w:val="FigureTableSubheading"/>
        <w:keepLines/>
      </w:pPr>
      <w:r>
        <w:t>Sources of ideas or information for innovation, innovation</w:t>
      </w:r>
      <w:r w:rsidR="000565F7">
        <w:noBreakHyphen/>
      </w:r>
      <w:r>
        <w:t>active</w:t>
      </w:r>
      <w:r>
        <w:rPr>
          <w:vertAlign w:val="superscript"/>
        </w:rPr>
        <w:t>a</w:t>
      </w:r>
      <w:r>
        <w:t xml:space="preserve"> businesses, 2019</w:t>
      </w:r>
      <w:r w:rsidR="000565F7">
        <w:t>–</w:t>
      </w:r>
      <w:r>
        <w:t>21</w:t>
      </w:r>
    </w:p>
    <w:p w14:paraId="1DFC3B1A" w14:textId="77777777" w:rsidR="000443E7" w:rsidRPr="000443E7" w:rsidRDefault="00557DD7" w:rsidP="000443E7">
      <w:pPr>
        <w:pStyle w:val="BodyText"/>
      </w:pPr>
      <w:r w:rsidRPr="000443E7">
        <w:rPr>
          <w:noProof/>
        </w:rPr>
        <w:drawing>
          <wp:inline distT="0" distB="0" distL="0" distR="0" wp14:anchorId="3D3B9F1E" wp14:editId="6E7B4446">
            <wp:extent cx="6120130" cy="2879725"/>
            <wp:effectExtent l="0" t="0" r="0" b="0"/>
            <wp:docPr id="28" name="Picture 28" descr="This figure shows the sources of ideas or information for innovation for Australian businesses that were innovation-active in 2019-2021, by firm size. It shows that larger firms rely more on consultants as sources of information for innovation, whereas small firms rely more on websites for information for innov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figure shows the sources of ideas or information for innovation for Australian businesses that were innovation-active in 2019-2021, by firm size. It shows that larger firms rely more on consultants as sources of information for innovation, whereas small firms rely more on websites for information for innovation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4859AF09" w14:textId="74BD2BA7" w:rsidR="00557DD7" w:rsidRDefault="00557DD7" w:rsidP="002F35EA">
      <w:pPr>
        <w:pStyle w:val="Note"/>
      </w:pPr>
      <w:r>
        <w:rPr>
          <w:b/>
          <w:bCs/>
        </w:rPr>
        <w:t xml:space="preserve">a. </w:t>
      </w:r>
      <w:r>
        <w:t>Innovation</w:t>
      </w:r>
      <w:r>
        <w:noBreakHyphen/>
        <w:t xml:space="preserve">active firms are </w:t>
      </w:r>
      <w:r w:rsidRPr="00BA0AA9">
        <w:t xml:space="preserve">firms </w:t>
      </w:r>
      <w:r>
        <w:t xml:space="preserve">that </w:t>
      </w:r>
      <w:r w:rsidRPr="003846C0">
        <w:t>reported</w:t>
      </w:r>
      <w:r w:rsidRPr="00BA0AA9">
        <w:t xml:space="preserve"> one or more innovations</w:t>
      </w:r>
      <w:r>
        <w:t>,</w:t>
      </w:r>
      <w:r w:rsidRPr="00BA0AA9">
        <w:t xml:space="preserve"> </w:t>
      </w:r>
      <w:r>
        <w:t xml:space="preserve">or </w:t>
      </w:r>
      <w:r w:rsidRPr="00BA0AA9">
        <w:t>firms with abandoned or ongoing innovation activities related to product or process innovations</w:t>
      </w:r>
      <w:r>
        <w:t>.</w:t>
      </w:r>
    </w:p>
    <w:p w14:paraId="339CC642" w14:textId="4179A33B" w:rsidR="00557DD7" w:rsidRDefault="00557DD7" w:rsidP="00557DD7">
      <w:pPr>
        <w:pStyle w:val="Source"/>
      </w:pPr>
      <w:r w:rsidRPr="00696447">
        <w:t>Source:</w:t>
      </w:r>
      <w:r>
        <w:t xml:space="preserve"> ABS (</w:t>
      </w:r>
      <w:r>
        <w:rPr>
          <w:i/>
          <w:iCs/>
        </w:rPr>
        <w:t>Characteristics of Australian Business</w:t>
      </w:r>
      <w:r>
        <w:t xml:space="preserve">, </w:t>
      </w:r>
      <w:r w:rsidRPr="002A684D">
        <w:t>2020</w:t>
      </w:r>
      <w:r w:rsidR="000565F7" w:rsidRPr="002A684D">
        <w:noBreakHyphen/>
      </w:r>
      <w:r w:rsidRPr="002A684D">
        <w:t>21 financial year</w:t>
      </w:r>
      <w:r>
        <w:t xml:space="preserve">, Cat. </w:t>
      </w:r>
      <w:r w:rsidR="00CF78CB">
        <w:t>N</w:t>
      </w:r>
      <w:r>
        <w:t>o. 8158.0</w:t>
      </w:r>
      <w:r w:rsidR="00F77099">
        <w:t>).</w:t>
      </w:r>
    </w:p>
    <w:p w14:paraId="5C1E6F76" w14:textId="58ED9727" w:rsidR="00DE14B9" w:rsidRDefault="00135AA7" w:rsidP="001B1071">
      <w:pPr>
        <w:pStyle w:val="BodyText"/>
      </w:pPr>
      <w:proofErr w:type="gramStart"/>
      <w:r>
        <w:lastRenderedPageBreak/>
        <w:t>Opening up</w:t>
      </w:r>
      <w:proofErr w:type="gramEnd"/>
      <w:r>
        <w:t xml:space="preserve"> access to this research </w:t>
      </w:r>
      <w:r w:rsidR="007316F2">
        <w:t xml:space="preserve">could therefore have significant benefits for diffusion and productivity growth. </w:t>
      </w:r>
      <w:r w:rsidR="00DE14B9">
        <w:t>There are alternative models for diffusion of academic research that avoid user charges, including author pays or requirements that publicly</w:t>
      </w:r>
      <w:r w:rsidR="00DE14B9">
        <w:noBreakHyphen/>
        <w:t>funded research be freely available through open</w:t>
      </w:r>
      <w:r w:rsidR="00DE14B9">
        <w:noBreakHyphen/>
        <w:t xml:space="preserve">source arrangements (as is the case for much medical research in the United States). The </w:t>
      </w:r>
      <w:r w:rsidR="00154DAB">
        <w:t xml:space="preserve">Productivity </w:t>
      </w:r>
      <w:r w:rsidR="00DE14B9">
        <w:t xml:space="preserve">Commission’s inquiry into intellectual property sets out a model for this reform </w:t>
      </w:r>
      <w:r w:rsidR="00DE14B9" w:rsidRPr="00735BFD">
        <w:rPr>
          <w:rFonts w:ascii="Arial" w:hAnsi="Arial" w:cs="Arial"/>
          <w:szCs w:val="24"/>
        </w:rPr>
        <w:t>(PC 2016a)</w:t>
      </w:r>
      <w:r w:rsidR="00DE14B9">
        <w:t>.</w:t>
      </w:r>
      <w:r w:rsidR="00396BCC">
        <w:t xml:space="preserve"> The Australian Academy of Science noted that the U</w:t>
      </w:r>
      <w:r w:rsidR="00CC1A94">
        <w:t xml:space="preserve">nited </w:t>
      </w:r>
      <w:r w:rsidR="00396BCC">
        <w:t>S</w:t>
      </w:r>
      <w:r w:rsidR="00CC1A94">
        <w:t>tates</w:t>
      </w:r>
      <w:r w:rsidR="00396BCC">
        <w:t xml:space="preserve"> has already moved to make all </w:t>
      </w:r>
      <w:r w:rsidR="008B4BD1">
        <w:t xml:space="preserve">federally </w:t>
      </w:r>
      <w:r w:rsidR="00396BCC">
        <w:t>funded research publicly accessible by 2025 (AAS, sub.</w:t>
      </w:r>
      <w:r w:rsidR="00A43B86">
        <w:t> </w:t>
      </w:r>
      <w:r w:rsidR="00396BCC">
        <w:t>200, p.</w:t>
      </w:r>
      <w:r w:rsidR="00CC1A94">
        <w:t> </w:t>
      </w:r>
      <w:r w:rsidR="00396BCC">
        <w:t>2).</w:t>
      </w:r>
    </w:p>
    <w:p w14:paraId="6063ACF2" w14:textId="4BB3224A" w:rsidR="00F772DB" w:rsidRDefault="007316F2" w:rsidP="00EC44CF">
      <w:pPr>
        <w:pStyle w:val="BodyText"/>
      </w:pPr>
      <w:r>
        <w:t xml:space="preserve">In this context, </w:t>
      </w:r>
      <w:r w:rsidR="00911C43">
        <w:t>the</w:t>
      </w:r>
      <w:r w:rsidR="00DD6231">
        <w:t xml:space="preserve"> Chief Scientist has recently proposed </w:t>
      </w:r>
      <w:r w:rsidR="0005182C">
        <w:t>an open access model for research distribution in Australia</w:t>
      </w:r>
      <w:r w:rsidR="00E53AF6">
        <w:t xml:space="preserve">, which would apply to </w:t>
      </w:r>
      <w:r w:rsidR="005F1AF4">
        <w:t>both existing and future government</w:t>
      </w:r>
      <w:r w:rsidR="005F1AF4">
        <w:noBreakHyphen/>
        <w:t xml:space="preserve">funded work </w:t>
      </w:r>
      <w:r w:rsidR="00116531" w:rsidRPr="00116531">
        <w:rPr>
          <w:rFonts w:ascii="Arial" w:hAnsi="Arial" w:cs="Arial"/>
          <w:szCs w:val="24"/>
        </w:rPr>
        <w:t>(Brookes 2022)</w:t>
      </w:r>
      <w:r w:rsidR="005F1AF4">
        <w:t>.</w:t>
      </w:r>
      <w:r w:rsidR="00216F63">
        <w:rPr>
          <w:rStyle w:val="FootnoteReference"/>
        </w:rPr>
        <w:footnoteReference w:id="19"/>
      </w:r>
      <w:r w:rsidR="00D74C6D">
        <w:t xml:space="preserve"> </w:t>
      </w:r>
      <w:r w:rsidR="00423B7A">
        <w:t xml:space="preserve">The model allows publishers to continue to be paid for their functional roles such as </w:t>
      </w:r>
      <w:r w:rsidR="00BB51AE">
        <w:t>managing peer review</w:t>
      </w:r>
      <w:r w:rsidR="00191BBB">
        <w:t xml:space="preserve"> and editing processes</w:t>
      </w:r>
      <w:r w:rsidR="00BB51AE">
        <w:t xml:space="preserve">, </w:t>
      </w:r>
      <w:r w:rsidR="00FB03E4">
        <w:t xml:space="preserve">but would be required to make research freely available online for all Australians, </w:t>
      </w:r>
      <w:r w:rsidR="001B436D">
        <w:t xml:space="preserve">with national agreements </w:t>
      </w:r>
      <w:r w:rsidR="000571DF">
        <w:t>covering both the</w:t>
      </w:r>
      <w:r w:rsidR="00E65B10">
        <w:t xml:space="preserve"> functional publishing </w:t>
      </w:r>
      <w:r w:rsidR="000571DF">
        <w:t xml:space="preserve">costs and </w:t>
      </w:r>
      <w:r w:rsidR="00E65B10">
        <w:t>nation</w:t>
      </w:r>
      <w:r w:rsidR="00A43B86">
        <w:noBreakHyphen/>
      </w:r>
      <w:r w:rsidR="00E65B10">
        <w:t xml:space="preserve">wide </w:t>
      </w:r>
      <w:r w:rsidR="000571DF">
        <w:t>read access</w:t>
      </w:r>
      <w:r w:rsidR="00E65B10">
        <w:t>.</w:t>
      </w:r>
      <w:r w:rsidR="00EC5044">
        <w:t xml:space="preserve"> The government </w:t>
      </w:r>
      <w:r w:rsidR="001A74E0">
        <w:t xml:space="preserve">should consider the benefits and costs of this proposed model and other potential approaches </w:t>
      </w:r>
      <w:r w:rsidR="00835753">
        <w:t xml:space="preserve">in working towards </w:t>
      </w:r>
      <w:r w:rsidR="001A74E0">
        <w:t>open access to currently</w:t>
      </w:r>
      <w:r w:rsidR="00A43B86">
        <w:noBreakHyphen/>
      </w:r>
      <w:r w:rsidR="001A74E0">
        <w:t>locked research</w:t>
      </w:r>
      <w:r w:rsidR="00835753">
        <w:t>.</w:t>
      </w:r>
    </w:p>
    <w:p w14:paraId="4012AF59" w14:textId="0F655F6F" w:rsidR="008520C6" w:rsidRDefault="005B43FC" w:rsidP="00EC44CF">
      <w:pPr>
        <w:pStyle w:val="BodyText"/>
      </w:pPr>
      <w:r>
        <w:t>Consultants and other business advis</w:t>
      </w:r>
      <w:r w:rsidR="00B463B9">
        <w:t>e</w:t>
      </w:r>
      <w:r>
        <w:t>rs</w:t>
      </w:r>
      <w:r w:rsidR="00EC44CF">
        <w:t xml:space="preserve"> also communicate information about innovations to stakeholders and can help to build absorptive capacity within organisations. </w:t>
      </w:r>
      <w:r w:rsidR="008B506F">
        <w:t>For example, accountants</w:t>
      </w:r>
      <w:r w:rsidR="00EA505B">
        <w:t xml:space="preserve"> can leverage their</w:t>
      </w:r>
      <w:r w:rsidR="008B506F">
        <w:t xml:space="preserve"> </w:t>
      </w:r>
      <w:r w:rsidR="00D93511">
        <w:t xml:space="preserve">existing trusted </w:t>
      </w:r>
      <w:r w:rsidR="008B506F">
        <w:t>relationships with time</w:t>
      </w:r>
      <w:r w:rsidR="00A43B86">
        <w:noBreakHyphen/>
      </w:r>
      <w:r w:rsidR="008B506F">
        <w:t xml:space="preserve">poor businesses (especially small business) to help improve their technology and practices. </w:t>
      </w:r>
      <w:r w:rsidR="00652041">
        <w:t xml:space="preserve">Recognising this important role, </w:t>
      </w:r>
      <w:r w:rsidR="00EA505B">
        <w:t xml:space="preserve">Chartered Accountants Australia and New Zealand </w:t>
      </w:r>
      <w:r w:rsidR="00E7307D">
        <w:t xml:space="preserve">has a </w:t>
      </w:r>
      <w:r w:rsidR="00EA505B">
        <w:t>CA Catalyst program</w:t>
      </w:r>
      <w:r w:rsidR="008B506F">
        <w:t xml:space="preserve"> </w:t>
      </w:r>
      <w:r w:rsidR="00E7307D">
        <w:t>that</w:t>
      </w:r>
      <w:r w:rsidR="008B506F">
        <w:t xml:space="preserve"> train</w:t>
      </w:r>
      <w:r w:rsidR="008520C6">
        <w:t>s</w:t>
      </w:r>
      <w:r w:rsidR="008B506F">
        <w:t xml:space="preserve"> </w:t>
      </w:r>
      <w:r w:rsidR="0030685C">
        <w:t>accountants</w:t>
      </w:r>
      <w:r w:rsidR="008B506F">
        <w:t xml:space="preserve"> to provide advice to their clients on a range of issues such as digitisation (including cyber security and data analytics)</w:t>
      </w:r>
      <w:r w:rsidR="008520C6">
        <w:t xml:space="preserve"> and</w:t>
      </w:r>
      <w:r w:rsidR="008B506F">
        <w:t xml:space="preserve"> sustainability </w:t>
      </w:r>
      <w:r w:rsidR="00116531" w:rsidRPr="00116531">
        <w:rPr>
          <w:rFonts w:ascii="Arial" w:hAnsi="Arial" w:cs="Arial"/>
          <w:szCs w:val="24"/>
        </w:rPr>
        <w:t>(CAANZ 2021)</w:t>
      </w:r>
      <w:r w:rsidR="008520C6">
        <w:t>,</w:t>
      </w:r>
      <w:r w:rsidR="008B506F">
        <w:t xml:space="preserve"> </w:t>
      </w:r>
      <w:r w:rsidR="0005190C">
        <w:t>so that these trusted business advis</w:t>
      </w:r>
      <w:r w:rsidR="00E906A7">
        <w:t>e</w:t>
      </w:r>
      <w:r w:rsidR="0005190C">
        <w:t>rs can be a</w:t>
      </w:r>
      <w:r w:rsidR="008B506F">
        <w:t xml:space="preserve"> mechanism for technology and innovation diffusion. </w:t>
      </w:r>
      <w:r w:rsidR="009A4F37">
        <w:t>COSBOA stressed that i</w:t>
      </w:r>
      <w:r w:rsidR="009A4F37" w:rsidRPr="002C497C">
        <w:t>mproving innovation adoption requires people to get advice from trusted advis</w:t>
      </w:r>
      <w:r w:rsidR="00BB0FB2">
        <w:t>e</w:t>
      </w:r>
      <w:r w:rsidR="009A4F37" w:rsidRPr="002C497C">
        <w:t>rs and organisations</w:t>
      </w:r>
      <w:r w:rsidR="009A4F37">
        <w:t>, noting that ‘g</w:t>
      </w:r>
      <w:r w:rsidR="009A4F37" w:rsidRPr="00F76D96">
        <w:t>ood adopters [have] good support and connections in the community, good advis</w:t>
      </w:r>
      <w:r w:rsidR="00BB0FB2">
        <w:t>e</w:t>
      </w:r>
      <w:r w:rsidR="009A4F37" w:rsidRPr="00F76D96">
        <w:t>rs, and are connected to their organisations</w:t>
      </w:r>
      <w:r w:rsidR="009A4F37">
        <w:t>’</w:t>
      </w:r>
      <w:r w:rsidR="009A4F37" w:rsidRPr="00F76D96">
        <w:t xml:space="preserve"> (</w:t>
      </w:r>
      <w:r w:rsidR="009A4F37" w:rsidRPr="00F9396A">
        <w:t>COSBOA, pers. comm.</w:t>
      </w:r>
      <w:r w:rsidR="009A4F37">
        <w:t>,</w:t>
      </w:r>
      <w:r w:rsidR="009A4F37" w:rsidRPr="00F9396A">
        <w:t xml:space="preserve"> 9</w:t>
      </w:r>
      <w:r w:rsidR="009A4F37">
        <w:t> </w:t>
      </w:r>
      <w:r w:rsidR="009A4F37" w:rsidRPr="00F9396A">
        <w:t>June 2022</w:t>
      </w:r>
      <w:r w:rsidR="009A4F37" w:rsidRPr="00F76D96">
        <w:t>)</w:t>
      </w:r>
      <w:r w:rsidR="009A4F37">
        <w:t>.</w:t>
      </w:r>
    </w:p>
    <w:p w14:paraId="040B720A" w14:textId="6CFDDE48" w:rsidR="009A0B3F" w:rsidRPr="00647415" w:rsidRDefault="00EC44CF" w:rsidP="00EC44CF">
      <w:pPr>
        <w:pStyle w:val="BodyText"/>
        <w:rPr>
          <w:spacing w:val="-2"/>
        </w:rPr>
      </w:pPr>
      <w:r w:rsidRPr="00647415">
        <w:rPr>
          <w:spacing w:val="-2"/>
        </w:rPr>
        <w:t xml:space="preserve">Industry associations </w:t>
      </w:r>
      <w:r w:rsidR="005B43FC" w:rsidRPr="00647415">
        <w:rPr>
          <w:spacing w:val="-2"/>
        </w:rPr>
        <w:t xml:space="preserve">also play a very important role. Associations </w:t>
      </w:r>
      <w:r w:rsidRPr="00647415">
        <w:rPr>
          <w:spacing w:val="-2"/>
        </w:rPr>
        <w:t xml:space="preserve">can </w:t>
      </w:r>
      <w:r w:rsidR="009D5B4C" w:rsidRPr="00647415">
        <w:rPr>
          <w:spacing w:val="-2"/>
        </w:rPr>
        <w:t xml:space="preserve">share technical information with their members. They can </w:t>
      </w:r>
      <w:r w:rsidRPr="00647415">
        <w:rPr>
          <w:spacing w:val="-2"/>
        </w:rPr>
        <w:t xml:space="preserve">host professional conferences, seminars, meetings and trade shows, which are effective at creating networks and facilitating the flow of information between businesses. As the Australian Retailers Association put it when discussing the importance of visibility of new innovations, ‘if you don’t see it, you can’t be inspired by it and want to buy it’ (ARA, pers. comm., 6 June 2022). The Interactive Games &amp; Entertainment Association similarly told the </w:t>
      </w:r>
      <w:r w:rsidR="00154DAB">
        <w:rPr>
          <w:spacing w:val="-2"/>
        </w:rPr>
        <w:t xml:space="preserve">Productivity </w:t>
      </w:r>
      <w:r w:rsidRPr="00647415">
        <w:rPr>
          <w:spacing w:val="-2"/>
        </w:rPr>
        <w:t>Commission another way they help build awareness of innovation is by running the ‘Australian Game Developer Awards’, which highlights innovation and excellence in a range of areas including engineering, art and sound design (IGEA, pers. comm., 7 June 2022).</w:t>
      </w:r>
      <w:r w:rsidR="00995864" w:rsidRPr="00647415">
        <w:rPr>
          <w:spacing w:val="-2"/>
        </w:rPr>
        <w:t xml:space="preserve"> </w:t>
      </w:r>
    </w:p>
    <w:p w14:paraId="519F98A4" w14:textId="19F4BC29" w:rsidR="00557DD7" w:rsidRDefault="00557DD7" w:rsidP="00557DD7">
      <w:pPr>
        <w:pStyle w:val="BodyText"/>
      </w:pPr>
      <w:r>
        <w:t xml:space="preserve">More generally, industry associations can facilitate connections among firms, including leading and laggard </w:t>
      </w:r>
      <w:proofErr w:type="gramStart"/>
      <w:r>
        <w:t>firms;</w:t>
      </w:r>
      <w:proofErr w:type="gramEnd"/>
      <w:r>
        <w:t xml:space="preserve"> young and established firms</w:t>
      </w:r>
      <w:r w:rsidR="00C84F03">
        <w:t>. Associations can also</w:t>
      </w:r>
      <w:r>
        <w:t xml:space="preserve"> connect firms to government agencies and support. For example, among its other services, IGEA </w:t>
      </w:r>
      <w:r w:rsidRPr="004B7CBD">
        <w:t>facilitates connections between firms by performing</w:t>
      </w:r>
      <w:r>
        <w:t xml:space="preserve"> an introductory role between its members by hosting formal and informal events (IGEA, pers. comm., 7</w:t>
      </w:r>
      <w:r w:rsidR="000565F7">
        <w:t> </w:t>
      </w:r>
      <w:r>
        <w:t xml:space="preserve">June 2022). </w:t>
      </w:r>
      <w:r w:rsidRPr="00181B2B">
        <w:t xml:space="preserve">IGEA </w:t>
      </w:r>
      <w:r>
        <w:t xml:space="preserve">suggested that some new collaborations and publishing deals came about because social events brought firms to together. The </w:t>
      </w:r>
      <w:r w:rsidRPr="000F17C7">
        <w:t>Restaurant and Catering Association</w:t>
      </w:r>
      <w:r>
        <w:rPr>
          <w:b/>
          <w:bCs/>
        </w:rPr>
        <w:t xml:space="preserve"> </w:t>
      </w:r>
      <w:r>
        <w:t>indicated that they work with platforms (such as Uber Eats) and technology companies to make adoption easier, providing information to platforms to better help them provide a service to firms in their industry (R</w:t>
      </w:r>
      <w:r w:rsidR="004B4E3B">
        <w:t>&amp;</w:t>
      </w:r>
      <w:r>
        <w:t xml:space="preserve">CA, </w:t>
      </w:r>
      <w:r w:rsidRPr="006F7174">
        <w:t xml:space="preserve">pers. comm., </w:t>
      </w:r>
      <w:r>
        <w:t>9</w:t>
      </w:r>
      <w:r w:rsidR="000565F7">
        <w:t> </w:t>
      </w:r>
      <w:r>
        <w:t>June 2022).</w:t>
      </w:r>
    </w:p>
    <w:p w14:paraId="2745D9B6" w14:textId="2697ACF5" w:rsidR="00E20656" w:rsidRDefault="00E20656" w:rsidP="00E20656">
      <w:pPr>
        <w:pStyle w:val="Heading4"/>
      </w:pPr>
      <w:r>
        <w:lastRenderedPageBreak/>
        <w:t>Governments’ role is limited, but can provide indirect support</w:t>
      </w:r>
    </w:p>
    <w:p w14:paraId="1340119D" w14:textId="52E4601D" w:rsidR="00E20656" w:rsidRPr="00E20656" w:rsidRDefault="00E20656" w:rsidP="008D2A56">
      <w:pPr>
        <w:pStyle w:val="Heading5"/>
      </w:pPr>
      <w:r>
        <w:t>Supporting connections with intermediaries</w:t>
      </w:r>
    </w:p>
    <w:p w14:paraId="72AF9A8D" w14:textId="31D6C147" w:rsidR="00557DD7" w:rsidRDefault="00557DD7" w:rsidP="00557DD7">
      <w:pPr>
        <w:pStyle w:val="BodyText"/>
      </w:pPr>
      <w:r>
        <w:t xml:space="preserve">Government has a limited </w:t>
      </w:r>
      <w:r w:rsidR="00977A76">
        <w:t xml:space="preserve">direct </w:t>
      </w:r>
      <w:r>
        <w:t xml:space="preserve">role to play as intermediary between businesses. As noted </w:t>
      </w:r>
      <w:r w:rsidRPr="00C312DB">
        <w:t xml:space="preserve">by Nooteboom </w:t>
      </w:r>
      <w:r w:rsidRPr="00C312DB">
        <w:rPr>
          <w:rFonts w:ascii="Arial" w:hAnsi="Arial" w:cs="Arial"/>
          <w:szCs w:val="24"/>
        </w:rPr>
        <w:t>(1994, p. 343)</w:t>
      </w:r>
      <w:r>
        <w:t xml:space="preserve">, while government </w:t>
      </w:r>
      <w:r w:rsidR="004A5B3E">
        <w:t>does not usually have a vested interest in a particular innovation</w:t>
      </w:r>
      <w:r w:rsidR="00A43B86">
        <w:t xml:space="preserve"> </w:t>
      </w:r>
      <w:r>
        <w:t xml:space="preserve">— and as such, </w:t>
      </w:r>
      <w:r w:rsidR="00F05451">
        <w:t xml:space="preserve">is </w:t>
      </w:r>
      <w:r>
        <w:t xml:space="preserve">regarded as a trustworthy source of information by businesses — </w:t>
      </w:r>
      <w:r w:rsidR="00F05451">
        <w:t xml:space="preserve">government </w:t>
      </w:r>
      <w:r>
        <w:t xml:space="preserve">may not be seen as competent to </w:t>
      </w:r>
      <w:r w:rsidRPr="00092BD8">
        <w:t xml:space="preserve">judge </w:t>
      </w:r>
      <w:r>
        <w:t xml:space="preserve">the </w:t>
      </w:r>
      <w:r w:rsidRPr="00092BD8">
        <w:t xml:space="preserve">applicability </w:t>
      </w:r>
      <w:r>
        <w:t xml:space="preserve">of a given technology or practice for a </w:t>
      </w:r>
      <w:r w:rsidRPr="00092BD8">
        <w:t>firm</w:t>
      </w:r>
      <w:r>
        <w:t>. Moreover, inquiry participants suggested that information that is critical for diffusion — such as on digitalisation and cyber</w:t>
      </w:r>
      <w:r w:rsidR="00677E96">
        <w:t xml:space="preserve"> </w:t>
      </w:r>
      <w:r>
        <w:t xml:space="preserve">security — is provided by government agencies but can be overly technical and reliant on jargon, limiting its usefulness for small </w:t>
      </w:r>
      <w:proofErr w:type="gramStart"/>
      <w:r>
        <w:t>businesses in particular</w:t>
      </w:r>
      <w:proofErr w:type="gramEnd"/>
      <w:r>
        <w:t>.</w:t>
      </w:r>
      <w:r w:rsidR="006621E2" w:rsidRPr="006621E2">
        <w:t xml:space="preserve"> Intermediaries may help to ‘translate’ government information.</w:t>
      </w:r>
    </w:p>
    <w:p w14:paraId="5F46044A" w14:textId="3E00499C" w:rsidR="000B60BF" w:rsidRDefault="00BD46E5" w:rsidP="000B60BF">
      <w:pPr>
        <w:pStyle w:val="BodyText"/>
      </w:pPr>
      <w:r>
        <w:t xml:space="preserve">Nonetheless, </w:t>
      </w:r>
      <w:r w:rsidR="00066811">
        <w:t xml:space="preserve">government can </w:t>
      </w:r>
      <w:r w:rsidR="00A6376B">
        <w:t xml:space="preserve">indirectly support </w:t>
      </w:r>
      <w:r w:rsidR="00D56CBA">
        <w:t xml:space="preserve">with initiatives that </w:t>
      </w:r>
      <w:r w:rsidR="00D92646">
        <w:t xml:space="preserve">create or invest in </w:t>
      </w:r>
      <w:r w:rsidR="00466C4C">
        <w:t>industry</w:t>
      </w:r>
      <w:r w:rsidR="00466C4C">
        <w:noBreakHyphen/>
      </w:r>
      <w:r w:rsidR="00137879">
        <w:t xml:space="preserve">connected </w:t>
      </w:r>
      <w:r w:rsidR="00ED6F1D">
        <w:t xml:space="preserve">intermediaries. </w:t>
      </w:r>
      <w:r w:rsidR="0009533C">
        <w:t>This may be particularly relevant</w:t>
      </w:r>
      <w:r w:rsidR="00D46BB2">
        <w:t xml:space="preserve"> f</w:t>
      </w:r>
      <w:r w:rsidR="000B60BF">
        <w:t xml:space="preserve">or </w:t>
      </w:r>
      <w:r w:rsidR="00D46BB2">
        <w:t xml:space="preserve">diffusing </w:t>
      </w:r>
      <w:r w:rsidR="000B60BF">
        <w:t xml:space="preserve">newer technologies and processes that are untested in Australia or </w:t>
      </w:r>
      <w:proofErr w:type="gramStart"/>
      <w:r w:rsidR="000B60BF">
        <w:t>in a given</w:t>
      </w:r>
      <w:proofErr w:type="gramEnd"/>
      <w:r w:rsidR="000B60BF">
        <w:t xml:space="preserve"> industry, </w:t>
      </w:r>
      <w:r w:rsidR="00D46BB2">
        <w:t xml:space="preserve">where </w:t>
      </w:r>
      <w:r w:rsidR="000B60BF">
        <w:t xml:space="preserve">a lack of information about how they perform under local circumstances, or the adaptations needed to suit the local market, may be a barrier adoption and use. While early adopters — both </w:t>
      </w:r>
      <w:r w:rsidR="000B60BF">
        <w:rPr>
          <w:i/>
          <w:iCs/>
        </w:rPr>
        <w:t>leaders</w:t>
      </w:r>
      <w:r w:rsidR="000B60BF">
        <w:t xml:space="preserve"> and </w:t>
      </w:r>
      <w:r w:rsidR="000B60BF" w:rsidRPr="00207EC2">
        <w:rPr>
          <w:i/>
          <w:iCs/>
        </w:rPr>
        <w:t>naïve leaders</w:t>
      </w:r>
      <w:r w:rsidR="000B60BF">
        <w:t xml:space="preserve"> — are an important source of information for other firms about the performance of novel innovations, they can incur significant </w:t>
      </w:r>
      <w:r w:rsidR="000B60BF" w:rsidRPr="00902449">
        <w:t xml:space="preserve">costs </w:t>
      </w:r>
      <w:r w:rsidR="000B60BF">
        <w:t xml:space="preserve">in adopting and trialling new technologies. The incentives for secrecy that this creates can mean that other potential adopters must incur the same costs to evaluate and trial the technology, delaying wider adoption. Indeed, several industry associations </w:t>
      </w:r>
      <w:r w:rsidR="00792E98">
        <w:t>told</w:t>
      </w:r>
      <w:r w:rsidR="000B60BF">
        <w:t xml:space="preserve"> the </w:t>
      </w:r>
      <w:r w:rsidR="0019794E">
        <w:t xml:space="preserve">Productivity </w:t>
      </w:r>
      <w:r w:rsidR="000B60BF">
        <w:t>Commission that more coordinated testing and evaluation of new technologies might enhance diffusion by reducing uncertainty and enhancing spillovers of information that is critical to good decision</w:t>
      </w:r>
      <w:r w:rsidR="005302F5">
        <w:t xml:space="preserve"> </w:t>
      </w:r>
      <w:r w:rsidR="000B60BF">
        <w:t>making about adoption.</w:t>
      </w:r>
    </w:p>
    <w:p w14:paraId="1C1F75CF" w14:textId="49A6A411" w:rsidR="000B60BF" w:rsidRDefault="000B60BF" w:rsidP="000B60BF">
      <w:pPr>
        <w:pStyle w:val="BodyText"/>
      </w:pPr>
      <w:r>
        <w:t>It is difficult to make a case that firms who incur the costs of researching, importing, adapting and trialling a new technology should share their experiences with other firms, as this would presumably reduce the payoff and their incentive to innovate in the first place. But if those initial costs are shared — with relevant industry associations, government or other non</w:t>
      </w:r>
      <w:r>
        <w:noBreakHyphen/>
        <w:t>commercial entities — then making that information available to other firms could enhance diffusion.</w:t>
      </w:r>
      <w:r w:rsidR="003E6387">
        <w:t xml:space="preserve"> </w:t>
      </w:r>
    </w:p>
    <w:p w14:paraId="11948634" w14:textId="7BA3B950" w:rsidR="000B60BF" w:rsidRDefault="006E2B72" w:rsidP="00536032">
      <w:pPr>
        <w:pStyle w:val="BodyText"/>
      </w:pPr>
      <w:r>
        <w:t>A</w:t>
      </w:r>
      <w:r w:rsidR="00D90873">
        <w:t>n</w:t>
      </w:r>
      <w:r>
        <w:t xml:space="preserve"> example of government playing this role </w:t>
      </w:r>
      <w:r w:rsidR="00007355">
        <w:t xml:space="preserve">is </w:t>
      </w:r>
      <w:r w:rsidR="00F11278">
        <w:t xml:space="preserve">by funding </w:t>
      </w:r>
      <w:r w:rsidR="00751B53">
        <w:t xml:space="preserve">the establishment of </w:t>
      </w:r>
      <w:r w:rsidR="000B60BF">
        <w:t>Industry Growth Centres (</w:t>
      </w:r>
      <w:r w:rsidR="000B60BF" w:rsidRPr="000C51AC">
        <w:t>box</w:t>
      </w:r>
      <w:r w:rsidR="000B60BF">
        <w:t> </w:t>
      </w:r>
      <w:r w:rsidR="00135A19">
        <w:t>2.6</w:t>
      </w:r>
      <w:r w:rsidR="000B60BF" w:rsidRPr="000C51AC">
        <w:t>)</w:t>
      </w:r>
      <w:r w:rsidR="00A04B01">
        <w:t xml:space="preserve">. </w:t>
      </w:r>
      <w:r w:rsidR="000B60BF">
        <w:t>T</w:t>
      </w:r>
      <w:r w:rsidR="000B60BF" w:rsidRPr="003A6AE1">
        <w:t xml:space="preserve">he </w:t>
      </w:r>
      <w:r w:rsidR="000B60BF">
        <w:t xml:space="preserve">Growth </w:t>
      </w:r>
      <w:r w:rsidR="000B60BF" w:rsidRPr="003A6AE1">
        <w:t>Centres are positioned as a link between research, industry, government, and global markets</w:t>
      </w:r>
      <w:r w:rsidR="004B53DF">
        <w:t>, and while their remit d</w:t>
      </w:r>
      <w:r w:rsidR="00D83BDC">
        <w:t>oes</w:t>
      </w:r>
      <w:r w:rsidR="004B53DF">
        <w:t xml:space="preserve"> not explicitly include a role in diffusion, some Growth Centres </w:t>
      </w:r>
      <w:r w:rsidR="00A22C57" w:rsidRPr="00773425">
        <w:t>undertake activities in support of innovation diffusion — for example, the Advanced Manufacturing Growth Centre has explicit principles involving researching, demonstrating and promoting awareness of best practices in advanced manufacturing (AMGC 2021)</w:t>
      </w:r>
      <w:r w:rsidR="000B60BF">
        <w:t xml:space="preserve">. </w:t>
      </w:r>
      <w:r w:rsidR="00D90873">
        <w:t>T</w:t>
      </w:r>
      <w:r w:rsidR="006021E7">
        <w:t>he Growth Centres</w:t>
      </w:r>
      <w:r w:rsidR="00D90873">
        <w:t>’</w:t>
      </w:r>
      <w:r w:rsidR="006021E7">
        <w:t xml:space="preserve"> established</w:t>
      </w:r>
      <w:r w:rsidR="000B60BF">
        <w:t xml:space="preserve"> networks and links between research and industry may be better utilised to upskill and diffuse innovation to and between existing businesses, particularly from overseas, rather than focusing on trying to commercialise and scale new</w:t>
      </w:r>
      <w:r w:rsidR="000B60BF">
        <w:noBreakHyphen/>
        <w:t>to</w:t>
      </w:r>
      <w:r w:rsidR="000B60BF">
        <w:noBreakHyphen/>
        <w:t>the</w:t>
      </w:r>
      <w:r w:rsidR="000B60BF">
        <w:noBreakHyphen/>
        <w:t>world innovation.</w:t>
      </w:r>
    </w:p>
    <w:p w14:paraId="3239176D" w14:textId="77777777" w:rsidR="00911C1B" w:rsidRDefault="00911C1B" w:rsidP="00911C1B">
      <w:pPr>
        <w:pStyle w:val="BodyText"/>
        <w:rPr>
          <w:spacing w:val="-2"/>
        </w:rPr>
      </w:pPr>
      <w:r>
        <w:rPr>
          <w:spacing w:val="-2"/>
        </w:rPr>
        <w:t>T</w:t>
      </w:r>
      <w:r w:rsidRPr="004B3818">
        <w:rPr>
          <w:spacing w:val="-2"/>
        </w:rPr>
        <w:t xml:space="preserve">he future of the </w:t>
      </w:r>
      <w:r>
        <w:rPr>
          <w:spacing w:val="-2"/>
        </w:rPr>
        <w:t>Growth C</w:t>
      </w:r>
      <w:r w:rsidRPr="004B3818">
        <w:rPr>
          <w:spacing w:val="-2"/>
        </w:rPr>
        <w:t xml:space="preserve">entres is uncertain. </w:t>
      </w:r>
      <w:r>
        <w:rPr>
          <w:spacing w:val="-2"/>
        </w:rPr>
        <w:t>The original intention was for the Centres to</w:t>
      </w:r>
      <w:r w:rsidRPr="004B3818">
        <w:rPr>
          <w:spacing w:val="-2"/>
        </w:rPr>
        <w:t xml:space="preserve"> </w:t>
      </w:r>
      <w:r>
        <w:rPr>
          <w:spacing w:val="-2"/>
        </w:rPr>
        <w:t>become financially self</w:t>
      </w:r>
      <w:r>
        <w:rPr>
          <w:spacing w:val="-2"/>
        </w:rPr>
        <w:noBreakHyphen/>
        <w:t>sustaining</w:t>
      </w:r>
      <w:r w:rsidRPr="004B3818">
        <w:rPr>
          <w:spacing w:val="-2"/>
        </w:rPr>
        <w:t xml:space="preserve">, </w:t>
      </w:r>
      <w:r>
        <w:rPr>
          <w:spacing w:val="-2"/>
        </w:rPr>
        <w:t xml:space="preserve">but they vary in </w:t>
      </w:r>
      <w:r w:rsidRPr="004B3818">
        <w:rPr>
          <w:spacing w:val="-2"/>
        </w:rPr>
        <w:t xml:space="preserve">the </w:t>
      </w:r>
      <w:r>
        <w:rPr>
          <w:spacing w:val="-2"/>
        </w:rPr>
        <w:t xml:space="preserve">strength of their </w:t>
      </w:r>
      <w:r w:rsidRPr="004B3818">
        <w:rPr>
          <w:spacing w:val="-2"/>
        </w:rPr>
        <w:t>financial position</w:t>
      </w:r>
      <w:r>
        <w:rPr>
          <w:spacing w:val="-2"/>
        </w:rPr>
        <w:t>s</w:t>
      </w:r>
      <w:r w:rsidRPr="004B3818">
        <w:rPr>
          <w:spacing w:val="-2"/>
        </w:rPr>
        <w:t xml:space="preserve"> </w:t>
      </w:r>
      <w:r w:rsidRPr="004B3818">
        <w:rPr>
          <w:rFonts w:cs="Arial"/>
          <w:spacing w:val="-2"/>
          <w:szCs w:val="24"/>
        </w:rPr>
        <w:t>(Riley 2022)</w:t>
      </w:r>
      <w:r w:rsidRPr="004B3818">
        <w:rPr>
          <w:spacing w:val="-2"/>
        </w:rPr>
        <w:t xml:space="preserve">. </w:t>
      </w:r>
      <w:r>
        <w:rPr>
          <w:spacing w:val="-2"/>
        </w:rPr>
        <w:t>The 2020 evaluation of the initiative observed that some Growth Centres have successfully accessed funding from the private sector and other government programs (such as research funds), but ultimately noted that ‘</w:t>
      </w:r>
      <w:r w:rsidRPr="00E16D27">
        <w:rPr>
          <w:spacing w:val="-2"/>
        </w:rPr>
        <w:t>it is</w:t>
      </w:r>
      <w:r>
        <w:rPr>
          <w:spacing w:val="-2"/>
        </w:rPr>
        <w:t xml:space="preserve"> </w:t>
      </w:r>
      <w:r w:rsidRPr="00E16D27">
        <w:rPr>
          <w:spacing w:val="-2"/>
        </w:rPr>
        <w:t xml:space="preserve">unlikely the </w:t>
      </w:r>
      <w:r>
        <w:rPr>
          <w:spacing w:val="-2"/>
        </w:rPr>
        <w:t>[Growth Centres]</w:t>
      </w:r>
      <w:r w:rsidRPr="00E16D27">
        <w:rPr>
          <w:spacing w:val="-2"/>
        </w:rPr>
        <w:t xml:space="preserve"> will become self</w:t>
      </w:r>
      <w:r>
        <w:rPr>
          <w:spacing w:val="-2"/>
        </w:rPr>
        <w:noBreakHyphen/>
      </w:r>
      <w:r w:rsidRPr="00E16D27">
        <w:rPr>
          <w:spacing w:val="-2"/>
        </w:rPr>
        <w:t>sustaining. It may be possible that a public/private funding model</w:t>
      </w:r>
      <w:r>
        <w:rPr>
          <w:spacing w:val="-2"/>
        </w:rPr>
        <w:t xml:space="preserve"> </w:t>
      </w:r>
      <w:r w:rsidRPr="00E16D27">
        <w:rPr>
          <w:spacing w:val="-2"/>
        </w:rPr>
        <w:t>will provide a transitional platform</w:t>
      </w:r>
      <w:r>
        <w:rPr>
          <w:spacing w:val="-2"/>
        </w:rPr>
        <w:t xml:space="preserve">’ </w:t>
      </w:r>
      <w:r w:rsidRPr="00116531">
        <w:rPr>
          <w:rFonts w:ascii="Arial" w:hAnsi="Arial" w:cs="Arial"/>
          <w:szCs w:val="24"/>
        </w:rPr>
        <w:t>(ACIL Allen 2020, pp. vii, ix)</w:t>
      </w:r>
      <w:r>
        <w:rPr>
          <w:spacing w:val="-2"/>
        </w:rPr>
        <w:t>.</w:t>
      </w:r>
    </w:p>
    <w:p w14:paraId="58CD2E9E" w14:textId="77777777" w:rsidR="00E5688A" w:rsidRPr="00F82BD9" w:rsidRDefault="00E5688A" w:rsidP="00B4005F">
      <w:pPr>
        <w:pStyle w:val="NoSpacing"/>
      </w:pPr>
    </w:p>
    <w:tbl>
      <w:tblPr>
        <w:tblStyle w:val="Boxtable"/>
        <w:tblW w:w="5000" w:type="pct"/>
        <w:tblLook w:val="04A0" w:firstRow="1" w:lastRow="0" w:firstColumn="1" w:lastColumn="0" w:noHBand="0" w:noVBand="1"/>
      </w:tblPr>
      <w:tblGrid>
        <w:gridCol w:w="9638"/>
      </w:tblGrid>
      <w:tr w:rsidR="00AF1F95" w14:paraId="70077D93" w14:textId="77777777">
        <w:trPr>
          <w:tblHeader/>
        </w:trPr>
        <w:tc>
          <w:tcPr>
            <w:tcW w:w="9638" w:type="dxa"/>
            <w:tcMar>
              <w:top w:w="170" w:type="dxa"/>
              <w:left w:w="170" w:type="dxa"/>
              <w:bottom w:w="113" w:type="dxa"/>
              <w:right w:w="170" w:type="dxa"/>
            </w:tcMar>
            <w:hideMark/>
          </w:tcPr>
          <w:p w14:paraId="09ED2986" w14:textId="2C6BBEE2" w:rsidR="000B60BF" w:rsidRDefault="000B60BF">
            <w:pPr>
              <w:pStyle w:val="BoxHeading1"/>
            </w:pPr>
            <w:r>
              <w:lastRenderedPageBreak/>
              <w:t>Box</w:t>
            </w:r>
            <w:r w:rsidR="00A43B86">
              <w:t> </w:t>
            </w:r>
            <w:r>
              <w:rPr>
                <w:noProof/>
              </w:rPr>
              <w:t>2</w:t>
            </w:r>
            <w:r>
              <w:t>.</w:t>
            </w:r>
            <w:r w:rsidR="00135A19">
              <w:t>6</w:t>
            </w:r>
            <w:r>
              <w:t xml:space="preserve"> – Industry Growth Centres</w:t>
            </w:r>
          </w:p>
        </w:tc>
      </w:tr>
      <w:tr w:rsidR="000B60BF" w14:paraId="73C2280A" w14:textId="77777777" w:rsidTr="00C00A6E">
        <w:tc>
          <w:tcPr>
            <w:tcW w:w="9638" w:type="dxa"/>
            <w:tcMar>
              <w:top w:w="28" w:type="dxa"/>
              <w:left w:w="170" w:type="dxa"/>
              <w:bottom w:w="170" w:type="dxa"/>
              <w:right w:w="170" w:type="dxa"/>
            </w:tcMar>
            <w:hideMark/>
          </w:tcPr>
          <w:p w14:paraId="4C7C10D5" w14:textId="0CCA8D2F" w:rsidR="000B60BF" w:rsidRDefault="000B60BF" w:rsidP="00C00A6E">
            <w:pPr>
              <w:pStyle w:val="BodyText"/>
            </w:pPr>
            <w:r>
              <w:t>The Industry Growth Centres were established in 2015</w:t>
            </w:r>
            <w:r>
              <w:noBreakHyphen/>
              <w:t>16 to support competitiveness in sectors considered to be of competitive strength and strategic priority</w:t>
            </w:r>
            <w:r w:rsidRPr="00B32015">
              <w:rPr>
                <w:b/>
                <w:bCs/>
                <w:vertAlign w:val="superscript"/>
              </w:rPr>
              <w:t>a</w:t>
            </w:r>
            <w:r>
              <w:t xml:space="preserve">: advanced manufacturing, known as the Advanced Manufacturing Growth Centre (AMGC); cyber security, known as AustCyber; food and agribusiness, known as Food Innovation Australia Ltd (FIAL); medical technologies and pharmaceuticals, known as MTPConnect; mining equipment, technology and services, known METS Ignited; and oil, gas and energy resources, known as National Energy Resources Australia (NERA) </w:t>
            </w:r>
            <w:r w:rsidRPr="005C5E06">
              <w:rPr>
                <w:rFonts w:ascii="Arial" w:hAnsi="Arial" w:cs="Arial"/>
                <w:szCs w:val="24"/>
              </w:rPr>
              <w:t>(DIIS 2019a)</w:t>
            </w:r>
            <w:r>
              <w:t>.</w:t>
            </w:r>
          </w:p>
          <w:p w14:paraId="4E9EA1BB" w14:textId="234F647C" w:rsidR="000B60BF" w:rsidRDefault="000B60BF" w:rsidP="00C00A6E">
            <w:pPr>
              <w:pStyle w:val="BodyText"/>
            </w:pPr>
            <w:r w:rsidRPr="007209E2">
              <w:t xml:space="preserve">Each Growth Centre </w:t>
            </w:r>
            <w:r w:rsidR="00D90873">
              <w:t>was</w:t>
            </w:r>
            <w:r w:rsidRPr="007209E2">
              <w:t xml:space="preserve"> tasked with four key priorities: increasing collaboration and commercialisation, enhancing management and workforce skills, improving access to international markets and opportunities, and identifying opportunities for regulatory reform </w:t>
            </w:r>
            <w:r w:rsidRPr="005C5E06">
              <w:rPr>
                <w:rFonts w:ascii="Arial" w:hAnsi="Arial" w:cs="Arial"/>
                <w:szCs w:val="24"/>
              </w:rPr>
              <w:t>(DIIS 2019a)</w:t>
            </w:r>
            <w:r w:rsidRPr="007209E2">
              <w:t xml:space="preserve">. The Centres </w:t>
            </w:r>
            <w:r>
              <w:t>were intended</w:t>
            </w:r>
            <w:r w:rsidRPr="007209E2">
              <w:t xml:space="preserve"> to </w:t>
            </w:r>
            <w:r>
              <w:t>focus</w:t>
            </w:r>
            <w:r w:rsidRPr="007209E2">
              <w:t xml:space="preserve"> on areas where</w:t>
            </w:r>
            <w:r w:rsidRPr="007209E2" w:rsidDel="00EE57D8">
              <w:t xml:space="preserve"> </w:t>
            </w:r>
            <w:r w:rsidR="00EE57D8">
              <w:t>industry organisations</w:t>
            </w:r>
            <w:r w:rsidRPr="007209E2">
              <w:t xml:space="preserve"> </w:t>
            </w:r>
            <w:r>
              <w:t>were yet to develop, as well as to</w:t>
            </w:r>
            <w:r w:rsidRPr="007209E2">
              <w:t xml:space="preserve"> </w:t>
            </w:r>
            <w:proofErr w:type="gramStart"/>
            <w:r w:rsidRPr="007209E2">
              <w:t>more closely engag</w:t>
            </w:r>
            <w:r>
              <w:t>e</w:t>
            </w:r>
            <w:r w:rsidRPr="007209E2">
              <w:t xml:space="preserve"> with the research sector</w:t>
            </w:r>
            <w:proofErr w:type="gramEnd"/>
            <w:r w:rsidRPr="007209E2">
              <w:t xml:space="preserve"> (Nous Group 2019, p. 7).</w:t>
            </w:r>
          </w:p>
          <w:p w14:paraId="36AF616B" w14:textId="21B52C8C" w:rsidR="000B60BF" w:rsidRDefault="000B60BF" w:rsidP="00C00A6E">
            <w:pPr>
              <w:pStyle w:val="BodyText"/>
            </w:pPr>
            <w:r>
              <w:t>An</w:t>
            </w:r>
            <w:r w:rsidRPr="0078322A">
              <w:t xml:space="preserve"> assessment by Nous Group in 2019 suggested each Centre was generally meeting its objectives and business plan</w:t>
            </w:r>
            <w:r>
              <w:t>. Of their four priorities,</w:t>
            </w:r>
            <w:r w:rsidRPr="0078322A">
              <w:t xml:space="preserve"> </w:t>
            </w:r>
            <w:r>
              <w:t>the centres were found to have focused</w:t>
            </w:r>
            <w:r w:rsidRPr="0078322A">
              <w:t xml:space="preserve"> the most on increasing collaboration and commercialisation of research (Nous Group 2019, p. 6). A</w:t>
            </w:r>
            <w:r w:rsidR="00FD6A84">
              <w:t>n evaluation</w:t>
            </w:r>
            <w:r w:rsidRPr="0078322A">
              <w:t xml:space="preserve"> by ACIL Allen in 2020 </w:t>
            </w:r>
            <w:r w:rsidR="00050539">
              <w:t xml:space="preserve">found that the Centres </w:t>
            </w:r>
            <w:r w:rsidR="006244EC">
              <w:t xml:space="preserve">have supported Australian industries to </w:t>
            </w:r>
            <w:r w:rsidR="00E35CA0">
              <w:t>become more competitive</w:t>
            </w:r>
            <w:r w:rsidR="00657E8E">
              <w:t>, and that an industry</w:t>
            </w:r>
            <w:r w:rsidR="00A43B86">
              <w:noBreakHyphen/>
            </w:r>
            <w:r w:rsidR="00657E8E">
              <w:t xml:space="preserve">led approach </w:t>
            </w:r>
            <w:r w:rsidR="00FE23DD">
              <w:t>is a sound way to deliver long</w:t>
            </w:r>
            <w:r w:rsidR="00A43B86">
              <w:noBreakHyphen/>
            </w:r>
            <w:r w:rsidR="00FE23DD">
              <w:t>term value</w:t>
            </w:r>
            <w:r w:rsidR="00BB6874">
              <w:t xml:space="preserve"> </w:t>
            </w:r>
            <w:r w:rsidR="00116531" w:rsidRPr="00116531">
              <w:rPr>
                <w:rFonts w:ascii="Arial" w:hAnsi="Arial" w:cs="Arial"/>
                <w:szCs w:val="24"/>
              </w:rPr>
              <w:t>(ACIL Allen 2020, p. vi)</w:t>
            </w:r>
            <w:r w:rsidRPr="0078322A">
              <w:t>.</w:t>
            </w:r>
          </w:p>
          <w:p w14:paraId="07CA378F" w14:textId="49592E1C" w:rsidR="000B60BF" w:rsidRDefault="000B60BF" w:rsidP="00C00A6E">
            <w:pPr>
              <w:pStyle w:val="Note"/>
              <w:keepLines/>
            </w:pPr>
            <w:r w:rsidRPr="00180E66">
              <w:rPr>
                <w:b/>
                <w:bCs/>
              </w:rPr>
              <w:t>a.</w:t>
            </w:r>
            <w:r>
              <w:t xml:space="preserve"> Labor proposed a seventh Growth Centre </w:t>
            </w:r>
            <w:r w:rsidRPr="00E66D42">
              <w:t xml:space="preserve">focused on the battery production supply chain </w:t>
            </w:r>
            <w:r>
              <w:t xml:space="preserve">during the 2022 election campaign </w:t>
            </w:r>
            <w:r w:rsidRPr="00E66D42">
              <w:t>(Riley 2022)</w:t>
            </w:r>
            <w:r>
              <w:t xml:space="preserve">. </w:t>
            </w:r>
          </w:p>
        </w:tc>
      </w:tr>
    </w:tbl>
    <w:tbl>
      <w:tblPr>
        <w:tblStyle w:val="TextTable-Grey"/>
        <w:tblW w:w="5000" w:type="pct"/>
        <w:tblLook w:val="04A0" w:firstRow="1" w:lastRow="0" w:firstColumn="1" w:lastColumn="0" w:noHBand="0" w:noVBand="1"/>
      </w:tblPr>
      <w:tblGrid>
        <w:gridCol w:w="9638"/>
      </w:tblGrid>
      <w:tr w:rsidR="009D50DA" w14:paraId="0A43F009" w14:textId="77777777">
        <w:tc>
          <w:tcPr>
            <w:tcW w:w="9638" w:type="dxa"/>
            <w:shd w:val="clear" w:color="auto" w:fill="auto"/>
            <w:tcMar>
              <w:top w:w="0" w:type="dxa"/>
              <w:bottom w:w="0" w:type="dxa"/>
            </w:tcMar>
          </w:tcPr>
          <w:p w14:paraId="3D6C995A" w14:textId="77777777" w:rsidR="009D50DA" w:rsidRDefault="009D50DA" w:rsidP="00536032">
            <w:pPr>
              <w:spacing w:before="0" w:after="160" w:line="259" w:lineRule="auto"/>
            </w:pPr>
          </w:p>
        </w:tc>
      </w:tr>
    </w:tbl>
    <w:p w14:paraId="3D1054E0" w14:textId="6C5BFF23" w:rsidR="00EC7CCA" w:rsidRPr="008D0709" w:rsidRDefault="00AC513C" w:rsidP="008B39A6">
      <w:pPr>
        <w:pStyle w:val="BodyText"/>
        <w:rPr>
          <w:spacing w:val="-4"/>
        </w:rPr>
      </w:pPr>
      <w:r w:rsidRPr="008D0709">
        <w:rPr>
          <w:spacing w:val="-4"/>
        </w:rPr>
        <w:t xml:space="preserve">To the extent that </w:t>
      </w:r>
      <w:r w:rsidR="00AA59B2" w:rsidRPr="008D0709">
        <w:rPr>
          <w:spacing w:val="-4"/>
        </w:rPr>
        <w:t>Growth Centres</w:t>
      </w:r>
      <w:r w:rsidRPr="008D0709">
        <w:rPr>
          <w:spacing w:val="-4"/>
        </w:rPr>
        <w:t xml:space="preserve"> </w:t>
      </w:r>
      <w:r w:rsidR="000D59FD" w:rsidRPr="008D0709">
        <w:rPr>
          <w:spacing w:val="-4"/>
        </w:rPr>
        <w:t xml:space="preserve">continue to operate broadly similarly in the future — </w:t>
      </w:r>
      <w:r w:rsidR="00D90958" w:rsidRPr="008D0709">
        <w:rPr>
          <w:spacing w:val="-4"/>
        </w:rPr>
        <w:t xml:space="preserve">by facilitating connections between industry, government, researchers and markets — governments could </w:t>
      </w:r>
      <w:r w:rsidR="00D438B7" w:rsidRPr="008D0709">
        <w:rPr>
          <w:spacing w:val="-4"/>
        </w:rPr>
        <w:t>partner with</w:t>
      </w:r>
      <w:r w:rsidR="00EF7A0F" w:rsidRPr="008D0709">
        <w:rPr>
          <w:spacing w:val="-4"/>
        </w:rPr>
        <w:t xml:space="preserve"> these </w:t>
      </w:r>
      <w:r w:rsidR="00AD1736" w:rsidRPr="008D0709">
        <w:rPr>
          <w:spacing w:val="-4"/>
        </w:rPr>
        <w:t xml:space="preserve">networks </w:t>
      </w:r>
      <w:r w:rsidR="00EF7A0F" w:rsidRPr="008D0709">
        <w:rPr>
          <w:spacing w:val="-4"/>
        </w:rPr>
        <w:t xml:space="preserve">to reach a wider business audience in specific industries when they </w:t>
      </w:r>
      <w:r w:rsidR="00AD1736" w:rsidRPr="008D0709">
        <w:rPr>
          <w:spacing w:val="-4"/>
        </w:rPr>
        <w:t xml:space="preserve">implement other programs to support diffusion. For example, </w:t>
      </w:r>
      <w:r w:rsidR="00097CE3" w:rsidRPr="008D0709">
        <w:rPr>
          <w:spacing w:val="-4"/>
        </w:rPr>
        <w:t>programs that build management and other capabilities, and extension services</w:t>
      </w:r>
      <w:r w:rsidR="00D438B7" w:rsidRPr="008D0709">
        <w:rPr>
          <w:spacing w:val="-4"/>
        </w:rPr>
        <w:t xml:space="preserve"> for small businesses</w:t>
      </w:r>
      <w:r w:rsidR="00097CE3" w:rsidRPr="008D0709">
        <w:rPr>
          <w:spacing w:val="-4"/>
        </w:rPr>
        <w:t xml:space="preserve"> (section</w:t>
      </w:r>
      <w:r w:rsidR="00A43B86">
        <w:rPr>
          <w:spacing w:val="-4"/>
        </w:rPr>
        <w:t> </w:t>
      </w:r>
      <w:r w:rsidR="00097CE3" w:rsidRPr="008D0709">
        <w:rPr>
          <w:spacing w:val="-4"/>
        </w:rPr>
        <w:t xml:space="preserve">2.3), could be </w:t>
      </w:r>
      <w:r w:rsidR="00A06FA7" w:rsidRPr="008D0709">
        <w:rPr>
          <w:spacing w:val="-4"/>
        </w:rPr>
        <w:t xml:space="preserve">marketed or launched through these networks </w:t>
      </w:r>
      <w:r w:rsidR="00D438B7" w:rsidRPr="008D0709">
        <w:rPr>
          <w:spacing w:val="-4"/>
        </w:rPr>
        <w:t xml:space="preserve">to promote </w:t>
      </w:r>
      <w:r w:rsidR="004D6F2D" w:rsidRPr="008D0709">
        <w:rPr>
          <w:spacing w:val="-4"/>
        </w:rPr>
        <w:t xml:space="preserve">awareness and </w:t>
      </w:r>
      <w:r w:rsidR="00D438B7" w:rsidRPr="008D0709">
        <w:rPr>
          <w:spacing w:val="-4"/>
        </w:rPr>
        <w:t xml:space="preserve">uptake. </w:t>
      </w:r>
      <w:r w:rsidR="00AD1736" w:rsidRPr="008D0709">
        <w:rPr>
          <w:spacing w:val="-4"/>
        </w:rPr>
        <w:t>These partnership efforts could also exten</w:t>
      </w:r>
      <w:r w:rsidR="00B57AB1" w:rsidRPr="008D0709">
        <w:rPr>
          <w:spacing w:val="-4"/>
        </w:rPr>
        <w:t>d</w:t>
      </w:r>
      <w:r w:rsidR="00AD1736" w:rsidRPr="008D0709">
        <w:rPr>
          <w:spacing w:val="-4"/>
        </w:rPr>
        <w:t xml:space="preserve"> to governments working with other intermediaries</w:t>
      </w:r>
      <w:r w:rsidR="00AC14A5" w:rsidRPr="008D0709">
        <w:rPr>
          <w:spacing w:val="-4"/>
        </w:rPr>
        <w:t xml:space="preserve"> —</w:t>
      </w:r>
      <w:r w:rsidR="00AD1736" w:rsidRPr="008D0709">
        <w:rPr>
          <w:spacing w:val="-4"/>
        </w:rPr>
        <w:t xml:space="preserve"> such as </w:t>
      </w:r>
      <w:r w:rsidR="00260C2F" w:rsidRPr="008D0709">
        <w:rPr>
          <w:spacing w:val="-4"/>
        </w:rPr>
        <w:t>industry associations (discussed above)</w:t>
      </w:r>
      <w:r w:rsidR="00AC14A5" w:rsidRPr="008D0709">
        <w:rPr>
          <w:spacing w:val="-4"/>
        </w:rPr>
        <w:t xml:space="preserve"> —</w:t>
      </w:r>
      <w:r w:rsidR="00260C2F" w:rsidRPr="008D0709">
        <w:rPr>
          <w:spacing w:val="-4"/>
        </w:rPr>
        <w:t xml:space="preserve"> which would improve their ability to reach busine</w:t>
      </w:r>
      <w:r w:rsidR="002F2215" w:rsidRPr="008D0709">
        <w:rPr>
          <w:spacing w:val="-4"/>
        </w:rPr>
        <w:t>s</w:t>
      </w:r>
      <w:r w:rsidR="00260C2F" w:rsidRPr="008D0709">
        <w:rPr>
          <w:spacing w:val="-4"/>
        </w:rPr>
        <w:t xml:space="preserve">ses in industries that are not </w:t>
      </w:r>
      <w:r w:rsidR="00950C12" w:rsidRPr="008D0709">
        <w:rPr>
          <w:spacing w:val="-4"/>
        </w:rPr>
        <w:t xml:space="preserve">currently </w:t>
      </w:r>
      <w:r w:rsidR="00260C2F" w:rsidRPr="008D0709">
        <w:rPr>
          <w:spacing w:val="-4"/>
        </w:rPr>
        <w:t>supported by a Growth Centre</w:t>
      </w:r>
      <w:r w:rsidR="008B39A6" w:rsidRPr="008D0709">
        <w:rPr>
          <w:spacing w:val="-4"/>
        </w:rPr>
        <w:t>,</w:t>
      </w:r>
      <w:r w:rsidR="00260C2F" w:rsidRPr="008D0709">
        <w:rPr>
          <w:spacing w:val="-4"/>
        </w:rPr>
        <w:t xml:space="preserve"> </w:t>
      </w:r>
      <w:r w:rsidR="00AC14A5" w:rsidRPr="008D0709">
        <w:rPr>
          <w:spacing w:val="-4"/>
        </w:rPr>
        <w:t xml:space="preserve">including </w:t>
      </w:r>
      <w:r w:rsidR="009316F2" w:rsidRPr="008D0709">
        <w:rPr>
          <w:spacing w:val="-4"/>
        </w:rPr>
        <w:t>a range of service industries.</w:t>
      </w:r>
    </w:p>
    <w:p w14:paraId="6437385D" w14:textId="3621B918" w:rsidR="00166003" w:rsidRDefault="00166003" w:rsidP="008D0709">
      <w:pPr>
        <w:pStyle w:val="Heading5"/>
        <w:spacing w:before="240"/>
      </w:pPr>
      <w:r>
        <w:t>Facilitating knowledge transfer with extension services</w:t>
      </w:r>
    </w:p>
    <w:p w14:paraId="557819BE" w14:textId="4C0393D3" w:rsidR="00166003" w:rsidRDefault="00851A24" w:rsidP="00166003">
      <w:pPr>
        <w:pStyle w:val="BodyText"/>
      </w:pPr>
      <w:r>
        <w:t>Governments can also facilitate the transfer of technical or industry</w:t>
      </w:r>
      <w:r w:rsidR="00A43B86">
        <w:noBreakHyphen/>
      </w:r>
      <w:r>
        <w:t>specific knowledge on</w:t>
      </w:r>
      <w:r w:rsidR="00166003" w:rsidRPr="00484A1C">
        <w:t xml:space="preserve"> the existence and proper implementation of new </w:t>
      </w:r>
      <w:r w:rsidR="00166003">
        <w:t xml:space="preserve">technologies, </w:t>
      </w:r>
      <w:proofErr w:type="gramStart"/>
      <w:r w:rsidR="00166003">
        <w:t>similar to</w:t>
      </w:r>
      <w:proofErr w:type="gramEnd"/>
      <w:r w:rsidR="00166003" w:rsidRPr="00484A1C">
        <w:t xml:space="preserve"> </w:t>
      </w:r>
      <w:r w:rsidR="00166003">
        <w:t xml:space="preserve">the </w:t>
      </w:r>
      <w:r w:rsidR="00166003" w:rsidRPr="00484A1C">
        <w:t xml:space="preserve">extension </w:t>
      </w:r>
      <w:r w:rsidR="00166003">
        <w:t>services offered in the agricultural sector.</w:t>
      </w:r>
      <w:r w:rsidR="00166003" w:rsidRPr="002E227D">
        <w:rPr>
          <w:rStyle w:val="FootnoteReference"/>
        </w:rPr>
        <w:footnoteReference w:id="20"/>
      </w:r>
      <w:r w:rsidR="00166003">
        <w:t xml:space="preserve"> </w:t>
      </w:r>
      <w:r w:rsidR="00166003" w:rsidRPr="00791043">
        <w:t>Extension services have been used mainly in agriculture as a way of transfe</w:t>
      </w:r>
      <w:r w:rsidR="00166003">
        <w:t>r</w:t>
      </w:r>
      <w:r w:rsidR="00166003" w:rsidRPr="00791043">
        <w:t xml:space="preserve">ring knowledge and innovations </w:t>
      </w:r>
      <w:r w:rsidR="00166003">
        <w:t>—</w:t>
      </w:r>
      <w:r w:rsidR="00166003" w:rsidRPr="00791043">
        <w:t xml:space="preserve"> often developed through publicly funded R&amp;D </w:t>
      </w:r>
      <w:r w:rsidR="00166003">
        <w:t xml:space="preserve">— </w:t>
      </w:r>
      <w:r w:rsidR="00166003" w:rsidRPr="00791043">
        <w:t>to farmers for their practical use.</w:t>
      </w:r>
    </w:p>
    <w:p w14:paraId="7B8076C5" w14:textId="2EA2CA9B" w:rsidR="00166003" w:rsidRDefault="00166003" w:rsidP="00166003">
      <w:pPr>
        <w:pStyle w:val="BodyText"/>
      </w:pPr>
      <w:r>
        <w:t xml:space="preserve">There is a significant body of evidence suggesting that agricultural extension generates </w:t>
      </w:r>
      <w:r w:rsidRPr="00C72BBD">
        <w:t>significant positive social returns</w:t>
      </w:r>
      <w:r>
        <w:t>. For example, b</w:t>
      </w:r>
      <w:r w:rsidRPr="00575608">
        <w:t>ased on a meta</w:t>
      </w:r>
      <w:r>
        <w:noBreakHyphen/>
      </w:r>
      <w:r w:rsidRPr="00575608">
        <w:t>analysis of 289 studies on the returns to agricultural R&amp;D and extension in the post</w:t>
      </w:r>
      <w:r>
        <w:noBreakHyphen/>
      </w:r>
      <w:r w:rsidRPr="00575608">
        <w:t>war period, Alston et al</w:t>
      </w:r>
      <w:r>
        <w:t>.</w:t>
      </w:r>
      <w:r w:rsidRPr="00575608">
        <w:t xml:space="preserve"> (2000, p. 201) found an overall median rate of return to extension of 63</w:t>
      </w:r>
      <w:r w:rsidR="00E94315">
        <w:t>%</w:t>
      </w:r>
      <w:r w:rsidRPr="00575608">
        <w:t xml:space="preserve">. In a study focused on the Australian broadacre industry, Sheng et al. (2011, pp. 28, 31) estimated that past public investments in extension generated an average rate of return that could be as high </w:t>
      </w:r>
      <w:r w:rsidRPr="00575608">
        <w:lastRenderedPageBreak/>
        <w:t>as 47</w:t>
      </w:r>
      <w:r w:rsidR="00E94315">
        <w:t>%</w:t>
      </w:r>
      <w:r w:rsidRPr="00575608">
        <w:t xml:space="preserve"> a year — </w:t>
      </w:r>
      <w:r>
        <w:t>contributing about 0.27 percentage points to</w:t>
      </w:r>
      <w:r w:rsidRPr="00575608">
        <w:t xml:space="preserve"> annual total factor productivity growth in the broadacre industry.</w:t>
      </w:r>
    </w:p>
    <w:p w14:paraId="0A59613A" w14:textId="77777777" w:rsidR="00166003" w:rsidRDefault="00166003" w:rsidP="00166003">
      <w:pPr>
        <w:pStyle w:val="BodyText"/>
      </w:pPr>
      <w:r w:rsidRPr="00884671">
        <w:t xml:space="preserve">The key policy question is whether variations on this model could work in industries other than agriculture. As noted in </w:t>
      </w:r>
      <w:r>
        <w:t>c</w:t>
      </w:r>
      <w:r w:rsidRPr="00884671">
        <w:t>hapter</w:t>
      </w:r>
      <w:r>
        <w:t> </w:t>
      </w:r>
      <w:r w:rsidRPr="00884671">
        <w:t>1</w:t>
      </w:r>
      <w:r>
        <w:t xml:space="preserve"> of this report</w:t>
      </w:r>
      <w:r w:rsidRPr="00884671">
        <w:t>, different sectors of the economy innovate in different ways, with implications for the shape of the innovation ecosystem in each case.</w:t>
      </w:r>
      <w:r>
        <w:t xml:space="preserve"> For example, a</w:t>
      </w:r>
      <w:r w:rsidRPr="00D47642">
        <w:t>griculture is traditionally characterised by significant industry</w:t>
      </w:r>
      <w:r>
        <w:noBreakHyphen/>
      </w:r>
      <w:r w:rsidRPr="00D47642">
        <w:t xml:space="preserve">specific R&amp;D (performed centrally and </w:t>
      </w:r>
      <w:r>
        <w:t xml:space="preserve">funded </w:t>
      </w:r>
      <w:r w:rsidRPr="00D47642">
        <w:t>by industry levies or public subsid</w:t>
      </w:r>
      <w:r>
        <w:t>ies</w:t>
      </w:r>
      <w:r w:rsidRPr="00D47642">
        <w:t xml:space="preserve">), with a </w:t>
      </w:r>
      <w:proofErr w:type="gramStart"/>
      <w:r w:rsidRPr="00D47642">
        <w:t>fairly stable</w:t>
      </w:r>
      <w:proofErr w:type="gramEnd"/>
      <w:r w:rsidRPr="00D47642">
        <w:t xml:space="preserve"> population of farm businesses who are often not competing with one another on price, quality or volume. </w:t>
      </w:r>
      <w:r>
        <w:t>In other industries, businesses’ needs tend to be more differentiated and there can be more secrecy and competition about innovation.</w:t>
      </w:r>
    </w:p>
    <w:p w14:paraId="21F392B6" w14:textId="0224E03D" w:rsidR="00166003" w:rsidRDefault="00166003" w:rsidP="00166003">
      <w:pPr>
        <w:pStyle w:val="BodyText"/>
      </w:pPr>
      <w:r>
        <w:t>Outside agriculture, extension services have had more mixed results. For example, the Manufacturing Extension Partnership (MEP) in the United States, which provides extension services to manufacturing SMEs, was not without problems. Econometric evidence indicate</w:t>
      </w:r>
      <w:r w:rsidR="008728DF">
        <w:t>d</w:t>
      </w:r>
      <w:r>
        <w:t xml:space="preserve"> that the program has had positive and significant effects on labour productivity and rates of firm survival, particularly for small firms </w:t>
      </w:r>
      <w:r w:rsidRPr="00B4401B">
        <w:t>(Lipscomb et al. 2018, p. 41)</w:t>
      </w:r>
      <w:r>
        <w:t>. However, despite the original intent for the program to become self</w:t>
      </w:r>
      <w:r>
        <w:noBreakHyphen/>
        <w:t>financing after a six</w:t>
      </w:r>
      <w:r>
        <w:noBreakHyphen/>
        <w:t>year period of government support, the program has not managed to become self</w:t>
      </w:r>
      <w:r>
        <w:noBreakHyphen/>
        <w:t xml:space="preserve">sustaining, and continued support for the program in the United States has been contentious </w:t>
      </w:r>
      <w:r w:rsidRPr="00BB2E38">
        <w:rPr>
          <w:rFonts w:ascii="Arial" w:hAnsi="Arial" w:cs="Arial"/>
          <w:szCs w:val="24"/>
        </w:rPr>
        <w:t>(Sargent 2019, pp. 3–4)</w:t>
      </w:r>
      <w:r>
        <w:t>.</w:t>
      </w:r>
    </w:p>
    <w:p w14:paraId="18502324" w14:textId="298FCDAE" w:rsidR="00166003" w:rsidRDefault="00166003" w:rsidP="00166003">
      <w:pPr>
        <w:pStyle w:val="BodyText"/>
      </w:pPr>
      <w:r>
        <w:t>Moreover, the specific design of the program is crucial to ensure that the services provided match the needs of businesses. For example, the original design of the MEP, which targeted the transfer of federally funded technologies to SMEs, was found to be misguided — manufacturing SMEs did not need advanced technologies. Rather, their needs were more basic, including off</w:t>
      </w:r>
      <w:r>
        <w:noBreakHyphen/>
        <w:t>the</w:t>
      </w:r>
      <w:r>
        <w:noBreakHyphen/>
        <w:t xml:space="preserve">shelf technology and more general management advice </w:t>
      </w:r>
      <w:r w:rsidRPr="003B2EB0">
        <w:t>(Sargent 2019, p. 4).</w:t>
      </w:r>
    </w:p>
    <w:p w14:paraId="5560D972" w14:textId="47300CA7" w:rsidR="00166003" w:rsidRDefault="00166003" w:rsidP="00166003">
      <w:pPr>
        <w:pStyle w:val="BodyText"/>
      </w:pPr>
      <w:r w:rsidRPr="0058412A">
        <w:t xml:space="preserve">Extension services have </w:t>
      </w:r>
      <w:r>
        <w:t>had more limited applications</w:t>
      </w:r>
      <w:r w:rsidRPr="0058412A">
        <w:t xml:space="preserve"> outside of manufacturing and agriculture. However, some of the practices of industry associations may be considered as examples of extension</w:t>
      </w:r>
      <w:r>
        <w:noBreakHyphen/>
      </w:r>
      <w:r w:rsidRPr="0058412A">
        <w:t xml:space="preserve">like services. For example, the Restaurant and Catering Association told the </w:t>
      </w:r>
      <w:r w:rsidR="0019794E">
        <w:t xml:space="preserve">Productivity </w:t>
      </w:r>
      <w:r w:rsidRPr="0058412A">
        <w:t xml:space="preserve">Commission that, among other services, </w:t>
      </w:r>
      <w:r>
        <w:t xml:space="preserve">they </w:t>
      </w:r>
      <w:r w:rsidRPr="0058412A">
        <w:t>help the businesses that reach out to them to identify challenges and solve problems, including translating and providing information about innovations already available in the market</w:t>
      </w:r>
      <w:r>
        <w:t xml:space="preserve"> (R&amp;CA</w:t>
      </w:r>
      <w:r w:rsidRPr="00403BAC">
        <w:t>, pers. comm.</w:t>
      </w:r>
      <w:r w:rsidR="006667A9">
        <w:t>,</w:t>
      </w:r>
      <w:r w:rsidRPr="00403BAC">
        <w:t xml:space="preserve"> </w:t>
      </w:r>
      <w:r>
        <w:t xml:space="preserve">9 June </w:t>
      </w:r>
      <w:r w:rsidRPr="00403BAC">
        <w:t>2022</w:t>
      </w:r>
      <w:r>
        <w:t>)</w:t>
      </w:r>
      <w:r w:rsidRPr="0058412A">
        <w:t>.</w:t>
      </w:r>
      <w:r>
        <w:t xml:space="preserve"> More broadly, there are some not</w:t>
      </w:r>
      <w:r>
        <w:noBreakHyphen/>
        <w:t>for</w:t>
      </w:r>
      <w:r>
        <w:noBreakHyphen/>
        <w:t>profit organisations that provide extension</w:t>
      </w:r>
      <w:r>
        <w:noBreakHyphen/>
        <w:t xml:space="preserve">like services to businesses (sometimes for a fee) as part of their business mentoring programs, including specifically for small businesses </w:t>
      </w:r>
      <w:r w:rsidR="00116531" w:rsidRPr="00116531">
        <w:rPr>
          <w:rFonts w:ascii="Arial" w:hAnsi="Arial" w:cs="Arial"/>
          <w:szCs w:val="24"/>
        </w:rPr>
        <w:t>(SBMS nd)</w:t>
      </w:r>
      <w:r>
        <w:t>.</w:t>
      </w:r>
    </w:p>
    <w:p w14:paraId="7F82BB2F" w14:textId="18EBCC14" w:rsidR="00166003" w:rsidRDefault="00166003" w:rsidP="00166003">
      <w:pPr>
        <w:pStyle w:val="BodyText"/>
      </w:pPr>
      <w:r>
        <w:t>Despite the</w:t>
      </w:r>
      <w:r w:rsidRPr="00271DEB">
        <w:t xml:space="preserve"> mixed results </w:t>
      </w:r>
      <w:r>
        <w:t>of extension services</w:t>
      </w:r>
      <w:r w:rsidRPr="00271DEB">
        <w:t xml:space="preserve"> outside agriculture, given the</w:t>
      </w:r>
      <w:r>
        <w:t>ir</w:t>
      </w:r>
      <w:r w:rsidRPr="00271DEB">
        <w:t xml:space="preserve"> success in agriculture, some variation on this theme is worth considering to better enable the diffusion of innovations and avoid the worst aspects of other forms of industry policy. </w:t>
      </w:r>
      <w:r>
        <w:t>The government should fund a trial of extension services in several other sectors, tailoring the approach depending on what services are relevant for most small businesses in that sector (for example, guidance on adopting commonly available technologies</w:t>
      </w:r>
      <w:r w:rsidR="007A57F2">
        <w:t xml:space="preserve"> and innovations that are widely available in the market</w:t>
      </w:r>
      <w:r>
        <w:t>, rather than advanced technologies that may not be useful for many businesses). Early engagement with businesses in the sector will be important to identify the types of services that would be most beneficial.</w:t>
      </w:r>
    </w:p>
    <w:p w14:paraId="5553F2EF" w14:textId="77777777" w:rsidR="00166003" w:rsidRDefault="00166003" w:rsidP="00166003">
      <w:pPr>
        <w:pStyle w:val="NoSpacing"/>
      </w:pPr>
    </w:p>
    <w:tbl>
      <w:tblPr>
        <w:tblStyle w:val="Texttable-Paleblue"/>
        <w:tblW w:w="5000" w:type="pct"/>
        <w:tblLook w:val="04A0" w:firstRow="1" w:lastRow="0" w:firstColumn="1" w:lastColumn="0" w:noHBand="0" w:noVBand="1"/>
      </w:tblPr>
      <w:tblGrid>
        <w:gridCol w:w="713"/>
        <w:gridCol w:w="8925"/>
      </w:tblGrid>
      <w:tr w:rsidR="00166003" w14:paraId="730FA9FC" w14:textId="77777777" w:rsidTr="00EC7588">
        <w:trPr>
          <w:tblHeader/>
        </w:trPr>
        <w:tc>
          <w:tcPr>
            <w:tcW w:w="709" w:type="dxa"/>
            <w:tcMar>
              <w:top w:w="0" w:type="dxa"/>
              <w:bottom w:w="0" w:type="dxa"/>
            </w:tcMar>
            <w:vAlign w:val="center"/>
          </w:tcPr>
          <w:p w14:paraId="606E96D1" w14:textId="77777777" w:rsidR="00166003" w:rsidRDefault="00166003" w:rsidP="008402C5">
            <w:pPr>
              <w:keepNext/>
              <w:keepLines/>
              <w:jc w:val="center"/>
            </w:pPr>
            <w:r w:rsidRPr="00A51374">
              <w:rPr>
                <w:noProof/>
              </w:rPr>
              <w:lastRenderedPageBreak/>
              <w:drawing>
                <wp:inline distT="0" distB="0" distL="0" distR="0" wp14:anchorId="0E7D6A35" wp14:editId="7C602A3F">
                  <wp:extent cx="288000" cy="28800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D9CB336" w14:textId="6589675D" w:rsidR="00166003" w:rsidRPr="00715040" w:rsidRDefault="00166003" w:rsidP="008402C5">
            <w:pPr>
              <w:pStyle w:val="TableHeading"/>
              <w:keepNext/>
              <w:keepLines/>
              <w:spacing w:before="120" w:after="120"/>
              <w:contextualSpacing/>
              <w:rPr>
                <w:sz w:val="20"/>
              </w:rPr>
            </w:pPr>
            <w:r w:rsidRPr="00715040">
              <w:rPr>
                <w:sz w:val="20"/>
              </w:rPr>
              <w:t xml:space="preserve">Recommendation </w:t>
            </w:r>
            <w:r w:rsidR="007B765F">
              <w:rPr>
                <w:sz w:val="20"/>
              </w:rPr>
              <w:t>5.</w:t>
            </w:r>
            <w:r w:rsidR="007475CD">
              <w:rPr>
                <w:sz w:val="20"/>
              </w:rPr>
              <w:t>3</w:t>
            </w:r>
          </w:p>
          <w:p w14:paraId="4F93C594" w14:textId="13D0E32A" w:rsidR="00166003" w:rsidRPr="00715040" w:rsidRDefault="00A94128" w:rsidP="008402C5">
            <w:pPr>
              <w:pStyle w:val="TableHeading"/>
              <w:keepNext/>
              <w:keepLines/>
              <w:spacing w:before="120" w:after="120"/>
              <w:contextualSpacing/>
              <w:rPr>
                <w:sz w:val="20"/>
              </w:rPr>
            </w:pPr>
            <w:r>
              <w:rPr>
                <w:sz w:val="20"/>
              </w:rPr>
              <w:t>Improving collaborative networks and knowledge transfer</w:t>
            </w:r>
          </w:p>
        </w:tc>
      </w:tr>
      <w:tr w:rsidR="00166003" w14:paraId="0332C45C" w14:textId="77777777" w:rsidTr="00EC7588">
        <w:tc>
          <w:tcPr>
            <w:tcW w:w="9583" w:type="dxa"/>
            <w:gridSpan w:val="2"/>
            <w:tcMar>
              <w:top w:w="0" w:type="dxa"/>
            </w:tcMar>
          </w:tcPr>
          <w:p w14:paraId="3F06414A" w14:textId="62CE1759" w:rsidR="00FA344B" w:rsidRPr="00384515" w:rsidRDefault="00FA344B" w:rsidP="008402C5">
            <w:pPr>
              <w:pStyle w:val="BodyText"/>
              <w:keepNext/>
              <w:keepLines/>
              <w:rPr>
                <w:spacing w:val="-4"/>
              </w:rPr>
            </w:pPr>
            <w:r w:rsidRPr="00384515">
              <w:rPr>
                <w:spacing w:val="-4"/>
              </w:rPr>
              <w:t>Governments could strengthen collaborative networks for diffusion and facilitate knowledge transfer through:</w:t>
            </w:r>
          </w:p>
          <w:p w14:paraId="38018685" w14:textId="1663944E" w:rsidR="00166003" w:rsidRDefault="007B4134" w:rsidP="008402C5">
            <w:pPr>
              <w:pStyle w:val="ListBullet"/>
              <w:keepNext/>
              <w:keepLines/>
            </w:pPr>
            <w:r>
              <w:t>t</w:t>
            </w:r>
            <w:r w:rsidR="00166003" w:rsidRPr="00DE0EAD">
              <w:t>rial</w:t>
            </w:r>
            <w:r w:rsidR="00FA344B">
              <w:t>ling</w:t>
            </w:r>
            <w:r w:rsidR="00166003" w:rsidRPr="00DE0EAD">
              <w:t xml:space="preserve"> </w:t>
            </w:r>
            <w:r w:rsidR="00166003">
              <w:t>government</w:t>
            </w:r>
            <w:r w:rsidR="00A43B86">
              <w:noBreakHyphen/>
            </w:r>
            <w:r w:rsidR="00166003">
              <w:t xml:space="preserve">funded </w:t>
            </w:r>
            <w:r w:rsidR="00166003" w:rsidRPr="00DE0EAD">
              <w:t>extension services</w:t>
            </w:r>
            <w:r w:rsidR="00166003">
              <w:t>, which have so far</w:t>
            </w:r>
            <w:r w:rsidR="00166003" w:rsidRPr="00DE0EAD">
              <w:t xml:space="preserve"> </w:t>
            </w:r>
            <w:r w:rsidR="00166003">
              <w:t xml:space="preserve">been focused on the agriculture industry in Australia, </w:t>
            </w:r>
            <w:r w:rsidR="00166003" w:rsidRPr="00DE0EAD">
              <w:t xml:space="preserve">to support diffusion </w:t>
            </w:r>
            <w:r w:rsidR="00166003">
              <w:t xml:space="preserve">of </w:t>
            </w:r>
            <w:r w:rsidR="00210B66">
              <w:t>technical knowledge</w:t>
            </w:r>
            <w:r w:rsidR="00166003">
              <w:t xml:space="preserve"> </w:t>
            </w:r>
            <w:r w:rsidR="00210B66">
              <w:t xml:space="preserve">and relevant technologies </w:t>
            </w:r>
            <w:r w:rsidR="00166003" w:rsidRPr="00DE0EAD">
              <w:t>in other sectors.</w:t>
            </w:r>
            <w:r w:rsidR="00166003">
              <w:t xml:space="preserve"> The initiative should be tailored by sector depending on </w:t>
            </w:r>
            <w:r w:rsidR="00166003" w:rsidRPr="000849AD">
              <w:t>what services are relevant for most small businesses in that sector</w:t>
            </w:r>
            <w:r w:rsidR="00166003">
              <w:t>, with early engagement between government and businesses to identify the types of services that would be most beneficial</w:t>
            </w:r>
          </w:p>
          <w:p w14:paraId="3BD4AD65" w14:textId="47E5BD56" w:rsidR="00DE7595" w:rsidRDefault="007B4134" w:rsidP="008402C5">
            <w:pPr>
              <w:pStyle w:val="ListBullet"/>
              <w:keepNext/>
              <w:keepLines/>
            </w:pPr>
            <w:r>
              <w:t>r</w:t>
            </w:r>
            <w:r w:rsidR="00DE7595">
              <w:t xml:space="preserve">equiring </w:t>
            </w:r>
            <w:r w:rsidR="00DE7595" w:rsidRPr="00DE7595">
              <w:t xml:space="preserve">open access </w:t>
            </w:r>
            <w:r w:rsidR="00DE7595">
              <w:t xml:space="preserve">for </w:t>
            </w:r>
            <w:r w:rsidR="00DE7595" w:rsidRPr="00DE7595">
              <w:t>government funded research in journals, papers and publications that is currently locked behind paywalls. In implementing this change, the government should compare the benefits and costs of the Chief Scientist’s proposed open access model with the benefits and costs of other potential approaches</w:t>
            </w:r>
          </w:p>
          <w:p w14:paraId="3AF925FA" w14:textId="47932CAE" w:rsidR="00166003" w:rsidRPr="00767EAE" w:rsidRDefault="007B4134" w:rsidP="008402C5">
            <w:pPr>
              <w:pStyle w:val="ListBullet"/>
              <w:keepNext/>
              <w:keepLines/>
            </w:pPr>
            <w:r>
              <w:t>p</w:t>
            </w:r>
            <w:r w:rsidR="00E847F0" w:rsidRPr="00AC4D60">
              <w:t>artner</w:t>
            </w:r>
            <w:r w:rsidR="00E847F0">
              <w:t>ing</w:t>
            </w:r>
            <w:r w:rsidR="00E847F0" w:rsidRPr="00AC4D60">
              <w:t xml:space="preserve"> with </w:t>
            </w:r>
            <w:r w:rsidR="00E847F0">
              <w:t>intermediaries — such as industry associations and other advisory or network bodies — that have existing connections between industry, government, researchers and markets when implementing programs to support diffusion (such as capability development initiatives and extension services). This would enable governments to reach a wider audience with their diffusion initiatives</w:t>
            </w:r>
            <w:r w:rsidR="00A94128">
              <w:t>.</w:t>
            </w:r>
          </w:p>
        </w:tc>
      </w:tr>
      <w:tr w:rsidR="00166003" w14:paraId="1DA643A2" w14:textId="77777777" w:rsidTr="00EC7588">
        <w:tc>
          <w:tcPr>
            <w:tcW w:w="9583" w:type="dxa"/>
            <w:gridSpan w:val="2"/>
            <w:shd w:val="clear" w:color="auto" w:fill="auto"/>
            <w:tcMar>
              <w:top w:w="0" w:type="dxa"/>
              <w:bottom w:w="0" w:type="dxa"/>
            </w:tcMar>
          </w:tcPr>
          <w:p w14:paraId="4DA3BD69" w14:textId="77777777" w:rsidR="00166003" w:rsidRPr="007E0EA8" w:rsidRDefault="00166003" w:rsidP="008402C5">
            <w:pPr>
              <w:pStyle w:val="NoSpacing"/>
              <w:keepNext/>
              <w:keepLines/>
              <w:spacing w:line="200" w:lineRule="exact"/>
            </w:pPr>
          </w:p>
        </w:tc>
      </w:tr>
    </w:tbl>
    <w:p w14:paraId="55C8FE4B" w14:textId="19CABE98" w:rsidR="00557DD7" w:rsidRPr="00103EC0" w:rsidRDefault="00557DD7" w:rsidP="00557DD7">
      <w:pPr>
        <w:pStyle w:val="Heading3"/>
      </w:pPr>
      <w:r>
        <w:t>University</w:t>
      </w:r>
      <w:r w:rsidR="00A43B86">
        <w:noBreakHyphen/>
      </w:r>
      <w:r>
        <w:t xml:space="preserve">industry collaboration </w:t>
      </w:r>
    </w:p>
    <w:p w14:paraId="1AD072D1" w14:textId="541162D7" w:rsidR="00557DD7" w:rsidRDefault="00557DD7" w:rsidP="00557DD7">
      <w:pPr>
        <w:pStyle w:val="BodyText"/>
      </w:pPr>
      <w:r>
        <w:t>University</w:t>
      </w:r>
      <w:r>
        <w:noBreakHyphen/>
        <w:t>industry connections are largely utilised for transferring and commercialising novel innovation. However, linkages with universities can also build absorptive capacity across firms and spread knowledge and skills within and across industries — making the potential for diffusion of innovation higher across the economy. These connections can include:</w:t>
      </w:r>
      <w:r w:rsidRPr="0030291C">
        <w:t xml:space="preserve"> </w:t>
      </w:r>
    </w:p>
    <w:p w14:paraId="49D18129" w14:textId="4271A10D" w:rsidR="00557DD7" w:rsidRPr="00BB73F6" w:rsidRDefault="00557DD7" w:rsidP="00DB73B1">
      <w:pPr>
        <w:pStyle w:val="ListBullet"/>
        <w:rPr>
          <w:spacing w:val="-4"/>
        </w:rPr>
      </w:pPr>
      <w:r w:rsidRPr="00BB73F6">
        <w:rPr>
          <w:spacing w:val="-4"/>
        </w:rPr>
        <w:t>joint R&amp;D conducted between businesses and research institutions, like universities</w:t>
      </w:r>
      <w:r w:rsidR="00DB369D" w:rsidRPr="00BB73F6">
        <w:rPr>
          <w:spacing w:val="-4"/>
        </w:rPr>
        <w:t xml:space="preserve"> (including industry PhDs)</w:t>
      </w:r>
    </w:p>
    <w:p w14:paraId="0554D572" w14:textId="589D5A56" w:rsidR="00557DD7" w:rsidRDefault="00557DD7" w:rsidP="00DB73B1">
      <w:pPr>
        <w:pStyle w:val="ListBullet"/>
      </w:pPr>
      <w:r>
        <w:t>patent licensing</w:t>
      </w:r>
    </w:p>
    <w:p w14:paraId="228D17D6" w14:textId="3BB731BA" w:rsidR="00557DD7" w:rsidRDefault="00557DD7" w:rsidP="00DB73B1">
      <w:pPr>
        <w:pStyle w:val="ListBullet"/>
      </w:pPr>
      <w:r>
        <w:t>the hiring of researchers with graduate training or PhDs who have strong links to universities</w:t>
      </w:r>
    </w:p>
    <w:p w14:paraId="19D820AC" w14:textId="4197DE7F" w:rsidR="00557DD7" w:rsidRDefault="00557DD7" w:rsidP="00DB73B1">
      <w:pPr>
        <w:pStyle w:val="ListBullet"/>
      </w:pPr>
      <w:r>
        <w:t>input into course content, for example by professional bodies</w:t>
      </w:r>
    </w:p>
    <w:p w14:paraId="136A153E" w14:textId="77777777" w:rsidR="00557DD7" w:rsidRDefault="00557DD7" w:rsidP="00DB73B1">
      <w:pPr>
        <w:pStyle w:val="ListBullet"/>
      </w:pPr>
      <w:r>
        <w:t>consulting by academics.</w:t>
      </w:r>
    </w:p>
    <w:p w14:paraId="67BDAC2F" w14:textId="25BB5280" w:rsidR="00557DD7" w:rsidRDefault="00557DD7" w:rsidP="00557DD7">
      <w:pPr>
        <w:pStyle w:val="BodyText"/>
      </w:pPr>
      <w:r>
        <w:t>There is a widely held view that Australian business collaboration with universities is poor.</w:t>
      </w:r>
      <w:r w:rsidRPr="002E227D">
        <w:rPr>
          <w:rStyle w:val="FootnoteReference"/>
        </w:rPr>
        <w:footnoteReference w:id="21"/>
      </w:r>
      <w:r>
        <w:t xml:space="preserve"> Data from the ABS show that, among all innovating firms, collaboration with universities is highest among small businesses (5–19 employees), though levels of collaboration are relatively low overall (figure </w:t>
      </w:r>
      <w:bookmarkStart w:id="104" w:name="_1723876871"/>
      <w:bookmarkStart w:id="105" w:name="_1724049747"/>
      <w:bookmarkStart w:id="106" w:name="_1723884577"/>
      <w:bookmarkStart w:id="107" w:name="_1723642586"/>
      <w:bookmarkStart w:id="108" w:name="_1723983836"/>
      <w:bookmarkEnd w:id="104"/>
      <w:bookmarkEnd w:id="105"/>
      <w:bookmarkEnd w:id="106"/>
      <w:bookmarkEnd w:id="107"/>
      <w:bookmarkEnd w:id="108"/>
      <w:r>
        <w:t>2.1</w:t>
      </w:r>
      <w:r w:rsidR="00A35D6A">
        <w:t>1</w:t>
      </w:r>
      <w:r>
        <w:t>).</w:t>
      </w:r>
      <w:r w:rsidRPr="00894D7C">
        <w:t xml:space="preserve"> </w:t>
      </w:r>
      <w:r>
        <w:t>Similarly, figure </w:t>
      </w:r>
      <w:r w:rsidR="00C173C5">
        <w:t>2.9</w:t>
      </w:r>
      <w:r>
        <w:t xml:space="preserve"> shows that universities play a very minor role as a source of information and ideas about innovation, relative to other channels of information.</w:t>
      </w:r>
    </w:p>
    <w:p w14:paraId="72837DE8" w14:textId="2C0B8AEA" w:rsidR="00557DD7" w:rsidRPr="004B3961" w:rsidRDefault="00557DD7" w:rsidP="00557DD7">
      <w:pPr>
        <w:pStyle w:val="FigureTableHeading"/>
        <w:rPr>
          <w:vertAlign w:val="superscript"/>
        </w:rPr>
      </w:pPr>
      <w:r>
        <w:lastRenderedPageBreak/>
        <w:t>Figure</w:t>
      </w:r>
      <w:bookmarkStart w:id="109" w:name="OLE_LINK6"/>
      <w:bookmarkStart w:id="110" w:name="OLE_LINK15"/>
      <w:r w:rsidR="00A43B86">
        <w:t> </w:t>
      </w:r>
      <w:r>
        <w:rPr>
          <w:noProof/>
        </w:rPr>
        <w:t>2</w:t>
      </w:r>
      <w:r>
        <w:t>.</w:t>
      </w:r>
      <w:r>
        <w:rPr>
          <w:noProof/>
        </w:rPr>
        <w:t>11</w:t>
      </w:r>
      <w:bookmarkEnd w:id="109"/>
      <w:bookmarkEnd w:id="110"/>
      <w:r>
        <w:rPr>
          <w:noProof/>
        </w:rPr>
        <w:t xml:space="preserve"> </w:t>
      </w:r>
      <w:r>
        <w:t>– Small firms collaborate with universities relatively more than larger firms</w:t>
      </w:r>
      <w:r>
        <w:rPr>
          <w:vertAlign w:val="superscript"/>
        </w:rPr>
        <w:t>a</w:t>
      </w:r>
    </w:p>
    <w:p w14:paraId="398230A2" w14:textId="12B88E92" w:rsidR="00557DD7" w:rsidRDefault="00557DD7" w:rsidP="00557DD7">
      <w:pPr>
        <w:pStyle w:val="FigureTableSubheading"/>
        <w:keepLines/>
      </w:pPr>
      <w:r w:rsidRPr="006B014C">
        <w:t xml:space="preserve">Collaboration for </w:t>
      </w:r>
      <w:r>
        <w:t xml:space="preserve">innovation with Australian universities or </w:t>
      </w:r>
      <w:r w:rsidRPr="006141AE">
        <w:t xml:space="preserve">other </w:t>
      </w:r>
      <w:r>
        <w:t>higher education institutions, 2019</w:t>
      </w:r>
      <w:r w:rsidR="000565F7">
        <w:t>–</w:t>
      </w:r>
      <w:r>
        <w:t>21</w:t>
      </w:r>
    </w:p>
    <w:p w14:paraId="52907A5C" w14:textId="77777777" w:rsidR="00557DD7" w:rsidRDefault="00557DD7" w:rsidP="00557DD7">
      <w:pPr>
        <w:pStyle w:val="FigureTableSubheading"/>
        <w:keepLines/>
      </w:pPr>
      <w:r w:rsidRPr="00315CCE">
        <w:rPr>
          <w:noProof/>
        </w:rPr>
        <w:drawing>
          <wp:inline distT="0" distB="0" distL="0" distR="0" wp14:anchorId="3E626031" wp14:editId="659E78EF">
            <wp:extent cx="6120130" cy="2879725"/>
            <wp:effectExtent l="0" t="0" r="0" b="0"/>
            <wp:docPr id="29" name="Picture 29" descr="This figure shows the proportions of innovation-active businesses collaborating with Australian universities or other higher education institutions broken down by firm size in 2019-21. A greater share of small firms collaborates with universities or other higher education institutions than larger firm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figure shows the proportions of innovation-active businesses collaborating with Australian universities or other higher education institutions broken down by firm size in 2019-21. A greater share of small firms collaborates with universities or other higher education institutions than larger firms.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0BB30E84" w14:textId="392D2316" w:rsidR="00557DD7" w:rsidRDefault="00557DD7" w:rsidP="00557DD7">
      <w:pPr>
        <w:pStyle w:val="Note"/>
      </w:pPr>
      <w:r w:rsidRPr="004B3961">
        <w:rPr>
          <w:b/>
          <w:bCs/>
        </w:rPr>
        <w:t>a</w:t>
      </w:r>
      <w:r>
        <w:t>. As a share of innovation</w:t>
      </w:r>
      <w:r w:rsidR="000565F7">
        <w:noBreakHyphen/>
      </w:r>
      <w:r>
        <w:t>active firms</w:t>
      </w:r>
    </w:p>
    <w:p w14:paraId="6F40916D" w14:textId="62655D6D" w:rsidR="00557DD7" w:rsidRDefault="00557DD7" w:rsidP="00557DD7">
      <w:pPr>
        <w:pStyle w:val="Note"/>
      </w:pPr>
      <w:r w:rsidRPr="00696447">
        <w:t>Source:</w:t>
      </w:r>
      <w:r>
        <w:t xml:space="preserve"> ABS (</w:t>
      </w:r>
      <w:r>
        <w:rPr>
          <w:i/>
          <w:iCs/>
        </w:rPr>
        <w:t>Characteristics of Australian Business</w:t>
      </w:r>
      <w:r>
        <w:t xml:space="preserve">, </w:t>
      </w:r>
      <w:r w:rsidRPr="002A684D">
        <w:t>2020</w:t>
      </w:r>
      <w:r w:rsidR="000565F7" w:rsidRPr="002A684D">
        <w:noBreakHyphen/>
      </w:r>
      <w:r w:rsidRPr="002A684D">
        <w:t>21 financial year</w:t>
      </w:r>
      <w:r>
        <w:t>, Cat. no. 8158.0</w:t>
      </w:r>
      <w:r w:rsidR="00F77099">
        <w:t>)</w:t>
      </w:r>
      <w:r>
        <w:t>.</w:t>
      </w:r>
    </w:p>
    <w:p w14:paraId="1B17FAA3" w14:textId="77777777" w:rsidR="00557DD7" w:rsidRDefault="00557DD7" w:rsidP="00557DD7">
      <w:pPr>
        <w:pStyle w:val="Heading4"/>
      </w:pPr>
      <w:r>
        <w:t>Strengthening</w:t>
      </w:r>
      <w:r w:rsidRPr="001B3999">
        <w:t xml:space="preserve"> </w:t>
      </w:r>
      <w:r>
        <w:t>industry connections with</w:t>
      </w:r>
      <w:r w:rsidRPr="001B3999">
        <w:t xml:space="preserve"> universities </w:t>
      </w:r>
      <w:r>
        <w:t>should look beyond direct commercialisation</w:t>
      </w:r>
    </w:p>
    <w:p w14:paraId="01F6F265" w14:textId="77777777" w:rsidR="00557DD7" w:rsidRDefault="00557DD7" w:rsidP="00557DD7">
      <w:pPr>
        <w:pStyle w:val="BodyText"/>
      </w:pPr>
      <w:r>
        <w:t xml:space="preserve">Low levels of engagement between firms and </w:t>
      </w:r>
      <w:r w:rsidRPr="0030291C">
        <w:t>universities</w:t>
      </w:r>
      <w:r>
        <w:t xml:space="preserve"> may reflect the relatively less common, new</w:t>
      </w:r>
      <w:r>
        <w:noBreakHyphen/>
        <w:t>to</w:t>
      </w:r>
      <w:r>
        <w:noBreakHyphen/>
        <w:t>the</w:t>
      </w:r>
      <w:r>
        <w:noBreakHyphen/>
        <w:t>world research and innovation that is typically done in collaboration with</w:t>
      </w:r>
      <w:r w:rsidRPr="00BA77DD">
        <w:t xml:space="preserve"> </w:t>
      </w:r>
      <w:r w:rsidRPr="0030291C">
        <w:t xml:space="preserve">universities </w:t>
      </w:r>
      <w:r>
        <w:t>(</w:t>
      </w:r>
      <w:r w:rsidRPr="0030291C">
        <w:t xml:space="preserve">and </w:t>
      </w:r>
      <w:r>
        <w:t xml:space="preserve">with </w:t>
      </w:r>
      <w:r w:rsidRPr="0030291C">
        <w:t xml:space="preserve">other </w:t>
      </w:r>
      <w:r>
        <w:t>government and private not</w:t>
      </w:r>
      <w:r>
        <w:noBreakHyphen/>
        <w:t>for</w:t>
      </w:r>
      <w:r>
        <w:noBreakHyphen/>
        <w:t xml:space="preserve">profit </w:t>
      </w:r>
      <w:r w:rsidRPr="0030291C">
        <w:t>research institutions</w:t>
      </w:r>
      <w:r>
        <w:t xml:space="preserve">). </w:t>
      </w:r>
    </w:p>
    <w:p w14:paraId="79BDC27D" w14:textId="07409D63" w:rsidR="00557DD7" w:rsidRPr="00BB73F6" w:rsidRDefault="00166D6C" w:rsidP="00557DD7">
      <w:pPr>
        <w:pStyle w:val="BodyText"/>
        <w:rPr>
          <w:spacing w:val="-4"/>
        </w:rPr>
      </w:pPr>
      <w:r w:rsidRPr="00BB73F6">
        <w:rPr>
          <w:spacing w:val="-4"/>
        </w:rPr>
        <w:t>However, i</w:t>
      </w:r>
      <w:r w:rsidR="00557DD7" w:rsidRPr="00BB73F6">
        <w:rPr>
          <w:spacing w:val="-4"/>
        </w:rPr>
        <w:t xml:space="preserve">t may also reflect a narrow view of the ways that firms can leverage university expertise and research — one that treats university knowledge transfer as synonymous with research </w:t>
      </w:r>
      <w:r w:rsidR="00557DD7" w:rsidRPr="00BB73F6">
        <w:rPr>
          <w:i/>
          <w:spacing w:val="-4"/>
        </w:rPr>
        <w:t>commercialisation</w:t>
      </w:r>
      <w:r w:rsidR="00557DD7" w:rsidRPr="00BB73F6">
        <w:rPr>
          <w:spacing w:val="-4"/>
        </w:rPr>
        <w:t xml:space="preserve">. For example, the recent University Research Commercialisation Action Plan (the Action Plan) </w:t>
      </w:r>
      <w:r w:rsidR="00557DD7" w:rsidRPr="00BB73F6">
        <w:rPr>
          <w:rFonts w:cs="Arial"/>
          <w:spacing w:val="-4"/>
          <w:szCs w:val="24"/>
        </w:rPr>
        <w:t>(DESE 2022d)</w:t>
      </w:r>
      <w:r w:rsidR="00557DD7" w:rsidRPr="00BB73F6">
        <w:rPr>
          <w:spacing w:val="-4"/>
        </w:rPr>
        <w:t xml:space="preserve"> highlighted some barriers to university knowledge transfer</w:t>
      </w:r>
      <w:r w:rsidR="00825145" w:rsidRPr="00BB73F6">
        <w:rPr>
          <w:spacing w:val="-4"/>
        </w:rPr>
        <w:t>. However</w:t>
      </w:r>
      <w:r w:rsidR="00557DD7" w:rsidRPr="00BB73F6">
        <w:rPr>
          <w:spacing w:val="-4"/>
        </w:rPr>
        <w:t>, measures introduced in the Action Plan are designed to increase university research commercialisation by addressing (primarily) university and researcher disincentives and barriers to university</w:t>
      </w:r>
      <w:r w:rsidR="000565F7" w:rsidRPr="00BB73F6">
        <w:rPr>
          <w:spacing w:val="-4"/>
        </w:rPr>
        <w:noBreakHyphen/>
      </w:r>
      <w:r w:rsidR="00557DD7" w:rsidRPr="00BB73F6">
        <w:rPr>
          <w:spacing w:val="-4"/>
        </w:rPr>
        <w:t>industry collaboration, focused on advanced manufacturing.</w:t>
      </w:r>
    </w:p>
    <w:p w14:paraId="7FDB1F48" w14:textId="61631E60" w:rsidR="00557DD7" w:rsidRPr="00CC71DE" w:rsidRDefault="00A743D0" w:rsidP="00557DD7">
      <w:pPr>
        <w:pStyle w:val="BodyText"/>
        <w:rPr>
          <w:spacing w:val="-4"/>
        </w:rPr>
      </w:pPr>
      <w:r w:rsidRPr="00CC71DE">
        <w:rPr>
          <w:spacing w:val="-4"/>
        </w:rPr>
        <w:t>In fact,</w:t>
      </w:r>
      <w:r w:rsidR="00557DD7" w:rsidRPr="00CC71DE">
        <w:rPr>
          <w:spacing w:val="-4"/>
        </w:rPr>
        <w:t xml:space="preserve"> the channels for knowledge transfer are considerably broader, including not just commercialisation activities, such as IP licensing and academic spin</w:t>
      </w:r>
      <w:r w:rsidR="000565F7" w:rsidRPr="00CC71DE">
        <w:rPr>
          <w:spacing w:val="-4"/>
        </w:rPr>
        <w:noBreakHyphen/>
      </w:r>
      <w:r w:rsidR="00557DD7" w:rsidRPr="00CC71DE">
        <w:rPr>
          <w:spacing w:val="-4"/>
        </w:rPr>
        <w:t xml:space="preserve">offs, but also knowledge transfer through labour mobility and consulting, as well as spillovers from conferences and networking </w:t>
      </w:r>
      <w:r w:rsidR="00116531" w:rsidRPr="00CC71DE">
        <w:rPr>
          <w:rFonts w:cs="Arial"/>
          <w:spacing w:val="-4"/>
          <w:szCs w:val="24"/>
        </w:rPr>
        <w:t>(OECD 2019b, p. 32)</w:t>
      </w:r>
      <w:r w:rsidR="00557DD7" w:rsidRPr="00CC71DE">
        <w:rPr>
          <w:spacing w:val="-4"/>
        </w:rPr>
        <w:t xml:space="preserve">.The importance of these channels can differ across fields of research, types of institutions and sectors, as certain kinds of research and types of knowledge are better suited to specific transfer activities </w:t>
      </w:r>
      <w:r w:rsidR="00557DD7" w:rsidRPr="00CC71DE">
        <w:rPr>
          <w:rFonts w:cs="Arial"/>
          <w:spacing w:val="-4"/>
          <w:szCs w:val="24"/>
        </w:rPr>
        <w:t>(Hughes et al. 2021, pp. 25–36)</w:t>
      </w:r>
      <w:r w:rsidR="00557DD7" w:rsidRPr="00CC71DE">
        <w:rPr>
          <w:spacing w:val="-4"/>
        </w:rPr>
        <w:t xml:space="preserve">. Moreover, being overly focussed on measures that only capture a single channel of knowledge transfer may </w:t>
      </w:r>
      <w:r w:rsidR="00312F29" w:rsidRPr="00CC71DE">
        <w:rPr>
          <w:spacing w:val="-4"/>
        </w:rPr>
        <w:t>miss other types of</w:t>
      </w:r>
      <w:r w:rsidR="00557DD7" w:rsidRPr="00CC71DE">
        <w:rPr>
          <w:spacing w:val="-4"/>
        </w:rPr>
        <w:t xml:space="preserve"> knowledge transfer and can fail to support the relative strengths of different institutions. For example, regional and technical universities report valuing their ongoing relationships with firms and industries as a pathway for students, joint research and collaboration over more traditional commercialisation activities.</w:t>
      </w:r>
    </w:p>
    <w:p w14:paraId="4624C319" w14:textId="48B9A5B5" w:rsidR="00557DD7" w:rsidRPr="00F82BD9" w:rsidRDefault="00557DD7" w:rsidP="00642DA4">
      <w:pPr>
        <w:pStyle w:val="BodyText"/>
      </w:pPr>
      <w:r>
        <w:t>There is considerable scope to strengthen</w:t>
      </w:r>
      <w:r w:rsidRPr="001B3999">
        <w:t xml:space="preserve"> </w:t>
      </w:r>
      <w:r>
        <w:t>connections between businesses and</w:t>
      </w:r>
      <w:r w:rsidRPr="001B3999">
        <w:t xml:space="preserve"> universities</w:t>
      </w:r>
      <w:r>
        <w:t>. As discussed in section</w:t>
      </w:r>
      <w:r w:rsidR="000565F7">
        <w:t> </w:t>
      </w:r>
      <w:r>
        <w:t>2.3, clearer pathways into industry for early</w:t>
      </w:r>
      <w:r>
        <w:noBreakHyphen/>
        <w:t>career researchers holds considerable potential. But mid</w:t>
      </w:r>
      <w:r w:rsidR="000565F7">
        <w:noBreakHyphen/>
      </w:r>
      <w:r>
        <w:t xml:space="preserve"> and l</w:t>
      </w:r>
      <w:r w:rsidRPr="00C7605E">
        <w:t>ate</w:t>
      </w:r>
      <w:r>
        <w:noBreakHyphen/>
      </w:r>
      <w:r w:rsidRPr="00C7605E">
        <w:t>career academic</w:t>
      </w:r>
      <w:r>
        <w:t>s</w:t>
      </w:r>
      <w:r w:rsidRPr="00C7605E">
        <w:t xml:space="preserve"> could also be a valuable channel for the diffusion of </w:t>
      </w:r>
      <w:proofErr w:type="gramStart"/>
      <w:r w:rsidRPr="00C7605E">
        <w:t>innovation</w:t>
      </w:r>
      <w:r>
        <w:t>,</w:t>
      </w:r>
      <w:r w:rsidRPr="00C7605E">
        <w:t xml:space="preserve"> if</w:t>
      </w:r>
      <w:proofErr w:type="gramEnd"/>
      <w:r w:rsidRPr="00C7605E">
        <w:t xml:space="preserve"> </w:t>
      </w:r>
      <w:r w:rsidRPr="00C7605E">
        <w:lastRenderedPageBreak/>
        <w:t xml:space="preserve">appropriate linkages between industry </w:t>
      </w:r>
      <w:r w:rsidR="00AD2726">
        <w:t xml:space="preserve">and </w:t>
      </w:r>
      <w:r w:rsidRPr="00C7605E">
        <w:t xml:space="preserve">them can be created. </w:t>
      </w:r>
      <w:r w:rsidR="00AD2726">
        <w:t>One possible channel is</w:t>
      </w:r>
      <w:r w:rsidRPr="00C7605E">
        <w:t xml:space="preserve"> academic consulting with private industry</w:t>
      </w:r>
      <w:r w:rsidR="00642DA4">
        <w:t xml:space="preserve"> (and government)</w:t>
      </w:r>
      <w:r w:rsidRPr="00C7605E">
        <w:t xml:space="preserve">, </w:t>
      </w:r>
      <w:r>
        <w:t>al</w:t>
      </w:r>
      <w:r w:rsidRPr="00C7605E">
        <w:t xml:space="preserve">though </w:t>
      </w:r>
      <w:r>
        <w:t xml:space="preserve">complex approval processes and </w:t>
      </w:r>
      <w:r w:rsidR="00096B33">
        <w:t>procedures</w:t>
      </w:r>
      <w:r>
        <w:t xml:space="preserve"> may reduce the incentives for academics to seek out opportunities </w:t>
      </w:r>
      <w:r w:rsidR="00A5727E">
        <w:t>for consulting</w:t>
      </w:r>
      <w:r w:rsidRPr="00C7605E">
        <w:t xml:space="preserve"> (box</w:t>
      </w:r>
      <w:r>
        <w:t> </w:t>
      </w:r>
      <w:r w:rsidR="00CA649F">
        <w:t>2.</w:t>
      </w:r>
      <w:r w:rsidR="00135A19">
        <w:t>7</w:t>
      </w:r>
      <w:r w:rsidR="00344B85">
        <w:t>).</w:t>
      </w:r>
      <w:r w:rsidR="006B30B9">
        <w:t xml:space="preserve"> </w:t>
      </w:r>
    </w:p>
    <w:p w14:paraId="49056B5A" w14:textId="77777777" w:rsidR="00DB73B1" w:rsidRPr="00F82BD9" w:rsidRDefault="00DB73B1" w:rsidP="00DB73B1">
      <w:pPr>
        <w:pStyle w:val="NoSpacing"/>
      </w:pPr>
    </w:p>
    <w:tbl>
      <w:tblPr>
        <w:tblStyle w:val="Boxtable"/>
        <w:tblW w:w="5000" w:type="pct"/>
        <w:tblLook w:val="04A0" w:firstRow="1" w:lastRow="0" w:firstColumn="1" w:lastColumn="0" w:noHBand="0" w:noVBand="1"/>
      </w:tblPr>
      <w:tblGrid>
        <w:gridCol w:w="9638"/>
      </w:tblGrid>
      <w:tr w:rsidR="00557DD7" w14:paraId="1A8D230E" w14:textId="77777777" w:rsidTr="00C426E9">
        <w:trPr>
          <w:tblHeader/>
        </w:trPr>
        <w:tc>
          <w:tcPr>
            <w:tcW w:w="9638" w:type="dxa"/>
            <w:tcMar>
              <w:top w:w="170" w:type="dxa"/>
              <w:left w:w="170" w:type="dxa"/>
              <w:bottom w:w="113" w:type="dxa"/>
              <w:right w:w="170" w:type="dxa"/>
            </w:tcMar>
            <w:hideMark/>
          </w:tcPr>
          <w:p w14:paraId="0B5D6F8D" w14:textId="169F2A55" w:rsidR="00557DD7" w:rsidRDefault="00557DD7" w:rsidP="00C426E9">
            <w:pPr>
              <w:pStyle w:val="BoxHeading1"/>
            </w:pPr>
            <w:r>
              <w:t>Box</w:t>
            </w:r>
            <w:bookmarkStart w:id="111" w:name="OLE_LINK7"/>
            <w:r w:rsidR="00A43B86">
              <w:t> </w:t>
            </w:r>
            <w:r>
              <w:rPr>
                <w:noProof/>
              </w:rPr>
              <w:t>2</w:t>
            </w:r>
            <w:bookmarkEnd w:id="111"/>
            <w:r>
              <w:t>.</w:t>
            </w:r>
            <w:r w:rsidR="00135A19">
              <w:t>7</w:t>
            </w:r>
            <w:r>
              <w:t xml:space="preserve"> – Barriers to academic consulting </w:t>
            </w:r>
          </w:p>
        </w:tc>
      </w:tr>
      <w:tr w:rsidR="00557DD7" w14:paraId="3AEDF205" w14:textId="77777777" w:rsidTr="00C426E9">
        <w:tc>
          <w:tcPr>
            <w:tcW w:w="9638" w:type="dxa"/>
            <w:tcMar>
              <w:top w:w="28" w:type="dxa"/>
              <w:left w:w="170" w:type="dxa"/>
              <w:bottom w:w="170" w:type="dxa"/>
              <w:right w:w="170" w:type="dxa"/>
            </w:tcMar>
            <w:hideMark/>
          </w:tcPr>
          <w:p w14:paraId="03306917" w14:textId="3E5D2F63" w:rsidR="00B05E8B" w:rsidRDefault="00B05E8B" w:rsidP="00B05E8B">
            <w:pPr>
              <w:pStyle w:val="BodyText"/>
            </w:pPr>
            <w:r>
              <w:t>Academic consulting is a channel for universities to engage with and transfer knowledge to industry and government</w:t>
            </w:r>
            <w:r w:rsidR="00E90DA9">
              <w:t>s</w:t>
            </w:r>
            <w:r>
              <w:t xml:space="preserve">, and to transfer insights from social science </w:t>
            </w:r>
            <w:proofErr w:type="gramStart"/>
            <w:r>
              <w:t>research in particular</w:t>
            </w:r>
            <w:proofErr w:type="gramEnd"/>
            <w:r>
              <w:t xml:space="preserve"> </w:t>
            </w:r>
            <w:r w:rsidR="00116531" w:rsidRPr="00116531">
              <w:rPr>
                <w:rFonts w:ascii="Arial" w:hAnsi="Arial" w:cs="Arial"/>
                <w:szCs w:val="24"/>
              </w:rPr>
              <w:t>(OECD 2019b, p. 62)</w:t>
            </w:r>
            <w:r>
              <w:t>.</w:t>
            </w:r>
          </w:p>
          <w:p w14:paraId="733C3DDE" w14:textId="5AB30B0D" w:rsidR="00B05E8B" w:rsidRDefault="00B05E8B" w:rsidP="00B05E8B">
            <w:pPr>
              <w:pStyle w:val="BodyText"/>
            </w:pPr>
            <w:r>
              <w:t xml:space="preserve">However, consultancy procedures and approval processes may increase transaction costs associated with consultancies and reduce the incentives of academics to engage in them. This may arise as a result of a preference for consultancies to be provided through the university rather than privately by </w:t>
            </w:r>
            <w:proofErr w:type="gramStart"/>
            <w:r>
              <w:t>academics.</w:t>
            </w:r>
            <w:r w:rsidR="00715228" w:rsidRPr="00715228">
              <w:rPr>
                <w:b/>
                <w:bCs/>
                <w:vertAlign w:val="superscript"/>
              </w:rPr>
              <w:t>a</w:t>
            </w:r>
            <w:proofErr w:type="gramEnd"/>
            <w:r>
              <w:t xml:space="preserve"> Conducting consultancies through </w:t>
            </w:r>
            <w:r w:rsidR="00A5727E">
              <w:t xml:space="preserve">the </w:t>
            </w:r>
            <w:r>
              <w:t>university has advantages. For example, staff may be covered by the university’s professional indemnity insurance policies</w:t>
            </w:r>
            <w:r w:rsidR="00385619">
              <w:t xml:space="preserve"> </w:t>
            </w:r>
            <w:r w:rsidR="00826631" w:rsidRPr="00826631">
              <w:rPr>
                <w:rFonts w:ascii="Arial" w:hAnsi="Arial" w:cs="Arial"/>
                <w:szCs w:val="24"/>
              </w:rPr>
              <w:t>(for example, Monash University 2022)</w:t>
            </w:r>
            <w:r>
              <w:t>; be able to use their professional title and university position; and use the university’s facilities and resources. However, the involvement of a university contracting office</w:t>
            </w:r>
            <w:r w:rsidR="00C52791">
              <w:t xml:space="preserve"> or legal teams</w:t>
            </w:r>
            <w:r>
              <w:t xml:space="preserve"> may lead to time delays</w:t>
            </w:r>
            <w:r w:rsidR="00936D73">
              <w:t xml:space="preserve"> </w:t>
            </w:r>
            <w:r w:rsidR="00936D73" w:rsidRPr="00936D73">
              <w:rPr>
                <w:rFonts w:ascii="Arial" w:hAnsi="Arial" w:cs="Arial"/>
                <w:szCs w:val="24"/>
              </w:rPr>
              <w:t>(Verreynne, Torres de Oliverira and Mention 2021, p. 11)</w:t>
            </w:r>
            <w:r>
              <w:t xml:space="preserve">. Further, </w:t>
            </w:r>
            <w:r w:rsidR="003604A2" w:rsidRPr="003604A2">
              <w:t xml:space="preserve">academics who consult through the university may receive only a small share of the </w:t>
            </w:r>
            <w:r w:rsidR="003604A2">
              <w:t xml:space="preserve">consulting </w:t>
            </w:r>
            <w:proofErr w:type="gramStart"/>
            <w:r w:rsidR="003604A2" w:rsidRPr="003604A2">
              <w:t>fees, and</w:t>
            </w:r>
            <w:proofErr w:type="gramEnd"/>
            <w:r w:rsidR="003604A2" w:rsidRPr="003604A2">
              <w:t xml:space="preserve"> may be restricted to using their share of fees on their academic research expenses</w:t>
            </w:r>
            <w:r w:rsidR="003604A2">
              <w:t>, which could</w:t>
            </w:r>
            <w:r>
              <w:t xml:space="preserve"> also reduce </w:t>
            </w:r>
            <w:r w:rsidR="00A10520">
              <w:t>their</w:t>
            </w:r>
            <w:r>
              <w:t xml:space="preserve"> incentives to seek out</w:t>
            </w:r>
            <w:r w:rsidR="003604A2">
              <w:t xml:space="preserve"> consulting opportunities</w:t>
            </w:r>
            <w:r>
              <w:t>.</w:t>
            </w:r>
          </w:p>
          <w:p w14:paraId="691E556D" w14:textId="21E073AC" w:rsidR="00B05E8B" w:rsidRPr="00FE4483" w:rsidRDefault="00953EC3" w:rsidP="00B05E8B">
            <w:pPr>
              <w:pStyle w:val="BodyText"/>
              <w:rPr>
                <w:spacing w:val="-4"/>
              </w:rPr>
            </w:pPr>
            <w:r w:rsidRPr="00FE4483">
              <w:rPr>
                <w:spacing w:val="-4"/>
              </w:rPr>
              <w:t>A</w:t>
            </w:r>
            <w:r w:rsidR="00F64EBE" w:rsidRPr="00FE4483">
              <w:rPr>
                <w:spacing w:val="-4"/>
              </w:rPr>
              <w:t xml:space="preserve">cademics and </w:t>
            </w:r>
            <w:r w:rsidR="009B2DF9" w:rsidRPr="00FE4483">
              <w:rPr>
                <w:spacing w:val="-4"/>
              </w:rPr>
              <w:t xml:space="preserve">firms may </w:t>
            </w:r>
            <w:r w:rsidRPr="00FE4483">
              <w:rPr>
                <w:spacing w:val="-4"/>
              </w:rPr>
              <w:t xml:space="preserve">prefer to contract directly for consultancy or advisory services. </w:t>
            </w:r>
            <w:r w:rsidR="00B05E8B" w:rsidRPr="00FE4483">
              <w:rPr>
                <w:spacing w:val="-4"/>
              </w:rPr>
              <w:t xml:space="preserve">Universities generally allow academics to engage in private consulting (also referred to as paid outside work) for up to 52 days in a year </w:t>
            </w:r>
            <w:r w:rsidR="00492AD4" w:rsidRPr="00FE4483">
              <w:rPr>
                <w:spacing w:val="-4"/>
              </w:rPr>
              <w:t xml:space="preserve">or </w:t>
            </w:r>
            <w:r w:rsidR="00B05E8B" w:rsidRPr="00FE4483">
              <w:rPr>
                <w:spacing w:val="-4"/>
              </w:rPr>
              <w:t>20</w:t>
            </w:r>
            <w:r w:rsidR="00E94315">
              <w:rPr>
                <w:spacing w:val="-4"/>
              </w:rPr>
              <w:t>%</w:t>
            </w:r>
            <w:r w:rsidR="00B05E8B" w:rsidRPr="00FE4483">
              <w:rPr>
                <w:spacing w:val="-4"/>
              </w:rPr>
              <w:t xml:space="preserve"> of their time.</w:t>
            </w:r>
            <w:r w:rsidR="00CB69F8" w:rsidRPr="00FE4483">
              <w:rPr>
                <w:b/>
                <w:bCs/>
                <w:spacing w:val="-4"/>
                <w:vertAlign w:val="superscript"/>
              </w:rPr>
              <w:t>b</w:t>
            </w:r>
            <w:r w:rsidR="00B05E8B" w:rsidRPr="00FE4483">
              <w:rPr>
                <w:spacing w:val="-4"/>
              </w:rPr>
              <w:t xml:space="preserve"> However, associated conditions and procedures </w:t>
            </w:r>
            <w:r w:rsidR="007838C6" w:rsidRPr="00FE4483">
              <w:rPr>
                <w:spacing w:val="-4"/>
              </w:rPr>
              <w:t xml:space="preserve">— </w:t>
            </w:r>
            <w:r w:rsidR="00A241FE" w:rsidRPr="00FE4483">
              <w:rPr>
                <w:spacing w:val="-4"/>
              </w:rPr>
              <w:t xml:space="preserve">which are intended to </w:t>
            </w:r>
            <w:r w:rsidR="000B4CAE" w:rsidRPr="00FE4483">
              <w:rPr>
                <w:spacing w:val="-4"/>
              </w:rPr>
              <w:t>ensure</w:t>
            </w:r>
            <w:r w:rsidR="00381A66" w:rsidRPr="00FE4483">
              <w:rPr>
                <w:spacing w:val="-4"/>
              </w:rPr>
              <w:t xml:space="preserve"> that</w:t>
            </w:r>
            <w:r w:rsidR="000B4CAE" w:rsidRPr="00FE4483">
              <w:rPr>
                <w:spacing w:val="-4"/>
              </w:rPr>
              <w:t xml:space="preserve"> </w:t>
            </w:r>
            <w:r w:rsidR="00381A66" w:rsidRPr="00FE4483">
              <w:rPr>
                <w:spacing w:val="-4"/>
              </w:rPr>
              <w:t xml:space="preserve">academic </w:t>
            </w:r>
            <w:r w:rsidR="000B4CAE" w:rsidRPr="00FE4483">
              <w:rPr>
                <w:spacing w:val="-4"/>
              </w:rPr>
              <w:t xml:space="preserve">staff </w:t>
            </w:r>
            <w:r w:rsidR="00381A66" w:rsidRPr="00FE4483">
              <w:rPr>
                <w:spacing w:val="-4"/>
              </w:rPr>
              <w:t>fulfil their</w:t>
            </w:r>
            <w:r w:rsidR="000B4CAE" w:rsidRPr="00FE4483">
              <w:rPr>
                <w:spacing w:val="-4"/>
              </w:rPr>
              <w:t xml:space="preserve"> obligations to the university</w:t>
            </w:r>
            <w:r w:rsidR="00224482" w:rsidRPr="00FE4483">
              <w:rPr>
                <w:spacing w:val="-4"/>
              </w:rPr>
              <w:t xml:space="preserve"> and</w:t>
            </w:r>
            <w:r w:rsidR="000B4CAE" w:rsidRPr="00FE4483">
              <w:rPr>
                <w:spacing w:val="-4"/>
              </w:rPr>
              <w:t xml:space="preserve"> </w:t>
            </w:r>
            <w:r w:rsidR="00381A66" w:rsidRPr="00FE4483">
              <w:rPr>
                <w:spacing w:val="-4"/>
              </w:rPr>
              <w:t>limit</w:t>
            </w:r>
            <w:r w:rsidR="000B4CAE" w:rsidRPr="00FE4483">
              <w:rPr>
                <w:spacing w:val="-4"/>
              </w:rPr>
              <w:t xml:space="preserve"> any risk to the university</w:t>
            </w:r>
            <w:r w:rsidR="00381A66" w:rsidRPr="00FE4483">
              <w:rPr>
                <w:spacing w:val="-4"/>
              </w:rPr>
              <w:t xml:space="preserve"> — </w:t>
            </w:r>
            <w:r w:rsidR="00B05E8B" w:rsidRPr="00FE4483">
              <w:rPr>
                <w:spacing w:val="-4"/>
              </w:rPr>
              <w:t xml:space="preserve">may </w:t>
            </w:r>
            <w:r w:rsidR="00564AD3" w:rsidRPr="00FE4483">
              <w:rPr>
                <w:spacing w:val="-4"/>
              </w:rPr>
              <w:t>reduce academic</w:t>
            </w:r>
            <w:r w:rsidR="00280B3F" w:rsidRPr="00FE4483">
              <w:rPr>
                <w:spacing w:val="-4"/>
              </w:rPr>
              <w:t>s’</w:t>
            </w:r>
            <w:r w:rsidR="00564AD3" w:rsidRPr="00FE4483">
              <w:rPr>
                <w:spacing w:val="-4"/>
              </w:rPr>
              <w:t xml:space="preserve"> incentives </w:t>
            </w:r>
            <w:r w:rsidR="00280B3F" w:rsidRPr="00FE4483">
              <w:rPr>
                <w:spacing w:val="-4"/>
              </w:rPr>
              <w:t>to pursue</w:t>
            </w:r>
            <w:r w:rsidR="00B05E8B" w:rsidRPr="00FE4483">
              <w:rPr>
                <w:spacing w:val="-4"/>
              </w:rPr>
              <w:t xml:space="preserve"> private consultancies as a knowledge transfer channel</w:t>
            </w:r>
            <w:r w:rsidR="006816EB">
              <w:rPr>
                <w:spacing w:val="-4"/>
              </w:rPr>
              <w:t xml:space="preserve"> through</w:t>
            </w:r>
            <w:r w:rsidR="00B05E8B" w:rsidRPr="00FE4483">
              <w:rPr>
                <w:spacing w:val="-4"/>
              </w:rPr>
              <w:t>:</w:t>
            </w:r>
          </w:p>
          <w:p w14:paraId="4BC01708" w14:textId="657ACF0B" w:rsidR="00B05E8B" w:rsidRDefault="000E4100" w:rsidP="00B05E8B">
            <w:pPr>
              <w:pStyle w:val="ListBullet"/>
            </w:pPr>
            <w:r>
              <w:t>a</w:t>
            </w:r>
            <w:r w:rsidR="00B05E8B">
              <w:t>pproval processes</w:t>
            </w:r>
            <w:r w:rsidR="00992584">
              <w:t>, such as requiring approval</w:t>
            </w:r>
            <w:r w:rsidR="000E1913">
              <w:t xml:space="preserve"> above the level of the Head of Unit</w:t>
            </w:r>
            <w:r w:rsidR="00992584">
              <w:t xml:space="preserve">. For example, Monash University </w:t>
            </w:r>
            <w:r w:rsidR="00E87D7F">
              <w:t xml:space="preserve">requires </w:t>
            </w:r>
            <w:r w:rsidR="001F37D6">
              <w:t>that paid outside work be approved by th</w:t>
            </w:r>
            <w:r w:rsidR="001F37D6" w:rsidRPr="001F37D6">
              <w:t>e Sub</w:t>
            </w:r>
            <w:r w:rsidR="000565F7">
              <w:noBreakHyphen/>
            </w:r>
            <w:r w:rsidR="001F37D6" w:rsidRPr="001F37D6">
              <w:t>Faculty Dean or Head of School/Institute (MNHS), Dean or Executive Director (or delegate)</w:t>
            </w:r>
            <w:r w:rsidR="001F37D6">
              <w:t xml:space="preserve"> </w:t>
            </w:r>
            <w:r w:rsidR="003B5ADA" w:rsidRPr="003B5ADA">
              <w:rPr>
                <w:rFonts w:ascii="Arial" w:hAnsi="Arial" w:cs="Arial"/>
                <w:szCs w:val="24"/>
              </w:rPr>
              <w:t>(Monash University 2022)</w:t>
            </w:r>
          </w:p>
          <w:p w14:paraId="28E05FFA" w14:textId="3AB8D825" w:rsidR="00766403" w:rsidRDefault="000E4100" w:rsidP="00D101DA">
            <w:pPr>
              <w:pStyle w:val="ListBullet"/>
            </w:pPr>
            <w:r>
              <w:t>p</w:t>
            </w:r>
            <w:r w:rsidR="00B05E8B">
              <w:t>rohibitions on using university titles or positions</w:t>
            </w:r>
            <w:r w:rsidR="00BE713E">
              <w:t xml:space="preserve">. For example, </w:t>
            </w:r>
            <w:r w:rsidR="00DF6D0F">
              <w:t xml:space="preserve">the University of Western Australia’s Consultancy Policy prohibits </w:t>
            </w:r>
            <w:r w:rsidR="00EC6825">
              <w:t xml:space="preserve">private consultancies from </w:t>
            </w:r>
            <w:r w:rsidR="00EC6825" w:rsidRPr="00EC6825">
              <w:t>mak</w:t>
            </w:r>
            <w:r w:rsidR="00EC6825">
              <w:t>ing</w:t>
            </w:r>
            <w:r w:rsidR="00EC6825" w:rsidRPr="00EC6825">
              <w:t xml:space="preserve"> use of a </w:t>
            </w:r>
            <w:proofErr w:type="gramStart"/>
            <w:r w:rsidR="00EC6825" w:rsidRPr="00EC6825">
              <w:t>University</w:t>
            </w:r>
            <w:proofErr w:type="gramEnd"/>
            <w:r w:rsidR="00EC6825" w:rsidRPr="00EC6825">
              <w:t xml:space="preserve"> position or professorial title</w:t>
            </w:r>
            <w:r w:rsidR="00EC6825">
              <w:t xml:space="preserve"> </w:t>
            </w:r>
            <w:r w:rsidR="00116531" w:rsidRPr="00116531">
              <w:rPr>
                <w:rFonts w:ascii="Arial" w:hAnsi="Arial" w:cs="Arial"/>
                <w:szCs w:val="24"/>
              </w:rPr>
              <w:t>(UWA 2021)</w:t>
            </w:r>
            <w:r w:rsidR="00E70231">
              <w:t xml:space="preserve">; </w:t>
            </w:r>
            <w:r w:rsidR="00BE713E">
              <w:t xml:space="preserve">the University of Queensland (UQ) </w:t>
            </w:r>
            <w:r w:rsidR="00BE713E" w:rsidRPr="00611B2B">
              <w:t xml:space="preserve">prohibits academics from using their position or association with UQ as the basis for obtaining </w:t>
            </w:r>
            <w:r w:rsidR="000565F7">
              <w:t>‘</w:t>
            </w:r>
            <w:r w:rsidR="00BE713E" w:rsidRPr="00611B2B">
              <w:t>secondary work</w:t>
            </w:r>
            <w:r w:rsidR="000565F7">
              <w:t>’</w:t>
            </w:r>
            <w:r w:rsidR="00BE713E" w:rsidRPr="00611B2B">
              <w:t xml:space="preserve"> (incl. independent contracting and consulting)</w:t>
            </w:r>
            <w:r w:rsidR="005A45B8">
              <w:t xml:space="preserve"> </w:t>
            </w:r>
            <w:r w:rsidR="003B5ADA" w:rsidRPr="00E70231">
              <w:rPr>
                <w:rFonts w:ascii="Arial" w:hAnsi="Arial" w:cs="Arial"/>
                <w:szCs w:val="24"/>
              </w:rPr>
              <w:t>(University of Queensland nd)</w:t>
            </w:r>
          </w:p>
          <w:p w14:paraId="513E9EBE" w14:textId="0D219EF0" w:rsidR="00B05E8B" w:rsidRDefault="000E4100" w:rsidP="00B05E8B">
            <w:pPr>
              <w:pStyle w:val="ListBullet"/>
            </w:pPr>
            <w:r>
              <w:t>c</w:t>
            </w:r>
            <w:r w:rsidR="00B05E8B">
              <w:t>onditions for using university resources (</w:t>
            </w:r>
            <w:proofErr w:type="gramStart"/>
            <w:r w:rsidR="00B05E8B">
              <w:t>e.g.</w:t>
            </w:r>
            <w:proofErr w:type="gramEnd"/>
            <w:r w:rsidR="00B05E8B">
              <w:t xml:space="preserve"> the requirement to obtain permission and reimburse the university for using resources)</w:t>
            </w:r>
            <w:r w:rsidR="009844C7">
              <w:t>.</w:t>
            </w:r>
          </w:p>
          <w:p w14:paraId="35989DE4" w14:textId="5B7E1EB2" w:rsidR="00557DD7" w:rsidRDefault="00557DD7" w:rsidP="00C144B7">
            <w:pPr>
              <w:pStyle w:val="Note"/>
              <w:keepLines/>
            </w:pPr>
            <w:r w:rsidRPr="00180E66">
              <w:rPr>
                <w:b/>
                <w:bCs/>
              </w:rPr>
              <w:t>a.</w:t>
            </w:r>
            <w:r>
              <w:t xml:space="preserve"> </w:t>
            </w:r>
            <w:r w:rsidR="00715228">
              <w:t xml:space="preserve">As an example, </w:t>
            </w:r>
            <w:r w:rsidR="005F4B1F">
              <w:t>UQ’s</w:t>
            </w:r>
            <w:r w:rsidR="00524FC2">
              <w:t xml:space="preserve"> </w:t>
            </w:r>
            <w:r w:rsidR="00E17490" w:rsidRPr="00E17490">
              <w:t>Consultancy, Secondary Employment and Internal Work</w:t>
            </w:r>
            <w:r w:rsidR="00E17490">
              <w:t xml:space="preserve"> Policy</w:t>
            </w:r>
            <w:r w:rsidR="00147323">
              <w:t xml:space="preserve"> indicates that </w:t>
            </w:r>
            <w:r w:rsidR="004C4536">
              <w:t>i</w:t>
            </w:r>
            <w:r w:rsidR="004C4536" w:rsidRPr="004C4536">
              <w:t>t is the University’s preference that any non</w:t>
            </w:r>
            <w:r w:rsidR="000565F7">
              <w:noBreakHyphen/>
            </w:r>
            <w:r w:rsidR="004C4536" w:rsidRPr="004C4536">
              <w:t>research work be conducted through UQ as consultancy rather than as secondary employment</w:t>
            </w:r>
            <w:r w:rsidR="00B35D57">
              <w:t xml:space="preserve"> </w:t>
            </w:r>
            <w:r w:rsidR="00D74F5A" w:rsidRPr="00D74F5A">
              <w:rPr>
                <w:rFonts w:ascii="Arial" w:hAnsi="Arial" w:cs="Arial"/>
                <w:szCs w:val="24"/>
              </w:rPr>
              <w:t>(University of Queensland nd)</w:t>
            </w:r>
            <w:r w:rsidR="004C4536" w:rsidRPr="004C4536">
              <w:t>.</w:t>
            </w:r>
            <w:r w:rsidR="00C144B7">
              <w:t xml:space="preserve"> </w:t>
            </w:r>
            <w:r w:rsidRPr="00180E66">
              <w:rPr>
                <w:b/>
                <w:bCs/>
              </w:rPr>
              <w:t>b.</w:t>
            </w:r>
            <w:r>
              <w:t xml:space="preserve"> </w:t>
            </w:r>
            <w:r w:rsidRPr="0065689F">
              <w:t>The University of Melbourne specifies 13 days in a quarter, where the dean, or Vice</w:t>
            </w:r>
            <w:r w:rsidR="000565F7">
              <w:noBreakHyphen/>
            </w:r>
            <w:r w:rsidRPr="0065689F">
              <w:t>Chancellor in the case of a dean, can approve an arrangement where the days are averaged over two quarters</w:t>
            </w:r>
            <w:r w:rsidR="0008500B">
              <w:t xml:space="preserve"> </w:t>
            </w:r>
            <w:r w:rsidR="00D101DA" w:rsidRPr="00D101DA">
              <w:rPr>
                <w:rFonts w:ascii="Arial" w:hAnsi="Arial" w:cs="Arial"/>
                <w:szCs w:val="24"/>
              </w:rPr>
              <w:t>(University of Melbourne nd)</w:t>
            </w:r>
            <w:r w:rsidRPr="0065689F">
              <w:t>.</w:t>
            </w:r>
            <w:r w:rsidR="00653B2E">
              <w:t xml:space="preserve"> N</w:t>
            </w:r>
            <w:r w:rsidR="00653B2E" w:rsidRPr="00ED0FFB">
              <w:t>either the University of Queensland nor Monash University appear to specify how much time can be used for private consulting</w:t>
            </w:r>
            <w:r w:rsidR="00653B2E">
              <w:t>.</w:t>
            </w:r>
          </w:p>
        </w:tc>
      </w:tr>
      <w:tr w:rsidR="00557DD7" w14:paraId="70EAE57A" w14:textId="77777777" w:rsidTr="00C426E9">
        <w:trPr>
          <w:hidden/>
        </w:trPr>
        <w:tc>
          <w:tcPr>
            <w:tcW w:w="9638" w:type="dxa"/>
            <w:shd w:val="clear" w:color="auto" w:fill="auto"/>
            <w:tcMar>
              <w:top w:w="0" w:type="dxa"/>
              <w:left w:w="170" w:type="dxa"/>
              <w:bottom w:w="0" w:type="dxa"/>
              <w:right w:w="170" w:type="dxa"/>
            </w:tcMar>
          </w:tcPr>
          <w:p w14:paraId="556A7A83" w14:textId="2E9C0D99" w:rsidR="00557DD7" w:rsidRPr="00465191" w:rsidRDefault="00557DD7" w:rsidP="00C426E9">
            <w:pPr>
              <w:pStyle w:val="BodyText"/>
              <w:spacing w:before="0" w:after="0" w:line="80" w:lineRule="atLeast"/>
              <w:rPr>
                <w:smallCaps/>
                <w:vanish/>
              </w:rPr>
            </w:pPr>
          </w:p>
        </w:tc>
      </w:tr>
    </w:tbl>
    <w:p w14:paraId="2A1AE40B" w14:textId="2792CDF3" w:rsidR="00DB41BB" w:rsidRDefault="00791488" w:rsidP="00DB41BB">
      <w:pPr>
        <w:pStyle w:val="BodyText"/>
      </w:pPr>
      <w:r>
        <w:t xml:space="preserve">Individual universities </w:t>
      </w:r>
      <w:r w:rsidR="00844564">
        <w:t xml:space="preserve">have the right to set </w:t>
      </w:r>
      <w:r w:rsidR="00DB41BB">
        <w:t xml:space="preserve">their own approaches to academic consulting </w:t>
      </w:r>
      <w:r w:rsidR="00DB119B">
        <w:t xml:space="preserve">based on their operational needs and </w:t>
      </w:r>
      <w:r w:rsidR="00212457">
        <w:t xml:space="preserve">risk management </w:t>
      </w:r>
      <w:r w:rsidR="00DB119B">
        <w:t xml:space="preserve">processes. However, </w:t>
      </w:r>
      <w:r w:rsidR="00212457">
        <w:t xml:space="preserve">unnecessarily burdensome </w:t>
      </w:r>
      <w:r w:rsidR="001E1E91">
        <w:t xml:space="preserve">administrative requirements create disincentives for academics to undertake consulting and </w:t>
      </w:r>
      <w:r w:rsidR="006637DE">
        <w:t xml:space="preserve">reduce the potential for knowledge transfer from universities to industry and government. </w:t>
      </w:r>
      <w:r w:rsidR="00CC777C">
        <w:t>If universities</w:t>
      </w:r>
      <w:r w:rsidR="00E67D9C">
        <w:t xml:space="preserve"> </w:t>
      </w:r>
      <w:r w:rsidR="00EE6DFC">
        <w:t xml:space="preserve">are unable or unwilling to </w:t>
      </w:r>
      <w:r w:rsidR="00A906A1">
        <w:lastRenderedPageBreak/>
        <w:t xml:space="preserve">lower these barriers to academic consulting, the government could </w:t>
      </w:r>
      <w:r w:rsidR="00C21A86">
        <w:t xml:space="preserve">help to foster more </w:t>
      </w:r>
      <w:r w:rsidR="0011441D">
        <w:t>activity</w:t>
      </w:r>
      <w:r w:rsidR="00F3666A">
        <w:t xml:space="preserve">, such as by setting guiding principles </w:t>
      </w:r>
      <w:r w:rsidR="002E1F83">
        <w:t>to govern universities’ approaches to academic consulting and standardised processes and fee requirements</w:t>
      </w:r>
      <w:r w:rsidR="00603389">
        <w:t xml:space="preserve">. This could be an area that is incorporated into </w:t>
      </w:r>
      <w:r w:rsidR="00B124D6">
        <w:t xml:space="preserve">the Australian Universities Accord that the Australian Government has committed to establishing, noting that the panel currently providing advice to the government on the Accord </w:t>
      </w:r>
      <w:r w:rsidR="00956E66">
        <w:t xml:space="preserve">has been directed to examine </w:t>
      </w:r>
      <w:r w:rsidR="008B6EEA">
        <w:t>opportunities to boost collaboration between universities and industr</w:t>
      </w:r>
      <w:r w:rsidR="00892FB8">
        <w:t xml:space="preserve">y </w:t>
      </w:r>
      <w:proofErr w:type="gramStart"/>
      <w:r w:rsidR="00892FB8">
        <w:t>in order to</w:t>
      </w:r>
      <w:proofErr w:type="gramEnd"/>
      <w:r w:rsidR="00892FB8">
        <w:t xml:space="preserve"> share new knowledge, innovation and capability.</w:t>
      </w:r>
    </w:p>
    <w:p w14:paraId="3965945A" w14:textId="77777777" w:rsidR="00557DD7" w:rsidRDefault="00557DD7" w:rsidP="00D1255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30D45" w14:paraId="09FECCF3" w14:textId="77777777" w:rsidTr="00C00A6E">
        <w:trPr>
          <w:trHeight w:val="765"/>
          <w:tblHeader/>
        </w:trPr>
        <w:tc>
          <w:tcPr>
            <w:tcW w:w="366" w:type="pct"/>
            <w:tcBorders>
              <w:bottom w:val="nil"/>
            </w:tcBorders>
            <w:tcMar>
              <w:bottom w:w="0" w:type="dxa"/>
            </w:tcMar>
            <w:vAlign w:val="center"/>
          </w:tcPr>
          <w:p w14:paraId="7257AA0C" w14:textId="77777777" w:rsidR="00330D45" w:rsidRDefault="00330D45" w:rsidP="00C00A6E">
            <w:pPr>
              <w:pStyle w:val="NoSpacing"/>
              <w:keepNext/>
              <w:keepLines/>
              <w:jc w:val="right"/>
            </w:pPr>
            <w:r w:rsidRPr="00A51374">
              <w:rPr>
                <w:noProof/>
              </w:rPr>
              <w:drawing>
                <wp:inline distT="0" distB="0" distL="0" distR="0" wp14:anchorId="63AE864E" wp14:editId="396343F0">
                  <wp:extent cx="288000" cy="288000"/>
                  <wp:effectExtent l="0" t="0" r="0" b="0"/>
                  <wp:docPr id="9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2394C9" w14:textId="54F84196" w:rsidR="00330D45" w:rsidRPr="00A4395A" w:rsidRDefault="00330D45" w:rsidP="00C00A6E">
            <w:pPr>
              <w:pStyle w:val="TableHeading"/>
              <w:keepNext/>
              <w:keepLines/>
              <w:spacing w:before="60" w:after="120"/>
              <w:contextualSpacing/>
              <w:rPr>
                <w:sz w:val="20"/>
              </w:rPr>
            </w:pPr>
            <w:r w:rsidRPr="00A4395A">
              <w:rPr>
                <w:sz w:val="20"/>
              </w:rPr>
              <w:t xml:space="preserve">Finding </w:t>
            </w:r>
            <w:r w:rsidR="00D408A6">
              <w:rPr>
                <w:sz w:val="20"/>
              </w:rPr>
              <w:t>5.</w:t>
            </w:r>
            <w:r w:rsidR="00287325">
              <w:rPr>
                <w:sz w:val="20"/>
              </w:rPr>
              <w:t>5</w:t>
            </w:r>
          </w:p>
          <w:p w14:paraId="780F9CC9" w14:textId="051E786E" w:rsidR="00330D45" w:rsidRPr="005F1065" w:rsidRDefault="00330D45" w:rsidP="00C00A6E">
            <w:pPr>
              <w:pStyle w:val="TableHeading"/>
              <w:keepNext/>
              <w:keepLines/>
              <w:spacing w:before="60" w:after="120"/>
              <w:contextualSpacing/>
              <w:rPr>
                <w:sz w:val="20"/>
              </w:rPr>
            </w:pPr>
            <w:r>
              <w:rPr>
                <w:sz w:val="20"/>
              </w:rPr>
              <w:t>A</w:t>
            </w:r>
            <w:r w:rsidR="000055AD">
              <w:rPr>
                <w:sz w:val="20"/>
              </w:rPr>
              <w:t>n overly</w:t>
            </w:r>
            <w:r>
              <w:rPr>
                <w:sz w:val="20"/>
              </w:rPr>
              <w:t xml:space="preserve"> narrow focus on university research commercialisation</w:t>
            </w:r>
          </w:p>
        </w:tc>
      </w:tr>
      <w:tr w:rsidR="00330D45" w14:paraId="6FCB74DA" w14:textId="77777777" w:rsidTr="00C00A6E">
        <w:tc>
          <w:tcPr>
            <w:tcW w:w="5000" w:type="pct"/>
            <w:gridSpan w:val="2"/>
            <w:tcBorders>
              <w:top w:val="nil"/>
              <w:bottom w:val="single" w:sz="4" w:space="0" w:color="66BCDB" w:themeColor="text2"/>
            </w:tcBorders>
          </w:tcPr>
          <w:p w14:paraId="0F09388F" w14:textId="240BE7DD" w:rsidR="00330D45" w:rsidRDefault="00330D45" w:rsidP="00C00A6E">
            <w:pPr>
              <w:pStyle w:val="BodyText"/>
              <w:keepNext/>
              <w:keepLines/>
            </w:pPr>
            <w:r>
              <w:t>Recent policy initiatives to increase knowledge transfer are too narrow in their scope in that they focus on direct commercialisation activities and advanced manufacturing industries. By focusing on research commercialisation, policy initiatives to increase knowledge transfer treat</w:t>
            </w:r>
            <w:r w:rsidRPr="009C4A48">
              <w:t xml:space="preserve"> knowledge transfer as synonymous with commercialisation, even though other channels </w:t>
            </w:r>
            <w:r w:rsidR="00112689">
              <w:t xml:space="preserve">— </w:t>
            </w:r>
            <w:r w:rsidR="00B10E75">
              <w:t>such as</w:t>
            </w:r>
            <w:r>
              <w:t xml:space="preserve"> consulting by academics </w:t>
            </w:r>
            <w:r w:rsidR="00112689">
              <w:t xml:space="preserve">— </w:t>
            </w:r>
            <w:r w:rsidRPr="009C4A48">
              <w:t>may be more relevant for certain types of firms and industries</w:t>
            </w:r>
            <w:r>
              <w:t xml:space="preserve"> (especially service industries)</w:t>
            </w:r>
            <w:r w:rsidRPr="009C4A48">
              <w:t xml:space="preserve">, research areas </w:t>
            </w:r>
            <w:r>
              <w:t>(</w:t>
            </w:r>
            <w:r w:rsidR="00B10E75">
              <w:t>especially</w:t>
            </w:r>
            <w:r>
              <w:t xml:space="preserve"> social sciences)</w:t>
            </w:r>
            <w:r w:rsidRPr="009C4A48">
              <w:t xml:space="preserve"> and research institutions</w:t>
            </w:r>
            <w:r>
              <w:t>.</w:t>
            </w:r>
          </w:p>
        </w:tc>
      </w:tr>
      <w:tr w:rsidR="00330D45" w14:paraId="47C82133" w14:textId="77777777" w:rsidTr="00C00A6E">
        <w:tc>
          <w:tcPr>
            <w:tcW w:w="5000" w:type="pct"/>
            <w:gridSpan w:val="2"/>
            <w:tcBorders>
              <w:top w:val="single" w:sz="4" w:space="0" w:color="66BCDB" w:themeColor="text2"/>
              <w:left w:val="nil"/>
              <w:bottom w:val="nil"/>
              <w:right w:val="nil"/>
            </w:tcBorders>
            <w:tcMar>
              <w:bottom w:w="0" w:type="dxa"/>
            </w:tcMar>
          </w:tcPr>
          <w:p w14:paraId="6B4EC428" w14:textId="77777777" w:rsidR="00330D45" w:rsidRDefault="00330D45" w:rsidP="00C00A6E">
            <w:pPr>
              <w:pStyle w:val="NoSpacing"/>
              <w:spacing w:line="200" w:lineRule="atLeast"/>
            </w:pPr>
          </w:p>
        </w:tc>
      </w:tr>
    </w:tbl>
    <w:p w14:paraId="4E2F25B2" w14:textId="77777777" w:rsidR="00214913" w:rsidRDefault="00214913" w:rsidP="003B699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14913" w14:paraId="0A4AFEC3" w14:textId="77777777" w:rsidTr="003B699D">
        <w:trPr>
          <w:trHeight w:val="765"/>
          <w:tblHeader/>
        </w:trPr>
        <w:tc>
          <w:tcPr>
            <w:tcW w:w="366" w:type="pct"/>
            <w:tcBorders>
              <w:bottom w:val="nil"/>
            </w:tcBorders>
            <w:tcMar>
              <w:bottom w:w="0" w:type="dxa"/>
            </w:tcMar>
            <w:vAlign w:val="center"/>
          </w:tcPr>
          <w:p w14:paraId="01C608BE" w14:textId="77777777" w:rsidR="00214913" w:rsidRDefault="00214913" w:rsidP="003B699D">
            <w:pPr>
              <w:pStyle w:val="NoSpacing"/>
              <w:keepLines/>
              <w:jc w:val="right"/>
            </w:pPr>
            <w:r w:rsidRPr="00A51374">
              <w:rPr>
                <w:noProof/>
              </w:rPr>
              <w:drawing>
                <wp:inline distT="0" distB="0" distL="0" distR="0" wp14:anchorId="67B03BA1" wp14:editId="6EEC6FEB">
                  <wp:extent cx="288000" cy="288000"/>
                  <wp:effectExtent l="0" t="0" r="0" b="0"/>
                  <wp:docPr id="10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54A03CB" w14:textId="760E29E3" w:rsidR="00214913" w:rsidRPr="00A4395A" w:rsidRDefault="00214913" w:rsidP="003B699D">
            <w:pPr>
              <w:pStyle w:val="TableHeading"/>
              <w:keepLines/>
              <w:spacing w:before="60" w:after="120"/>
              <w:contextualSpacing/>
              <w:rPr>
                <w:sz w:val="20"/>
              </w:rPr>
            </w:pPr>
            <w:r w:rsidRPr="00A4395A">
              <w:rPr>
                <w:sz w:val="20"/>
              </w:rPr>
              <w:t xml:space="preserve">Finding </w:t>
            </w:r>
            <w:r w:rsidR="00D408A6">
              <w:rPr>
                <w:sz w:val="20"/>
              </w:rPr>
              <w:t>5.</w:t>
            </w:r>
            <w:r w:rsidR="00287325">
              <w:rPr>
                <w:sz w:val="20"/>
              </w:rPr>
              <w:t>6</w:t>
            </w:r>
          </w:p>
          <w:p w14:paraId="23804104" w14:textId="51F55D48" w:rsidR="00214913" w:rsidRDefault="00D955D6" w:rsidP="003B699D">
            <w:pPr>
              <w:pStyle w:val="TableHeading"/>
              <w:keepLines/>
              <w:spacing w:before="60" w:after="120"/>
              <w:contextualSpacing/>
            </w:pPr>
            <w:r>
              <w:rPr>
                <w:sz w:val="20"/>
              </w:rPr>
              <w:t>Administrative constraints can act as</w:t>
            </w:r>
            <w:r w:rsidR="00CD3499">
              <w:rPr>
                <w:sz w:val="20"/>
              </w:rPr>
              <w:t xml:space="preserve"> barriers to</w:t>
            </w:r>
            <w:r w:rsidR="00756DFB">
              <w:rPr>
                <w:sz w:val="20"/>
              </w:rPr>
              <w:t xml:space="preserve"> academic consulting</w:t>
            </w:r>
          </w:p>
        </w:tc>
      </w:tr>
      <w:tr w:rsidR="00214913" w14:paraId="2863EC59" w14:textId="77777777" w:rsidTr="003B699D">
        <w:tc>
          <w:tcPr>
            <w:tcW w:w="5000" w:type="pct"/>
            <w:gridSpan w:val="2"/>
            <w:tcBorders>
              <w:top w:val="nil"/>
              <w:bottom w:val="single" w:sz="4" w:space="0" w:color="66BCDB" w:themeColor="text2"/>
            </w:tcBorders>
          </w:tcPr>
          <w:p w14:paraId="7A1C3D2D" w14:textId="3C3C0591" w:rsidR="009D3BFC" w:rsidRPr="00FE4483" w:rsidRDefault="00756DFB" w:rsidP="003929C3">
            <w:pPr>
              <w:pStyle w:val="BodyText"/>
              <w:keepLines/>
              <w:rPr>
                <w:spacing w:val="-4"/>
              </w:rPr>
            </w:pPr>
            <w:r w:rsidRPr="00FE4483">
              <w:rPr>
                <w:spacing w:val="-4"/>
              </w:rPr>
              <w:t xml:space="preserve">Although university academics are </w:t>
            </w:r>
            <w:r w:rsidR="0040001B" w:rsidRPr="00FE4483">
              <w:rPr>
                <w:spacing w:val="-4"/>
              </w:rPr>
              <w:t xml:space="preserve">generally </w:t>
            </w:r>
            <w:r w:rsidRPr="00FE4483">
              <w:rPr>
                <w:spacing w:val="-4"/>
              </w:rPr>
              <w:t xml:space="preserve">allowed to </w:t>
            </w:r>
            <w:r w:rsidR="00BC43BA" w:rsidRPr="00FE4483">
              <w:rPr>
                <w:spacing w:val="-4"/>
              </w:rPr>
              <w:t xml:space="preserve">provide </w:t>
            </w:r>
            <w:r w:rsidRPr="00FE4483">
              <w:rPr>
                <w:spacing w:val="-4"/>
              </w:rPr>
              <w:t>consult</w:t>
            </w:r>
            <w:r w:rsidR="00BC43BA" w:rsidRPr="00FE4483">
              <w:rPr>
                <w:spacing w:val="-4"/>
              </w:rPr>
              <w:t>ing services</w:t>
            </w:r>
            <w:r w:rsidR="000F2C55" w:rsidRPr="00FE4483">
              <w:rPr>
                <w:spacing w:val="-4"/>
              </w:rPr>
              <w:t xml:space="preserve"> </w:t>
            </w:r>
            <w:r w:rsidR="00BC43BA" w:rsidRPr="00FE4483">
              <w:rPr>
                <w:spacing w:val="-4"/>
              </w:rPr>
              <w:t xml:space="preserve">to </w:t>
            </w:r>
            <w:r w:rsidR="000F2C55" w:rsidRPr="00FE4483">
              <w:rPr>
                <w:spacing w:val="-4"/>
              </w:rPr>
              <w:t>industry</w:t>
            </w:r>
            <w:r w:rsidR="00BC43BA" w:rsidRPr="00FE4483">
              <w:rPr>
                <w:spacing w:val="-4"/>
              </w:rPr>
              <w:t xml:space="preserve"> and government</w:t>
            </w:r>
            <w:r w:rsidRPr="00FE4483">
              <w:rPr>
                <w:spacing w:val="-4"/>
              </w:rPr>
              <w:t xml:space="preserve">, </w:t>
            </w:r>
            <w:r w:rsidR="00833232" w:rsidRPr="00FE4483">
              <w:rPr>
                <w:spacing w:val="-4"/>
              </w:rPr>
              <w:t xml:space="preserve">university </w:t>
            </w:r>
            <w:r w:rsidR="004B3569" w:rsidRPr="00FE4483">
              <w:rPr>
                <w:spacing w:val="-4"/>
              </w:rPr>
              <w:t xml:space="preserve">procedures and approval processes </w:t>
            </w:r>
            <w:r w:rsidR="00991551" w:rsidRPr="00FE4483">
              <w:rPr>
                <w:spacing w:val="-4"/>
              </w:rPr>
              <w:t xml:space="preserve">can </w:t>
            </w:r>
            <w:r w:rsidR="004B3569" w:rsidRPr="00FE4483">
              <w:rPr>
                <w:spacing w:val="-4"/>
              </w:rPr>
              <w:t xml:space="preserve">reduce incentives for </w:t>
            </w:r>
            <w:r w:rsidR="001B531B" w:rsidRPr="00FE4483">
              <w:rPr>
                <w:spacing w:val="-4"/>
              </w:rPr>
              <w:t xml:space="preserve">academics to pursue </w:t>
            </w:r>
            <w:r w:rsidR="0040001B" w:rsidRPr="00FE4483">
              <w:rPr>
                <w:spacing w:val="-4"/>
              </w:rPr>
              <w:t>such work</w:t>
            </w:r>
            <w:r w:rsidR="00024E17" w:rsidRPr="00FE4483">
              <w:rPr>
                <w:spacing w:val="-4"/>
              </w:rPr>
              <w:t xml:space="preserve">. </w:t>
            </w:r>
            <w:r w:rsidR="00A02508" w:rsidRPr="00FE4483">
              <w:rPr>
                <w:spacing w:val="-4"/>
              </w:rPr>
              <w:t xml:space="preserve">For example, </w:t>
            </w:r>
            <w:r w:rsidR="00384E77" w:rsidRPr="00FE4483">
              <w:rPr>
                <w:spacing w:val="-4"/>
              </w:rPr>
              <w:t xml:space="preserve">requiring the </w:t>
            </w:r>
            <w:r w:rsidR="00A02508" w:rsidRPr="00FE4483">
              <w:rPr>
                <w:spacing w:val="-4"/>
              </w:rPr>
              <w:t>involvement of a university contracting office</w:t>
            </w:r>
            <w:r w:rsidR="00EB6AD5" w:rsidRPr="00FE4483">
              <w:rPr>
                <w:spacing w:val="-4"/>
              </w:rPr>
              <w:t xml:space="preserve"> </w:t>
            </w:r>
            <w:r w:rsidR="00A02508" w:rsidRPr="00FE4483">
              <w:rPr>
                <w:spacing w:val="-4"/>
              </w:rPr>
              <w:t>may lead to delays</w:t>
            </w:r>
            <w:r w:rsidR="007331A7" w:rsidRPr="00FE4483">
              <w:rPr>
                <w:spacing w:val="-4"/>
              </w:rPr>
              <w:t>. Or</w:t>
            </w:r>
            <w:r w:rsidR="00E43B3D" w:rsidRPr="00FE4483">
              <w:rPr>
                <w:spacing w:val="-4"/>
              </w:rPr>
              <w:t xml:space="preserve"> </w:t>
            </w:r>
            <w:r w:rsidR="00F40C30" w:rsidRPr="00FE4483">
              <w:rPr>
                <w:spacing w:val="-4"/>
              </w:rPr>
              <w:t>requirements about how</w:t>
            </w:r>
            <w:r w:rsidR="00F364B5" w:rsidRPr="00FE4483">
              <w:rPr>
                <w:spacing w:val="-4"/>
              </w:rPr>
              <w:t xml:space="preserve"> </w:t>
            </w:r>
            <w:r w:rsidR="00E43B3D" w:rsidRPr="00FE4483">
              <w:rPr>
                <w:spacing w:val="-4"/>
              </w:rPr>
              <w:t xml:space="preserve">consulting </w:t>
            </w:r>
            <w:r w:rsidR="00F364B5" w:rsidRPr="00FE4483">
              <w:rPr>
                <w:spacing w:val="-4"/>
              </w:rPr>
              <w:t xml:space="preserve">revenue </w:t>
            </w:r>
            <w:r w:rsidR="00F40C30" w:rsidRPr="00FE4483">
              <w:rPr>
                <w:spacing w:val="-4"/>
              </w:rPr>
              <w:t>is</w:t>
            </w:r>
            <w:r w:rsidR="00E43B3D" w:rsidRPr="00FE4483">
              <w:rPr>
                <w:spacing w:val="-4"/>
              </w:rPr>
              <w:t xml:space="preserve"> </w:t>
            </w:r>
            <w:r w:rsidR="00F364B5" w:rsidRPr="00FE4483">
              <w:rPr>
                <w:spacing w:val="-4"/>
              </w:rPr>
              <w:t>distributed</w:t>
            </w:r>
            <w:r w:rsidR="007331A7" w:rsidRPr="00FE4483">
              <w:rPr>
                <w:spacing w:val="-4"/>
              </w:rPr>
              <w:t xml:space="preserve"> and</w:t>
            </w:r>
            <w:r w:rsidR="003E7085" w:rsidRPr="00FE4483">
              <w:rPr>
                <w:spacing w:val="-4"/>
              </w:rPr>
              <w:t xml:space="preserve"> </w:t>
            </w:r>
            <w:r w:rsidR="000E151D" w:rsidRPr="00FE4483">
              <w:rPr>
                <w:spacing w:val="-4"/>
              </w:rPr>
              <w:t>obligations to limit risk to the university ma</w:t>
            </w:r>
            <w:r w:rsidR="0003501F" w:rsidRPr="00FE4483">
              <w:rPr>
                <w:spacing w:val="-4"/>
              </w:rPr>
              <w:t>y also crea</w:t>
            </w:r>
            <w:r w:rsidR="003929C3" w:rsidRPr="00FE4483">
              <w:rPr>
                <w:spacing w:val="-4"/>
              </w:rPr>
              <w:t xml:space="preserve">te </w:t>
            </w:r>
            <w:r w:rsidR="007331A7" w:rsidRPr="00FE4483">
              <w:rPr>
                <w:spacing w:val="-4"/>
              </w:rPr>
              <w:t>barriers</w:t>
            </w:r>
            <w:r w:rsidR="003929C3" w:rsidRPr="00FE4483">
              <w:rPr>
                <w:spacing w:val="-4"/>
              </w:rPr>
              <w:t>.</w:t>
            </w:r>
            <w:r w:rsidR="009D3BFC" w:rsidRPr="00FE4483">
              <w:rPr>
                <w:spacing w:val="-4"/>
              </w:rPr>
              <w:t xml:space="preserve"> </w:t>
            </w:r>
            <w:r w:rsidR="00E7491B" w:rsidRPr="00FE4483">
              <w:rPr>
                <w:spacing w:val="-4"/>
              </w:rPr>
              <w:t>These disincentives create a missed opportunity for a valuable knowledge transfer channel.</w:t>
            </w:r>
          </w:p>
        </w:tc>
      </w:tr>
      <w:tr w:rsidR="00214913" w14:paraId="6308CC74" w14:textId="77777777" w:rsidTr="003B699D">
        <w:tc>
          <w:tcPr>
            <w:tcW w:w="5000" w:type="pct"/>
            <w:gridSpan w:val="2"/>
            <w:tcBorders>
              <w:top w:val="single" w:sz="4" w:space="0" w:color="66BCDB" w:themeColor="text2"/>
              <w:left w:val="nil"/>
              <w:bottom w:val="nil"/>
              <w:right w:val="nil"/>
            </w:tcBorders>
            <w:tcMar>
              <w:bottom w:w="0" w:type="dxa"/>
            </w:tcMar>
          </w:tcPr>
          <w:p w14:paraId="1C6ED5B2" w14:textId="77777777" w:rsidR="00214913" w:rsidRDefault="00214913" w:rsidP="003B699D">
            <w:pPr>
              <w:pStyle w:val="NoSpacing"/>
              <w:spacing w:line="200" w:lineRule="atLeast"/>
            </w:pPr>
          </w:p>
        </w:tc>
      </w:tr>
    </w:tbl>
    <w:p w14:paraId="07098508" w14:textId="77777777" w:rsidR="00547BA7" w:rsidRDefault="00547BA7">
      <w:pPr>
        <w:pStyle w:val="NoSpacing"/>
      </w:pPr>
    </w:p>
    <w:tbl>
      <w:tblPr>
        <w:tblStyle w:val="Texttable-Paleblue"/>
        <w:tblW w:w="5000" w:type="pct"/>
        <w:tblLook w:val="04A0" w:firstRow="1" w:lastRow="0" w:firstColumn="1" w:lastColumn="0" w:noHBand="0" w:noVBand="1"/>
      </w:tblPr>
      <w:tblGrid>
        <w:gridCol w:w="713"/>
        <w:gridCol w:w="8925"/>
      </w:tblGrid>
      <w:tr w:rsidR="00547BA7" w14:paraId="39517DAD" w14:textId="77777777">
        <w:trPr>
          <w:tblHeader/>
        </w:trPr>
        <w:tc>
          <w:tcPr>
            <w:tcW w:w="709" w:type="dxa"/>
            <w:tcMar>
              <w:top w:w="0" w:type="dxa"/>
              <w:bottom w:w="0" w:type="dxa"/>
            </w:tcMar>
            <w:vAlign w:val="center"/>
          </w:tcPr>
          <w:p w14:paraId="13413656" w14:textId="77777777" w:rsidR="00547BA7" w:rsidRDefault="00547BA7">
            <w:pPr>
              <w:keepLines/>
              <w:jc w:val="center"/>
            </w:pPr>
            <w:r w:rsidRPr="00A51374">
              <w:rPr>
                <w:noProof/>
              </w:rPr>
              <w:drawing>
                <wp:inline distT="0" distB="0" distL="0" distR="0" wp14:anchorId="755629F1" wp14:editId="05940814">
                  <wp:extent cx="288000" cy="288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7CE3E15" w14:textId="3AFA51C1" w:rsidR="00547BA7" w:rsidRPr="00715040" w:rsidRDefault="00547BA7">
            <w:pPr>
              <w:pStyle w:val="TableHeading"/>
              <w:keepLines/>
              <w:spacing w:before="120" w:after="120"/>
              <w:contextualSpacing/>
              <w:rPr>
                <w:sz w:val="20"/>
              </w:rPr>
            </w:pPr>
            <w:r w:rsidRPr="00715040">
              <w:rPr>
                <w:sz w:val="20"/>
              </w:rPr>
              <w:t xml:space="preserve">Recommendation </w:t>
            </w:r>
            <w:r w:rsidR="007B765F">
              <w:rPr>
                <w:sz w:val="20"/>
              </w:rPr>
              <w:t>5</w:t>
            </w:r>
            <w:r w:rsidRPr="00715040">
              <w:rPr>
                <w:sz w:val="20"/>
              </w:rPr>
              <w:t>.</w:t>
            </w:r>
            <w:r w:rsidR="007475CD">
              <w:rPr>
                <w:sz w:val="20"/>
              </w:rPr>
              <w:t>4</w:t>
            </w:r>
            <w:r w:rsidR="007475CD" w:rsidRPr="00715040">
              <w:rPr>
                <w:sz w:val="20"/>
              </w:rPr>
              <w:t xml:space="preserve"> </w:t>
            </w:r>
          </w:p>
          <w:p w14:paraId="4E309859" w14:textId="74629058" w:rsidR="00547BA7" w:rsidRPr="00715040" w:rsidRDefault="00226A9C">
            <w:pPr>
              <w:pStyle w:val="TableHeading"/>
              <w:keepLines/>
              <w:spacing w:before="120" w:after="120"/>
              <w:contextualSpacing/>
              <w:rPr>
                <w:sz w:val="20"/>
              </w:rPr>
            </w:pPr>
            <w:r>
              <w:rPr>
                <w:sz w:val="20"/>
              </w:rPr>
              <w:t>Reducing administrative barriers to academic consulting</w:t>
            </w:r>
          </w:p>
        </w:tc>
      </w:tr>
      <w:tr w:rsidR="00547BA7" w14:paraId="2CF88EA8" w14:textId="77777777">
        <w:tc>
          <w:tcPr>
            <w:tcW w:w="9583" w:type="dxa"/>
            <w:gridSpan w:val="2"/>
            <w:tcMar>
              <w:top w:w="0" w:type="dxa"/>
            </w:tcMar>
          </w:tcPr>
          <w:p w14:paraId="266C8A0B" w14:textId="61A72F41" w:rsidR="00547BA7" w:rsidRPr="00767EAE" w:rsidRDefault="00226A9C" w:rsidP="00137C59">
            <w:pPr>
              <w:pStyle w:val="BodyText"/>
              <w:keepLines/>
            </w:pPr>
            <w:r>
              <w:t xml:space="preserve">The Australian Government should reserve the right to </w:t>
            </w:r>
            <w:r w:rsidR="004C7850">
              <w:t xml:space="preserve">facilitate more consulting by university academics, should universities </w:t>
            </w:r>
            <w:r w:rsidR="00EE3F69">
              <w:t>be unable or unwilling to lower unnecessary administrative barriers that disincentivise academics from undertaking consulting. This could</w:t>
            </w:r>
            <w:r w:rsidR="001940A1">
              <w:t xml:space="preserve"> be</w:t>
            </w:r>
            <w:r w:rsidR="00EE3F69">
              <w:t xml:space="preserve"> </w:t>
            </w:r>
            <w:r w:rsidR="00A22D14">
              <w:t>incorporated into the Australian Universities Accord</w:t>
            </w:r>
            <w:r w:rsidR="000E35DF">
              <w:t xml:space="preserve">, with </w:t>
            </w:r>
            <w:r w:rsidR="00164B73">
              <w:t>the government setting guiding principles to govern universities’ approaches to academic consulting and standardised processes and fee requirements.</w:t>
            </w:r>
          </w:p>
        </w:tc>
      </w:tr>
      <w:tr w:rsidR="00547BA7" w14:paraId="5AC6B7E3" w14:textId="77777777">
        <w:tc>
          <w:tcPr>
            <w:tcW w:w="9583" w:type="dxa"/>
            <w:gridSpan w:val="2"/>
            <w:shd w:val="clear" w:color="auto" w:fill="auto"/>
            <w:tcMar>
              <w:top w:w="0" w:type="dxa"/>
              <w:bottom w:w="0" w:type="dxa"/>
            </w:tcMar>
          </w:tcPr>
          <w:p w14:paraId="56858185" w14:textId="77777777" w:rsidR="00547BA7" w:rsidRPr="007E0EA8" w:rsidRDefault="00547BA7">
            <w:pPr>
              <w:pStyle w:val="NoSpacing"/>
              <w:spacing w:line="200" w:lineRule="exact"/>
            </w:pPr>
          </w:p>
        </w:tc>
      </w:tr>
    </w:tbl>
    <w:p w14:paraId="75E8E88E" w14:textId="7542B4FA" w:rsidR="00557DD7" w:rsidRDefault="00557DD7" w:rsidP="00557DD7">
      <w:pPr>
        <w:pStyle w:val="Heading3"/>
      </w:pPr>
      <w:r>
        <w:t>Other opportunities to foster spillovers and information flows</w:t>
      </w:r>
    </w:p>
    <w:p w14:paraId="032E92F0" w14:textId="44FAEB20" w:rsidR="00557DD7" w:rsidRPr="00385EB4" w:rsidRDefault="00557DD7" w:rsidP="00557DD7">
      <w:pPr>
        <w:pStyle w:val="Heading4"/>
      </w:pPr>
      <w:r>
        <w:t>Benchmarking can highlight opportunities for innovation where businesses are under</w:t>
      </w:r>
      <w:r>
        <w:noBreakHyphen/>
        <w:t>performing relative to their peers</w:t>
      </w:r>
    </w:p>
    <w:p w14:paraId="2CC7C4B3" w14:textId="43B12AA3" w:rsidR="00557DD7" w:rsidRDefault="00557DD7" w:rsidP="00557DD7">
      <w:pPr>
        <w:pStyle w:val="BodyText"/>
      </w:pPr>
      <w:r w:rsidRPr="00BA5CDD">
        <w:t>Perceiving a need — or equally an opportunity — to improve business performance can lead firms to</w:t>
      </w:r>
      <w:r w:rsidRPr="006F3F92">
        <w:t xml:space="preserve"> </w:t>
      </w:r>
      <w:r w:rsidRPr="00AF786D">
        <w:t xml:space="preserve">seek out </w:t>
      </w:r>
      <w:r>
        <w:t>and adopt productivity</w:t>
      </w:r>
      <w:r w:rsidR="000565F7">
        <w:noBreakHyphen/>
      </w:r>
      <w:r>
        <w:t xml:space="preserve">enhancing </w:t>
      </w:r>
      <w:r w:rsidRPr="00AF786D">
        <w:t>technologies and practices</w:t>
      </w:r>
      <w:r>
        <w:t xml:space="preserve">. Yet </w:t>
      </w:r>
      <w:r w:rsidRPr="00AF786D">
        <w:t xml:space="preserve">as discussed in </w:t>
      </w:r>
      <w:r w:rsidR="009428AA">
        <w:t>c</w:t>
      </w:r>
      <w:r w:rsidRPr="00AF786D">
        <w:t>hapter</w:t>
      </w:r>
      <w:r w:rsidR="000565F7">
        <w:t> </w:t>
      </w:r>
      <w:r w:rsidRPr="00AF786D">
        <w:t xml:space="preserve">1, most </w:t>
      </w:r>
      <w:r w:rsidRPr="00AF786D">
        <w:lastRenderedPageBreak/>
        <w:t xml:space="preserve">Australian businesses undertake little or no assessment of their own performance, with innovation </w:t>
      </w:r>
      <w:r>
        <w:t xml:space="preserve">measures </w:t>
      </w:r>
      <w:r w:rsidRPr="00AF786D">
        <w:t xml:space="preserve">receiving the least </w:t>
      </w:r>
      <w:r w:rsidRPr="00502896">
        <w:t>attention (figure</w:t>
      </w:r>
      <w:r w:rsidR="000565F7">
        <w:t> </w:t>
      </w:r>
      <w:r w:rsidRPr="00502896">
        <w:t>1.3). One explanation may be a lack of time. Managers who are time and resource poor may not have the capacity to assess</w:t>
      </w:r>
      <w:r>
        <w:t xml:space="preserve"> the performance of their business. As noted by the </w:t>
      </w:r>
      <w:r w:rsidRPr="00495666">
        <w:t>Australian Institute of Company Directors</w:t>
      </w:r>
      <w:r>
        <w:t xml:space="preserve"> (AICD):</w:t>
      </w:r>
    </w:p>
    <w:p w14:paraId="06D1D3C3" w14:textId="323759B5" w:rsidR="00557DD7" w:rsidRDefault="00557DD7" w:rsidP="00557DD7">
      <w:pPr>
        <w:pStyle w:val="Quote"/>
      </w:pPr>
      <w:r w:rsidRPr="00495666">
        <w:t>Feedback from AICD members, for instance during consultation on cyber reforms, is consistent that due to resourcing and time constraints many SMEs and NFPs struggle adapting to digital technology changes and building management capability</w:t>
      </w:r>
      <w:r>
        <w:t>. (AICD, sub.</w:t>
      </w:r>
      <w:r w:rsidR="000565F7">
        <w:t> </w:t>
      </w:r>
      <w:r>
        <w:t>44, p.</w:t>
      </w:r>
      <w:r w:rsidR="000565F7">
        <w:t> </w:t>
      </w:r>
      <w:r>
        <w:t>9)</w:t>
      </w:r>
    </w:p>
    <w:p w14:paraId="3AB583F5" w14:textId="5B117B61" w:rsidR="00557DD7" w:rsidRDefault="00557DD7" w:rsidP="00557DD7">
      <w:pPr>
        <w:pStyle w:val="BodyText"/>
      </w:pPr>
      <w:r>
        <w:t xml:space="preserve">However, a lack </w:t>
      </w:r>
      <w:r w:rsidRPr="00AF786D">
        <w:t xml:space="preserve">of information </w:t>
      </w:r>
      <w:r>
        <w:t>and effective performance measurement tools</w:t>
      </w:r>
      <w:r w:rsidRPr="00AF786D">
        <w:t xml:space="preserve"> may also be a factor</w:t>
      </w:r>
      <w:r>
        <w:t xml:space="preserve">. Benchmarking tools can help businesses to </w:t>
      </w:r>
      <w:r w:rsidRPr="0098569F">
        <w:t>identify areas of under</w:t>
      </w:r>
      <w:r>
        <w:noBreakHyphen/>
      </w:r>
      <w:r w:rsidRPr="0098569F">
        <w:t xml:space="preserve">performance </w:t>
      </w:r>
      <w:r>
        <w:t>by allowing them</w:t>
      </w:r>
      <w:r w:rsidRPr="0098569F">
        <w:t xml:space="preserve"> to </w:t>
      </w:r>
      <w:r w:rsidRPr="002D2F76">
        <w:t xml:space="preserve">compare their performance </w:t>
      </w:r>
      <w:r>
        <w:t>with</w:t>
      </w:r>
      <w:r w:rsidRPr="002D2F76">
        <w:t xml:space="preserve"> similar businesses</w:t>
      </w:r>
      <w:r>
        <w:t xml:space="preserve"> across </w:t>
      </w:r>
      <w:r w:rsidRPr="002D2F76">
        <w:t xml:space="preserve">a set of relevant </w:t>
      </w:r>
      <w:r>
        <w:t xml:space="preserve">performance </w:t>
      </w:r>
      <w:r w:rsidRPr="002D2F76">
        <w:t>indicators</w:t>
      </w:r>
      <w:r w:rsidRPr="0098569F">
        <w:t>.</w:t>
      </w:r>
      <w:r>
        <w:t xml:space="preserve"> </w:t>
      </w:r>
    </w:p>
    <w:p w14:paraId="6094169C" w14:textId="4BE96557" w:rsidR="00557DD7" w:rsidRDefault="00557DD7" w:rsidP="00CE2A98">
      <w:pPr>
        <w:pStyle w:val="BodyText"/>
      </w:pPr>
      <w:r>
        <w:t>A range of business</w:t>
      </w:r>
      <w:r w:rsidRPr="002D2F76">
        <w:t xml:space="preserve"> benchmarking initiatives exist in Australia</w:t>
      </w:r>
      <w:r>
        <w:t xml:space="preserve">, offered </w:t>
      </w:r>
      <w:r w:rsidRPr="00AF786D">
        <w:t>by government</w:t>
      </w:r>
      <w:r>
        <w:t xml:space="preserve"> agencies</w:t>
      </w:r>
      <w:r w:rsidRPr="00AF786D">
        <w:t xml:space="preserve">, </w:t>
      </w:r>
      <w:r>
        <w:t xml:space="preserve">as well as </w:t>
      </w:r>
      <w:r w:rsidRPr="00AF786D">
        <w:t>for</w:t>
      </w:r>
      <w:r>
        <w:noBreakHyphen/>
      </w:r>
      <w:r w:rsidRPr="00AF786D">
        <w:t xml:space="preserve">profit </w:t>
      </w:r>
      <w:r w:rsidR="00D35E12">
        <w:t>businesses</w:t>
      </w:r>
      <w:r w:rsidRPr="00AF786D">
        <w:t xml:space="preserve"> or industry bodies to benefit their customers and members</w:t>
      </w:r>
      <w:r>
        <w:t xml:space="preserve"> (box 2.</w:t>
      </w:r>
      <w:r w:rsidR="00135A19">
        <w:t>8</w:t>
      </w:r>
      <w:r>
        <w:t>)</w:t>
      </w:r>
      <w:r w:rsidRPr="00AF786D">
        <w:t>.</w:t>
      </w:r>
      <w:r w:rsidRPr="00572C8E">
        <w:t xml:space="preserve"> </w:t>
      </w:r>
      <w:r w:rsidRPr="00AF786D">
        <w:t>In</w:t>
      </w:r>
      <w:r>
        <w:t xml:space="preserve"> general</w:t>
      </w:r>
      <w:r w:rsidRPr="00AF786D">
        <w:t>, government</w:t>
      </w:r>
      <w:r w:rsidR="000565F7">
        <w:noBreakHyphen/>
      </w:r>
      <w:r w:rsidRPr="00AF786D">
        <w:t xml:space="preserve">provided services have </w:t>
      </w:r>
      <w:r>
        <w:t>not been developed</w:t>
      </w:r>
      <w:r w:rsidRPr="00AF786D">
        <w:t xml:space="preserve"> primarily for the purpose of providing benchmarking tool</w:t>
      </w:r>
      <w:r>
        <w:t>s</w:t>
      </w:r>
      <w:r w:rsidRPr="00AF786D">
        <w:t xml:space="preserve"> for businesses</w:t>
      </w:r>
      <w:r>
        <w:t>. R</w:t>
      </w:r>
      <w:r w:rsidRPr="00AF786D">
        <w:t xml:space="preserve">ather, they have been developed either to provide value back to businesses </w:t>
      </w:r>
      <w:r>
        <w:t>that</w:t>
      </w:r>
      <w:r w:rsidRPr="00AF786D">
        <w:t xml:space="preserve"> </w:t>
      </w:r>
      <w:r>
        <w:t>supply</w:t>
      </w:r>
      <w:r w:rsidRPr="00AF786D">
        <w:t xml:space="preserve"> data </w:t>
      </w:r>
      <w:r>
        <w:t>required by that government agency</w:t>
      </w:r>
      <w:r w:rsidRPr="00AF786D">
        <w:t xml:space="preserve"> (</w:t>
      </w:r>
      <w:r>
        <w:t>for example, where</w:t>
      </w:r>
      <w:r w:rsidRPr="00AF786D">
        <w:t xml:space="preserve"> businesses respond to surveys conducted by the ABS and </w:t>
      </w:r>
      <w:r w:rsidR="00B37CCC">
        <w:t xml:space="preserve">the </w:t>
      </w:r>
      <w:r w:rsidR="00B37CCC" w:rsidRPr="00B37CCC">
        <w:t>Australian Bureau of Agricultural and Resource Economics and Sciences</w:t>
      </w:r>
      <w:r w:rsidR="00B37CCC">
        <w:t xml:space="preserve"> (</w:t>
      </w:r>
      <w:r w:rsidRPr="00AF786D">
        <w:t>ABARES</w:t>
      </w:r>
      <w:r w:rsidR="00B37CCC">
        <w:t>)</w:t>
      </w:r>
      <w:r w:rsidRPr="00AF786D">
        <w:t>), or as a complement to other activities undertaken by the agency (</w:t>
      </w:r>
      <w:r>
        <w:t>for example,</w:t>
      </w:r>
      <w:r w:rsidRPr="00AF786D">
        <w:t xml:space="preserve"> benchmarks developed by the ATO </w:t>
      </w:r>
      <w:r>
        <w:t>for</w:t>
      </w:r>
      <w:r w:rsidRPr="00AF786D">
        <w:t xml:space="preserve"> monitoring compliance can also be used by businesses to </w:t>
      </w:r>
      <w:r>
        <w:t>assess their</w:t>
      </w:r>
      <w:r w:rsidRPr="00AF786D">
        <w:t xml:space="preserve"> performance).</w:t>
      </w:r>
      <w:r>
        <w:t xml:space="preserve"> </w:t>
      </w:r>
      <w:r w:rsidR="00340B0F">
        <w:t>While</w:t>
      </w:r>
      <w:r w:rsidR="005E4B5D">
        <w:t xml:space="preserve"> some consideration has been given about</w:t>
      </w:r>
      <w:r w:rsidR="00340B0F">
        <w:t xml:space="preserve"> how</w:t>
      </w:r>
      <w:r w:rsidR="00A4548B">
        <w:t xml:space="preserve"> this information can be used to provide tailored insights back to businesses, </w:t>
      </w:r>
      <w:r w:rsidR="007D27E3">
        <w:t xml:space="preserve">there is currently </w:t>
      </w:r>
      <w:r w:rsidRPr="00B659BE">
        <w:t xml:space="preserve">limited analysis of the underlying drivers, actionable advice, or connection to other services </w:t>
      </w:r>
      <w:r w:rsidR="001C551C">
        <w:t>that</w:t>
      </w:r>
      <w:r w:rsidRPr="00B659BE">
        <w:t xml:space="preserve"> could assist</w:t>
      </w:r>
      <w:r w:rsidR="008B2C3E">
        <w:t xml:space="preserve"> </w:t>
      </w:r>
      <w:r w:rsidR="00FF255E">
        <w:t>businesses</w:t>
      </w:r>
      <w:r w:rsidRPr="00B659BE">
        <w:t>.</w:t>
      </w:r>
    </w:p>
    <w:p w14:paraId="2C3438E3" w14:textId="77777777" w:rsidR="00557DD7" w:rsidRPr="00BA3650" w:rsidRDefault="00557DD7" w:rsidP="00557DD7">
      <w:pPr>
        <w:pStyle w:val="BodyText"/>
      </w:pPr>
      <w:r>
        <w:t>In contrast, services developed by private providers and industry associations tend to be more directly targeted at providing benchmarking services to businesses. The services differ in the detail they provide to businesses, and in particular, the degree to which the information is tailored and actionable for an individual business, with private services tending to offer the most tailored and actionable advice (for a fee).</w:t>
      </w:r>
    </w:p>
    <w:p w14:paraId="6A772A9D" w14:textId="753EF6B0" w:rsidR="00557DD7" w:rsidRPr="00F82BD9" w:rsidRDefault="00557DD7" w:rsidP="00557DD7">
      <w:pPr>
        <w:pStyle w:val="NoSpacing"/>
      </w:pPr>
    </w:p>
    <w:tbl>
      <w:tblPr>
        <w:tblStyle w:val="Boxtable"/>
        <w:tblW w:w="5000" w:type="pct"/>
        <w:tblLook w:val="04A0" w:firstRow="1" w:lastRow="0" w:firstColumn="1" w:lastColumn="0" w:noHBand="0" w:noVBand="1"/>
      </w:tblPr>
      <w:tblGrid>
        <w:gridCol w:w="9638"/>
      </w:tblGrid>
      <w:tr w:rsidR="00557DD7" w14:paraId="47CF3F2C" w14:textId="77777777" w:rsidTr="00C426E9">
        <w:trPr>
          <w:tblHeader/>
        </w:trPr>
        <w:tc>
          <w:tcPr>
            <w:tcW w:w="9638" w:type="dxa"/>
            <w:tcMar>
              <w:top w:w="170" w:type="dxa"/>
              <w:left w:w="170" w:type="dxa"/>
              <w:bottom w:w="113" w:type="dxa"/>
              <w:right w:w="170" w:type="dxa"/>
            </w:tcMar>
            <w:hideMark/>
          </w:tcPr>
          <w:p w14:paraId="78AAB42E" w14:textId="551A5CEB" w:rsidR="00557DD7" w:rsidRDefault="00557DD7" w:rsidP="00C426E9">
            <w:pPr>
              <w:pStyle w:val="BoxHeading1"/>
            </w:pPr>
            <w:bookmarkStart w:id="112" w:name="_Ref78902111"/>
            <w:r>
              <w:t>Box</w:t>
            </w:r>
            <w:bookmarkStart w:id="113" w:name="OLE_LINK14"/>
            <w:r w:rsidR="00A43B86">
              <w:t> </w:t>
            </w:r>
            <w:r>
              <w:rPr>
                <w:noProof/>
              </w:rPr>
              <w:t>2</w:t>
            </w:r>
            <w:bookmarkEnd w:id="113"/>
            <w:r>
              <w:t>.</w:t>
            </w:r>
            <w:r w:rsidR="00135A19">
              <w:t>8</w:t>
            </w:r>
            <w:r>
              <w:t xml:space="preserve"> – </w:t>
            </w:r>
            <w:bookmarkEnd w:id="112"/>
            <w:r>
              <w:t>Existing benchmarking initiatives</w:t>
            </w:r>
          </w:p>
        </w:tc>
      </w:tr>
      <w:tr w:rsidR="00557DD7" w14:paraId="3BBE0164" w14:textId="77777777" w:rsidTr="00C426E9">
        <w:tc>
          <w:tcPr>
            <w:tcW w:w="9638" w:type="dxa"/>
            <w:tcMar>
              <w:top w:w="28" w:type="dxa"/>
              <w:left w:w="170" w:type="dxa"/>
              <w:bottom w:w="170" w:type="dxa"/>
              <w:right w:w="170" w:type="dxa"/>
            </w:tcMar>
            <w:hideMark/>
          </w:tcPr>
          <w:p w14:paraId="74B75B90" w14:textId="78F38420" w:rsidR="00557DD7" w:rsidRDefault="00557DD7" w:rsidP="00C426E9">
            <w:pPr>
              <w:pStyle w:val="BodyText"/>
            </w:pPr>
            <w:r>
              <w:t xml:space="preserve">The Australian </w:t>
            </w:r>
            <w:r w:rsidR="006816EB">
              <w:t>G</w:t>
            </w:r>
            <w:r>
              <w:t xml:space="preserve">overnment provides </w:t>
            </w:r>
            <w:r w:rsidRPr="00B659BE">
              <w:t>several</w:t>
            </w:r>
            <w:r>
              <w:t xml:space="preserve"> </w:t>
            </w:r>
            <w:r w:rsidRPr="00B659BE">
              <w:t>benchmarking</w:t>
            </w:r>
            <w:r>
              <w:t xml:space="preserve"> initiatives. These include:</w:t>
            </w:r>
          </w:p>
          <w:p w14:paraId="3940A8B0" w14:textId="4521E54D" w:rsidR="00557DD7" w:rsidRDefault="00557DD7" w:rsidP="00DB73B1">
            <w:pPr>
              <w:pStyle w:val="ListBullet"/>
            </w:pPr>
            <w:r>
              <w:t xml:space="preserve">small business industry benchmarks published online by the ATO </w:t>
            </w:r>
            <w:r w:rsidRPr="00036528">
              <w:rPr>
                <w:rFonts w:ascii="Arial" w:hAnsi="Arial" w:cs="Arial"/>
                <w:szCs w:val="24"/>
              </w:rPr>
              <w:t>(2022)</w:t>
            </w:r>
            <w:r>
              <w:t xml:space="preserve">, which provide ranges for general performance indicators based on tax return data, tailored to an extensive range of highly disaggregated industries (although </w:t>
            </w:r>
            <w:r w:rsidRPr="00DB73B1">
              <w:t>not tailored to individual businesses that access the service)</w:t>
            </w:r>
          </w:p>
          <w:p w14:paraId="009427B5" w14:textId="3AB25043" w:rsidR="00557DD7" w:rsidRPr="00FE4483" w:rsidRDefault="00557DD7" w:rsidP="00DB73B1">
            <w:pPr>
              <w:pStyle w:val="ListBullet"/>
              <w:rPr>
                <w:spacing w:val="-4"/>
              </w:rPr>
            </w:pPr>
            <w:r w:rsidRPr="00FE4483">
              <w:rPr>
                <w:spacing w:val="-4"/>
              </w:rPr>
              <w:t>an initiative currently being developed by the ABS, which will provide tailored benchmarking reports to small</w:t>
            </w:r>
            <w:r w:rsidR="000565F7" w:rsidRPr="00FE4483">
              <w:rPr>
                <w:spacing w:val="-4"/>
              </w:rPr>
              <w:noBreakHyphen/>
            </w:r>
            <w:r w:rsidRPr="00FE4483">
              <w:rPr>
                <w:spacing w:val="-4"/>
              </w:rPr>
              <w:t>to</w:t>
            </w:r>
            <w:r w:rsidR="000565F7" w:rsidRPr="00FE4483">
              <w:rPr>
                <w:spacing w:val="-4"/>
              </w:rPr>
              <w:noBreakHyphen/>
            </w:r>
            <w:r w:rsidRPr="00FE4483">
              <w:rPr>
                <w:spacing w:val="-4"/>
              </w:rPr>
              <w:t>medium businesses when they participate in relevant ABS surveys and report their data through a new streamlined reporting application linked to their existing accounting software (ABS 2022a)</w:t>
            </w:r>
          </w:p>
          <w:p w14:paraId="4EC3EDF8" w14:textId="35A856AA" w:rsidR="00557DD7" w:rsidRPr="00604D8E" w:rsidRDefault="00557DD7" w:rsidP="00DB73B1">
            <w:pPr>
              <w:pStyle w:val="ListBullet"/>
            </w:pPr>
            <w:r w:rsidRPr="00DB73B1">
              <w:t>some government agencies that may also provide data at a sufficient level of granularity to enable benchmarking — for example, ABARES</w:t>
            </w:r>
            <w:r w:rsidRPr="00604D8E">
              <w:t xml:space="preserve"> provides a variety of agricultural indicators by farm size and type through its Farm Data Portal </w:t>
            </w:r>
            <w:r>
              <w:t>that</w:t>
            </w:r>
            <w:r w:rsidRPr="00604D8E">
              <w:t xml:space="preserve"> c</w:t>
            </w:r>
            <w:r>
              <w:t>an</w:t>
            </w:r>
            <w:r w:rsidRPr="00604D8E">
              <w:t xml:space="preserve"> be used by farmers to benchmark their performance (ABARES 2022).</w:t>
            </w:r>
          </w:p>
          <w:p w14:paraId="027F2EF3" w14:textId="5DDD1DBF" w:rsidR="00CB14BB" w:rsidRDefault="00557DD7" w:rsidP="00C426E9">
            <w:pPr>
              <w:pStyle w:val="BodyText"/>
            </w:pPr>
            <w:r>
              <w:t>In addition, several for</w:t>
            </w:r>
            <w:r w:rsidR="000565F7">
              <w:noBreakHyphen/>
            </w:r>
            <w:r>
              <w:t xml:space="preserve">profit providers offer benchmarking services to Australian businesses </w:t>
            </w:r>
            <w:r w:rsidRPr="006673CC">
              <w:t>(Benchmarking.com.au 2021; FMRC nd; GE Digital 2022)</w:t>
            </w:r>
            <w:r>
              <w:t xml:space="preserve"> and some industry bodies also offer similar services for their members — for </w:t>
            </w:r>
            <w:r w:rsidR="000000DC">
              <w:t>instance</w:t>
            </w:r>
            <w:r w:rsidR="00CB14BB">
              <w:t>:</w:t>
            </w:r>
            <w:r>
              <w:t xml:space="preserve"> </w:t>
            </w:r>
          </w:p>
          <w:p w14:paraId="4AFF28C7" w14:textId="4B10EE82" w:rsidR="00CB14BB" w:rsidRDefault="00557DD7" w:rsidP="00CB14BB">
            <w:pPr>
              <w:pStyle w:val="ListBullet"/>
            </w:pPr>
            <w:r>
              <w:lastRenderedPageBreak/>
              <w:t>Dairy Australia has developed the Dairy Farm Monitor Project</w:t>
            </w:r>
            <w:r w:rsidR="008B178D">
              <w:t>,</w:t>
            </w:r>
            <w:r>
              <w:t xml:space="preserve"> which provides comparative data to dairy farmers through an online portal </w:t>
            </w:r>
            <w:r w:rsidRPr="006D4CA5">
              <w:t>(Dairy Australia 2022)</w:t>
            </w:r>
          </w:p>
          <w:p w14:paraId="5602AAB4" w14:textId="6DE663F3" w:rsidR="00CB14BB" w:rsidRDefault="00CB14BB" w:rsidP="00CB14BB">
            <w:pPr>
              <w:pStyle w:val="ListBullet"/>
            </w:pPr>
            <w:r>
              <w:t>t</w:t>
            </w:r>
            <w:r w:rsidR="000000DC">
              <w:t xml:space="preserve">he Innovative Manufacturing </w:t>
            </w:r>
            <w:r w:rsidR="007B0AB1">
              <w:t>Cooperative Research Centre</w:t>
            </w:r>
            <w:r w:rsidR="008B1F29">
              <w:t xml:space="preserve"> </w:t>
            </w:r>
            <w:r w:rsidR="006F6116">
              <w:t xml:space="preserve">created the benchmarking and diagnostic tool ‘futuremap’ for </w:t>
            </w:r>
            <w:r w:rsidR="00D22C58">
              <w:t xml:space="preserve">small and medium enterprises in the manufacturing industry </w:t>
            </w:r>
            <w:r w:rsidR="00CF4797">
              <w:t xml:space="preserve">to map their capabilities </w:t>
            </w:r>
            <w:r w:rsidR="00827013">
              <w:t>in 13 areas of industrial competitiveness</w:t>
            </w:r>
            <w:r w:rsidR="00B534B3">
              <w:t>, including market positioning, leadership</w:t>
            </w:r>
            <w:r w:rsidR="009C6593">
              <w:t xml:space="preserve"> and digi</w:t>
            </w:r>
            <w:r w:rsidR="00A3137C">
              <w:t>t</w:t>
            </w:r>
            <w:r w:rsidR="009C6593">
              <w:t>alisation</w:t>
            </w:r>
            <w:r w:rsidR="00F514A2">
              <w:t xml:space="preserve"> (Ai Group, sub. 179, p.</w:t>
            </w:r>
            <w:r w:rsidR="005763F5">
              <w:t> 17)</w:t>
            </w:r>
            <w:r w:rsidR="00827013">
              <w:t xml:space="preserve">. The tool provides </w:t>
            </w:r>
            <w:r w:rsidR="00317BC3">
              <w:t>a self assessment and then identifies tailored opportunities for immediate and medium</w:t>
            </w:r>
            <w:r w:rsidR="00A43B86">
              <w:noBreakHyphen/>
            </w:r>
            <w:r w:rsidR="00317BC3">
              <w:t>term growth opportunities</w:t>
            </w:r>
          </w:p>
          <w:p w14:paraId="4D8D2B2B" w14:textId="1FB6E472" w:rsidR="00557DD7" w:rsidRDefault="00045814" w:rsidP="00536032">
            <w:pPr>
              <w:pStyle w:val="ListBullet"/>
            </w:pPr>
            <w:r>
              <w:t xml:space="preserve">Business Excellence Australia has created the </w:t>
            </w:r>
            <w:r w:rsidRPr="00045814">
              <w:t xml:space="preserve">Australian Business Excellence Framework that </w:t>
            </w:r>
            <w:r w:rsidR="00CB14BB">
              <w:t>‘</w:t>
            </w:r>
            <w:r w:rsidRPr="00045814">
              <w:t>focuses on an organisation’s ability to sustain innovation and provides organisations with guidance on</w:t>
            </w:r>
            <w:r w:rsidR="00254078">
              <w:t xml:space="preserve"> </w:t>
            </w:r>
            <w:r w:rsidRPr="00045814">
              <w:t>establishing innovation systems</w:t>
            </w:r>
            <w:r w:rsidR="00CB14BB">
              <w:t>’</w:t>
            </w:r>
            <w:r w:rsidR="00254078">
              <w:t xml:space="preserve"> (</w:t>
            </w:r>
            <w:r w:rsidR="00397FC6">
              <w:t>BEA, sub.</w:t>
            </w:r>
            <w:r w:rsidR="00A43B86">
              <w:t> </w:t>
            </w:r>
            <w:r w:rsidR="00397FC6">
              <w:t>159.</w:t>
            </w:r>
            <w:r w:rsidR="00CB14BB">
              <w:t>, p</w:t>
            </w:r>
            <w:r w:rsidR="00397FC6">
              <w:t>.</w:t>
            </w:r>
            <w:r w:rsidR="00CB14BB">
              <w:t> </w:t>
            </w:r>
            <w:r w:rsidR="00397FC6">
              <w:t>5),</w:t>
            </w:r>
            <w:r>
              <w:t xml:space="preserve"> </w:t>
            </w:r>
            <w:r w:rsidR="00254078">
              <w:t>which could be used as a framework for performance benchmarking.</w:t>
            </w:r>
          </w:p>
        </w:tc>
      </w:tr>
      <w:tr w:rsidR="00557DD7" w14:paraId="003F5412" w14:textId="77777777" w:rsidTr="00C426E9">
        <w:trPr>
          <w:hidden/>
        </w:trPr>
        <w:tc>
          <w:tcPr>
            <w:tcW w:w="9638" w:type="dxa"/>
            <w:shd w:val="clear" w:color="auto" w:fill="auto"/>
            <w:tcMar>
              <w:top w:w="0" w:type="dxa"/>
              <w:left w:w="170" w:type="dxa"/>
              <w:bottom w:w="0" w:type="dxa"/>
              <w:right w:w="170" w:type="dxa"/>
            </w:tcMar>
          </w:tcPr>
          <w:p w14:paraId="03481AF8" w14:textId="063E9B70" w:rsidR="00557DD7" w:rsidRPr="00465191" w:rsidRDefault="00557DD7" w:rsidP="00C426E9">
            <w:pPr>
              <w:pStyle w:val="BodyText"/>
              <w:spacing w:before="0" w:after="0" w:line="80" w:lineRule="atLeast"/>
              <w:rPr>
                <w:smallCaps/>
                <w:vanish/>
              </w:rPr>
            </w:pPr>
          </w:p>
        </w:tc>
      </w:tr>
    </w:tbl>
    <w:p w14:paraId="1888DDF5" w14:textId="77777777" w:rsidR="00557DD7" w:rsidRPr="003E222A" w:rsidRDefault="00557DD7" w:rsidP="00CC71DE">
      <w:pPr>
        <w:pStyle w:val="Heading5"/>
        <w:spacing w:before="240"/>
      </w:pPr>
      <w:r w:rsidRPr="00DF1716">
        <w:t xml:space="preserve">How can </w:t>
      </w:r>
      <w:r w:rsidRPr="003E222A">
        <w:t>benchmarking initiatives better support innovation</w:t>
      </w:r>
      <w:r>
        <w:t xml:space="preserve"> diffusion</w:t>
      </w:r>
      <w:r w:rsidRPr="003E222A">
        <w:t>?</w:t>
      </w:r>
    </w:p>
    <w:p w14:paraId="55B7B8F1" w14:textId="77777777" w:rsidR="00557DD7" w:rsidRPr="000B2378" w:rsidRDefault="00557DD7" w:rsidP="00557DD7">
      <w:pPr>
        <w:pStyle w:val="BodyText"/>
      </w:pPr>
      <w:r w:rsidRPr="000B2378">
        <w:t xml:space="preserve">There are three key considerations for developing effective benchmarking tools </w:t>
      </w:r>
      <w:r>
        <w:t xml:space="preserve">that encourage innovation diffusion </w:t>
      </w:r>
      <w:r w:rsidRPr="000B2378">
        <w:t xml:space="preserve">— </w:t>
      </w:r>
      <w:r>
        <w:t xml:space="preserve">obtaining </w:t>
      </w:r>
      <w:r w:rsidRPr="000B2378">
        <w:t xml:space="preserve">access to data, encouraging businesses to use the tools that are developed, and ensuring the tools offer meaningful insights and assistance </w:t>
      </w:r>
      <w:r>
        <w:t>that</w:t>
      </w:r>
      <w:r w:rsidRPr="000B2378">
        <w:t xml:space="preserve"> promote innovation.</w:t>
      </w:r>
    </w:p>
    <w:p w14:paraId="043EE74C" w14:textId="1036B885" w:rsidR="00557DD7" w:rsidRPr="0017130D" w:rsidRDefault="00557DD7" w:rsidP="00557DD7">
      <w:pPr>
        <w:pStyle w:val="BodyText"/>
      </w:pPr>
      <w:r w:rsidRPr="000B2378">
        <w:t>Regarding access to data</w:t>
      </w:r>
      <w:r>
        <w:t>,</w:t>
      </w:r>
      <w:r w:rsidRPr="000B2378">
        <w:t xml:space="preserve"> improving data sharing arrangements across agencies and increasing the collection of data from government funded entities </w:t>
      </w:r>
      <w:r w:rsidR="00936D73" w:rsidRPr="00936D73">
        <w:rPr>
          <w:rFonts w:ascii="Arial" w:hAnsi="Arial" w:cs="Arial"/>
          <w:szCs w:val="24"/>
        </w:rPr>
        <w:t>(for more detail see PC 2022a, p. 43)</w:t>
      </w:r>
      <w:r w:rsidRPr="00B92822">
        <w:t xml:space="preserve"> could increase the usefulness of data for benchmarking purposes</w:t>
      </w:r>
      <w:r w:rsidRPr="000B2378">
        <w:t>. However, this would need to be balanced against the need for data security and maintaining confidentiality for individual businesses.</w:t>
      </w:r>
      <w:r w:rsidR="0017130D">
        <w:t xml:space="preserve"> The inquiry’s companion </w:t>
      </w:r>
      <w:r w:rsidR="006B7EA1">
        <w:t>volume</w:t>
      </w:r>
      <w:r w:rsidR="0017130D">
        <w:t xml:space="preserve"> </w:t>
      </w:r>
      <w:r w:rsidR="0017130D">
        <w:rPr>
          <w:i/>
          <w:iCs/>
        </w:rPr>
        <w:t>Australia’s data and digital dividend</w:t>
      </w:r>
      <w:r w:rsidR="0017130D">
        <w:t xml:space="preserve"> </w:t>
      </w:r>
      <w:r w:rsidR="00F42E06">
        <w:t xml:space="preserve">notes </w:t>
      </w:r>
      <w:r w:rsidR="00806571">
        <w:t xml:space="preserve">that the ABS and ATO are continuing to explore how they can provide data </w:t>
      </w:r>
      <w:r w:rsidR="00257AED">
        <w:t xml:space="preserve">collected from businesses </w:t>
      </w:r>
      <w:r w:rsidR="00806571">
        <w:t xml:space="preserve">back to businesses, safely and securely, </w:t>
      </w:r>
      <w:proofErr w:type="gramStart"/>
      <w:r w:rsidR="00257AED">
        <w:t>in order to</w:t>
      </w:r>
      <w:proofErr w:type="gramEnd"/>
      <w:r w:rsidR="00257AED">
        <w:t xml:space="preserve"> add value (such as for performance comparison purposes</w:t>
      </w:r>
      <w:r w:rsidR="00785D86">
        <w:t xml:space="preserve"> via tailored reports</w:t>
      </w:r>
      <w:r w:rsidR="00257AED">
        <w:t>).</w:t>
      </w:r>
      <w:r w:rsidR="00DC7013">
        <w:t xml:space="preserve"> </w:t>
      </w:r>
      <w:r w:rsidR="0047183F">
        <w:t xml:space="preserve">Other government agencies may also collect and hold data from businesses and consumers </w:t>
      </w:r>
      <w:r w:rsidR="00CB48B3">
        <w:t xml:space="preserve">that could be </w:t>
      </w:r>
      <w:r w:rsidR="009323B0">
        <w:t xml:space="preserve">aggregated and/or analysed </w:t>
      </w:r>
      <w:r w:rsidR="00E94874">
        <w:t xml:space="preserve">and then provided back to </w:t>
      </w:r>
      <w:r w:rsidR="004963EE">
        <w:t>businesses and consumers for benchmarking purposes</w:t>
      </w:r>
      <w:r w:rsidR="005B6AFA">
        <w:t>,</w:t>
      </w:r>
      <w:r w:rsidR="002D75A5">
        <w:t xml:space="preserve"> including in specific sectors such</w:t>
      </w:r>
      <w:r w:rsidR="005B6AFA">
        <w:t xml:space="preserve"> </w:t>
      </w:r>
      <w:r w:rsidR="00CA3083">
        <w:t xml:space="preserve">as ABARES is already doing for farm performance benchmarking </w:t>
      </w:r>
      <w:r w:rsidR="005B6AFA">
        <w:t>(</w:t>
      </w:r>
      <w:r w:rsidR="00CA3083">
        <w:t>box</w:t>
      </w:r>
      <w:r w:rsidR="00A43B86">
        <w:t> </w:t>
      </w:r>
      <w:r w:rsidR="00CA3083">
        <w:t>2.</w:t>
      </w:r>
      <w:r w:rsidR="00844A74">
        <w:t>8</w:t>
      </w:r>
      <w:r w:rsidR="00CA3083">
        <w:t>)</w:t>
      </w:r>
      <w:r w:rsidR="004963EE">
        <w:t xml:space="preserve">. </w:t>
      </w:r>
      <w:r w:rsidR="0057262F">
        <w:t>Further</w:t>
      </w:r>
      <w:r w:rsidR="002D75A5">
        <w:t xml:space="preserve"> sector</w:t>
      </w:r>
      <w:r w:rsidR="00A43B86">
        <w:noBreakHyphen/>
      </w:r>
      <w:r w:rsidR="002D75A5">
        <w:t>specific opportunities for data sharing for benchmarking purposes could</w:t>
      </w:r>
      <w:r w:rsidR="004963EE">
        <w:t xml:space="preserve"> include </w:t>
      </w:r>
      <w:r w:rsidR="00E612F0">
        <w:t xml:space="preserve">APRA and ASIC data for financial services and ACCC data </w:t>
      </w:r>
      <w:r w:rsidR="00CD63EA">
        <w:t>for various consumer products.</w:t>
      </w:r>
    </w:p>
    <w:p w14:paraId="7C3BF7BE" w14:textId="6D4824B0" w:rsidR="00557DD7" w:rsidRPr="000B2378" w:rsidRDefault="00557DD7" w:rsidP="00557DD7">
      <w:pPr>
        <w:pStyle w:val="BodyText"/>
      </w:pPr>
      <w:r>
        <w:t>Benchmarking</w:t>
      </w:r>
      <w:r w:rsidRPr="000B2378">
        <w:t xml:space="preserve"> examples from the U</w:t>
      </w:r>
      <w:r>
        <w:t>nited </w:t>
      </w:r>
      <w:r w:rsidRPr="000B2378">
        <w:t>K</w:t>
      </w:r>
      <w:r>
        <w:t>ingdom</w:t>
      </w:r>
      <w:r w:rsidRPr="000B2378">
        <w:t xml:space="preserve">, Canada, and New Zealand demonstrate the potential to make </w:t>
      </w:r>
      <w:r>
        <w:t>benchmarking</w:t>
      </w:r>
      <w:r w:rsidRPr="000B2378">
        <w:t xml:space="preserve"> tools directly accessible online, including the ability to tailor the results based on some basic inputs provided by a business.</w:t>
      </w:r>
      <w:r w:rsidR="008C5C43" w:rsidRPr="002E227D">
        <w:rPr>
          <w:rStyle w:val="FootnoteReference"/>
        </w:rPr>
        <w:footnoteReference w:id="22"/>
      </w:r>
      <w:r w:rsidRPr="000B2378">
        <w:t xml:space="preserve"> </w:t>
      </w:r>
      <w:r w:rsidR="00756D00">
        <w:t xml:space="preserve">Efforts by Australian government agencies to provide data back to businesses for benchmarking purposes could be extended </w:t>
      </w:r>
      <w:r w:rsidR="00CC21C5">
        <w:t>by creating similar accessible and tailored tools</w:t>
      </w:r>
      <w:r w:rsidR="00E2097B">
        <w:t xml:space="preserve">. </w:t>
      </w:r>
      <w:r w:rsidRPr="000B2378">
        <w:t>The ABS initiative also highlights how existing points of contact between government and businesses can be leveraged to offer benchmarking tools with benefits for both parties</w:t>
      </w:r>
      <w:r>
        <w:t>. In this case, b</w:t>
      </w:r>
      <w:r w:rsidRPr="000B2378">
        <w:t xml:space="preserve">usinesses are offered access to benchmarking, which also acts as an incentive for them to engage with government in other ways (in the ABS example, benchmarking reports will be provided as a direct benefit to businesses </w:t>
      </w:r>
      <w:r>
        <w:t>that</w:t>
      </w:r>
      <w:r w:rsidRPr="000B2378">
        <w:t xml:space="preserve"> use the new streamlined reporting application).</w:t>
      </w:r>
    </w:p>
    <w:p w14:paraId="7F6207F1" w14:textId="373B8C99" w:rsidR="00C00A6E" w:rsidRPr="00F22A96" w:rsidRDefault="00557DD7" w:rsidP="00557DD7">
      <w:pPr>
        <w:pStyle w:val="BodyText"/>
        <w:rPr>
          <w:spacing w:val="-4"/>
        </w:rPr>
      </w:pPr>
      <w:r w:rsidRPr="00F22A96">
        <w:rPr>
          <w:spacing w:val="-4"/>
        </w:rPr>
        <w:lastRenderedPageBreak/>
        <w:t xml:space="preserve">The tools that are developed should offer meaningful insights and assistance to the businesses that access them, and specifically promote innovation. </w:t>
      </w:r>
      <w:r w:rsidR="00744899" w:rsidRPr="00F22A96">
        <w:rPr>
          <w:spacing w:val="-4"/>
        </w:rPr>
        <w:t xml:space="preserve">The Australian Academy of Technological Sciences and Engineering has noted that traditional indicators of innovation have become </w:t>
      </w:r>
      <w:r w:rsidR="007D22C4" w:rsidRPr="00F22A96">
        <w:rPr>
          <w:spacing w:val="-4"/>
        </w:rPr>
        <w:t>‘</w:t>
      </w:r>
      <w:r w:rsidR="00744899" w:rsidRPr="00F22A96">
        <w:rPr>
          <w:spacing w:val="-4"/>
        </w:rPr>
        <w:t>increasingly insufficient and misleading</w:t>
      </w:r>
      <w:r w:rsidR="007D22C4" w:rsidRPr="00F22A96">
        <w:rPr>
          <w:spacing w:val="-4"/>
        </w:rPr>
        <w:t>’</w:t>
      </w:r>
      <w:r w:rsidR="00744899" w:rsidRPr="00F22A96">
        <w:rPr>
          <w:spacing w:val="-4"/>
        </w:rPr>
        <w:t xml:space="preserve"> (A</w:t>
      </w:r>
      <w:r w:rsidR="0040031B" w:rsidRPr="00F22A96">
        <w:rPr>
          <w:spacing w:val="-4"/>
        </w:rPr>
        <w:t>TSE, sub.</w:t>
      </w:r>
      <w:r w:rsidR="00A43B86">
        <w:rPr>
          <w:spacing w:val="-4"/>
        </w:rPr>
        <w:t> </w:t>
      </w:r>
      <w:r w:rsidR="0040031B" w:rsidRPr="00F22A96">
        <w:rPr>
          <w:spacing w:val="-4"/>
        </w:rPr>
        <w:t>98, pp.</w:t>
      </w:r>
      <w:r w:rsidR="00A43B86">
        <w:rPr>
          <w:spacing w:val="-4"/>
        </w:rPr>
        <w:t> </w:t>
      </w:r>
      <w:r w:rsidR="0040031B" w:rsidRPr="00F22A96">
        <w:rPr>
          <w:spacing w:val="-4"/>
        </w:rPr>
        <w:t>2</w:t>
      </w:r>
      <w:r w:rsidR="007D22C4" w:rsidRPr="00F22A96">
        <w:rPr>
          <w:spacing w:val="-4"/>
        </w:rPr>
        <w:t>–</w:t>
      </w:r>
      <w:r w:rsidR="0040031B" w:rsidRPr="00F22A96">
        <w:rPr>
          <w:spacing w:val="-4"/>
        </w:rPr>
        <w:t>3).</w:t>
      </w:r>
      <w:r w:rsidR="00744899" w:rsidRPr="00F22A96">
        <w:rPr>
          <w:spacing w:val="-4"/>
        </w:rPr>
        <w:t xml:space="preserve"> </w:t>
      </w:r>
      <w:r w:rsidRPr="00F22A96">
        <w:rPr>
          <w:spacing w:val="-4"/>
        </w:rPr>
        <w:t xml:space="preserve">The effectiveness of the tools may be improved by accompanying the benchmarking results with other analysis </w:t>
      </w:r>
      <w:r w:rsidR="00BF1F13" w:rsidRPr="00F22A96">
        <w:rPr>
          <w:spacing w:val="-4"/>
        </w:rPr>
        <w:t xml:space="preserve">— for example, accessible and relevant case studies about </w:t>
      </w:r>
      <w:r w:rsidR="00B210BC" w:rsidRPr="00F22A96">
        <w:rPr>
          <w:spacing w:val="-4"/>
        </w:rPr>
        <w:t>how similar businesses have succeeded in adopti</w:t>
      </w:r>
      <w:r w:rsidR="00D21D82" w:rsidRPr="00F22A96">
        <w:rPr>
          <w:spacing w:val="-4"/>
        </w:rPr>
        <w:t>ng</w:t>
      </w:r>
      <w:r w:rsidR="00B210BC" w:rsidRPr="00F22A96">
        <w:rPr>
          <w:spacing w:val="-4"/>
        </w:rPr>
        <w:t xml:space="preserve"> new </w:t>
      </w:r>
      <w:r w:rsidR="00D21D82" w:rsidRPr="00F22A96">
        <w:rPr>
          <w:spacing w:val="-4"/>
        </w:rPr>
        <w:t>technologies and processes could assist innovation</w:t>
      </w:r>
      <w:r w:rsidR="00A43B86">
        <w:rPr>
          <w:spacing w:val="-4"/>
        </w:rPr>
        <w:noBreakHyphen/>
      </w:r>
      <w:r w:rsidR="00D21D82" w:rsidRPr="00F22A96">
        <w:rPr>
          <w:spacing w:val="-4"/>
        </w:rPr>
        <w:t>ready businesses that are unsure of where to begin with improving their own operations</w:t>
      </w:r>
      <w:r w:rsidR="006329BC" w:rsidRPr="00F22A96">
        <w:rPr>
          <w:spacing w:val="-4"/>
        </w:rPr>
        <w:t xml:space="preserve"> (Ai Group, sub. 179, </w:t>
      </w:r>
      <w:r w:rsidR="00430D99" w:rsidRPr="00F22A96">
        <w:rPr>
          <w:spacing w:val="-4"/>
        </w:rPr>
        <w:t>pp. 16–17)</w:t>
      </w:r>
      <w:r w:rsidR="00D21D82" w:rsidRPr="00F22A96">
        <w:rPr>
          <w:spacing w:val="-4"/>
        </w:rPr>
        <w:t xml:space="preserve">. </w:t>
      </w:r>
      <w:r w:rsidR="000E703E" w:rsidRPr="00F22A96">
        <w:rPr>
          <w:spacing w:val="-4"/>
        </w:rPr>
        <w:t>A</w:t>
      </w:r>
      <w:r w:rsidRPr="00F22A96">
        <w:rPr>
          <w:spacing w:val="-4"/>
        </w:rPr>
        <w:t xml:space="preserve">dvice that highlights the possible underlying drivers of the </w:t>
      </w:r>
      <w:r w:rsidR="000E703E" w:rsidRPr="00F22A96">
        <w:rPr>
          <w:spacing w:val="-4"/>
        </w:rPr>
        <w:t xml:space="preserve">benchmarking </w:t>
      </w:r>
      <w:r w:rsidRPr="00F22A96">
        <w:rPr>
          <w:spacing w:val="-4"/>
        </w:rPr>
        <w:t xml:space="preserve">results and provides </w:t>
      </w:r>
      <w:r w:rsidR="006329BC" w:rsidRPr="00F22A96">
        <w:rPr>
          <w:spacing w:val="-4"/>
        </w:rPr>
        <w:t xml:space="preserve">relevant actions </w:t>
      </w:r>
      <w:r w:rsidRPr="00F22A96">
        <w:rPr>
          <w:spacing w:val="-4"/>
        </w:rPr>
        <w:t>for businesses</w:t>
      </w:r>
      <w:r w:rsidR="006329BC" w:rsidRPr="00F22A96">
        <w:rPr>
          <w:spacing w:val="-4"/>
        </w:rPr>
        <w:t xml:space="preserve"> could also help, and</w:t>
      </w:r>
      <w:r w:rsidRPr="00F22A96">
        <w:rPr>
          <w:spacing w:val="-4"/>
        </w:rPr>
        <w:t xml:space="preserve"> </w:t>
      </w:r>
      <w:r w:rsidR="006329BC" w:rsidRPr="00F22A96">
        <w:rPr>
          <w:spacing w:val="-4"/>
        </w:rPr>
        <w:t>b</w:t>
      </w:r>
      <w:r w:rsidRPr="00F22A96">
        <w:rPr>
          <w:spacing w:val="-4"/>
        </w:rPr>
        <w:t xml:space="preserve">enchmarking services could link to other government programs and support for businesses. </w:t>
      </w:r>
    </w:p>
    <w:p w14:paraId="239C2983" w14:textId="6B87BBEF" w:rsidR="00557DD7" w:rsidRDefault="00557DD7" w:rsidP="00C00A6E">
      <w:pPr>
        <w:pStyle w:val="BodyText"/>
      </w:pPr>
      <w:r w:rsidRPr="004E3E36">
        <w:t xml:space="preserve">One question, however, is whether businesses would recognise government as a competent provider of such advice </w:t>
      </w:r>
      <w:r w:rsidRPr="004E3E36">
        <w:rPr>
          <w:rFonts w:cs="Arial"/>
          <w:szCs w:val="24"/>
        </w:rPr>
        <w:t>(Nooteboom 1994, p. 343)</w:t>
      </w:r>
      <w:r w:rsidRPr="004E3E36">
        <w:t>. This may suggest a need to involve third parties with more direct industry expertise, such as industry associations or business advis</w:t>
      </w:r>
      <w:r w:rsidR="002411F4">
        <w:t>e</w:t>
      </w:r>
      <w:r w:rsidRPr="004E3E36">
        <w:t>rs.</w:t>
      </w:r>
      <w:r w:rsidR="00C00A6E">
        <w:t xml:space="preserve"> For example, the Ai Group noted that ‘the development of case study material could also be an area for partnership with industry associations who are more familiar with the target market and less likely to be restrained by political considerations and objectives than government agencies’ (Ai Group, sub. 179, p. 17).</w:t>
      </w:r>
    </w:p>
    <w:p w14:paraId="643711FC" w14:textId="77777777" w:rsidR="00FE595A" w:rsidRDefault="00FE595A" w:rsidP="00C00A6E">
      <w:pPr>
        <w:pStyle w:val="NoSpacing"/>
      </w:pPr>
    </w:p>
    <w:tbl>
      <w:tblPr>
        <w:tblStyle w:val="Texttable-Paleblue"/>
        <w:tblW w:w="5000" w:type="pct"/>
        <w:tblLook w:val="04A0" w:firstRow="1" w:lastRow="0" w:firstColumn="1" w:lastColumn="0" w:noHBand="0" w:noVBand="1"/>
      </w:tblPr>
      <w:tblGrid>
        <w:gridCol w:w="713"/>
        <w:gridCol w:w="8925"/>
      </w:tblGrid>
      <w:tr w:rsidR="00FE595A" w14:paraId="54F37906" w14:textId="77777777" w:rsidTr="00C00A6E">
        <w:trPr>
          <w:tblHeader/>
        </w:trPr>
        <w:tc>
          <w:tcPr>
            <w:tcW w:w="709" w:type="dxa"/>
            <w:tcMar>
              <w:top w:w="0" w:type="dxa"/>
              <w:bottom w:w="0" w:type="dxa"/>
            </w:tcMar>
            <w:vAlign w:val="center"/>
          </w:tcPr>
          <w:p w14:paraId="2FB9E07E" w14:textId="77777777" w:rsidR="00FE595A" w:rsidRDefault="00FE595A" w:rsidP="00C00A6E">
            <w:pPr>
              <w:keepLines/>
              <w:jc w:val="center"/>
            </w:pPr>
            <w:r w:rsidRPr="00A51374">
              <w:rPr>
                <w:noProof/>
              </w:rPr>
              <w:drawing>
                <wp:inline distT="0" distB="0" distL="0" distR="0" wp14:anchorId="61FB9768" wp14:editId="0BEC5E41">
                  <wp:extent cx="288000" cy="28800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8E6037D" w14:textId="10C834D3" w:rsidR="00FE595A" w:rsidRPr="00715040" w:rsidRDefault="00FE595A" w:rsidP="00C00A6E">
            <w:pPr>
              <w:pStyle w:val="TableHeading"/>
              <w:keepLines/>
              <w:spacing w:before="120" w:after="120"/>
              <w:contextualSpacing/>
              <w:rPr>
                <w:sz w:val="20"/>
              </w:rPr>
            </w:pPr>
            <w:r w:rsidRPr="00715040">
              <w:rPr>
                <w:sz w:val="20"/>
              </w:rPr>
              <w:t xml:space="preserve">Recommendation </w:t>
            </w:r>
            <w:r w:rsidR="007B765F">
              <w:rPr>
                <w:sz w:val="20"/>
              </w:rPr>
              <w:t>5</w:t>
            </w:r>
            <w:r w:rsidRPr="00715040">
              <w:rPr>
                <w:sz w:val="20"/>
              </w:rPr>
              <w:t>.</w:t>
            </w:r>
            <w:r w:rsidR="007475CD">
              <w:rPr>
                <w:sz w:val="20"/>
              </w:rPr>
              <w:t>5</w:t>
            </w:r>
          </w:p>
          <w:p w14:paraId="7B209159" w14:textId="0FA64DB1" w:rsidR="00FE595A" w:rsidRPr="00715040" w:rsidRDefault="00A979FD" w:rsidP="00C00A6E">
            <w:pPr>
              <w:pStyle w:val="TableHeading"/>
              <w:keepLines/>
              <w:spacing w:before="120" w:after="120"/>
              <w:contextualSpacing/>
              <w:rPr>
                <w:sz w:val="20"/>
              </w:rPr>
            </w:pPr>
            <w:r>
              <w:rPr>
                <w:sz w:val="20"/>
              </w:rPr>
              <w:t>Using government</w:t>
            </w:r>
            <w:r w:rsidR="00A43B86">
              <w:rPr>
                <w:sz w:val="20"/>
              </w:rPr>
              <w:noBreakHyphen/>
            </w:r>
            <w:r>
              <w:rPr>
                <w:sz w:val="20"/>
              </w:rPr>
              <w:t>held data for benchmarking purposes</w:t>
            </w:r>
          </w:p>
        </w:tc>
      </w:tr>
      <w:tr w:rsidR="00FE595A" w14:paraId="1CCCA958" w14:textId="77777777" w:rsidTr="00C00A6E">
        <w:tc>
          <w:tcPr>
            <w:tcW w:w="9583" w:type="dxa"/>
            <w:gridSpan w:val="2"/>
            <w:tcMar>
              <w:top w:w="0" w:type="dxa"/>
            </w:tcMar>
          </w:tcPr>
          <w:p w14:paraId="1FA2C14B" w14:textId="0872BF2D" w:rsidR="0037584A" w:rsidRDefault="001D6B81" w:rsidP="00536032">
            <w:pPr>
              <w:pStyle w:val="BodyText"/>
              <w:keepLines/>
            </w:pPr>
            <w:r>
              <w:t xml:space="preserve">Government agencies </w:t>
            </w:r>
            <w:r w:rsidR="0052497E">
              <w:t xml:space="preserve">should use data they collect </w:t>
            </w:r>
            <w:r w:rsidR="00F522E8">
              <w:t xml:space="preserve">to help businesses benchmark their performance and provide insights </w:t>
            </w:r>
            <w:r w:rsidR="00FF38DB">
              <w:t xml:space="preserve">that promote </w:t>
            </w:r>
            <w:r w:rsidR="0037584A">
              <w:t>diffusion of best practice</w:t>
            </w:r>
            <w:r w:rsidR="00FF38DB">
              <w:t xml:space="preserve">. </w:t>
            </w:r>
          </w:p>
          <w:p w14:paraId="71E888A7" w14:textId="351CC829" w:rsidR="0037584A" w:rsidRDefault="00FF38DB" w:rsidP="000B7115">
            <w:pPr>
              <w:pStyle w:val="ListBullet"/>
            </w:pPr>
            <w:r>
              <w:t xml:space="preserve">Existing efforts to provide data collected from businesses back to businesses for performance comparison purposes, such as those </w:t>
            </w:r>
            <w:r w:rsidR="009D46E0">
              <w:t>by the ABS</w:t>
            </w:r>
            <w:r w:rsidR="00F8688A">
              <w:t>,</w:t>
            </w:r>
            <w:r w:rsidR="009D46E0">
              <w:t xml:space="preserve"> ATO and </w:t>
            </w:r>
            <w:r w:rsidR="00F8688A">
              <w:t>ABARES</w:t>
            </w:r>
            <w:r w:rsidR="009D46E0">
              <w:t xml:space="preserve">, should be extended — for example, </w:t>
            </w:r>
            <w:r w:rsidR="0066359B">
              <w:t xml:space="preserve">by making benchmarking tools </w:t>
            </w:r>
            <w:r w:rsidR="00952F41">
              <w:t xml:space="preserve">with tailored results </w:t>
            </w:r>
            <w:r w:rsidR="0066359B">
              <w:t>accessible online</w:t>
            </w:r>
            <w:r w:rsidR="00952F41">
              <w:t xml:space="preserve">, or by accompanying benchmarking results with other analysis such as case studies on best practice. </w:t>
            </w:r>
          </w:p>
          <w:p w14:paraId="1D20FFEE" w14:textId="512EA3BB" w:rsidR="00FE595A" w:rsidRPr="00767EAE" w:rsidRDefault="00C73FE1" w:rsidP="000B7115">
            <w:pPr>
              <w:pStyle w:val="ListBullet"/>
            </w:pPr>
            <w:r>
              <w:t>O</w:t>
            </w:r>
            <w:r w:rsidR="00E75C69" w:rsidRPr="00E75C69">
              <w:t>ther opportunities to use government</w:t>
            </w:r>
            <w:r w:rsidR="00A43B86">
              <w:noBreakHyphen/>
            </w:r>
            <w:r w:rsidR="00E75C69" w:rsidRPr="00E75C69">
              <w:t>held data for benchmarking</w:t>
            </w:r>
            <w:r w:rsidR="006B2E13">
              <w:t xml:space="preserve"> should be explored</w:t>
            </w:r>
            <w:r w:rsidR="00E75C69" w:rsidRPr="00E75C69">
              <w:t xml:space="preserve">, including in specific sectors where applicable (for example, </w:t>
            </w:r>
            <w:r w:rsidR="004860D0">
              <w:t xml:space="preserve">APRA and ASIC </w:t>
            </w:r>
            <w:r w:rsidR="00E75C69" w:rsidRPr="00E75C69">
              <w:t>data for financial services</w:t>
            </w:r>
            <w:r w:rsidR="004860D0">
              <w:t xml:space="preserve"> and ACCC data for various consumer products</w:t>
            </w:r>
            <w:r w:rsidR="00E75C69" w:rsidRPr="00E75C69">
              <w:t xml:space="preserve">). </w:t>
            </w:r>
          </w:p>
        </w:tc>
      </w:tr>
      <w:tr w:rsidR="00FE595A" w14:paraId="0D3D9DCF" w14:textId="77777777" w:rsidTr="00C00A6E">
        <w:tc>
          <w:tcPr>
            <w:tcW w:w="9583" w:type="dxa"/>
            <w:gridSpan w:val="2"/>
            <w:shd w:val="clear" w:color="auto" w:fill="auto"/>
            <w:tcMar>
              <w:top w:w="0" w:type="dxa"/>
              <w:bottom w:w="0" w:type="dxa"/>
            </w:tcMar>
          </w:tcPr>
          <w:p w14:paraId="287EE90C" w14:textId="77777777" w:rsidR="00FE595A" w:rsidRPr="007E0EA8" w:rsidRDefault="00FE595A" w:rsidP="00C00A6E">
            <w:pPr>
              <w:pStyle w:val="NoSpacing"/>
              <w:spacing w:line="200" w:lineRule="exact"/>
            </w:pPr>
          </w:p>
        </w:tc>
      </w:tr>
    </w:tbl>
    <w:p w14:paraId="435595CA" w14:textId="77777777" w:rsidR="00557DD7" w:rsidRDefault="00557DD7" w:rsidP="00557DD7">
      <w:pPr>
        <w:pStyle w:val="Heading4"/>
      </w:pPr>
      <w:r>
        <w:t>Firms learn from their neighbours, but place</w:t>
      </w:r>
      <w:r>
        <w:noBreakHyphen/>
        <w:t xml:space="preserve">based programs are unlikely to yield a large diffusion dividend </w:t>
      </w:r>
    </w:p>
    <w:p w14:paraId="0FEDFEA5" w14:textId="457BBDB9" w:rsidR="00FC07C2" w:rsidRDefault="00557DD7" w:rsidP="00557DD7">
      <w:pPr>
        <w:pStyle w:val="BodyText"/>
      </w:pPr>
      <w:r>
        <w:t>A</w:t>
      </w:r>
      <w:r w:rsidRPr="001D60A6">
        <w:t xml:space="preserve"> recent trend in innovation policy in Australian is an increased focus on place</w:t>
      </w:r>
      <w:r w:rsidR="000565F7">
        <w:noBreakHyphen/>
      </w:r>
      <w:r w:rsidRPr="001D60A6">
        <w:t>based programs (ISA 2016, p. 82). Place</w:t>
      </w:r>
      <w:r>
        <w:noBreakHyphen/>
      </w:r>
      <w:r w:rsidRPr="001D60A6">
        <w:t xml:space="preserve">based innovation programs </w:t>
      </w:r>
      <w:r>
        <w:t>—</w:t>
      </w:r>
      <w:r w:rsidRPr="001D60A6">
        <w:t xml:space="preserve"> </w:t>
      </w:r>
      <w:r>
        <w:t>measures to develop</w:t>
      </w:r>
      <w:r w:rsidRPr="001D60A6">
        <w:t xml:space="preserve"> </w:t>
      </w:r>
      <w:r>
        <w:t xml:space="preserve">or enhance existing </w:t>
      </w:r>
      <w:r w:rsidRPr="001D60A6">
        <w:t xml:space="preserve">accelerators, incubators, clusters and technology parks and precincts </w:t>
      </w:r>
      <w:r w:rsidRPr="00280ACC">
        <w:rPr>
          <w:rFonts w:ascii="Arial" w:hAnsi="Arial" w:cs="Arial"/>
          <w:szCs w:val="24"/>
        </w:rPr>
        <w:t>(ISA 2016, p. 82)</w:t>
      </w:r>
      <w:r>
        <w:t xml:space="preserve"> —</w:t>
      </w:r>
      <w:r w:rsidRPr="001D60A6">
        <w:t xml:space="preserve"> can create additional opportunities for spillovers between participating firms</w:t>
      </w:r>
      <w:r w:rsidR="00D404C7">
        <w:t xml:space="preserve"> — </w:t>
      </w:r>
      <w:r w:rsidR="00C95DD0">
        <w:t xml:space="preserve">often </w:t>
      </w:r>
      <w:r w:rsidR="0065667D">
        <w:t>firms operating at or close to the technological frontier</w:t>
      </w:r>
      <w:r w:rsidRPr="001D60A6">
        <w:t xml:space="preserve">. </w:t>
      </w:r>
      <w:r>
        <w:t>For example, p</w:t>
      </w:r>
      <w:r w:rsidRPr="002B24E4">
        <w:t xml:space="preserve">roximity of research institutions to each other can create ecosystems where horizontal spillovers in the form of knowledge, skills and shared infrastructure can attract further investment and improve the diffusion of innovation. </w:t>
      </w:r>
    </w:p>
    <w:p w14:paraId="456038CE" w14:textId="53ECF1C6" w:rsidR="00557DD7" w:rsidRPr="001D60A6" w:rsidRDefault="00557DD7" w:rsidP="00557DD7">
      <w:pPr>
        <w:pStyle w:val="BodyText"/>
      </w:pPr>
      <w:r w:rsidRPr="00A107CB">
        <w:t xml:space="preserve">Various Australian governments </w:t>
      </w:r>
      <w:r w:rsidR="00EE6806">
        <w:t>are</w:t>
      </w:r>
      <w:r w:rsidRPr="00A107CB">
        <w:t xml:space="preserve"> already </w:t>
      </w:r>
      <w:r w:rsidR="003937C2">
        <w:t>investing</w:t>
      </w:r>
      <w:r w:rsidR="00AE623B">
        <w:t xml:space="preserve"> in</w:t>
      </w:r>
      <w:r w:rsidRPr="00A107CB">
        <w:t xml:space="preserve"> co</w:t>
      </w:r>
      <w:r w:rsidR="00A43B86">
        <w:noBreakHyphen/>
      </w:r>
      <w:r w:rsidRPr="00A107CB">
        <w:t xml:space="preserve">location, </w:t>
      </w:r>
      <w:r w:rsidR="003937C2">
        <w:t>for example in</w:t>
      </w:r>
      <w:r w:rsidRPr="00A107CB">
        <w:t xml:space="preserve"> the Melbourne Biomedical Precinct (Invest Victoria 2022)</w:t>
      </w:r>
      <w:r w:rsidR="009A7524" w:rsidRPr="009A7524">
        <w:t xml:space="preserve"> </w:t>
      </w:r>
      <w:r w:rsidR="009A7524">
        <w:t xml:space="preserve">and Sydney’s Tech Central, which aims to stimulate technology uptake </w:t>
      </w:r>
      <w:r w:rsidR="00116531" w:rsidRPr="00116531">
        <w:rPr>
          <w:rFonts w:ascii="Arial" w:hAnsi="Arial" w:cs="Arial"/>
          <w:szCs w:val="24"/>
        </w:rPr>
        <w:t>(NSW PC 2022, pp. 58–59)</w:t>
      </w:r>
      <w:r w:rsidRPr="00A107CB">
        <w:t>.</w:t>
      </w:r>
      <w:r w:rsidRPr="002B24E4">
        <w:t xml:space="preserve"> </w:t>
      </w:r>
      <w:r>
        <w:t>Indeed</w:t>
      </w:r>
      <w:r w:rsidRPr="001D60A6">
        <w:t>, placed</w:t>
      </w:r>
      <w:r>
        <w:noBreakHyphen/>
      </w:r>
      <w:r w:rsidRPr="001D60A6">
        <w:t xml:space="preserve">based programs are one of the key mechanisms for </w:t>
      </w:r>
      <w:r w:rsidR="00265B16">
        <w:t>S</w:t>
      </w:r>
      <w:r w:rsidRPr="001D60A6">
        <w:t xml:space="preserve">tate and </w:t>
      </w:r>
      <w:r w:rsidR="00265B16">
        <w:t>T</w:t>
      </w:r>
      <w:r w:rsidRPr="001D60A6">
        <w:t xml:space="preserve">erritory </w:t>
      </w:r>
      <w:r w:rsidR="00265B16">
        <w:t>G</w:t>
      </w:r>
      <w:r w:rsidRPr="001D60A6">
        <w:t xml:space="preserve">overnments to facilitate information flows in the innovation system and encourage </w:t>
      </w:r>
      <w:r w:rsidRPr="001D60A6">
        <w:lastRenderedPageBreak/>
        <w:t>spillovers (ISA 2016, pp. 23–24).</w:t>
      </w:r>
      <w:r w:rsidRPr="004B61DD">
        <w:rPr>
          <w:rStyle w:val="FootnoteReference"/>
        </w:rPr>
        <w:footnoteReference w:id="23"/>
      </w:r>
      <w:r w:rsidRPr="001D60A6">
        <w:t xml:space="preserve"> Place</w:t>
      </w:r>
      <w:r>
        <w:noBreakHyphen/>
      </w:r>
      <w:r w:rsidRPr="001D60A6">
        <w:t xml:space="preserve">based policies also play a role in regional development policy </w:t>
      </w:r>
      <w:r w:rsidR="00936D73" w:rsidRPr="00936D73">
        <w:rPr>
          <w:rFonts w:ascii="Arial" w:hAnsi="Arial" w:cs="Arial"/>
          <w:szCs w:val="24"/>
        </w:rPr>
        <w:t>(PC 2017e, pp. 70–71)</w:t>
      </w:r>
      <w:r>
        <w:t>.</w:t>
      </w:r>
    </w:p>
    <w:p w14:paraId="1770092F" w14:textId="1DAF45F5" w:rsidR="00557DD7" w:rsidRPr="001D60A6" w:rsidRDefault="00557DD7" w:rsidP="00557DD7">
      <w:pPr>
        <w:pStyle w:val="BodyText"/>
      </w:pPr>
      <w:r w:rsidRPr="008F2CD1">
        <w:t>For firms, the two key benefits of clustering are spillovers from job</w:t>
      </w:r>
      <w:r>
        <w:t xml:space="preserve"> </w:t>
      </w:r>
      <w:r w:rsidRPr="008F2CD1">
        <w:t>transitions</w:t>
      </w:r>
      <w:r w:rsidRPr="001D60A6">
        <w:t xml:space="preserve"> and </w:t>
      </w:r>
      <w:r w:rsidRPr="008F2CD1">
        <w:t xml:space="preserve">knowledge sharing. </w:t>
      </w:r>
      <w:r>
        <w:t>J</w:t>
      </w:r>
      <w:r w:rsidRPr="001D60A6">
        <w:t>ob</w:t>
      </w:r>
      <w:r>
        <w:t xml:space="preserve"> </w:t>
      </w:r>
      <w:r w:rsidRPr="001D60A6">
        <w:t>transitions</w:t>
      </w:r>
      <w:r>
        <w:t xml:space="preserve"> within local clusters create a channel for diffusion</w:t>
      </w:r>
      <w:r w:rsidRPr="001D60A6">
        <w:t>, with employees carrying knowledge with them as they move between firms (Krugman 1991)</w:t>
      </w:r>
      <w:r>
        <w:t>. Clustering</w:t>
      </w:r>
      <w:r w:rsidRPr="001D60A6">
        <w:t xml:space="preserve"> </w:t>
      </w:r>
      <w:r>
        <w:t>may also promote</w:t>
      </w:r>
      <w:r w:rsidRPr="001D60A6">
        <w:t xml:space="preserve"> collaboration and informal knowledge sharing, particularly when local firms are technologically close (Matray 2021, p. 396).</w:t>
      </w:r>
    </w:p>
    <w:p w14:paraId="401D1B74" w14:textId="6DF34F79" w:rsidR="00557DD7" w:rsidRPr="001D60A6" w:rsidRDefault="00557DD7" w:rsidP="00557DD7">
      <w:pPr>
        <w:pStyle w:val="BodyText"/>
      </w:pPr>
      <w:r>
        <w:t>W</w:t>
      </w:r>
      <w:r w:rsidRPr="001D60A6">
        <w:t xml:space="preserve">hile </w:t>
      </w:r>
      <w:r>
        <w:t xml:space="preserve">there is </w:t>
      </w:r>
      <w:r w:rsidRPr="001D60A6">
        <w:t xml:space="preserve">empirical evidence </w:t>
      </w:r>
      <w:r>
        <w:t>of</w:t>
      </w:r>
      <w:r w:rsidRPr="001D60A6">
        <w:t xml:space="preserve"> knowledge spillover</w:t>
      </w:r>
      <w:r>
        <w:t>s</w:t>
      </w:r>
      <w:r w:rsidRPr="001D60A6">
        <w:t xml:space="preserve"> between </w:t>
      </w:r>
      <w:r>
        <w:t>co</w:t>
      </w:r>
      <w:r w:rsidR="000565F7">
        <w:noBreakHyphen/>
      </w:r>
      <w:r w:rsidRPr="001D60A6">
        <w:t>loca</w:t>
      </w:r>
      <w:r>
        <w:t>ted</w:t>
      </w:r>
      <w:r w:rsidRPr="001D60A6">
        <w:t xml:space="preserve"> firms</w:t>
      </w:r>
      <w:r>
        <w:t xml:space="preserve"> </w:t>
      </w:r>
      <w:r w:rsidRPr="003667CB">
        <w:rPr>
          <w:rFonts w:ascii="Arial" w:hAnsi="Arial" w:cs="Arial"/>
          <w:szCs w:val="24"/>
        </w:rPr>
        <w:t>(for example, Matray 2021, pp. 405–409)</w:t>
      </w:r>
      <w:r w:rsidRPr="001D60A6">
        <w:t xml:space="preserve">, empirical evidence on the effectiveness of cluster </w:t>
      </w:r>
      <w:r w:rsidRPr="003667CB">
        <w:rPr>
          <w:i/>
        </w:rPr>
        <w:t>policies</w:t>
      </w:r>
      <w:r w:rsidRPr="001D60A6">
        <w:t xml:space="preserve"> is less decisive. One meta</w:t>
      </w:r>
      <w:r w:rsidR="000565F7">
        <w:noBreakHyphen/>
      </w:r>
      <w:r w:rsidRPr="001D60A6">
        <w:t xml:space="preserve">analysis of studies on accelerators and incubators found positive impacts on employment and access to finance (Madaleno et al. 2022, p. 290). Australian studies </w:t>
      </w:r>
      <w:r>
        <w:t>have</w:t>
      </w:r>
      <w:r w:rsidRPr="001D60A6">
        <w:t xml:space="preserve"> found that clustering had a positive and significant effect on R&amp;D expenditure amongst clustered firms, driven largely by increased competition (Bakhtiari and Breunig 2018). </w:t>
      </w:r>
      <w:r>
        <w:t>However,</w:t>
      </w:r>
      <w:r w:rsidRPr="001D60A6">
        <w:t xml:space="preserve"> other scholars suggest the evidence is ambiguous (Bloom, Van Reenen and Williams 2019, p. 178).</w:t>
      </w:r>
    </w:p>
    <w:p w14:paraId="37B300A4" w14:textId="7DEB80D8" w:rsidR="00557DD7" w:rsidRPr="00F22A96" w:rsidRDefault="00557DD7" w:rsidP="00557DD7">
      <w:pPr>
        <w:pStyle w:val="BodyText"/>
        <w:rPr>
          <w:spacing w:val="-2"/>
        </w:rPr>
      </w:pPr>
      <w:r w:rsidRPr="00F22A96">
        <w:rPr>
          <w:spacing w:val="-2"/>
        </w:rPr>
        <w:t>Given that spillovers from place</w:t>
      </w:r>
      <w:r w:rsidRPr="00F22A96">
        <w:rPr>
          <w:spacing w:val="-2"/>
        </w:rPr>
        <w:noBreakHyphen/>
        <w:t>based programs are localised to participating firms, declining rapidly with distance (Matray 2021, p. 403), and highly novel innovators are only a small fraction of Australian firms, these policies on their own may not yield a significant and wide</w:t>
      </w:r>
      <w:r w:rsidRPr="00F22A96">
        <w:rPr>
          <w:spacing w:val="-2"/>
        </w:rPr>
        <w:noBreakHyphen/>
        <w:t xml:space="preserve">reaching diffusion dividend. Additional mechanisms may be required to expand the reach of information and expertise developed in a cluster. For example, collaboration with </w:t>
      </w:r>
      <w:r w:rsidR="009E64DD" w:rsidRPr="00F22A96">
        <w:rPr>
          <w:spacing w:val="-2"/>
        </w:rPr>
        <w:t>industry associations</w:t>
      </w:r>
      <w:r w:rsidRPr="00F22A96">
        <w:rPr>
          <w:spacing w:val="-2"/>
        </w:rPr>
        <w:t xml:space="preserve"> could facilitate broader knowledge transfer</w:t>
      </w:r>
      <w:r w:rsidR="009E64DD" w:rsidRPr="00F22A96">
        <w:rPr>
          <w:spacing w:val="-2"/>
        </w:rPr>
        <w:t>, as discussed above</w:t>
      </w:r>
      <w:r w:rsidRPr="00F22A96">
        <w:rPr>
          <w:spacing w:val="-2"/>
        </w:rPr>
        <w:t>.</w:t>
      </w:r>
    </w:p>
    <w:p w14:paraId="124E3235" w14:textId="77777777" w:rsidR="004E3E36" w:rsidRDefault="004E3E36" w:rsidP="004E3E3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57DD7" w14:paraId="14A7624A" w14:textId="77777777" w:rsidTr="00C426E9">
        <w:trPr>
          <w:trHeight w:val="765"/>
          <w:tblHeader/>
        </w:trPr>
        <w:tc>
          <w:tcPr>
            <w:tcW w:w="366" w:type="pct"/>
            <w:tcBorders>
              <w:bottom w:val="nil"/>
            </w:tcBorders>
            <w:tcMar>
              <w:bottom w:w="0" w:type="dxa"/>
            </w:tcMar>
            <w:vAlign w:val="center"/>
          </w:tcPr>
          <w:p w14:paraId="66D36609" w14:textId="77777777" w:rsidR="00557DD7" w:rsidRDefault="00557DD7" w:rsidP="00C426E9">
            <w:pPr>
              <w:pStyle w:val="NoSpacing"/>
              <w:keepLines/>
              <w:jc w:val="right"/>
            </w:pPr>
            <w:r w:rsidRPr="00A51374">
              <w:rPr>
                <w:noProof/>
              </w:rPr>
              <w:drawing>
                <wp:inline distT="0" distB="0" distL="0" distR="0" wp14:anchorId="2E780FB3" wp14:editId="4EFF1154">
                  <wp:extent cx="288000" cy="288000"/>
                  <wp:effectExtent l="0" t="0" r="0" b="0"/>
                  <wp:docPr id="9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6FE4E85" w14:textId="4F5C9D98" w:rsidR="00557DD7" w:rsidRPr="00A4395A" w:rsidRDefault="00557DD7" w:rsidP="00C426E9">
            <w:pPr>
              <w:pStyle w:val="TableHeading"/>
              <w:keepLines/>
              <w:spacing w:before="60" w:after="120"/>
              <w:contextualSpacing/>
              <w:rPr>
                <w:sz w:val="20"/>
              </w:rPr>
            </w:pPr>
            <w:r w:rsidRPr="00A4395A">
              <w:rPr>
                <w:sz w:val="20"/>
              </w:rPr>
              <w:t xml:space="preserve">Finding </w:t>
            </w:r>
            <w:r w:rsidR="00D408A6">
              <w:rPr>
                <w:sz w:val="20"/>
              </w:rPr>
              <w:t>5.</w:t>
            </w:r>
            <w:r w:rsidR="00287325">
              <w:rPr>
                <w:sz w:val="20"/>
              </w:rPr>
              <w:t>7</w:t>
            </w:r>
          </w:p>
          <w:p w14:paraId="751729B1" w14:textId="77777777" w:rsidR="00557DD7" w:rsidRDefault="00557DD7" w:rsidP="00C426E9">
            <w:pPr>
              <w:pStyle w:val="TableHeading"/>
              <w:keepLines/>
              <w:spacing w:before="60" w:after="120"/>
              <w:contextualSpacing/>
            </w:pPr>
            <w:r>
              <w:rPr>
                <w:sz w:val="20"/>
              </w:rPr>
              <w:t>Policies to promote clusters have a limited impact on broader knowledge transfer</w:t>
            </w:r>
          </w:p>
        </w:tc>
      </w:tr>
      <w:tr w:rsidR="00557DD7" w14:paraId="6610519B" w14:textId="77777777" w:rsidTr="00C426E9">
        <w:tc>
          <w:tcPr>
            <w:tcW w:w="5000" w:type="pct"/>
            <w:gridSpan w:val="2"/>
            <w:tcBorders>
              <w:top w:val="nil"/>
              <w:bottom w:val="single" w:sz="4" w:space="0" w:color="66BCDB" w:themeColor="text2"/>
            </w:tcBorders>
          </w:tcPr>
          <w:p w14:paraId="74727570" w14:textId="77777777" w:rsidR="00557DD7" w:rsidRDefault="00557DD7" w:rsidP="00C426E9">
            <w:pPr>
              <w:pStyle w:val="BodyText"/>
              <w:keepLines/>
            </w:pPr>
            <w:r>
              <w:t>Clustering</w:t>
            </w:r>
            <w:r w:rsidRPr="001D60A6">
              <w:t xml:space="preserve"> may </w:t>
            </w:r>
            <w:r>
              <w:t>promote innovation</w:t>
            </w:r>
            <w:r w:rsidRPr="001D60A6">
              <w:t xml:space="preserve"> diffusion amongst participating firms</w:t>
            </w:r>
            <w:r>
              <w:t xml:space="preserve"> through </w:t>
            </w:r>
            <w:r w:rsidRPr="008F2CD1">
              <w:t>job</w:t>
            </w:r>
            <w:r>
              <w:t xml:space="preserve"> </w:t>
            </w:r>
            <w:r w:rsidRPr="008F2CD1">
              <w:t>transitions</w:t>
            </w:r>
            <w:r w:rsidRPr="001D60A6">
              <w:t xml:space="preserve"> and </w:t>
            </w:r>
            <w:r w:rsidRPr="008F2CD1">
              <w:t>knowledge sharing</w:t>
            </w:r>
            <w:r w:rsidRPr="001D60A6">
              <w:t>. But given that spillovers from co</w:t>
            </w:r>
            <w:r>
              <w:noBreakHyphen/>
            </w:r>
            <w:r w:rsidRPr="001D60A6">
              <w:t>location are</w:t>
            </w:r>
            <w:r>
              <w:t xml:space="preserve"> highly</w:t>
            </w:r>
            <w:r w:rsidRPr="001D60A6">
              <w:t xml:space="preserve"> localised, and most </w:t>
            </w:r>
            <w:r>
              <w:t>place</w:t>
            </w:r>
            <w:r>
              <w:noBreakHyphen/>
              <w:t xml:space="preserve">based </w:t>
            </w:r>
            <w:r w:rsidRPr="001D60A6">
              <w:t xml:space="preserve">programs focus on highly novel innovators, </w:t>
            </w:r>
            <w:r>
              <w:t>place</w:t>
            </w:r>
            <w:r>
              <w:noBreakHyphen/>
              <w:t>based innovation policies</w:t>
            </w:r>
            <w:r w:rsidRPr="001D60A6">
              <w:t xml:space="preserve"> </w:t>
            </w:r>
            <w:r>
              <w:t>are unlikely to</w:t>
            </w:r>
            <w:r w:rsidRPr="001D60A6">
              <w:t xml:space="preserve"> yield a significant and wide</w:t>
            </w:r>
            <w:r>
              <w:noBreakHyphen/>
            </w:r>
            <w:r w:rsidRPr="001D60A6">
              <w:t>reaching diffusion dividend.</w:t>
            </w:r>
          </w:p>
        </w:tc>
      </w:tr>
      <w:tr w:rsidR="00557DD7" w14:paraId="72A23F5E" w14:textId="77777777" w:rsidTr="00C426E9">
        <w:tc>
          <w:tcPr>
            <w:tcW w:w="5000" w:type="pct"/>
            <w:gridSpan w:val="2"/>
            <w:tcBorders>
              <w:top w:val="single" w:sz="4" w:space="0" w:color="66BCDB" w:themeColor="text2"/>
              <w:left w:val="nil"/>
              <w:bottom w:val="nil"/>
              <w:right w:val="nil"/>
            </w:tcBorders>
            <w:tcMar>
              <w:bottom w:w="0" w:type="dxa"/>
            </w:tcMar>
          </w:tcPr>
          <w:p w14:paraId="1B179455" w14:textId="77777777" w:rsidR="00557DD7" w:rsidRDefault="00557DD7" w:rsidP="00C426E9">
            <w:pPr>
              <w:pStyle w:val="NoSpacing"/>
              <w:spacing w:line="200" w:lineRule="atLeast"/>
            </w:pPr>
          </w:p>
        </w:tc>
      </w:tr>
    </w:tbl>
    <w:p w14:paraId="6DDF3A28" w14:textId="22BCA159" w:rsidR="0003438B" w:rsidRDefault="0003438B" w:rsidP="0003438B">
      <w:pPr>
        <w:pStyle w:val="BodyText"/>
      </w:pPr>
      <w:r>
        <w:t xml:space="preserve"> </w:t>
      </w:r>
    </w:p>
    <w:p w14:paraId="455AFD34" w14:textId="77777777" w:rsidR="0087036F" w:rsidRDefault="0087036F" w:rsidP="00AF6B4B">
      <w:pPr>
        <w:pStyle w:val="BodyText"/>
        <w:rPr>
          <w:noProof/>
        </w:rPr>
        <w:sectPr w:rsidR="0087036F" w:rsidSect="00ED1DD7">
          <w:headerReference w:type="default" r:id="rId63"/>
          <w:type w:val="oddPage"/>
          <w:pgSz w:w="11906" w:h="16838" w:code="9"/>
          <w:pgMar w:top="1134" w:right="1134" w:bottom="1134" w:left="1134" w:header="794" w:footer="510" w:gutter="0"/>
          <w:cols w:space="708"/>
          <w:docGrid w:linePitch="360"/>
        </w:sectPr>
      </w:pPr>
    </w:p>
    <w:p w14:paraId="36D5343F" w14:textId="39876393" w:rsidR="003A0ECF" w:rsidRDefault="003A0ECF" w:rsidP="003A0ECF">
      <w:pPr>
        <w:pStyle w:val="Heading1"/>
      </w:pPr>
      <w:bookmarkStart w:id="114" w:name="_Toc126145992"/>
      <w:bookmarkStart w:id="115" w:name="_Toc126304786"/>
      <w:r>
        <w:lastRenderedPageBreak/>
        <w:t>Innovation and diffusion in government services</w:t>
      </w:r>
      <w:bookmarkEnd w:id="114"/>
      <w:bookmarkEnd w:id="115"/>
    </w:p>
    <w:tbl>
      <w:tblPr>
        <w:tblStyle w:val="Texttable-Paleblue"/>
        <w:tblW w:w="5000" w:type="pct"/>
        <w:tblLook w:val="04A0" w:firstRow="1" w:lastRow="0" w:firstColumn="1" w:lastColumn="0" w:noHBand="0" w:noVBand="1"/>
      </w:tblPr>
      <w:tblGrid>
        <w:gridCol w:w="577"/>
        <w:gridCol w:w="9061"/>
      </w:tblGrid>
      <w:tr w:rsidR="003A0ECF" w:rsidRPr="002F759A" w14:paraId="7F8943F3" w14:textId="77777777" w:rsidTr="00C426E9">
        <w:tc>
          <w:tcPr>
            <w:tcW w:w="9638" w:type="dxa"/>
            <w:gridSpan w:val="2"/>
            <w:tcMar>
              <w:left w:w="170" w:type="dxa"/>
            </w:tcMar>
          </w:tcPr>
          <w:p w14:paraId="2C421E18" w14:textId="77777777" w:rsidR="003A0ECF" w:rsidRPr="002F759A" w:rsidRDefault="003A0ECF" w:rsidP="00C426E9">
            <w:pPr>
              <w:pStyle w:val="Keypoints-heading"/>
            </w:pPr>
            <w:r w:rsidRPr="002F759A">
              <w:t>Key points</w:t>
            </w:r>
          </w:p>
        </w:tc>
      </w:tr>
      <w:tr w:rsidR="003A0ECF" w14:paraId="47F16681" w14:textId="77777777" w:rsidTr="00C426E9">
        <w:tc>
          <w:tcPr>
            <w:tcW w:w="577" w:type="dxa"/>
            <w:tcMar>
              <w:top w:w="0" w:type="dxa"/>
              <w:bottom w:w="0" w:type="dxa"/>
              <w:right w:w="113" w:type="dxa"/>
            </w:tcMar>
          </w:tcPr>
          <w:p w14:paraId="5000BB2F" w14:textId="77777777" w:rsidR="003A0ECF" w:rsidRDefault="003A0ECF" w:rsidP="00C426E9">
            <w:pPr>
              <w:pStyle w:val="KeyPointsicon"/>
            </w:pPr>
            <w:r w:rsidRPr="00A51374">
              <w:rPr>
                <w:noProof/>
              </w:rPr>
              <w:drawing>
                <wp:inline distT="0" distB="0" distL="0" distR="0" wp14:anchorId="7B7D5BC7" wp14:editId="1336ED90">
                  <wp:extent cx="180000" cy="180000"/>
                  <wp:effectExtent l="0" t="0" r="0" b="0"/>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719E84B" w14:textId="5063F7AA" w:rsidR="003A0ECF" w:rsidRDefault="003A0ECF" w:rsidP="00C426E9">
            <w:pPr>
              <w:pStyle w:val="KeyPoints-Bold"/>
            </w:pPr>
            <w:r>
              <w:t xml:space="preserve">Given governments’ spending of </w:t>
            </w:r>
            <w:r w:rsidR="0052279C">
              <w:t>about</w:t>
            </w:r>
            <w:r>
              <w:t xml:space="preserve"> $</w:t>
            </w:r>
            <w:r w:rsidR="0052279C">
              <w:t>88</w:t>
            </w:r>
            <w:r>
              <w:t xml:space="preserve">0 billion </w:t>
            </w:r>
            <w:r w:rsidR="00500F38">
              <w:t xml:space="preserve">— </w:t>
            </w:r>
            <w:r>
              <w:t>or more than 42</w:t>
            </w:r>
            <w:r w:rsidR="00E94315">
              <w:t>%</w:t>
            </w:r>
            <w:r>
              <w:t xml:space="preserve"> of </w:t>
            </w:r>
            <w:r w:rsidR="00744F1E">
              <w:t>GDP</w:t>
            </w:r>
            <w:r w:rsidR="00500F38">
              <w:t xml:space="preserve"> —</w:t>
            </w:r>
            <w:r>
              <w:t xml:space="preserve"> even small gains from innovation and adoption can realise either better services or cost savings of billions.</w:t>
            </w:r>
          </w:p>
        </w:tc>
      </w:tr>
      <w:tr w:rsidR="003A0ECF" w14:paraId="5721406D" w14:textId="77777777" w:rsidTr="00C426E9">
        <w:tc>
          <w:tcPr>
            <w:tcW w:w="577" w:type="dxa"/>
            <w:tcMar>
              <w:top w:w="0" w:type="dxa"/>
              <w:bottom w:w="0" w:type="dxa"/>
              <w:right w:w="113" w:type="dxa"/>
            </w:tcMar>
          </w:tcPr>
          <w:p w14:paraId="12F633DD" w14:textId="77777777" w:rsidR="003A0ECF" w:rsidRPr="00A51374" w:rsidRDefault="003A0ECF" w:rsidP="00C426E9">
            <w:pPr>
              <w:pStyle w:val="KeyPointsicon"/>
            </w:pPr>
            <w:r w:rsidRPr="00F31E73">
              <w:rPr>
                <w:noProof/>
              </w:rPr>
              <w:drawing>
                <wp:inline distT="0" distB="0" distL="0" distR="0" wp14:anchorId="3D4461FD" wp14:editId="036FF4FD">
                  <wp:extent cx="180000" cy="180000"/>
                  <wp:effectExtent l="0" t="0" r="0" b="0"/>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A306654" w14:textId="5CD63AA1" w:rsidR="003A0ECF" w:rsidRPr="00F22A96" w:rsidRDefault="003A0ECF" w:rsidP="00C426E9">
            <w:pPr>
              <w:pStyle w:val="KeyPoints-Bold"/>
              <w:rPr>
                <w:spacing w:val="-4"/>
              </w:rPr>
            </w:pPr>
            <w:r w:rsidRPr="00F22A96">
              <w:rPr>
                <w:spacing w:val="-4"/>
              </w:rPr>
              <w:t xml:space="preserve">Innovative approaches in service delivery, policy and system design are </w:t>
            </w:r>
            <w:r w:rsidR="009F0814" w:rsidRPr="00F22A96">
              <w:rPr>
                <w:spacing w:val="-4"/>
              </w:rPr>
              <w:t>evident</w:t>
            </w:r>
            <w:r w:rsidRPr="00F22A96">
              <w:rPr>
                <w:spacing w:val="-4"/>
              </w:rPr>
              <w:t xml:space="preserve"> throughout the public sector, and extend to regulation, tax and funding settings that also produce benefits for the private sector.</w:t>
            </w:r>
          </w:p>
          <w:p w14:paraId="7DD24B1A" w14:textId="03F59EAE" w:rsidR="003A0ECF" w:rsidRPr="00E164D7" w:rsidRDefault="003A0ECF" w:rsidP="00371E2B">
            <w:pPr>
              <w:pStyle w:val="KeyPoints-Bullet"/>
            </w:pPr>
            <w:r w:rsidRPr="00E164D7">
              <w:t>But innovation is often slow, piecemeal, disorganised, and inconsistent across jurisdictions</w:t>
            </w:r>
            <w:r w:rsidR="00FE0839">
              <w:t>.</w:t>
            </w:r>
          </w:p>
          <w:p w14:paraId="07981331" w14:textId="00D52619" w:rsidR="003A0ECF" w:rsidRPr="00E164D7" w:rsidRDefault="003A0ECF" w:rsidP="00371E2B">
            <w:pPr>
              <w:pStyle w:val="KeyPoints-Bullet"/>
            </w:pPr>
            <w:r w:rsidRPr="00E164D7">
              <w:t>Benchmarking shows wide variations in the efficient provision of services across jurisdictions</w:t>
            </w:r>
            <w:r w:rsidR="00FE0839">
              <w:t>.</w:t>
            </w:r>
          </w:p>
          <w:p w14:paraId="70250442" w14:textId="77777777" w:rsidR="003A0ECF" w:rsidRPr="00610627" w:rsidRDefault="003A0ECF" w:rsidP="00371E2B">
            <w:pPr>
              <w:pStyle w:val="KeyPoints-Bullet"/>
            </w:pPr>
            <w:r w:rsidRPr="00E164D7">
              <w:t>This reflects unique aspects of the public sector: measures of success are contested and ambiguous; funding models create opposing and perverse incentives; norms and regulations discourage innovative approaches; and competitive pressures and the threat of exit are absent.</w:t>
            </w:r>
          </w:p>
        </w:tc>
      </w:tr>
      <w:tr w:rsidR="003A0ECF" w14:paraId="75B72326" w14:textId="77777777" w:rsidTr="00C426E9">
        <w:tc>
          <w:tcPr>
            <w:tcW w:w="577" w:type="dxa"/>
            <w:tcMar>
              <w:top w:w="0" w:type="dxa"/>
              <w:bottom w:w="0" w:type="dxa"/>
              <w:right w:w="113" w:type="dxa"/>
            </w:tcMar>
          </w:tcPr>
          <w:p w14:paraId="31B17788" w14:textId="77777777" w:rsidR="003A0ECF" w:rsidRPr="00A51374" w:rsidRDefault="003A0ECF" w:rsidP="00C426E9">
            <w:pPr>
              <w:pStyle w:val="KeyPointsicon"/>
            </w:pPr>
            <w:r w:rsidRPr="00F31E73">
              <w:rPr>
                <w:noProof/>
              </w:rPr>
              <w:drawing>
                <wp:inline distT="0" distB="0" distL="0" distR="0" wp14:anchorId="79164BB9" wp14:editId="6763F2CA">
                  <wp:extent cx="180000" cy="180000"/>
                  <wp:effectExtent l="0" t="0" r="0" b="0"/>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0435F65" w14:textId="77777777" w:rsidR="003A0ECF" w:rsidRDefault="003A0ECF" w:rsidP="00C426E9">
            <w:pPr>
              <w:pStyle w:val="KeyPoints-Bold"/>
            </w:pPr>
            <w:r>
              <w:t>Many of the approaches to achieving diffusion of new processes and approaches in government services are well</w:t>
            </w:r>
            <w:r>
              <w:noBreakHyphen/>
              <w:t>known but underexploited.</w:t>
            </w:r>
          </w:p>
          <w:p w14:paraId="49ADED95" w14:textId="3C0DB77D" w:rsidR="002E1308" w:rsidRDefault="009F4F11" w:rsidP="00E211A9">
            <w:pPr>
              <w:pStyle w:val="KeyPoints-Bullet"/>
            </w:pPr>
            <w:r>
              <w:t>Improved</w:t>
            </w:r>
            <w:r w:rsidRPr="005F0E54">
              <w:t xml:space="preserve"> </w:t>
            </w:r>
            <w:r w:rsidR="003A0ECF" w:rsidRPr="005F0E54">
              <w:t xml:space="preserve">funding and procurement models </w:t>
            </w:r>
            <w:r w:rsidR="003A0ECF">
              <w:t xml:space="preserve">could drive better quality care in health </w:t>
            </w:r>
            <w:proofErr w:type="gramStart"/>
            <w:r w:rsidR="003A0ECF">
              <w:t>services, and</w:t>
            </w:r>
            <w:proofErr w:type="gramEnd"/>
            <w:r w:rsidR="003A0ECF">
              <w:t xml:space="preserve"> </w:t>
            </w:r>
            <w:r w:rsidR="00F10DEB">
              <w:t>increase the efficacy of government</w:t>
            </w:r>
            <w:r w:rsidR="003A0ECF">
              <w:t xml:space="preserve"> procurement in defence and public infrastructure</w:t>
            </w:r>
            <w:r w:rsidR="00FE0839">
              <w:t>.</w:t>
            </w:r>
            <w:r w:rsidR="002D4245">
              <w:t xml:space="preserve"> </w:t>
            </w:r>
            <w:r w:rsidR="00172385">
              <w:t xml:space="preserve">Potential improvements include </w:t>
            </w:r>
            <w:r w:rsidR="004C48EF">
              <w:t xml:space="preserve">applying more evidence, rigour and transparency to </w:t>
            </w:r>
            <w:r w:rsidR="004B18B9">
              <w:t xml:space="preserve">public </w:t>
            </w:r>
            <w:r w:rsidR="00AB1BC5">
              <w:t>investment</w:t>
            </w:r>
            <w:r w:rsidR="004C48EF">
              <w:t xml:space="preserve"> (including </w:t>
            </w:r>
            <w:r w:rsidR="003D6910">
              <w:t>via</w:t>
            </w:r>
            <w:r w:rsidR="002E1308">
              <w:t xml:space="preserve"> better use of cost</w:t>
            </w:r>
            <w:r w:rsidR="00A43B86">
              <w:noBreakHyphen/>
            </w:r>
            <w:r w:rsidR="002E1308">
              <w:t>benefit analysis)</w:t>
            </w:r>
            <w:r w:rsidR="00882BC4">
              <w:t>;</w:t>
            </w:r>
            <w:r w:rsidR="002E1308">
              <w:t xml:space="preserve"> and</w:t>
            </w:r>
            <w:r w:rsidR="002D4245">
              <w:t xml:space="preserve"> </w:t>
            </w:r>
            <w:r w:rsidR="002E1308">
              <w:t xml:space="preserve">adopting </w:t>
            </w:r>
            <w:r w:rsidR="00204ABA">
              <w:t>longer</w:t>
            </w:r>
            <w:r w:rsidR="00A43B86">
              <w:noBreakHyphen/>
            </w:r>
            <w:r w:rsidR="00204ABA">
              <w:t xml:space="preserve">term, </w:t>
            </w:r>
            <w:r w:rsidR="009773B4">
              <w:t>co</w:t>
            </w:r>
            <w:r w:rsidR="00A43B86">
              <w:noBreakHyphen/>
            </w:r>
            <w:r w:rsidR="009773B4">
              <w:t>operative and citizen</w:t>
            </w:r>
            <w:r w:rsidR="00A43B86">
              <w:noBreakHyphen/>
            </w:r>
            <w:r w:rsidR="009773B4">
              <w:t xml:space="preserve">centred </w:t>
            </w:r>
            <w:r w:rsidR="00AD4986">
              <w:t>approaches to funding service delivery.</w:t>
            </w:r>
          </w:p>
          <w:p w14:paraId="2D71A8FA" w14:textId="085E0F10" w:rsidR="008E19C4" w:rsidRDefault="008E19C4" w:rsidP="008E19C4">
            <w:pPr>
              <w:pStyle w:val="KeyPoints-Bullet"/>
            </w:pPr>
            <w:r>
              <w:t xml:space="preserve">Better data collection and program evaluation </w:t>
            </w:r>
            <w:r w:rsidR="006C404F">
              <w:t xml:space="preserve">for government service delivery </w:t>
            </w:r>
            <w:r>
              <w:t xml:space="preserve">can uncover why there are </w:t>
            </w:r>
            <w:r w:rsidR="004A7ECF">
              <w:t>differences in performance</w:t>
            </w:r>
            <w:r>
              <w:t xml:space="preserve"> and </w:t>
            </w:r>
            <w:r w:rsidR="004A7ECF">
              <w:t>how, when not justified, these differences can be narrowed</w:t>
            </w:r>
            <w:r>
              <w:t>.</w:t>
            </w:r>
          </w:p>
          <w:p w14:paraId="7A5D550E" w14:textId="410676E2" w:rsidR="00544EF6" w:rsidRDefault="00A34E93" w:rsidP="00544EF6">
            <w:pPr>
              <w:pStyle w:val="KeyPoints-Bullet"/>
            </w:pPr>
            <w:r>
              <w:t>I</w:t>
            </w:r>
            <w:r w:rsidR="00407A62">
              <w:t>nnovation</w:t>
            </w:r>
            <w:r w:rsidR="006E6550">
              <w:t xml:space="preserve"> could be more efficiently disseminated </w:t>
            </w:r>
            <w:r>
              <w:t xml:space="preserve">across government agencies and service providers </w:t>
            </w:r>
            <w:r w:rsidR="006E6550">
              <w:t xml:space="preserve">by </w:t>
            </w:r>
            <w:r w:rsidR="00407A62" w:rsidRPr="007F377B">
              <w:t>strengthen</w:t>
            </w:r>
            <w:r w:rsidR="00407A62">
              <w:t>ing</w:t>
            </w:r>
            <w:r w:rsidR="00407A62" w:rsidRPr="007F377B">
              <w:t xml:space="preserve"> the role</w:t>
            </w:r>
            <w:r w:rsidR="00407A62">
              <w:t xml:space="preserve"> of</w:t>
            </w:r>
            <w:r w:rsidR="00407A62" w:rsidRPr="007F377B">
              <w:t xml:space="preserve"> </w:t>
            </w:r>
            <w:r w:rsidR="00544EF6" w:rsidRPr="00544EF6">
              <w:t>existing diffusion bodies</w:t>
            </w:r>
            <w:r w:rsidR="00E30FB8">
              <w:t xml:space="preserve">, like </w:t>
            </w:r>
            <w:r w:rsidR="00171028">
              <w:t>the Australian Education Research Organisation</w:t>
            </w:r>
            <w:r w:rsidR="00C71733">
              <w:t xml:space="preserve"> or </w:t>
            </w:r>
            <w:r w:rsidR="00E30FB8">
              <w:t>the CSIRO,</w:t>
            </w:r>
            <w:r w:rsidR="00544EF6" w:rsidRPr="00544EF6">
              <w:t xml:space="preserve"> </w:t>
            </w:r>
            <w:r w:rsidR="00480002">
              <w:t xml:space="preserve">helping to </w:t>
            </w:r>
            <w:r w:rsidR="00544EF6" w:rsidRPr="00544EF6">
              <w:t>eliminat</w:t>
            </w:r>
            <w:r w:rsidR="00480002">
              <w:t>e</w:t>
            </w:r>
            <w:r w:rsidR="00544EF6" w:rsidRPr="00544EF6">
              <w:t xml:space="preserve"> practices no longer underpinned by adequate evidence. </w:t>
            </w:r>
          </w:p>
          <w:p w14:paraId="5DB30F86" w14:textId="73319414" w:rsidR="00855941" w:rsidRDefault="00A261FF">
            <w:pPr>
              <w:pStyle w:val="KeyPoints-Bullet"/>
            </w:pPr>
            <w:r>
              <w:t>Government can support g</w:t>
            </w:r>
            <w:r w:rsidR="00855941">
              <w:t xml:space="preserve">reater use of </w:t>
            </w:r>
            <w:r w:rsidR="00E3148E">
              <w:t>regulatory technology (</w:t>
            </w:r>
            <w:r w:rsidR="00080EE5">
              <w:t>‘</w:t>
            </w:r>
            <w:r w:rsidR="00855941">
              <w:t>regtech</w:t>
            </w:r>
            <w:r w:rsidR="00080EE5">
              <w:t>’</w:t>
            </w:r>
            <w:r w:rsidR="00E3148E">
              <w:t>)</w:t>
            </w:r>
            <w:r w:rsidR="00570306">
              <w:t xml:space="preserve"> </w:t>
            </w:r>
            <w:r>
              <w:t xml:space="preserve">by </w:t>
            </w:r>
            <w:r w:rsidR="00855941">
              <w:t xml:space="preserve">providing regulation in forms that lend themselves to regtech solutions </w:t>
            </w:r>
            <w:r w:rsidR="00570306">
              <w:t>(</w:t>
            </w:r>
            <w:r w:rsidR="00855941">
              <w:t xml:space="preserve">such </w:t>
            </w:r>
            <w:r w:rsidR="00F61377">
              <w:t xml:space="preserve">as </w:t>
            </w:r>
            <w:r w:rsidR="00855941">
              <w:t>machine</w:t>
            </w:r>
            <w:r w:rsidR="00A43B86">
              <w:noBreakHyphen/>
            </w:r>
            <w:r w:rsidR="00855941">
              <w:t xml:space="preserve">interpretable </w:t>
            </w:r>
            <w:r w:rsidR="007169F5">
              <w:t>regulation</w:t>
            </w:r>
            <w:r w:rsidR="00570306">
              <w:t>) and</w:t>
            </w:r>
            <w:r w:rsidR="000F5301">
              <w:t xml:space="preserve"> </w:t>
            </w:r>
            <w:r w:rsidR="00855941">
              <w:t xml:space="preserve">working with software </w:t>
            </w:r>
            <w:r w:rsidR="00E83872">
              <w:t>companies</w:t>
            </w:r>
            <w:r w:rsidR="00855941">
              <w:t xml:space="preserve"> to encourage </w:t>
            </w:r>
            <w:r w:rsidR="00E83872">
              <w:t>the provision of</w:t>
            </w:r>
            <w:r w:rsidR="00855941">
              <w:t xml:space="preserve"> compliant regtech solutions. </w:t>
            </w:r>
          </w:p>
          <w:p w14:paraId="6901661C" w14:textId="455EC258" w:rsidR="003A0ECF" w:rsidRPr="00610627" w:rsidRDefault="0033018D" w:rsidP="00EF4B19">
            <w:pPr>
              <w:pStyle w:val="KeyPoints-Bullet"/>
            </w:pPr>
            <w:r>
              <w:t xml:space="preserve">Facilitating </w:t>
            </w:r>
            <w:r w:rsidR="00F60E13">
              <w:t xml:space="preserve">access to </w:t>
            </w:r>
            <w:r w:rsidR="00D43C52">
              <w:t xml:space="preserve">existing </w:t>
            </w:r>
            <w:r w:rsidR="00F60E13">
              <w:t xml:space="preserve">knowledge </w:t>
            </w:r>
            <w:r w:rsidR="008957F6">
              <w:t>by government</w:t>
            </w:r>
            <w:r w:rsidR="00A43B86">
              <w:noBreakHyphen/>
            </w:r>
            <w:r w:rsidR="008957F6">
              <w:t xml:space="preserve">operated or funded service providers </w:t>
            </w:r>
            <w:r w:rsidR="000307A8">
              <w:t xml:space="preserve">would support the diffusion of best practice. This includes </w:t>
            </w:r>
            <w:r w:rsidR="000F1B04">
              <w:t>eliminating</w:t>
            </w:r>
            <w:r w:rsidR="003A0ECF">
              <w:t xml:space="preserve"> the pricing of Australian standards </w:t>
            </w:r>
            <w:r w:rsidR="00F86882">
              <w:t xml:space="preserve">that have high public good value, </w:t>
            </w:r>
            <w:r w:rsidR="003A0ECF">
              <w:t xml:space="preserve">and </w:t>
            </w:r>
            <w:r w:rsidR="00DB3401">
              <w:t xml:space="preserve">reforming fair use provisions in </w:t>
            </w:r>
            <w:r w:rsidR="003A0ECF">
              <w:t>intellectual property</w:t>
            </w:r>
            <w:r w:rsidR="00FE0839">
              <w:t>.</w:t>
            </w:r>
          </w:p>
        </w:tc>
      </w:tr>
    </w:tbl>
    <w:p w14:paraId="55EA4E65" w14:textId="79B46E25" w:rsidR="003A0ECF" w:rsidRDefault="003A0ECF" w:rsidP="003C778F">
      <w:pPr>
        <w:pStyle w:val="BodyText"/>
        <w:pageBreakBefore/>
      </w:pPr>
      <w:r>
        <w:lastRenderedPageBreak/>
        <w:t>Like market goods and services, public sector innovation and its diffusion increases productivity by either raising output per unit of input at unchanged quality (for example, through improved procurement of defence equipment) or by improving quality and community wellbeing (such as better</w:t>
      </w:r>
      <w:r>
        <w:noBreakHyphen/>
        <w:t>quality aged care or more effective health care technologies).</w:t>
      </w:r>
      <w:r w:rsidR="00D73DF3">
        <w:rPr>
          <w:rStyle w:val="FootnoteReference"/>
        </w:rPr>
        <w:footnoteReference w:id="24"/>
      </w:r>
      <w:r>
        <w:t xml:space="preserve"> While there are fiscal benefits for government from some forms of innovation and diffusion, an increase in the ‘bang for a buck’ of government spending does not necessarily </w:t>
      </w:r>
      <w:r w:rsidR="00595280">
        <w:t>generate savings</w:t>
      </w:r>
      <w:r>
        <w:t>: as service quality rises, so too does demand.</w:t>
      </w:r>
      <w:r w:rsidRPr="002E227D">
        <w:rPr>
          <w:rStyle w:val="FootnoteReference"/>
        </w:rPr>
        <w:footnoteReference w:id="25"/>
      </w:r>
      <w:r>
        <w:t xml:space="preserve"> </w:t>
      </w:r>
    </w:p>
    <w:p w14:paraId="18CE6351" w14:textId="43A8038C" w:rsidR="003A0ECF" w:rsidRDefault="003A0ECF" w:rsidP="003A0ECF">
      <w:pPr>
        <w:pStyle w:val="BodyText"/>
      </w:pPr>
      <w:r>
        <w:t>All levels of government are direct providers of non</w:t>
      </w:r>
      <w:r>
        <w:noBreakHyphen/>
        <w:t>market services or, through contractual arrangements, the key agents for managing their provision by the private and not</w:t>
      </w:r>
      <w:r>
        <w:noBreakHyphen/>
        <w:t>for</w:t>
      </w:r>
      <w:r>
        <w:noBreakHyphen/>
        <w:t xml:space="preserve">profit sector. This includes services provided by local government (such as libraries and waste management), </w:t>
      </w:r>
      <w:r w:rsidR="00F90F5C">
        <w:t>S</w:t>
      </w:r>
      <w:r>
        <w:t xml:space="preserve">tate and </w:t>
      </w:r>
      <w:r w:rsidR="00F90F5C">
        <w:t>T</w:t>
      </w:r>
      <w:r>
        <w:t xml:space="preserve">erritory </w:t>
      </w:r>
      <w:r w:rsidR="00F90F5C">
        <w:t>G</w:t>
      </w:r>
      <w:r>
        <w:t>overnments (such as health care, schools and public transport, the justice system, and emergency services) and the Australian Government (defence, higher education, and much of the tax and transfer system). As many non</w:t>
      </w:r>
      <w:r>
        <w:noBreakHyphen/>
        <w:t>government organisations supply services on behalf of governments, innovations in the way in which governments fund and regulate such organisations are particularly important.</w:t>
      </w:r>
    </w:p>
    <w:p w14:paraId="40C4E01C" w14:textId="6EFAAA90" w:rsidR="003A0ECF" w:rsidRPr="00F22A96" w:rsidRDefault="003A0ECF" w:rsidP="003A0ECF">
      <w:pPr>
        <w:pStyle w:val="BodyText"/>
        <w:rPr>
          <w:spacing w:val="-2"/>
        </w:rPr>
      </w:pPr>
      <w:r w:rsidRPr="00F22A96">
        <w:rPr>
          <w:spacing w:val="-2"/>
        </w:rPr>
        <w:t>The scale of government</w:t>
      </w:r>
      <w:r w:rsidRPr="00F22A96">
        <w:rPr>
          <w:spacing w:val="-2"/>
        </w:rPr>
        <w:noBreakHyphen/>
        <w:t>funded and managed services is huge, and so the gains from even modest innovations and their wider diffusion can be large. In 2020</w:t>
      </w:r>
      <w:r w:rsidRPr="00F22A96">
        <w:rPr>
          <w:spacing w:val="-2"/>
        </w:rPr>
        <w:noBreakHyphen/>
        <w:t>21, total general gross government expenses amounted to about $880 billion at the local, state and territory and Australian level, or about 42</w:t>
      </w:r>
      <w:r w:rsidR="00E94315">
        <w:rPr>
          <w:spacing w:val="-2"/>
        </w:rPr>
        <w:t>%</w:t>
      </w:r>
      <w:r w:rsidRPr="00F22A96">
        <w:rPr>
          <w:spacing w:val="-2"/>
        </w:rPr>
        <w:t xml:space="preserve"> of gross domestic product </w:t>
      </w:r>
      <w:r w:rsidR="00936D73" w:rsidRPr="00F22A96">
        <w:rPr>
          <w:rFonts w:cs="Arial"/>
          <w:spacing w:val="-2"/>
          <w:szCs w:val="24"/>
        </w:rPr>
        <w:t>(ABS 2021a, 2022b)</w:t>
      </w:r>
      <w:r w:rsidRPr="00F22A96">
        <w:rPr>
          <w:spacing w:val="-2"/>
        </w:rPr>
        <w:t xml:space="preserve">. The biggest potential savings would arise from efficiencies in the delivery of government services to the community (whose value was $445 billion or </w:t>
      </w:r>
      <w:r w:rsidR="00CF6B91">
        <w:rPr>
          <w:spacing w:val="-2"/>
        </w:rPr>
        <w:t>22</w:t>
      </w:r>
      <w:r w:rsidR="00E94315">
        <w:rPr>
          <w:spacing w:val="-2"/>
        </w:rPr>
        <w:t>%</w:t>
      </w:r>
      <w:r w:rsidRPr="00F22A96">
        <w:rPr>
          <w:spacing w:val="-2"/>
        </w:rPr>
        <w:t xml:space="preserve"> of GDP</w:t>
      </w:r>
      <w:r w:rsidRPr="00F22A96">
        <w:rPr>
          <w:rStyle w:val="FootnoteReference"/>
          <w:spacing w:val="-2"/>
        </w:rPr>
        <w:footnoteReference w:id="26"/>
      </w:r>
      <w:r w:rsidRPr="00F22A96">
        <w:rPr>
          <w:spacing w:val="-2"/>
        </w:rPr>
        <w:t xml:space="preserve">). </w:t>
      </w:r>
    </w:p>
    <w:p w14:paraId="5BD6692A" w14:textId="5520E2A4" w:rsidR="003A0ECF" w:rsidRDefault="003A0ECF" w:rsidP="003A0ECF">
      <w:pPr>
        <w:pStyle w:val="BodyText"/>
      </w:pPr>
      <w:r>
        <w:t>This is a static picture of the role of governments. The expenditure per capita of government services will increase over time — particularly in areas like health and aged care, which are affected by population ageing and rising expectations about the quality of services as income</w:t>
      </w:r>
      <w:r w:rsidR="00A020A1">
        <w:t>s</w:t>
      </w:r>
      <w:r>
        <w:t xml:space="preserve"> rise </w:t>
      </w:r>
      <w:r w:rsidRPr="007E6BC5">
        <w:rPr>
          <w:rFonts w:ascii="Arial" w:hAnsi="Arial" w:cs="Arial"/>
          <w:szCs w:val="24"/>
        </w:rPr>
        <w:t>(Commonwealth of Australia 2021)</w:t>
      </w:r>
      <w:r>
        <w:t xml:space="preserve">. As emphasised in </w:t>
      </w:r>
      <w:r w:rsidR="006B7F52">
        <w:t>this inquiry’s</w:t>
      </w:r>
      <w:r>
        <w:t xml:space="preserve"> companion </w:t>
      </w:r>
      <w:r w:rsidR="006B7EA1">
        <w:t>volume</w:t>
      </w:r>
      <w:r>
        <w:t xml:space="preserve"> </w:t>
      </w:r>
      <w:r w:rsidR="007835E8">
        <w:rPr>
          <w:i/>
          <w:iCs/>
        </w:rPr>
        <w:t>Keys to growth</w:t>
      </w:r>
      <w:r>
        <w:t>, just like services in general, further cost pressures will reflect that wage growth in government services will be strongly affected by the necessity to match the wages in higher productivity sectors (Baumol’s ‘cost disease’). Wages are a key component of government</w:t>
      </w:r>
      <w:r>
        <w:noBreakHyphen/>
        <w:t>funded services like age and disability care.</w:t>
      </w:r>
    </w:p>
    <w:p w14:paraId="5292006C" w14:textId="10DCC620" w:rsidR="00EF7F21" w:rsidRDefault="003A0ECF" w:rsidP="00EF7F21">
      <w:pPr>
        <w:pStyle w:val="BodyText"/>
      </w:pPr>
      <w:r>
        <w:t xml:space="preserve">Public sector innovation and its diffusion have always been important, albeit downplayed in public policy. Notably, the Ferris performance review of Australia’s innovation, science and research system acknowledged its importance, but it hardly figured in its policy analysis or recommendations </w:t>
      </w:r>
      <w:r w:rsidRPr="00F843D0">
        <w:rPr>
          <w:rFonts w:ascii="Arial" w:hAnsi="Arial" w:cs="Arial"/>
          <w:szCs w:val="24"/>
        </w:rPr>
        <w:t>(ISA 2016)</w:t>
      </w:r>
      <w:r>
        <w:t>.</w:t>
      </w:r>
      <w:r w:rsidR="00EF7F21">
        <w:t xml:space="preserve"> </w:t>
      </w:r>
    </w:p>
    <w:p w14:paraId="05B6DA63" w14:textId="62EA52C1" w:rsidR="003A0ECF" w:rsidRDefault="003A0ECF" w:rsidP="003A0ECF">
      <w:pPr>
        <w:pStyle w:val="BodyText"/>
      </w:pPr>
      <w:r>
        <w:lastRenderedPageBreak/>
        <w:t xml:space="preserve">Yet the need for innovation and its effective diffusion will grow over the next 50 years in managing climate change, the growing burden of chronic disease, and population ageing, among many other issues. A need for effective innovation and its adoption and adaptation across different communities is central to the ambitions of Aboriginal and Torres Strait Islander people and Australian governments to close the gap. The greater the level of innovation and the more rapidly good ideas in any given area of government service provision can be diffused, the more productive and effective will government </w:t>
      </w:r>
      <w:r w:rsidR="00AB6ECD">
        <w:t>be</w:t>
      </w:r>
      <w:r>
        <w:t xml:space="preserve"> in these vital areas. </w:t>
      </w:r>
    </w:p>
    <w:p w14:paraId="0AE0C641" w14:textId="77777777" w:rsidR="00774355" w:rsidRDefault="00774355" w:rsidP="007743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34"/>
        <w:gridCol w:w="8894"/>
      </w:tblGrid>
      <w:tr w:rsidR="003A0ECF" w14:paraId="18007EAC" w14:textId="77777777" w:rsidTr="00C426E9">
        <w:trPr>
          <w:trHeight w:val="765"/>
          <w:tblHeader/>
        </w:trPr>
        <w:tc>
          <w:tcPr>
            <w:tcW w:w="381" w:type="pct"/>
            <w:tcBorders>
              <w:bottom w:val="nil"/>
            </w:tcBorders>
            <w:tcMar>
              <w:bottom w:w="0" w:type="dxa"/>
            </w:tcMar>
            <w:vAlign w:val="center"/>
          </w:tcPr>
          <w:p w14:paraId="52E4C7F4" w14:textId="77777777" w:rsidR="003A0ECF" w:rsidRDefault="003A0ECF" w:rsidP="00C426E9">
            <w:pPr>
              <w:pStyle w:val="NoSpacing"/>
              <w:keepLines/>
              <w:jc w:val="right"/>
            </w:pPr>
            <w:r w:rsidRPr="00A51374">
              <w:rPr>
                <w:noProof/>
              </w:rPr>
              <w:drawing>
                <wp:inline distT="0" distB="0" distL="0" distR="0" wp14:anchorId="00660F85" wp14:editId="666E1683">
                  <wp:extent cx="288000" cy="288000"/>
                  <wp:effectExtent l="0" t="0" r="0" b="0"/>
                  <wp:docPr id="5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19" w:type="pct"/>
            <w:tcBorders>
              <w:bottom w:val="nil"/>
            </w:tcBorders>
            <w:tcMar>
              <w:bottom w:w="0" w:type="dxa"/>
            </w:tcMar>
            <w:vAlign w:val="center"/>
          </w:tcPr>
          <w:p w14:paraId="2DD7BA20" w14:textId="752A1338" w:rsidR="003A0ECF" w:rsidRPr="00A4395A" w:rsidRDefault="003A0ECF" w:rsidP="00C426E9">
            <w:pPr>
              <w:pStyle w:val="TableHeading"/>
              <w:keepLines/>
              <w:spacing w:before="60" w:after="120"/>
              <w:contextualSpacing/>
              <w:rPr>
                <w:sz w:val="20"/>
              </w:rPr>
            </w:pPr>
            <w:r w:rsidRPr="00A4395A">
              <w:rPr>
                <w:sz w:val="20"/>
              </w:rPr>
              <w:t xml:space="preserve">Finding </w:t>
            </w:r>
            <w:r w:rsidR="007D6325">
              <w:rPr>
                <w:sz w:val="20"/>
              </w:rPr>
              <w:t>5.8</w:t>
            </w:r>
          </w:p>
          <w:p w14:paraId="480C3956" w14:textId="77777777" w:rsidR="003A0ECF" w:rsidRDefault="003A0ECF" w:rsidP="00C426E9">
            <w:pPr>
              <w:pStyle w:val="TableHeading"/>
              <w:keepLines/>
              <w:spacing w:before="60" w:after="120"/>
              <w:contextualSpacing/>
            </w:pPr>
            <w:r>
              <w:rPr>
                <w:sz w:val="20"/>
              </w:rPr>
              <w:t>Small changes — large gains</w:t>
            </w:r>
          </w:p>
        </w:tc>
      </w:tr>
      <w:tr w:rsidR="003A0ECF" w14:paraId="67481DFE" w14:textId="77777777" w:rsidTr="00C426E9">
        <w:tc>
          <w:tcPr>
            <w:tcW w:w="5000" w:type="pct"/>
            <w:gridSpan w:val="2"/>
            <w:tcBorders>
              <w:top w:val="nil"/>
              <w:bottom w:val="single" w:sz="4" w:space="0" w:color="66BCDB" w:themeColor="text2"/>
            </w:tcBorders>
          </w:tcPr>
          <w:p w14:paraId="66084B92" w14:textId="2296725B" w:rsidR="003A0ECF" w:rsidRPr="00F22A96" w:rsidRDefault="003A0ECF" w:rsidP="00C426E9">
            <w:pPr>
              <w:pStyle w:val="BodyText"/>
              <w:keepLines/>
              <w:rPr>
                <w:spacing w:val="-2"/>
              </w:rPr>
            </w:pPr>
            <w:r w:rsidRPr="00F22A96">
              <w:rPr>
                <w:spacing w:val="-2"/>
              </w:rPr>
              <w:t xml:space="preserve">Australian, state and territory, and local governments spend hundreds of billions of dollars each year, mostly on </w:t>
            </w:r>
            <w:r w:rsidR="00C53B03" w:rsidRPr="00F22A96">
              <w:rPr>
                <w:spacing w:val="-2"/>
              </w:rPr>
              <w:t xml:space="preserve">government </w:t>
            </w:r>
            <w:r w:rsidRPr="00F22A96">
              <w:rPr>
                <w:spacing w:val="-2"/>
              </w:rPr>
              <w:t xml:space="preserve">services. The scale of governments’ activities means that even the smallest of reforms — if widely adopted — can generate large savings or improve the quality of services for millions of people. </w:t>
            </w:r>
          </w:p>
        </w:tc>
      </w:tr>
      <w:tr w:rsidR="003A0ECF" w14:paraId="05453AD6" w14:textId="77777777" w:rsidTr="00C426E9">
        <w:tc>
          <w:tcPr>
            <w:tcW w:w="5000" w:type="pct"/>
            <w:gridSpan w:val="2"/>
            <w:tcBorders>
              <w:top w:val="single" w:sz="4" w:space="0" w:color="66BCDB" w:themeColor="text2"/>
              <w:left w:val="nil"/>
              <w:bottom w:val="nil"/>
              <w:right w:val="nil"/>
            </w:tcBorders>
            <w:tcMar>
              <w:bottom w:w="0" w:type="dxa"/>
            </w:tcMar>
          </w:tcPr>
          <w:p w14:paraId="54B38013" w14:textId="77777777" w:rsidR="003A0ECF" w:rsidRDefault="003A0ECF" w:rsidP="00C426E9">
            <w:pPr>
              <w:pStyle w:val="NoSpacing"/>
              <w:spacing w:line="200" w:lineRule="atLeast"/>
            </w:pPr>
          </w:p>
        </w:tc>
      </w:tr>
    </w:tbl>
    <w:p w14:paraId="4BEEE6BA" w14:textId="68E04C4E" w:rsidR="003A0ECF" w:rsidRPr="002625A3" w:rsidRDefault="003938A3" w:rsidP="003A0ECF">
      <w:pPr>
        <w:pStyle w:val="Heading2"/>
      </w:pPr>
      <w:bookmarkStart w:id="116" w:name="_Toc126145993"/>
      <w:bookmarkStart w:id="117" w:name="_Toc126304787"/>
      <w:r>
        <w:t>Public sector</w:t>
      </w:r>
      <w:r w:rsidR="003A0ECF" w:rsidRPr="002625A3">
        <w:t xml:space="preserve"> innovation and diffusion </w:t>
      </w:r>
      <w:r>
        <w:t>occurs, but is variable</w:t>
      </w:r>
      <w:bookmarkEnd w:id="116"/>
      <w:bookmarkEnd w:id="117"/>
    </w:p>
    <w:p w14:paraId="2ED956D7" w14:textId="7C1E87CA" w:rsidR="008B0254" w:rsidRPr="00E84540" w:rsidRDefault="003A0ECF" w:rsidP="008B0254">
      <w:pPr>
        <w:pStyle w:val="BodyText"/>
      </w:pPr>
      <w:r w:rsidRPr="00E84540">
        <w:t xml:space="preserve">Innovative approaches to government services and their delivery, policy and system design are </w:t>
      </w:r>
      <w:r w:rsidR="00C262DC" w:rsidRPr="00E84540">
        <w:t>evident</w:t>
      </w:r>
      <w:r w:rsidRPr="00E84540">
        <w:t xml:space="preserve"> throughout government services, often in relation to service processes, but also in relation to regulation, tax and funding settings. </w:t>
      </w:r>
      <w:r w:rsidR="00EA4392" w:rsidRPr="00E84540">
        <w:t xml:space="preserve">Many of these have previously been examined by the </w:t>
      </w:r>
      <w:r w:rsidR="009603FE">
        <w:t xml:space="preserve">Productivity </w:t>
      </w:r>
      <w:r w:rsidR="00EA4392" w:rsidRPr="00E84540">
        <w:t xml:space="preserve">Commission, such as </w:t>
      </w:r>
      <w:r w:rsidR="00D83C94" w:rsidRPr="00E84540">
        <w:t xml:space="preserve">innovative healthcare models for </w:t>
      </w:r>
      <w:r w:rsidR="00895697" w:rsidRPr="00E84540">
        <w:t xml:space="preserve">treating chronic conditions that have improved quality of care and led to cost reductions </w:t>
      </w:r>
      <w:r w:rsidR="00895697" w:rsidRPr="00E84540">
        <w:rPr>
          <w:rFonts w:ascii="Arial" w:hAnsi="Arial" w:cs="Arial"/>
          <w:szCs w:val="24"/>
        </w:rPr>
        <w:t>(PC 2021b)</w:t>
      </w:r>
      <w:r w:rsidR="00895697" w:rsidRPr="00E84540">
        <w:t xml:space="preserve">, and alternative practices in the justice system </w:t>
      </w:r>
      <w:r w:rsidR="006B45D1" w:rsidRPr="00E84540">
        <w:t xml:space="preserve">that have </w:t>
      </w:r>
      <w:r w:rsidR="00895697" w:rsidRPr="00E84540">
        <w:t>achieve</w:t>
      </w:r>
      <w:r w:rsidR="006B45D1" w:rsidRPr="00E84540">
        <w:t>d</w:t>
      </w:r>
      <w:r w:rsidR="00895697" w:rsidRPr="00E84540">
        <w:t xml:space="preserve"> better outcomes at lower costs without jeopardising community safety </w:t>
      </w:r>
      <w:r w:rsidR="00895697" w:rsidRPr="00E84540">
        <w:rPr>
          <w:rFonts w:ascii="Arial" w:hAnsi="Arial" w:cs="Arial"/>
          <w:szCs w:val="24"/>
        </w:rPr>
        <w:t>(PC 2021a)</w:t>
      </w:r>
      <w:r w:rsidR="006B45D1" w:rsidRPr="00E84540">
        <w:t xml:space="preserve">. </w:t>
      </w:r>
      <w:r w:rsidR="00BD7904" w:rsidRPr="00E84540">
        <w:t>Rapid changes to the delivery of some government</w:t>
      </w:r>
      <w:r w:rsidR="001009E7" w:rsidRPr="00E84540">
        <w:t xml:space="preserve"> services during the COVID</w:t>
      </w:r>
      <w:r w:rsidR="00A43B86">
        <w:noBreakHyphen/>
      </w:r>
      <w:r w:rsidR="001009E7" w:rsidRPr="00E84540">
        <w:t xml:space="preserve">19 pandemic </w:t>
      </w:r>
      <w:r w:rsidR="00930204" w:rsidRPr="00E84540">
        <w:t xml:space="preserve">also demonstrated </w:t>
      </w:r>
      <w:r w:rsidR="00286205" w:rsidRPr="00E84540">
        <w:t>the potential for significant innovation</w:t>
      </w:r>
      <w:r w:rsidR="008B0254" w:rsidRPr="00E84540">
        <w:t>. For example, while many are familiar with the expansion of MBS</w:t>
      </w:r>
      <w:r w:rsidR="008B0254" w:rsidRPr="00E84540">
        <w:noBreakHyphen/>
        <w:t>funded telehealth in general practice associated with COVID</w:t>
      </w:r>
      <w:r w:rsidR="008B0254" w:rsidRPr="00E84540">
        <w:noBreakHyphen/>
        <w:t>19, there was also rapid innovation in acute care</w:t>
      </w:r>
      <w:r w:rsidR="00E05F1E" w:rsidRPr="00E84540">
        <w:t xml:space="preserve"> </w:t>
      </w:r>
      <w:r w:rsidR="00286205" w:rsidRPr="00E84540">
        <w:t xml:space="preserve">over this period </w:t>
      </w:r>
      <w:r w:rsidR="00E05F1E" w:rsidRPr="00E84540">
        <w:t>(</w:t>
      </w:r>
      <w:r w:rsidR="008B0254" w:rsidRPr="00E84540">
        <w:t>Australian Commission for Safety and Quality in Health Care</w:t>
      </w:r>
      <w:r w:rsidR="00E05F1E" w:rsidRPr="00E84540">
        <w:t xml:space="preserve">, </w:t>
      </w:r>
      <w:r w:rsidR="008B0254" w:rsidRPr="00E84540">
        <w:t>sub. 9, p.</w:t>
      </w:r>
      <w:r w:rsidR="00647927" w:rsidRPr="00E84540">
        <w:t> </w:t>
      </w:r>
      <w:r w:rsidR="008B0254" w:rsidRPr="00E84540">
        <w:t>5)</w:t>
      </w:r>
      <w:r w:rsidR="00E05F1E" w:rsidRPr="00E84540">
        <w:t>.</w:t>
      </w:r>
      <w:r w:rsidR="00746FB1" w:rsidRPr="00E84540">
        <w:rPr>
          <w:rStyle w:val="FootnoteReference"/>
        </w:rPr>
        <w:footnoteReference w:id="27"/>
      </w:r>
    </w:p>
    <w:p w14:paraId="2E987C1F" w14:textId="04B8C7D3" w:rsidR="006F1D68" w:rsidRPr="001636AF" w:rsidRDefault="001636AF" w:rsidP="006F1D68">
      <w:pPr>
        <w:pStyle w:val="BodyText"/>
      </w:pPr>
      <w:r>
        <w:t>But t</w:t>
      </w:r>
      <w:r w:rsidR="00522BF8">
        <w:t>he history of government initiatives is often typified by the gradual adoption of good ideas — for example, in 1993, Victoria adopted activity</w:t>
      </w:r>
      <w:r w:rsidR="00522BF8">
        <w:noBreakHyphen/>
        <w:t xml:space="preserve">based funding as the way to </w:t>
      </w:r>
      <w:proofErr w:type="gramStart"/>
      <w:r w:rsidR="00522BF8">
        <w:t>more efficiently fund public hospitals</w:t>
      </w:r>
      <w:proofErr w:type="gramEnd"/>
      <w:r w:rsidR="00522BF8">
        <w:t xml:space="preserve">. It took 17 years before </w:t>
      </w:r>
      <w:proofErr w:type="gramStart"/>
      <w:r w:rsidR="00522BF8">
        <w:t xml:space="preserve">all </w:t>
      </w:r>
      <w:r w:rsidR="00522BF8" w:rsidRPr="001636AF">
        <w:t>of</w:t>
      </w:r>
      <w:proofErr w:type="gramEnd"/>
      <w:r w:rsidR="00522BF8" w:rsidRPr="001636AF">
        <w:t xml:space="preserve"> the large jurisdictions followed in adopting this innovation </w:t>
      </w:r>
      <w:r w:rsidR="00522BF8" w:rsidRPr="001636AF">
        <w:rPr>
          <w:rFonts w:ascii="Arial" w:hAnsi="Arial" w:cs="Arial"/>
          <w:szCs w:val="24"/>
        </w:rPr>
        <w:t>(Duckett 2018a, p. 355)</w:t>
      </w:r>
      <w:r w:rsidR="00522BF8" w:rsidRPr="001636AF">
        <w:t>.</w:t>
      </w:r>
      <w:r w:rsidRPr="001636AF">
        <w:t xml:space="preserve"> This can contribute to </w:t>
      </w:r>
      <w:r w:rsidR="006F1D68" w:rsidRPr="001636AF">
        <w:t>variations in the performance of the basic functions of government, as revealed by the</w:t>
      </w:r>
      <w:r w:rsidR="008B1B16">
        <w:t xml:space="preserve"> </w:t>
      </w:r>
      <w:r w:rsidR="00A443A7">
        <w:t xml:space="preserve">Productivity </w:t>
      </w:r>
      <w:r w:rsidR="008B1B16">
        <w:t>Commission’s</w:t>
      </w:r>
      <w:r w:rsidR="006F1D68" w:rsidRPr="001636AF">
        <w:t xml:space="preserve"> regular Report on Government Services (with figure 3.1 showing </w:t>
      </w:r>
      <w:r w:rsidR="006F1D68" w:rsidRPr="001636AF">
        <w:lastRenderedPageBreak/>
        <w:t>a diverse variety of metrics). These variations may sometimes reflect different circumstances or funding priorities, but many of them suggest that some jurisdictions are better at managing aspects of their services than others, which offers the scope for governments to increase the diffusion and adoption of better practice across public sector services. Notably, variations can sometimes be small — as in patient satisfaction with ambulance services — while others, like the cost of coroner’s courts, show extraordinary differences. The variations within jurisdictions will be much greater than those shown here, so the chart will underestimate the scope for the diffusion of best practice.</w:t>
      </w:r>
    </w:p>
    <w:p w14:paraId="2ADE8BB4" w14:textId="240CC301" w:rsidR="006F1D68" w:rsidRPr="00F22A96" w:rsidRDefault="006F1D68" w:rsidP="006F1D68">
      <w:pPr>
        <w:pStyle w:val="FigureTableHeading"/>
        <w:rPr>
          <w:spacing w:val="-4"/>
        </w:rPr>
      </w:pPr>
      <w:r w:rsidRPr="00F22A96">
        <w:rPr>
          <w:spacing w:val="-4"/>
        </w:rPr>
        <w:t>Figure</w:t>
      </w:r>
      <w:r w:rsidR="00A43B86">
        <w:rPr>
          <w:spacing w:val="-4"/>
        </w:rPr>
        <w:t> </w:t>
      </w:r>
      <w:r w:rsidRPr="00F22A96">
        <w:rPr>
          <w:spacing w:val="-4"/>
        </w:rPr>
        <w:t>3.1 – Performance in public services often vary markedly even across jurisdictions</w:t>
      </w:r>
      <w:r w:rsidRPr="00F22A96">
        <w:rPr>
          <w:spacing w:val="-4"/>
          <w:vertAlign w:val="superscript"/>
        </w:rPr>
        <w:t>a</w:t>
      </w:r>
    </w:p>
    <w:tbl>
      <w:tblPr>
        <w:tblStyle w:val="Blank"/>
        <w:tblW w:w="5225" w:type="pct"/>
        <w:tblLook w:val="04A0" w:firstRow="1" w:lastRow="0" w:firstColumn="1" w:lastColumn="0" w:noHBand="0" w:noVBand="1"/>
      </w:tblPr>
      <w:tblGrid>
        <w:gridCol w:w="3358"/>
        <w:gridCol w:w="3358"/>
        <w:gridCol w:w="3356"/>
      </w:tblGrid>
      <w:tr w:rsidR="006F1D68" w:rsidRPr="00D22989" w14:paraId="3F420FE0" w14:textId="77777777">
        <w:tc>
          <w:tcPr>
            <w:tcW w:w="1667" w:type="pct"/>
          </w:tcPr>
          <w:p w14:paraId="36A23515" w14:textId="77777777" w:rsidR="006F1D68" w:rsidRPr="00D22989" w:rsidRDefault="006F1D68">
            <w:pPr>
              <w:pStyle w:val="TableColumnHeading"/>
              <w:jc w:val="left"/>
            </w:pPr>
            <w:r w:rsidRPr="00D22989">
              <w:t>Real net recurrent expenditure per finalisation, coroner’s court, 2020</w:t>
            </w:r>
            <w:r w:rsidRPr="00D22989">
              <w:noBreakHyphen/>
              <w:t>21</w:t>
            </w:r>
          </w:p>
        </w:tc>
        <w:tc>
          <w:tcPr>
            <w:tcW w:w="1667" w:type="pct"/>
          </w:tcPr>
          <w:p w14:paraId="07DB456B" w14:textId="77777777" w:rsidR="006F1D68" w:rsidRPr="00D22989" w:rsidRDefault="006F1D68">
            <w:pPr>
              <w:pStyle w:val="TableColumnHeading"/>
              <w:jc w:val="left"/>
            </w:pPr>
            <w:r w:rsidRPr="00D22989">
              <w:t xml:space="preserve">Proportion of public housing unoccupied </w:t>
            </w:r>
            <w:proofErr w:type="gramStart"/>
            <w:r w:rsidRPr="00D22989">
              <w:t>at</w:t>
            </w:r>
            <w:proofErr w:type="gramEnd"/>
            <w:r w:rsidRPr="00D22989">
              <w:t xml:space="preserve"> 30 June, average of 2018 and 2019</w:t>
            </w:r>
          </w:p>
        </w:tc>
        <w:tc>
          <w:tcPr>
            <w:tcW w:w="1667" w:type="pct"/>
          </w:tcPr>
          <w:p w14:paraId="0202C4BC" w14:textId="77777777" w:rsidR="006F1D68" w:rsidRPr="00D22989" w:rsidRDefault="006F1D68">
            <w:pPr>
              <w:pStyle w:val="TableColumnHeading"/>
              <w:jc w:val="left"/>
            </w:pPr>
            <w:r w:rsidRPr="00D22989">
              <w:t>Adverse events per 100 public hospital separations, average of 2017</w:t>
            </w:r>
            <w:r w:rsidRPr="00D22989">
              <w:noBreakHyphen/>
              <w:t>18 and 2018</w:t>
            </w:r>
            <w:r w:rsidRPr="00D22989">
              <w:noBreakHyphen/>
              <w:t>19</w:t>
            </w:r>
          </w:p>
        </w:tc>
      </w:tr>
      <w:tr w:rsidR="006F1D68" w:rsidRPr="001636AF" w14:paraId="2CC05A99" w14:textId="77777777">
        <w:tc>
          <w:tcPr>
            <w:tcW w:w="1667" w:type="pct"/>
          </w:tcPr>
          <w:p w14:paraId="6467EB54" w14:textId="77777777" w:rsidR="006F1D68" w:rsidRPr="001636AF" w:rsidRDefault="006F1D68" w:rsidP="001556C0">
            <w:pPr>
              <w:pStyle w:val="BodyText"/>
              <w:spacing w:before="80"/>
            </w:pPr>
            <w:r w:rsidRPr="001636AF">
              <w:rPr>
                <w:noProof/>
              </w:rPr>
              <w:drawing>
                <wp:inline distT="0" distB="0" distL="0" distR="0" wp14:anchorId="7AF12682" wp14:editId="0B6E659F">
                  <wp:extent cx="1981200" cy="1798320"/>
                  <wp:effectExtent l="0" t="0" r="0" b="0"/>
                  <wp:docPr id="23" name="Picture 23"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81200" cy="1798320"/>
                          </a:xfrm>
                          <a:prstGeom prst="rect">
                            <a:avLst/>
                          </a:prstGeom>
                          <a:noFill/>
                          <a:ln>
                            <a:noFill/>
                          </a:ln>
                        </pic:spPr>
                      </pic:pic>
                    </a:graphicData>
                  </a:graphic>
                </wp:inline>
              </w:drawing>
            </w:r>
          </w:p>
        </w:tc>
        <w:tc>
          <w:tcPr>
            <w:tcW w:w="1667" w:type="pct"/>
          </w:tcPr>
          <w:p w14:paraId="01BBD607" w14:textId="0F501F9F" w:rsidR="006F1D68" w:rsidRPr="001636AF" w:rsidRDefault="005A4EE7" w:rsidP="00F22A96">
            <w:pPr>
              <w:pStyle w:val="BodyText"/>
              <w:spacing w:before="160"/>
            </w:pPr>
            <w:r w:rsidRPr="005A4EE7">
              <w:rPr>
                <w:noProof/>
              </w:rPr>
              <w:drawing>
                <wp:inline distT="0" distB="0" distL="0" distR="0" wp14:anchorId="6E1B2498" wp14:editId="07583690">
                  <wp:extent cx="1955800" cy="1733550"/>
                  <wp:effectExtent l="0" t="0" r="0" b="0"/>
                  <wp:docPr id="32" name="Picture 32"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55800" cy="1733550"/>
                          </a:xfrm>
                          <a:prstGeom prst="rect">
                            <a:avLst/>
                          </a:prstGeom>
                          <a:noFill/>
                          <a:ln>
                            <a:noFill/>
                          </a:ln>
                        </pic:spPr>
                      </pic:pic>
                    </a:graphicData>
                  </a:graphic>
                </wp:inline>
              </w:drawing>
            </w:r>
          </w:p>
        </w:tc>
        <w:tc>
          <w:tcPr>
            <w:tcW w:w="1667" w:type="pct"/>
          </w:tcPr>
          <w:p w14:paraId="1E0E7C39" w14:textId="45808D40" w:rsidR="006F1D68" w:rsidRPr="001636AF" w:rsidRDefault="00F358B5">
            <w:pPr>
              <w:pStyle w:val="BodyText"/>
            </w:pPr>
            <w:r w:rsidRPr="00F358B5">
              <w:rPr>
                <w:noProof/>
              </w:rPr>
              <w:drawing>
                <wp:inline distT="0" distB="0" distL="0" distR="0" wp14:anchorId="449D1F3D" wp14:editId="3A15B5E5">
                  <wp:extent cx="1964055" cy="1733550"/>
                  <wp:effectExtent l="0" t="0" r="0" b="0"/>
                  <wp:docPr id="37" name="Picture 37"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4055" cy="1733550"/>
                          </a:xfrm>
                          <a:prstGeom prst="rect">
                            <a:avLst/>
                          </a:prstGeom>
                          <a:noFill/>
                          <a:ln>
                            <a:noFill/>
                          </a:ln>
                        </pic:spPr>
                      </pic:pic>
                    </a:graphicData>
                  </a:graphic>
                </wp:inline>
              </w:drawing>
            </w:r>
          </w:p>
        </w:tc>
      </w:tr>
      <w:tr w:rsidR="006F1D68" w:rsidRPr="00D22989" w14:paraId="6CA63420" w14:textId="77777777">
        <w:tc>
          <w:tcPr>
            <w:tcW w:w="1667" w:type="pct"/>
          </w:tcPr>
          <w:p w14:paraId="6A60596D" w14:textId="77777777" w:rsidR="006F1D68" w:rsidRPr="00D22989" w:rsidRDefault="006F1D68">
            <w:pPr>
              <w:pStyle w:val="TableColumnHeading"/>
              <w:jc w:val="left"/>
            </w:pPr>
            <w:r w:rsidRPr="00D22989">
              <w:t>Closed (after exit) support periods for people experiencing homelessness with an individual case management plan where all goals were achieved, average 2017</w:t>
            </w:r>
            <w:r w:rsidRPr="00D22989">
              <w:noBreakHyphen/>
              <w:t>18 and 2018</w:t>
            </w:r>
            <w:r w:rsidRPr="00D22989">
              <w:noBreakHyphen/>
              <w:t>19</w:t>
            </w:r>
          </w:p>
        </w:tc>
        <w:tc>
          <w:tcPr>
            <w:tcW w:w="1667" w:type="pct"/>
          </w:tcPr>
          <w:p w14:paraId="0D538D22" w14:textId="77777777" w:rsidR="006F1D68" w:rsidRPr="00D22989" w:rsidRDefault="006F1D68">
            <w:pPr>
              <w:pStyle w:val="TableColumnHeading"/>
              <w:jc w:val="left"/>
            </w:pPr>
            <w:r w:rsidRPr="00D22989">
              <w:t>Patient experience of ambulances – share very satisfied/ satisfied, average 2017</w:t>
            </w:r>
            <w:r w:rsidRPr="00D22989">
              <w:noBreakHyphen/>
              <w:t>18 and 2018</w:t>
            </w:r>
            <w:r w:rsidRPr="00D22989">
              <w:noBreakHyphen/>
              <w:t>19</w:t>
            </w:r>
          </w:p>
        </w:tc>
        <w:tc>
          <w:tcPr>
            <w:tcW w:w="1667" w:type="pct"/>
          </w:tcPr>
          <w:p w14:paraId="5959FF5B" w14:textId="64F672C5" w:rsidR="006F1D68" w:rsidRPr="00D22989" w:rsidRDefault="006F1D68">
            <w:pPr>
              <w:pStyle w:val="TableColumnHeading"/>
              <w:jc w:val="left"/>
            </w:pPr>
            <w:r w:rsidRPr="00D22989">
              <w:t xml:space="preserve">Prisoner education and training </w:t>
            </w:r>
            <w:r w:rsidR="001C04CC">
              <w:t>%</w:t>
            </w:r>
            <w:r w:rsidRPr="00D22989">
              <w:t xml:space="preserve"> of eligible prisoners), average 2017</w:t>
            </w:r>
            <w:r w:rsidRPr="00D22989">
              <w:noBreakHyphen/>
              <w:t>18 and 2018</w:t>
            </w:r>
            <w:r w:rsidRPr="00D22989">
              <w:noBreakHyphen/>
              <w:t>19</w:t>
            </w:r>
          </w:p>
        </w:tc>
      </w:tr>
      <w:tr w:rsidR="006F1D68" w:rsidRPr="001636AF" w14:paraId="282D091A" w14:textId="77777777">
        <w:tc>
          <w:tcPr>
            <w:tcW w:w="1667" w:type="pct"/>
          </w:tcPr>
          <w:p w14:paraId="3F2AA94F" w14:textId="70423BC1" w:rsidR="006F1D68" w:rsidRPr="001636AF" w:rsidRDefault="00E1230B">
            <w:pPr>
              <w:pStyle w:val="BodyText"/>
            </w:pPr>
            <w:r w:rsidRPr="00E1230B">
              <w:rPr>
                <w:noProof/>
              </w:rPr>
              <w:drawing>
                <wp:inline distT="0" distB="0" distL="0" distR="0" wp14:anchorId="18E8AA23" wp14:editId="254502DA">
                  <wp:extent cx="1964055" cy="1741170"/>
                  <wp:effectExtent l="0" t="0" r="0" b="0"/>
                  <wp:docPr id="41" name="Picture 41"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64055" cy="1741170"/>
                          </a:xfrm>
                          <a:prstGeom prst="rect">
                            <a:avLst/>
                          </a:prstGeom>
                          <a:noFill/>
                          <a:ln>
                            <a:noFill/>
                          </a:ln>
                        </pic:spPr>
                      </pic:pic>
                    </a:graphicData>
                  </a:graphic>
                </wp:inline>
              </w:drawing>
            </w:r>
          </w:p>
        </w:tc>
        <w:tc>
          <w:tcPr>
            <w:tcW w:w="1667" w:type="pct"/>
          </w:tcPr>
          <w:p w14:paraId="62AE14F0" w14:textId="7295AA57" w:rsidR="006F1D68" w:rsidRPr="001636AF" w:rsidRDefault="00186F8A">
            <w:pPr>
              <w:pStyle w:val="BodyText"/>
            </w:pPr>
            <w:r w:rsidRPr="00186F8A">
              <w:rPr>
                <w:noProof/>
              </w:rPr>
              <w:drawing>
                <wp:inline distT="0" distB="0" distL="0" distR="0" wp14:anchorId="193ADEBC" wp14:editId="6CDEF1E4">
                  <wp:extent cx="1964055" cy="1733550"/>
                  <wp:effectExtent l="0" t="0" r="0" b="0"/>
                  <wp:docPr id="42" name="Picture 42"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4055" cy="1733550"/>
                          </a:xfrm>
                          <a:prstGeom prst="rect">
                            <a:avLst/>
                          </a:prstGeom>
                          <a:noFill/>
                          <a:ln>
                            <a:noFill/>
                          </a:ln>
                        </pic:spPr>
                      </pic:pic>
                    </a:graphicData>
                  </a:graphic>
                </wp:inline>
              </w:drawing>
            </w:r>
          </w:p>
        </w:tc>
        <w:tc>
          <w:tcPr>
            <w:tcW w:w="1667" w:type="pct"/>
          </w:tcPr>
          <w:p w14:paraId="4B6621D7" w14:textId="2015D689" w:rsidR="006F1D68" w:rsidRPr="001636AF" w:rsidRDefault="00186F8A">
            <w:pPr>
              <w:pStyle w:val="BodyText"/>
            </w:pPr>
            <w:r w:rsidRPr="00186F8A">
              <w:rPr>
                <w:noProof/>
              </w:rPr>
              <w:drawing>
                <wp:inline distT="0" distB="0" distL="0" distR="0" wp14:anchorId="03E0F3FA" wp14:editId="5CB0667B">
                  <wp:extent cx="1964055" cy="1733550"/>
                  <wp:effectExtent l="0" t="0" r="0" b="0"/>
                  <wp:docPr id="48" name="Picture 48"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64055" cy="1733550"/>
                          </a:xfrm>
                          <a:prstGeom prst="rect">
                            <a:avLst/>
                          </a:prstGeom>
                          <a:noFill/>
                          <a:ln>
                            <a:noFill/>
                          </a:ln>
                        </pic:spPr>
                      </pic:pic>
                    </a:graphicData>
                  </a:graphic>
                </wp:inline>
              </w:drawing>
            </w:r>
          </w:p>
        </w:tc>
      </w:tr>
    </w:tbl>
    <w:p w14:paraId="62C2F5AC" w14:textId="1C63402D" w:rsidR="006F1D68" w:rsidRPr="001636AF" w:rsidRDefault="006F1D68" w:rsidP="006F1D68">
      <w:pPr>
        <w:pStyle w:val="Note"/>
      </w:pPr>
      <w:r w:rsidRPr="00C71661">
        <w:rPr>
          <w:rStyle w:val="NoteLabel"/>
          <w:rFonts w:asciiTheme="minorHAnsi" w:hAnsiTheme="minorHAnsi"/>
          <w:bCs/>
          <w:position w:val="0"/>
        </w:rPr>
        <w:t xml:space="preserve">a. </w:t>
      </w:r>
      <w:r w:rsidRPr="001636AF">
        <w:t>Pre</w:t>
      </w:r>
      <w:r w:rsidRPr="001636AF">
        <w:noBreakHyphen/>
        <w:t>Covid</w:t>
      </w:r>
      <w:r w:rsidR="00A43B86">
        <w:noBreakHyphen/>
      </w:r>
      <w:r w:rsidRPr="001636AF">
        <w:t>19 values were used where measures were affected by COVID</w:t>
      </w:r>
      <w:r w:rsidRPr="001636AF">
        <w:noBreakHyphen/>
        <w:t>19.</w:t>
      </w:r>
    </w:p>
    <w:p w14:paraId="6C57AF68" w14:textId="5830DEC1" w:rsidR="006F1D68" w:rsidRPr="001636AF" w:rsidRDefault="006F1D68" w:rsidP="006F1D68">
      <w:pPr>
        <w:pStyle w:val="Note"/>
      </w:pPr>
      <w:r w:rsidRPr="001636AF">
        <w:t>Source: Productivity Commission</w:t>
      </w:r>
      <w:r w:rsidR="009B1E32">
        <w:t xml:space="preserve"> (v</w:t>
      </w:r>
      <w:r w:rsidRPr="001636AF">
        <w:t>arious issues</w:t>
      </w:r>
      <w:r w:rsidR="009B1E32">
        <w:t>),</w:t>
      </w:r>
      <w:r w:rsidRPr="001636AF">
        <w:t xml:space="preserve"> </w:t>
      </w:r>
      <w:r w:rsidRPr="009B1E32">
        <w:rPr>
          <w:i/>
          <w:iCs/>
        </w:rPr>
        <w:t>Report on Government Services</w:t>
      </w:r>
      <w:r w:rsidRPr="001636AF">
        <w:t>.</w:t>
      </w:r>
    </w:p>
    <w:p w14:paraId="16D13176" w14:textId="77777777" w:rsidR="00371E2B" w:rsidRPr="001636AF" w:rsidRDefault="00371E2B" w:rsidP="007F3BB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34"/>
        <w:gridCol w:w="8894"/>
      </w:tblGrid>
      <w:tr w:rsidR="003A0ECF" w:rsidRPr="00BA6F99" w14:paraId="0E30F659" w14:textId="77777777" w:rsidTr="00C426E9">
        <w:trPr>
          <w:trHeight w:val="765"/>
          <w:tblHeader/>
        </w:trPr>
        <w:tc>
          <w:tcPr>
            <w:tcW w:w="381" w:type="pct"/>
            <w:tcBorders>
              <w:bottom w:val="nil"/>
            </w:tcBorders>
            <w:tcMar>
              <w:bottom w:w="0" w:type="dxa"/>
            </w:tcMar>
            <w:vAlign w:val="center"/>
          </w:tcPr>
          <w:p w14:paraId="4AAB644C" w14:textId="77777777" w:rsidR="003A0ECF" w:rsidRPr="00BA6F99" w:rsidRDefault="003A0ECF" w:rsidP="00C426E9">
            <w:pPr>
              <w:pStyle w:val="NoSpacing"/>
              <w:keepLines/>
              <w:jc w:val="right"/>
            </w:pPr>
            <w:r w:rsidRPr="00BA6F99">
              <w:rPr>
                <w:noProof/>
              </w:rPr>
              <w:lastRenderedPageBreak/>
              <w:drawing>
                <wp:inline distT="0" distB="0" distL="0" distR="0" wp14:anchorId="4BE65766" wp14:editId="5EB3B9EC">
                  <wp:extent cx="288000" cy="288000"/>
                  <wp:effectExtent l="0" t="0" r="0" b="0"/>
                  <wp:docPr id="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19" w:type="pct"/>
            <w:tcBorders>
              <w:bottom w:val="nil"/>
            </w:tcBorders>
            <w:tcMar>
              <w:bottom w:w="0" w:type="dxa"/>
            </w:tcMar>
            <w:vAlign w:val="center"/>
          </w:tcPr>
          <w:p w14:paraId="2C338191" w14:textId="6530C680" w:rsidR="003A0ECF" w:rsidRPr="00BA6F99" w:rsidRDefault="003A0ECF" w:rsidP="00C426E9">
            <w:pPr>
              <w:pStyle w:val="TableHeading"/>
              <w:keepLines/>
              <w:spacing w:before="60" w:after="120"/>
              <w:contextualSpacing/>
              <w:rPr>
                <w:sz w:val="20"/>
              </w:rPr>
            </w:pPr>
            <w:r w:rsidRPr="00BA6F99">
              <w:rPr>
                <w:sz w:val="20"/>
              </w:rPr>
              <w:t xml:space="preserve">Finding </w:t>
            </w:r>
            <w:r w:rsidR="002F5767">
              <w:rPr>
                <w:sz w:val="20"/>
              </w:rPr>
              <w:t>5.9</w:t>
            </w:r>
          </w:p>
          <w:p w14:paraId="4EFE55DE" w14:textId="03DA8C6E" w:rsidR="003A0ECF" w:rsidRPr="00E76B08" w:rsidRDefault="003A0ECF" w:rsidP="00C426E9">
            <w:pPr>
              <w:pStyle w:val="TableHeading"/>
              <w:keepLines/>
              <w:spacing w:before="60" w:after="120"/>
              <w:contextualSpacing/>
              <w:rPr>
                <w:spacing w:val="-6"/>
              </w:rPr>
            </w:pPr>
            <w:r w:rsidRPr="00E76B08">
              <w:rPr>
                <w:spacing w:val="-6"/>
                <w:sz w:val="20"/>
                <w:szCs w:val="22"/>
              </w:rPr>
              <w:t>Government innovation is not an oxymoron</w:t>
            </w:r>
            <w:r w:rsidR="00462511" w:rsidRPr="00E76B08">
              <w:rPr>
                <w:spacing w:val="-6"/>
                <w:sz w:val="20"/>
                <w:szCs w:val="22"/>
              </w:rPr>
              <w:t xml:space="preserve">, but governments </w:t>
            </w:r>
            <w:r w:rsidR="00A062C9" w:rsidRPr="00E76B08">
              <w:rPr>
                <w:spacing w:val="-6"/>
                <w:sz w:val="20"/>
                <w:szCs w:val="22"/>
              </w:rPr>
              <w:t xml:space="preserve">are </w:t>
            </w:r>
            <w:r w:rsidR="00462511" w:rsidRPr="00E76B08">
              <w:rPr>
                <w:spacing w:val="-6"/>
                <w:sz w:val="20"/>
                <w:szCs w:val="22"/>
              </w:rPr>
              <w:t>slow adopters of best practice</w:t>
            </w:r>
          </w:p>
        </w:tc>
      </w:tr>
      <w:tr w:rsidR="003A0ECF" w:rsidRPr="00BA6F99" w14:paraId="28A0F85C" w14:textId="77777777" w:rsidTr="00C426E9">
        <w:tc>
          <w:tcPr>
            <w:tcW w:w="5000" w:type="pct"/>
            <w:gridSpan w:val="2"/>
            <w:tcBorders>
              <w:top w:val="nil"/>
              <w:bottom w:val="single" w:sz="4" w:space="0" w:color="66BCDB" w:themeColor="text2"/>
            </w:tcBorders>
          </w:tcPr>
          <w:p w14:paraId="07677FDD" w14:textId="21F05B26" w:rsidR="003A0ECF" w:rsidRPr="00BA6F99" w:rsidRDefault="00F369DF" w:rsidP="00C426E9">
            <w:pPr>
              <w:pStyle w:val="BodyText"/>
              <w:keepLines/>
            </w:pPr>
            <w:r w:rsidRPr="00F369DF">
              <w:t>Government at all levels can be highly innovative, as illustrated by initiatives in various services such as healthcare and the justice system, and rapid responses to the COVID</w:t>
            </w:r>
            <w:r>
              <w:noBreakHyphen/>
            </w:r>
            <w:r w:rsidRPr="00F369DF">
              <w:t>19 pandemic. In combination, these initiatives have the potential to improve resource allocation and deliver better quality services. But innovation and the uptake of best practice is often sluggish, patchy and inconsistent across jurisdictions. Benchmarking of governments’ performance across multiple dimensions — such as patient experiences in hospitals and ambulances, prisoner education, support services for people experiencing homelessness — suggests many have failed to draw on the practices of better performers</w:t>
            </w:r>
            <w:r w:rsidR="005B2BD3" w:rsidRPr="00BA6F99">
              <w:t>.</w:t>
            </w:r>
          </w:p>
        </w:tc>
      </w:tr>
      <w:tr w:rsidR="003A0ECF" w:rsidRPr="00BA6F99" w14:paraId="2A998BBC" w14:textId="77777777" w:rsidTr="00C426E9">
        <w:tc>
          <w:tcPr>
            <w:tcW w:w="5000" w:type="pct"/>
            <w:gridSpan w:val="2"/>
            <w:tcBorders>
              <w:top w:val="single" w:sz="4" w:space="0" w:color="66BCDB" w:themeColor="text2"/>
              <w:left w:val="nil"/>
              <w:bottom w:val="nil"/>
              <w:right w:val="nil"/>
            </w:tcBorders>
            <w:tcMar>
              <w:bottom w:w="0" w:type="dxa"/>
            </w:tcMar>
          </w:tcPr>
          <w:p w14:paraId="4264A84E" w14:textId="77777777" w:rsidR="003A0ECF" w:rsidRPr="00BA6F99" w:rsidRDefault="003A0ECF" w:rsidP="00C426E9">
            <w:pPr>
              <w:pStyle w:val="NoSpacing"/>
              <w:spacing w:line="200" w:lineRule="atLeast"/>
            </w:pPr>
          </w:p>
        </w:tc>
      </w:tr>
    </w:tbl>
    <w:p w14:paraId="0673690E" w14:textId="77777777" w:rsidR="003A0ECF" w:rsidRPr="00BA6F99" w:rsidRDefault="003A0ECF" w:rsidP="003A0ECF">
      <w:pPr>
        <w:pStyle w:val="Heading2"/>
      </w:pPr>
      <w:bookmarkStart w:id="118" w:name="_Toc126145994"/>
      <w:bookmarkStart w:id="119" w:name="_Toc126304788"/>
      <w:r w:rsidRPr="00BA6F99">
        <w:t>There are major obstacles to innovation and diffusion that need to be reformed or managed</w:t>
      </w:r>
      <w:bookmarkEnd w:id="118"/>
      <w:bookmarkEnd w:id="119"/>
    </w:p>
    <w:p w14:paraId="1491F144" w14:textId="53CEEEB5" w:rsidR="003A0ECF" w:rsidRPr="00BA6F99" w:rsidRDefault="00D35A0F" w:rsidP="003A0ECF">
      <w:pPr>
        <w:pStyle w:val="Heading3"/>
      </w:pPr>
      <w:r>
        <w:t>S</w:t>
      </w:r>
      <w:r w:rsidR="003A0ECF" w:rsidRPr="00BA6F99">
        <w:t xml:space="preserve">ome obstacles </w:t>
      </w:r>
      <w:r>
        <w:t xml:space="preserve">are </w:t>
      </w:r>
      <w:r w:rsidR="003A0ECF" w:rsidRPr="00BA6F99">
        <w:t>common to the public and private sector</w:t>
      </w:r>
    </w:p>
    <w:p w14:paraId="3DE17381" w14:textId="77777777" w:rsidR="003A0ECF" w:rsidRDefault="003A0ECF" w:rsidP="003A0ECF">
      <w:pPr>
        <w:pStyle w:val="BodyText"/>
      </w:pPr>
      <w:r w:rsidRPr="00BA6F99">
        <w:t>The challenges for innovatio</w:t>
      </w:r>
      <w:r>
        <w:t>n and diffusion in the public sector share some features with the private sector.</w:t>
      </w:r>
    </w:p>
    <w:p w14:paraId="0D18DF61" w14:textId="32396E57" w:rsidR="003A0ECF" w:rsidRDefault="003A0ECF" w:rsidP="003A0ECF">
      <w:pPr>
        <w:pStyle w:val="BodyText"/>
      </w:pPr>
      <w:r>
        <w:t xml:space="preserve">Analogous to the business profile of Australia, which is characterised by many small firms, there are </w:t>
      </w:r>
      <w:r w:rsidRPr="003156BB">
        <w:rPr>
          <w:b/>
        </w:rPr>
        <w:t>many relatively small providers</w:t>
      </w:r>
      <w:r>
        <w:t xml:space="preserve"> or organisations that deliver government</w:t>
      </w:r>
      <w:r>
        <w:noBreakHyphen/>
        <w:t>funded services. These include GPs, schools, jobactive providers, aged care home support services, community centres, libraries and a host of other services that are geographically dispersed and therefore necessarily small or medium in size.</w:t>
      </w:r>
    </w:p>
    <w:p w14:paraId="0E3E329B" w14:textId="77777777" w:rsidR="003A0ECF" w:rsidRPr="00F549F4" w:rsidRDefault="003A0ECF" w:rsidP="003A0ECF">
      <w:pPr>
        <w:pStyle w:val="BodyText"/>
        <w:rPr>
          <w:spacing w:val="-2"/>
        </w:rPr>
      </w:pPr>
      <w:r w:rsidRPr="00F549F4">
        <w:rPr>
          <w:spacing w:val="-2"/>
        </w:rPr>
        <w:t>Even large organisations like hospitals, transport authorities, aged care facilities, universities, and prisons are spread across both urban and regional areas and have varying levels of government control and oversight.</w:t>
      </w:r>
    </w:p>
    <w:p w14:paraId="3BD41C07" w14:textId="06BE4907" w:rsidR="005741F9" w:rsidRPr="0002684D" w:rsidRDefault="003A0ECF" w:rsidP="005741F9">
      <w:pPr>
        <w:pStyle w:val="BodyText"/>
      </w:pPr>
      <w:r w:rsidRPr="0002684D">
        <w:t xml:space="preserve">This means that there are </w:t>
      </w:r>
      <w:r w:rsidRPr="0002684D">
        <w:rPr>
          <w:b/>
        </w:rPr>
        <w:t>large potential gains from experimentation and the sharing of successes and failures</w:t>
      </w:r>
      <w:r w:rsidRPr="0002684D">
        <w:t xml:space="preserve">. </w:t>
      </w:r>
      <w:r w:rsidR="005741F9" w:rsidRPr="0002684D">
        <w:t xml:space="preserve">An example </w:t>
      </w:r>
      <w:r w:rsidR="00D34CDC" w:rsidRPr="0002684D">
        <w:t xml:space="preserve">of these gains being realised more widely with the diffusion of </w:t>
      </w:r>
      <w:r w:rsidR="004D38A5" w:rsidRPr="0002684D">
        <w:t>improved practices can be seen in</w:t>
      </w:r>
      <w:r w:rsidR="005741F9" w:rsidRPr="0002684D">
        <w:t xml:space="preserve"> emergency services, </w:t>
      </w:r>
      <w:r w:rsidR="004D38A5" w:rsidRPr="0002684D">
        <w:t xml:space="preserve">with </w:t>
      </w:r>
      <w:r w:rsidR="005741F9" w:rsidRPr="0002684D">
        <w:t xml:space="preserve">many people calling ambulances </w:t>
      </w:r>
      <w:r w:rsidR="004D38A5" w:rsidRPr="0002684D">
        <w:t xml:space="preserve">able to </w:t>
      </w:r>
      <w:r w:rsidR="005741F9" w:rsidRPr="0002684D">
        <w:t>have their health needs met in other ways. Early research by the Australian Institute of Health Innovation found referral of low</w:t>
      </w:r>
      <w:r w:rsidR="005741F9" w:rsidRPr="0002684D">
        <w:noBreakHyphen/>
        <w:t xml:space="preserve">acuity triple zero callers away from ambulances to alternative care arrangements lowered costs considerably with no adverse health impacts </w:t>
      </w:r>
      <w:r w:rsidR="005741F9" w:rsidRPr="0002684D">
        <w:rPr>
          <w:rFonts w:cs="Arial"/>
          <w:szCs w:val="24"/>
        </w:rPr>
        <w:t>(Vecellio, Raban and Westbrook 2012)</w:t>
      </w:r>
      <w:r w:rsidR="005741F9" w:rsidRPr="0002684D">
        <w:t xml:space="preserve">. Such ambulance secondary triage care has now been adopted in all Australian jurisdictions, with proven beneficial outcomes </w:t>
      </w:r>
      <w:r w:rsidR="005741F9" w:rsidRPr="0002684D">
        <w:rPr>
          <w:rFonts w:cs="Arial"/>
          <w:szCs w:val="24"/>
        </w:rPr>
        <w:t>(Eastwood et al. 2015)</w:t>
      </w:r>
      <w:r w:rsidR="005741F9" w:rsidRPr="0002684D">
        <w:t>.</w:t>
      </w:r>
    </w:p>
    <w:p w14:paraId="53483521" w14:textId="6B86FC58" w:rsidR="00B37D62" w:rsidRDefault="003A0ECF" w:rsidP="003A0ECF">
      <w:r w:rsidRPr="0002684D">
        <w:t xml:space="preserve">However, </w:t>
      </w:r>
      <w:r w:rsidRPr="0002684D">
        <w:rPr>
          <w:b/>
        </w:rPr>
        <w:t>communication across small providers is difficult</w:t>
      </w:r>
      <w:r w:rsidRPr="0002684D">
        <w:t xml:space="preserve"> as there is often a lack of visibility or forum for such discussions, no coordinating mechanism, and a lack of incentives to share past experiences.</w:t>
      </w:r>
      <w:r w:rsidR="00B37D62" w:rsidRPr="0002684D">
        <w:t xml:space="preserve"> It can</w:t>
      </w:r>
      <w:r w:rsidRPr="0002684D">
        <w:t xml:space="preserve"> make diffusion and scaling of innovations more difficult </w:t>
      </w:r>
      <w:r w:rsidRPr="0002684D">
        <w:rPr>
          <w:rFonts w:ascii="Arial" w:hAnsi="Arial" w:cs="Arial"/>
          <w:szCs w:val="24"/>
        </w:rPr>
        <w:t>(Albury 2005)</w:t>
      </w:r>
      <w:r w:rsidRPr="0002684D">
        <w:t>.</w:t>
      </w:r>
      <w:r>
        <w:t xml:space="preserve"> </w:t>
      </w:r>
    </w:p>
    <w:p w14:paraId="34254BB1" w14:textId="76D7E3B9" w:rsidR="003A0ECF" w:rsidRDefault="003A0ECF" w:rsidP="003A0ECF">
      <w:r>
        <w:t>This is accentuated when ownership varies across government</w:t>
      </w:r>
      <w:r>
        <w:noBreakHyphen/>
        <w:t>funded services, with, for example, residential aged care provided by governments directly, by not</w:t>
      </w:r>
      <w:r>
        <w:noBreakHyphen/>
        <w:t>for</w:t>
      </w:r>
      <w:r>
        <w:noBreakHyphen/>
        <w:t>profit agencies and by private for</w:t>
      </w:r>
      <w:r>
        <w:noBreakHyphen/>
        <w:t xml:space="preserve">profit businesses. While ownership can affect the incentives to diffuse innovation, their </w:t>
      </w:r>
      <w:r w:rsidRPr="006D5956">
        <w:rPr>
          <w:b/>
        </w:rPr>
        <w:t>different cultures and practices can also hinder diffusion</w:t>
      </w:r>
      <w:r>
        <w:t xml:space="preserve"> (in the same way that cultures differ between family businesses, SMEs and large private sector corporations).</w:t>
      </w:r>
    </w:p>
    <w:p w14:paraId="15D59EB2" w14:textId="77777777" w:rsidR="003A0ECF" w:rsidRPr="007901C8" w:rsidRDefault="003A0ECF" w:rsidP="003A0ECF">
      <w:pPr>
        <w:pStyle w:val="BodyText"/>
      </w:pPr>
      <w:r>
        <w:t xml:space="preserve">The highly decentralised nature of many government services is only one aspect that affects the capacity for adoption. Some government services are more akin to large (a state transport authority) or franchised businesses (Centrelink offices). In these activities, there is the potential for speedier diffusion of innovation </w:t>
      </w:r>
      <w:r>
        <w:lastRenderedPageBreak/>
        <w:t xml:space="preserve">as their governance arrangements allow the head of the agency to </w:t>
      </w:r>
      <w:r w:rsidRPr="00273CF1">
        <w:rPr>
          <w:i/>
          <w:iCs/>
        </w:rPr>
        <w:t>require</w:t>
      </w:r>
      <w:r>
        <w:t xml:space="preserve"> the adoption of a new approach. On the other hand, </w:t>
      </w:r>
      <w:r w:rsidRPr="00BA0FBE">
        <w:rPr>
          <w:b/>
        </w:rPr>
        <w:t>large entities have big bureaucracies, and tend to be slow</w:t>
      </w:r>
      <w:r w:rsidRPr="00BA0FBE">
        <w:rPr>
          <w:b/>
        </w:rPr>
        <w:noBreakHyphen/>
        <w:t>moving</w:t>
      </w:r>
      <w:r>
        <w:t xml:space="preserve">, hierarchical and risk </w:t>
      </w:r>
      <w:r w:rsidRPr="007901C8">
        <w:t>averse, which is inimical to some types of innovation and adoption.</w:t>
      </w:r>
    </w:p>
    <w:p w14:paraId="7C16AA7E" w14:textId="03C7778A" w:rsidR="00C044EC" w:rsidRPr="007901C8" w:rsidRDefault="0086356C" w:rsidP="00C044EC">
      <w:pPr>
        <w:pStyle w:val="BodyText"/>
      </w:pPr>
      <w:r w:rsidRPr="007901C8">
        <w:t xml:space="preserve">In addition, </w:t>
      </w:r>
      <w:r w:rsidR="00C044EC" w:rsidRPr="007901C8">
        <w:rPr>
          <w:b/>
          <w:bCs/>
        </w:rPr>
        <w:t>slow diffusion</w:t>
      </w:r>
      <w:r w:rsidRPr="007901C8">
        <w:rPr>
          <w:b/>
          <w:bCs/>
        </w:rPr>
        <w:t xml:space="preserve"> </w:t>
      </w:r>
      <w:r w:rsidR="00C044EC" w:rsidRPr="007901C8">
        <w:rPr>
          <w:b/>
          <w:bCs/>
        </w:rPr>
        <w:t xml:space="preserve">may reflect the complexity of </w:t>
      </w:r>
      <w:r w:rsidR="00D0605B">
        <w:rPr>
          <w:b/>
          <w:bCs/>
        </w:rPr>
        <w:t>some</w:t>
      </w:r>
      <w:r w:rsidR="00C044EC" w:rsidRPr="007901C8">
        <w:rPr>
          <w:b/>
          <w:bCs/>
        </w:rPr>
        <w:t xml:space="preserve"> innovations</w:t>
      </w:r>
      <w:r w:rsidR="00A061F9">
        <w:rPr>
          <w:b/>
          <w:bCs/>
        </w:rPr>
        <w:t xml:space="preserve"> </w:t>
      </w:r>
      <w:r w:rsidR="00A061F9" w:rsidRPr="00BB36EC">
        <w:rPr>
          <w:b/>
          <w:bCs/>
        </w:rPr>
        <w:t>in services</w:t>
      </w:r>
      <w:r w:rsidR="00C044EC" w:rsidRPr="007901C8">
        <w:t>: as noted in chapter 1, the gradual diffusion of innovative processes can be justified by the uncertain and contingent nature of their benefits. For example, coordinated care trials in healthcare — which aimed to get better outcomes for patients through a coordinated package of services — commenced in the late 1990s. The model had strong conceptual underpinnings, but results were varied. A succession of new trials of integrated care took place over the next 25 years, most recently in the large</w:t>
      </w:r>
      <w:r w:rsidR="00C044EC" w:rsidRPr="007901C8">
        <w:noBreakHyphen/>
        <w:t xml:space="preserve">scale trial of Health Care Homes (HCHs) — a model of integrated care that had proved successful in achieving better clinical outcomes and patient experiences in the United States </w:t>
      </w:r>
      <w:r w:rsidR="008162EC" w:rsidRPr="008162EC">
        <w:rPr>
          <w:rFonts w:ascii="Arial" w:hAnsi="Arial" w:cs="Arial"/>
          <w:szCs w:val="24"/>
        </w:rPr>
        <w:t>(PC 2017b, p. 111)</w:t>
      </w:r>
      <w:r w:rsidR="00C044EC" w:rsidRPr="007901C8">
        <w:t>. However, the evaluation of HCHs found that short</w:t>
      </w:r>
      <w:r w:rsidR="00C044EC" w:rsidRPr="007901C8">
        <w:noBreakHyphen/>
        <w:t xml:space="preserve">run clinical outcomes were no better than those of patients not enrolled in them </w:t>
      </w:r>
      <w:r w:rsidR="00C044EC" w:rsidRPr="007901C8">
        <w:rPr>
          <w:rFonts w:ascii="Arial" w:hAnsi="Arial" w:cs="Arial"/>
          <w:szCs w:val="24"/>
        </w:rPr>
        <w:t>(Pearse et al. 2022)</w:t>
      </w:r>
      <w:r w:rsidR="00C044EC" w:rsidRPr="007901C8">
        <w:t>.</w:t>
      </w:r>
    </w:p>
    <w:p w14:paraId="0C97996A" w14:textId="77777777" w:rsidR="00C044EC" w:rsidRPr="007901C8" w:rsidRDefault="00C044EC" w:rsidP="00C044EC">
      <w:pPr>
        <w:pStyle w:val="BodyText"/>
      </w:pPr>
      <w:r w:rsidRPr="007901C8">
        <w:t xml:space="preserve">In part, the lacklustre results reflected the </w:t>
      </w:r>
      <w:r w:rsidRPr="007901C8">
        <w:rPr>
          <w:b/>
          <w:bCs/>
        </w:rPr>
        <w:t>problem of scaling up</w:t>
      </w:r>
      <w:r w:rsidRPr="007901C8">
        <w:t xml:space="preserve"> a promising approach to large populations, and possibly the short period over which clinical assessments were made:</w:t>
      </w:r>
    </w:p>
    <w:p w14:paraId="2EE531E1" w14:textId="77777777" w:rsidR="00C044EC" w:rsidRPr="007901C8" w:rsidRDefault="00C044EC" w:rsidP="00C044EC">
      <w:pPr>
        <w:pStyle w:val="Quote"/>
      </w:pPr>
      <w:r w:rsidRPr="007901C8">
        <w:t>A key issue for the HCH trial was that changes practices implemented during the trial lacked fidelity to the original aspirations for HCH as articulated by the PHCAG [Primary Health Care Advisory Group]. That is, while some practices introduced comprehensive changes to chronic disease management, others made few changes. Lack of change was mostly due to low levels of patient enrolment and/or relatively low levels of GP participation in HCH, resulting in insufficient scale to allow meaningful changes to be made. (</w:t>
      </w:r>
      <w:proofErr w:type="gramStart"/>
      <w:r w:rsidRPr="007901C8">
        <w:t>ibid</w:t>
      </w:r>
      <w:proofErr w:type="gramEnd"/>
      <w:r w:rsidRPr="007901C8">
        <w:t>, p. 22)</w:t>
      </w:r>
    </w:p>
    <w:p w14:paraId="717A5048" w14:textId="786CC59A" w:rsidR="004443EB" w:rsidRPr="00E80D48" w:rsidRDefault="004443EB" w:rsidP="004443EB">
      <w:pPr>
        <w:pStyle w:val="BodyText"/>
        <w:rPr>
          <w:spacing w:val="-2"/>
        </w:rPr>
      </w:pPr>
      <w:r w:rsidRPr="007901C8">
        <w:t>Another example of difficulties scaling up effective practices can be found in mental healthcare</w:t>
      </w:r>
      <w:r w:rsidR="002E60A5">
        <w:t>. I</w:t>
      </w:r>
      <w:r w:rsidRPr="007901C8">
        <w:t>n 2017</w:t>
      </w:r>
      <w:r w:rsidRPr="007901C8">
        <w:noBreakHyphen/>
        <w:t xml:space="preserve">18, about 40 000 consumers in community ambulatory mental healthcare </w:t>
      </w:r>
      <w:r w:rsidRPr="00E80D48">
        <w:t xml:space="preserve">services would </w:t>
      </w:r>
      <w:r w:rsidR="002E60A5">
        <w:t xml:space="preserve">have </w:t>
      </w:r>
      <w:r w:rsidRPr="00E80D48">
        <w:t>benefit</w:t>
      </w:r>
      <w:r w:rsidR="002E60A5">
        <w:t>ted</w:t>
      </w:r>
      <w:r w:rsidRPr="00E80D48">
        <w:t xml:space="preserve"> from participation in an Individual Placement and Support Program, yet only 4.5</w:t>
      </w:r>
      <w:r w:rsidR="00E94315">
        <w:t>%</w:t>
      </w:r>
      <w:r w:rsidRPr="00E80D48">
        <w:t xml:space="preserve"> of that group did so </w:t>
      </w:r>
      <w:r w:rsidRPr="00E80D48">
        <w:rPr>
          <w:rFonts w:cs="Arial"/>
          <w:szCs w:val="24"/>
        </w:rPr>
        <w:t>(PC 2020e, p. 949)</w:t>
      </w:r>
      <w:r w:rsidRPr="00E80D48">
        <w:t xml:space="preserve">. This was despite firmly established evidence in favour of this approach, though it may be partly driven by the cost of treatment. The broader picture of Australia’s mental healthcare system was that adoption of a best practice system would yield benefits of about $20 billion </w:t>
      </w:r>
      <w:r w:rsidRPr="00E80D48">
        <w:rPr>
          <w:spacing w:val="-2"/>
        </w:rPr>
        <w:t xml:space="preserve">annually </w:t>
      </w:r>
      <w:r w:rsidRPr="00E80D48">
        <w:rPr>
          <w:rFonts w:cs="Arial"/>
          <w:spacing w:val="-2"/>
          <w:szCs w:val="24"/>
        </w:rPr>
        <w:t>(PC 2020e, p. 2)</w:t>
      </w:r>
      <w:r w:rsidRPr="00E80D48">
        <w:rPr>
          <w:spacing w:val="-2"/>
        </w:rPr>
        <w:t>.</w:t>
      </w:r>
    </w:p>
    <w:p w14:paraId="773ECB63" w14:textId="30D84C06" w:rsidR="000F3F71" w:rsidRDefault="00911D16" w:rsidP="000F3F71">
      <w:pPr>
        <w:pStyle w:val="BodyText"/>
      </w:pPr>
      <w:r w:rsidRPr="00E80D48">
        <w:t xml:space="preserve">Outside of healthcare, </w:t>
      </w:r>
      <w:r w:rsidR="00A05441" w:rsidRPr="00E80D48">
        <w:t xml:space="preserve">scaling up successful programs can also be hindered by </w:t>
      </w:r>
      <w:r w:rsidR="00E80D48" w:rsidRPr="00E80D48">
        <w:t xml:space="preserve">fragmented service provision. </w:t>
      </w:r>
      <w:r w:rsidR="000F3F71" w:rsidRPr="00E80D48">
        <w:t xml:space="preserve">For example, in a case study from the criminal justice system, the </w:t>
      </w:r>
      <w:r w:rsidR="00D14561">
        <w:t xml:space="preserve">Productivity </w:t>
      </w:r>
      <w:r w:rsidR="000F3F71" w:rsidRPr="00E80D48">
        <w:t>Commission found that the South Australian Government reduced the likelihood of offenders returning to custody from 34</w:t>
      </w:r>
      <w:r w:rsidR="00E94315">
        <w:t>%</w:t>
      </w:r>
      <w:r w:rsidR="000F3F71" w:rsidRPr="00E80D48">
        <w:t xml:space="preserve"> to 20</w:t>
      </w:r>
      <w:r w:rsidR="00E94315">
        <w:t>%</w:t>
      </w:r>
      <w:r w:rsidR="000F3F71" w:rsidRPr="00E80D48">
        <w:t xml:space="preserve"> through the Home Detention Integrated Services Program, which offered wraparound support for a wide range of specific offender needs </w:t>
      </w:r>
      <w:r w:rsidR="000F3F71" w:rsidRPr="00E80D48">
        <w:rPr>
          <w:rFonts w:ascii="Arial" w:hAnsi="Arial" w:cs="Arial"/>
          <w:szCs w:val="24"/>
        </w:rPr>
        <w:t>(Cale et al. 2019, p. 9; PC 2021a, p. 84)</w:t>
      </w:r>
      <w:r w:rsidR="000F3F71" w:rsidRPr="00E80D48">
        <w:t>. This created saving</w:t>
      </w:r>
      <w:r w:rsidR="00273D9E">
        <w:t>s</w:t>
      </w:r>
      <w:r w:rsidR="000F3F71" w:rsidRPr="00E80D48">
        <w:t xml:space="preserve"> of </w:t>
      </w:r>
      <w:r w:rsidR="00273D9E">
        <w:t xml:space="preserve">about </w:t>
      </w:r>
      <w:r w:rsidR="000F3F71" w:rsidRPr="00E80D48">
        <w:t xml:space="preserve">$54 000 per participant due to the lower cost of home detention and the reduction in return to custody </w:t>
      </w:r>
      <w:r w:rsidR="000F3F71" w:rsidRPr="00E80D48">
        <w:rPr>
          <w:rFonts w:ascii="Arial" w:hAnsi="Arial" w:cs="Arial"/>
          <w:szCs w:val="24"/>
        </w:rPr>
        <w:t>(PC 2021a, p. 84)</w:t>
      </w:r>
      <w:r w:rsidR="000F3F71" w:rsidRPr="00E80D48">
        <w:t xml:space="preserve">. But adoption of </w:t>
      </w:r>
      <w:r w:rsidR="00895E0D">
        <w:t xml:space="preserve">such </w:t>
      </w:r>
      <w:r w:rsidR="000F3F71" w:rsidRPr="00E80D48">
        <w:t xml:space="preserve">novel approaches is </w:t>
      </w:r>
      <w:r w:rsidR="006F2288">
        <w:t>low</w:t>
      </w:r>
      <w:r w:rsidR="000F3F71" w:rsidRPr="00E80D48">
        <w:t xml:space="preserve"> </w:t>
      </w:r>
      <w:r w:rsidR="00275056">
        <w:t xml:space="preserve">in some </w:t>
      </w:r>
      <w:r w:rsidR="007B1730">
        <w:t xml:space="preserve">other </w:t>
      </w:r>
      <w:r w:rsidR="00275056">
        <w:t xml:space="preserve">jurisdictions, </w:t>
      </w:r>
      <w:r w:rsidR="00F36E6E">
        <w:t xml:space="preserve">reflecting the </w:t>
      </w:r>
      <w:r w:rsidR="000F3F71" w:rsidRPr="00E80D48">
        <w:t xml:space="preserve">challenges </w:t>
      </w:r>
      <w:r w:rsidR="0030552B">
        <w:t xml:space="preserve">of </w:t>
      </w:r>
      <w:r w:rsidR="000F3F71" w:rsidRPr="00E80D48">
        <w:t xml:space="preserve">diffusing and scaling </w:t>
      </w:r>
      <w:r w:rsidR="00BB77C6" w:rsidRPr="00E80D48">
        <w:t xml:space="preserve">successful </w:t>
      </w:r>
      <w:r w:rsidR="000F3F71" w:rsidRPr="00E80D48">
        <w:t xml:space="preserve">programs across </w:t>
      </w:r>
      <w:r w:rsidR="005F6C11" w:rsidRPr="00E80D48">
        <w:t xml:space="preserve">relatively </w:t>
      </w:r>
      <w:r w:rsidR="000F3F71" w:rsidRPr="00E80D48">
        <w:t>fragmented systems.</w:t>
      </w:r>
    </w:p>
    <w:p w14:paraId="3F35D187" w14:textId="290326CB" w:rsidR="003A0ECF" w:rsidRDefault="003A0ECF" w:rsidP="003A0ECF">
      <w:pPr>
        <w:pStyle w:val="Heading3"/>
      </w:pPr>
      <w:r>
        <w:t xml:space="preserve">There are also obstacles </w:t>
      </w:r>
      <w:r w:rsidR="009F02B4">
        <w:t xml:space="preserve">unique </w:t>
      </w:r>
      <w:r>
        <w:t xml:space="preserve">to </w:t>
      </w:r>
      <w:r w:rsidR="00BB62B9">
        <w:t>public sector</w:t>
      </w:r>
      <w:r>
        <w:t xml:space="preserve"> diffusion</w:t>
      </w:r>
    </w:p>
    <w:p w14:paraId="0EB41119" w14:textId="4044B94B" w:rsidR="003A0ECF" w:rsidRDefault="003A0ECF" w:rsidP="003A0ECF">
      <w:pPr>
        <w:pStyle w:val="BodyText"/>
      </w:pPr>
      <w:r>
        <w:t>While there are commonalities, there are also major differences between the public and private sector that affect the capacity, methods and incentives for innovation and diffusion.</w:t>
      </w:r>
    </w:p>
    <w:p w14:paraId="2D009286" w14:textId="77777777" w:rsidR="003A0ECF" w:rsidRDefault="003A0ECF" w:rsidP="003A0ECF">
      <w:pPr>
        <w:pStyle w:val="Heading4"/>
      </w:pPr>
      <w:r>
        <w:t>Objectives vary and success is hard to measure or even define</w:t>
      </w:r>
    </w:p>
    <w:p w14:paraId="7E427411" w14:textId="77777777" w:rsidR="00E861B2" w:rsidRPr="00F549F4" w:rsidRDefault="003A0ECF" w:rsidP="003A0ECF">
      <w:pPr>
        <w:pStyle w:val="BodyText"/>
        <w:rPr>
          <w:spacing w:val="-2"/>
        </w:rPr>
      </w:pPr>
      <w:r w:rsidRPr="00F549F4">
        <w:rPr>
          <w:spacing w:val="-2"/>
        </w:rPr>
        <w:t xml:space="preserve">In the private sector, the </w:t>
      </w:r>
      <w:proofErr w:type="gramStart"/>
      <w:r w:rsidR="000F6D6B" w:rsidRPr="00F549F4">
        <w:rPr>
          <w:spacing w:val="-2"/>
        </w:rPr>
        <w:t>ultimate</w:t>
      </w:r>
      <w:r w:rsidRPr="00F549F4">
        <w:rPr>
          <w:spacing w:val="-2"/>
        </w:rPr>
        <w:t xml:space="preserve"> goal</w:t>
      </w:r>
      <w:proofErr w:type="gramEnd"/>
      <w:r w:rsidRPr="00F549F4">
        <w:rPr>
          <w:spacing w:val="-2"/>
        </w:rPr>
        <w:t xml:space="preserve"> is to maximise profits, which provides a transparent benchmark for the effectiveness of innovation. By the nature of governments’ remit, consensus about the public good, the best actions to promote it, the key priorities, and acceptable trade</w:t>
      </w:r>
      <w:r w:rsidRPr="00F549F4">
        <w:rPr>
          <w:spacing w:val="-2"/>
        </w:rPr>
        <w:noBreakHyphen/>
        <w:t xml:space="preserve">offs varies across and within governments. In the </w:t>
      </w:r>
      <w:r w:rsidRPr="00F549F4">
        <w:rPr>
          <w:spacing w:val="-2"/>
        </w:rPr>
        <w:lastRenderedPageBreak/>
        <w:t xml:space="preserve">public sector, </w:t>
      </w:r>
      <w:r w:rsidRPr="00F549F4">
        <w:rPr>
          <w:b/>
          <w:spacing w:val="-2"/>
        </w:rPr>
        <w:t>the objective is to improve the public good</w:t>
      </w:r>
      <w:r w:rsidRPr="00F549F4">
        <w:rPr>
          <w:spacing w:val="-2"/>
        </w:rPr>
        <w:t xml:space="preserve"> with all the ambiguity that term entails, subject to the constraints imposed by the </w:t>
      </w:r>
      <w:r w:rsidRPr="00F549F4">
        <w:rPr>
          <w:b/>
          <w:spacing w:val="-2"/>
        </w:rPr>
        <w:t>sometimes</w:t>
      </w:r>
      <w:r w:rsidRPr="00F549F4">
        <w:rPr>
          <w:b/>
          <w:spacing w:val="-2"/>
        </w:rPr>
        <w:noBreakHyphen/>
        <w:t>conflicting interests</w:t>
      </w:r>
      <w:r w:rsidRPr="00F549F4">
        <w:rPr>
          <w:spacing w:val="-2"/>
        </w:rPr>
        <w:t xml:space="preserve"> of politicians, bureaucrats and lobbyists. </w:t>
      </w:r>
    </w:p>
    <w:p w14:paraId="358CADA3" w14:textId="2604483F" w:rsidR="004D61C1" w:rsidRPr="00F549F4" w:rsidRDefault="003A0ECF" w:rsidP="004D61C1">
      <w:pPr>
        <w:pStyle w:val="BodyText"/>
        <w:rPr>
          <w:spacing w:val="-4"/>
        </w:rPr>
      </w:pPr>
      <w:r w:rsidRPr="00F549F4">
        <w:rPr>
          <w:spacing w:val="-4"/>
        </w:rPr>
        <w:t xml:space="preserve">One of the starkest examples of this is that </w:t>
      </w:r>
      <w:proofErr w:type="gramStart"/>
      <w:r w:rsidRPr="00F549F4">
        <w:rPr>
          <w:spacing w:val="-4"/>
        </w:rPr>
        <w:t>billion dollar</w:t>
      </w:r>
      <w:proofErr w:type="gramEnd"/>
      <w:r w:rsidRPr="00F549F4">
        <w:rPr>
          <w:spacing w:val="-4"/>
        </w:rPr>
        <w:t xml:space="preserve"> public infrastructure projects are more politically saleable than a combination of less conspicuous projects (like better road maintenance), even if the latter have greater net benefits than the former </w:t>
      </w:r>
      <w:r w:rsidRPr="00F549F4">
        <w:rPr>
          <w:rFonts w:cs="Arial"/>
          <w:spacing w:val="-4"/>
          <w:szCs w:val="24"/>
        </w:rPr>
        <w:t>(Ergas 2014, p. 13)</w:t>
      </w:r>
      <w:r w:rsidRPr="00F549F4">
        <w:rPr>
          <w:spacing w:val="-4"/>
        </w:rPr>
        <w:t>.</w:t>
      </w:r>
      <w:r w:rsidR="00E861B2" w:rsidRPr="00F549F4">
        <w:rPr>
          <w:spacing w:val="-4"/>
        </w:rPr>
        <w:t xml:space="preserve"> </w:t>
      </w:r>
      <w:r w:rsidR="00340C0B" w:rsidRPr="00F549F4">
        <w:rPr>
          <w:spacing w:val="-4"/>
        </w:rPr>
        <w:t xml:space="preserve">Another example </w:t>
      </w:r>
      <w:r w:rsidR="006E6C51" w:rsidRPr="00F549F4">
        <w:rPr>
          <w:spacing w:val="-4"/>
        </w:rPr>
        <w:t>is the political challenges associated with phasing out stamp duties on property transfers in favour of a broad</w:t>
      </w:r>
      <w:r w:rsidR="00A43B86">
        <w:rPr>
          <w:spacing w:val="-4"/>
        </w:rPr>
        <w:noBreakHyphen/>
      </w:r>
      <w:r w:rsidR="006E6C51" w:rsidRPr="00F549F4">
        <w:rPr>
          <w:spacing w:val="-4"/>
        </w:rPr>
        <w:t>based tax on unimproved land value</w:t>
      </w:r>
      <w:r w:rsidR="00557129" w:rsidRPr="00F549F4">
        <w:rPr>
          <w:spacing w:val="-4"/>
        </w:rPr>
        <w:t>. While the latter</w:t>
      </w:r>
      <w:r w:rsidR="006E6C51" w:rsidRPr="00F549F4">
        <w:rPr>
          <w:spacing w:val="-4"/>
        </w:rPr>
        <w:t xml:space="preserve"> </w:t>
      </w:r>
      <w:r w:rsidR="003935B2" w:rsidRPr="00F549F4">
        <w:rPr>
          <w:spacing w:val="-4"/>
        </w:rPr>
        <w:t xml:space="preserve">is widely acknowledged as a more efficient tax </w:t>
      </w:r>
      <w:r w:rsidR="00EB77AF" w:rsidRPr="00F549F4">
        <w:rPr>
          <w:spacing w:val="-4"/>
        </w:rPr>
        <w:t>(</w:t>
      </w:r>
      <w:r w:rsidR="003935B2" w:rsidRPr="00F549F4">
        <w:rPr>
          <w:spacing w:val="-4"/>
        </w:rPr>
        <w:t xml:space="preserve">and </w:t>
      </w:r>
      <w:r w:rsidR="006E6C51" w:rsidRPr="00F549F4">
        <w:rPr>
          <w:spacing w:val="-4"/>
        </w:rPr>
        <w:t xml:space="preserve">the </w:t>
      </w:r>
      <w:r w:rsidR="00E120F9">
        <w:rPr>
          <w:spacing w:val="-4"/>
        </w:rPr>
        <w:t xml:space="preserve">Productivity </w:t>
      </w:r>
      <w:r w:rsidR="006E6C51" w:rsidRPr="00F549F4">
        <w:rPr>
          <w:spacing w:val="-4"/>
        </w:rPr>
        <w:t xml:space="preserve">Commission </w:t>
      </w:r>
      <w:r w:rsidR="002B57E8" w:rsidRPr="00F549F4">
        <w:rPr>
          <w:spacing w:val="-4"/>
        </w:rPr>
        <w:t xml:space="preserve">has </w:t>
      </w:r>
      <w:r w:rsidR="006E6C51" w:rsidRPr="00F549F4">
        <w:rPr>
          <w:spacing w:val="-4"/>
        </w:rPr>
        <w:t xml:space="preserve">previously recommended that all </w:t>
      </w:r>
      <w:r w:rsidR="00E120F9">
        <w:rPr>
          <w:spacing w:val="-4"/>
        </w:rPr>
        <w:t>s</w:t>
      </w:r>
      <w:r w:rsidR="006E6C51" w:rsidRPr="00F549F4">
        <w:rPr>
          <w:spacing w:val="-4"/>
        </w:rPr>
        <w:t xml:space="preserve">tate and </w:t>
      </w:r>
      <w:r w:rsidR="00E120F9">
        <w:rPr>
          <w:spacing w:val="-4"/>
        </w:rPr>
        <w:t>t</w:t>
      </w:r>
      <w:r w:rsidR="006E6C51" w:rsidRPr="00F549F4">
        <w:rPr>
          <w:spacing w:val="-4"/>
        </w:rPr>
        <w:t xml:space="preserve">erritory </w:t>
      </w:r>
      <w:r w:rsidR="00E120F9">
        <w:rPr>
          <w:spacing w:val="-4"/>
        </w:rPr>
        <w:t>g</w:t>
      </w:r>
      <w:r w:rsidR="006E6C51" w:rsidRPr="00F549F4">
        <w:rPr>
          <w:spacing w:val="-4"/>
        </w:rPr>
        <w:t xml:space="preserve">overnments should </w:t>
      </w:r>
      <w:r w:rsidR="002B57E8" w:rsidRPr="00F549F4">
        <w:rPr>
          <w:spacing w:val="-4"/>
        </w:rPr>
        <w:t xml:space="preserve">make this </w:t>
      </w:r>
      <w:r w:rsidR="00342CA9" w:rsidRPr="00F549F4">
        <w:rPr>
          <w:spacing w:val="-4"/>
        </w:rPr>
        <w:t>transition</w:t>
      </w:r>
      <w:r w:rsidR="006E6C51" w:rsidRPr="00F549F4">
        <w:rPr>
          <w:spacing w:val="-4"/>
        </w:rPr>
        <w:t xml:space="preserve"> </w:t>
      </w:r>
      <w:r w:rsidR="006E6C51" w:rsidRPr="00F549F4">
        <w:rPr>
          <w:rFonts w:cs="Arial"/>
          <w:spacing w:val="-4"/>
          <w:szCs w:val="24"/>
        </w:rPr>
        <w:t>(PC 2017d, p. 20)</w:t>
      </w:r>
      <w:r w:rsidR="00524DBC" w:rsidRPr="00F549F4">
        <w:rPr>
          <w:rStyle w:val="FootnoteReference"/>
          <w:spacing w:val="-4"/>
        </w:rPr>
        <w:footnoteReference w:id="28"/>
      </w:r>
      <w:r w:rsidR="00EB77AF" w:rsidRPr="00F549F4">
        <w:rPr>
          <w:spacing w:val="-4"/>
        </w:rPr>
        <w:t xml:space="preserve">), implementing </w:t>
      </w:r>
      <w:r w:rsidR="00D21DD3" w:rsidRPr="00F549F4">
        <w:rPr>
          <w:spacing w:val="-4"/>
        </w:rPr>
        <w:t xml:space="preserve">such a change would have differential impacts on </w:t>
      </w:r>
      <w:r w:rsidR="00D51359" w:rsidRPr="00F549F4">
        <w:rPr>
          <w:spacing w:val="-4"/>
        </w:rPr>
        <w:t>various segments of the population</w:t>
      </w:r>
      <w:r w:rsidR="00AA7962" w:rsidRPr="00F549F4">
        <w:rPr>
          <w:spacing w:val="-4"/>
        </w:rPr>
        <w:t xml:space="preserve"> and economy</w:t>
      </w:r>
      <w:r w:rsidR="006E6C51" w:rsidRPr="00F549F4">
        <w:rPr>
          <w:spacing w:val="-4"/>
        </w:rPr>
        <w:t>.</w:t>
      </w:r>
      <w:r w:rsidR="004D61C1" w:rsidRPr="00F549F4">
        <w:rPr>
          <w:spacing w:val="-4"/>
        </w:rPr>
        <w:t xml:space="preserve"> </w:t>
      </w:r>
    </w:p>
    <w:p w14:paraId="03F36E2E" w14:textId="77777777" w:rsidR="003A0ECF" w:rsidRDefault="003A0ECF" w:rsidP="003A0ECF">
      <w:pPr>
        <w:pStyle w:val="Heading4"/>
      </w:pPr>
      <w:r w:rsidRPr="009B7EEB">
        <w:t>Incentives are mixed</w:t>
      </w:r>
    </w:p>
    <w:p w14:paraId="2CD68E1D" w14:textId="77777777" w:rsidR="003A0ECF" w:rsidRDefault="003A0ECF" w:rsidP="003A0ECF">
      <w:pPr>
        <w:pStyle w:val="BodyText"/>
      </w:pPr>
      <w:r>
        <w:t xml:space="preserve">This is further complicated by the reality that a federal system of government — for all its benefits — leads to (sometimes) </w:t>
      </w:r>
      <w:r w:rsidRPr="00AA4DA7">
        <w:rPr>
          <w:b/>
        </w:rPr>
        <w:t>overlapping roles and divergent goals</w:t>
      </w:r>
      <w:r>
        <w:t>, which can frustrate the diffusion of innovation. A private business could change its corporate structure in parallel circumstances, but different levels of government must negotiate — sometimes over protracted periods — to achieve reforms that improve the overall public good.</w:t>
      </w:r>
    </w:p>
    <w:p w14:paraId="76DDD212" w14:textId="71F05253" w:rsidR="00F34374" w:rsidRDefault="003A0ECF" w:rsidP="00F34374">
      <w:pPr>
        <w:pStyle w:val="BodyText"/>
      </w:pPr>
      <w:r>
        <w:t xml:space="preserve">As an illustration of the </w:t>
      </w:r>
      <w:r w:rsidRPr="007A7CD9">
        <w:rPr>
          <w:b/>
        </w:rPr>
        <w:t>complexities of federation</w:t>
      </w:r>
      <w:r>
        <w:t xml:space="preserve">, some of the deficiencies of the health system stem from the fact that the Australian Government funds and regulates primary healthcare, while </w:t>
      </w:r>
      <w:r w:rsidR="003C6462">
        <w:t>S</w:t>
      </w:r>
      <w:r>
        <w:t xml:space="preserve">tate and </w:t>
      </w:r>
      <w:r w:rsidR="003C6462">
        <w:t>T</w:t>
      </w:r>
      <w:r>
        <w:t xml:space="preserve">erritory </w:t>
      </w:r>
      <w:r w:rsidR="003C6462">
        <w:t>G</w:t>
      </w:r>
      <w:r>
        <w:t xml:space="preserve">overnments are the managers and predominant funders of hospitals. A few </w:t>
      </w:r>
      <w:r w:rsidR="007B5187">
        <w:t>exceptions</w:t>
      </w:r>
      <w:r>
        <w:t xml:space="preserve"> aside, state</w:t>
      </w:r>
      <w:r w:rsidR="000565F7">
        <w:noBreakHyphen/>
      </w:r>
      <w:r>
        <w:t xml:space="preserve"> and territory</w:t>
      </w:r>
      <w:r>
        <w:noBreakHyphen/>
        <w:t xml:space="preserve">run local hospital networks have a limited capacity to commission services eligible for MBS payments (under section 19 of the </w:t>
      </w:r>
      <w:r w:rsidRPr="00F92AF4">
        <w:rPr>
          <w:i/>
          <w:iCs/>
        </w:rPr>
        <w:t xml:space="preserve">Health Insurance Act 1973 </w:t>
      </w:r>
      <w:r w:rsidRPr="008A745A">
        <w:t>(Cth</w:t>
      </w:r>
      <w:r w:rsidRPr="00584022">
        <w:t>)</w:t>
      </w:r>
      <w:r>
        <w:t xml:space="preserve">). </w:t>
      </w:r>
      <w:r w:rsidR="00782E29">
        <w:t>T</w:t>
      </w:r>
      <w:r w:rsidR="00F34374">
        <w:t xml:space="preserve">he Tasmanian </w:t>
      </w:r>
      <w:r w:rsidR="00782E29">
        <w:t>G</w:t>
      </w:r>
      <w:r w:rsidR="00F34374">
        <w:t xml:space="preserve">overnment noted that the current funding model has inhibited innovation in integrated </w:t>
      </w:r>
      <w:r w:rsidR="00C8290B">
        <w:t>health</w:t>
      </w:r>
      <w:r w:rsidR="00F34374">
        <w:t xml:space="preserve">care: </w:t>
      </w:r>
    </w:p>
    <w:p w14:paraId="36D0EA63" w14:textId="5A27DCFF" w:rsidR="00F34374" w:rsidRPr="00F65F5F" w:rsidRDefault="00F34374" w:rsidP="00B5478C">
      <w:pPr>
        <w:pStyle w:val="Quote"/>
      </w:pPr>
      <w:r>
        <w:t>A</w:t>
      </w:r>
      <w:r w:rsidRPr="009F135D">
        <w:t xml:space="preserve"> key barrier to reform for Tasmania has been the restrictions caused by section</w:t>
      </w:r>
      <w:r w:rsidR="00A43B86">
        <w:t> </w:t>
      </w:r>
      <w:r w:rsidRPr="009F135D">
        <w:t xml:space="preserve">19(2) of the </w:t>
      </w:r>
      <w:r w:rsidRPr="00585428">
        <w:rPr>
          <w:i/>
          <w:iCs/>
        </w:rPr>
        <w:t>Health Insurance Act 1973</w:t>
      </w:r>
      <w:r w:rsidRPr="009F135D">
        <w:t xml:space="preserve"> (Cth), which prohibits payments of Medicare benefits where other government funding is provided for that service. Unless there is an exemption, this requirement restricts services that require a mix of, for example, payments to GPs under the Medical Benefits Scheme (MBS) or to hospitals under the Activity Based Funding framework. This is a disincentive to developing integrated models of care that would support a reorientation of care away from hospitals and into the community. (</w:t>
      </w:r>
      <w:r>
        <w:t>Tasmanian Government, sub.</w:t>
      </w:r>
      <w:r w:rsidR="00A43B86">
        <w:t> </w:t>
      </w:r>
      <w:r>
        <w:t xml:space="preserve">196, </w:t>
      </w:r>
      <w:r w:rsidRPr="009F135D">
        <w:t>p</w:t>
      </w:r>
      <w:r>
        <w:t>.</w:t>
      </w:r>
      <w:r w:rsidR="00A43B86">
        <w:t> </w:t>
      </w:r>
      <w:r w:rsidRPr="009F135D">
        <w:t>11)</w:t>
      </w:r>
    </w:p>
    <w:p w14:paraId="3E16B93D" w14:textId="08B7A9A2" w:rsidR="003A0ECF" w:rsidRPr="00F549F4" w:rsidRDefault="003A0ECF" w:rsidP="003A0ECF">
      <w:pPr>
        <w:pStyle w:val="BodyText"/>
        <w:rPr>
          <w:spacing w:val="-2"/>
        </w:rPr>
      </w:pPr>
      <w:r w:rsidRPr="00F549F4">
        <w:rPr>
          <w:spacing w:val="-2"/>
        </w:rPr>
        <w:t>Moreover, while activity</w:t>
      </w:r>
      <w:r w:rsidRPr="00F549F4">
        <w:rPr>
          <w:spacing w:val="-2"/>
        </w:rPr>
        <w:noBreakHyphen/>
        <w:t>based funding encourages efficiency by funding activities within hospitals, it provides no incentives for hospitals to make investments in out</w:t>
      </w:r>
      <w:r w:rsidRPr="00F549F4">
        <w:rPr>
          <w:spacing w:val="-2"/>
        </w:rPr>
        <w:noBreakHyphen/>
        <w:t>of</w:t>
      </w:r>
      <w:r w:rsidRPr="00F549F4">
        <w:rPr>
          <w:spacing w:val="-2"/>
        </w:rPr>
        <w:noBreakHyphen/>
        <w:t xml:space="preserve">hospital interventions that reduce those activities </w:t>
      </w:r>
      <w:r w:rsidR="00936D73" w:rsidRPr="00F549F4">
        <w:rPr>
          <w:rFonts w:cs="Arial"/>
          <w:spacing w:val="-2"/>
          <w:szCs w:val="24"/>
        </w:rPr>
        <w:t>(PC 2017d, p. 52)</w:t>
      </w:r>
      <w:r w:rsidRPr="00F549F4">
        <w:rPr>
          <w:spacing w:val="-2"/>
        </w:rPr>
        <w:t>. Likewise, the Australian Government only captures a share of the dividends from investments in primary care that reduce long</w:t>
      </w:r>
      <w:r w:rsidRPr="00F549F4">
        <w:rPr>
          <w:spacing w:val="-2"/>
        </w:rPr>
        <w:noBreakHyphen/>
        <w:t>run demand for hospital services and the staff and infrastructure underpinning those services.</w:t>
      </w:r>
      <w:r w:rsidRPr="00F549F4">
        <w:rPr>
          <w:rStyle w:val="FootnoteReference"/>
          <w:spacing w:val="-2"/>
        </w:rPr>
        <w:footnoteReference w:id="29"/>
      </w:r>
      <w:r w:rsidRPr="00F549F4">
        <w:rPr>
          <w:spacing w:val="-2"/>
        </w:rPr>
        <w:t xml:space="preserve"> This weakens governments’ incentives for action. Even greater messiness ensues from the complex role of heavily government</w:t>
      </w:r>
      <w:r w:rsidRPr="00F549F4">
        <w:rPr>
          <w:spacing w:val="-2"/>
        </w:rPr>
        <w:noBreakHyphen/>
        <w:t>subsidised and regulated private health insurance.</w:t>
      </w:r>
    </w:p>
    <w:p w14:paraId="08CD36AD" w14:textId="39C9E1AE" w:rsidR="003A0ECF" w:rsidRDefault="003A0ECF" w:rsidP="003A0ECF">
      <w:pPr>
        <w:pStyle w:val="BodyText"/>
      </w:pPr>
      <w:r>
        <w:t xml:space="preserve">Housing policy suffers from some similar dilemmas given a mix of shared and competing roles by all levels of government, including funding deficiencies, </w:t>
      </w:r>
      <w:r w:rsidR="00740030">
        <w:t>which</w:t>
      </w:r>
      <w:r>
        <w:t xml:space="preserve"> suggest significant benefits from a genuinely coordinated approach </w:t>
      </w:r>
      <w:r w:rsidR="00116531" w:rsidRPr="00116531">
        <w:rPr>
          <w:rFonts w:ascii="Arial" w:hAnsi="Arial" w:cs="Arial"/>
          <w:szCs w:val="24"/>
        </w:rPr>
        <w:t>(PC 2022b)</w:t>
      </w:r>
      <w:r>
        <w:t>.</w:t>
      </w:r>
    </w:p>
    <w:p w14:paraId="43B73256" w14:textId="77777777" w:rsidR="003A0ECF" w:rsidRDefault="003A0ECF" w:rsidP="003A0ECF">
      <w:pPr>
        <w:pStyle w:val="Heading4"/>
      </w:pPr>
      <w:r>
        <w:lastRenderedPageBreak/>
        <w:t>Universal supply to heterogenous groups means no one</w:t>
      </w:r>
      <w:r>
        <w:noBreakHyphen/>
        <w:t>size fits all</w:t>
      </w:r>
    </w:p>
    <w:p w14:paraId="6612DC84" w14:textId="10FD5A03" w:rsidR="003A0ECF" w:rsidRDefault="003A0ECF" w:rsidP="003A0ECF">
      <w:pPr>
        <w:pStyle w:val="BodyText"/>
      </w:pPr>
      <w:r>
        <w:t xml:space="preserve">A major challenge for many government services is that there is an </w:t>
      </w:r>
      <w:r w:rsidRPr="00A50D7C">
        <w:rPr>
          <w:b/>
        </w:rPr>
        <w:t>obligation to supply</w:t>
      </w:r>
      <w:r>
        <w:t xml:space="preserve"> them to disparate and geographically dispersed populations across all of Australia. The variety of locations and the heterogeneity of customers mean that </w:t>
      </w:r>
      <w:r w:rsidRPr="003247D6">
        <w:rPr>
          <w:b/>
        </w:rPr>
        <w:t>services often must be tailored</w:t>
      </w:r>
      <w:r>
        <w:t xml:space="preserve"> to meet local circumstances. Many National Agreements between the Australian</w:t>
      </w:r>
      <w:r w:rsidR="006816EB">
        <w:t>, s</w:t>
      </w:r>
      <w:r>
        <w:t xml:space="preserve">tate and </w:t>
      </w:r>
      <w:r w:rsidR="006816EB">
        <w:t>territory governments</w:t>
      </w:r>
      <w:r>
        <w:t xml:space="preserve"> identify priority groups (such as people with a disability or Aboriginal and Torres Strait Islander </w:t>
      </w:r>
      <w:r w:rsidR="00B434A7">
        <w:t>people</w:t>
      </w:r>
      <w:r>
        <w:t>) to recognise their specific needs. Service delivery can be very different in regional versus urban locations, especially in thin markets. There are many highly</w:t>
      </w:r>
      <w:r>
        <w:noBreakHyphen/>
        <w:t xml:space="preserve">specific programs aimed at </w:t>
      </w:r>
      <w:r w:rsidR="00F36D3B">
        <w:t>c</w:t>
      </w:r>
      <w:r>
        <w:t xml:space="preserve">losing the </w:t>
      </w:r>
      <w:r w:rsidR="00F36D3B">
        <w:t>g</w:t>
      </w:r>
      <w:r>
        <w:t xml:space="preserve">ap. The consequence of the variety and specificity of citizens’ needs is that learning from one program or service delivery approach (diffusion) may not translate well to other contexts. </w:t>
      </w:r>
    </w:p>
    <w:p w14:paraId="1829C758" w14:textId="0A9CD369" w:rsidR="004D61C1" w:rsidRDefault="00682705" w:rsidP="00D44206">
      <w:pPr>
        <w:pStyle w:val="BodyText"/>
      </w:pPr>
      <w:r w:rsidRPr="00746C01">
        <w:rPr>
          <w:b/>
        </w:rPr>
        <w:t>Heterogeneity between jurisdictions</w:t>
      </w:r>
      <w:r w:rsidRPr="00746C01">
        <w:t xml:space="preserve"> </w:t>
      </w:r>
      <w:r w:rsidR="00423250" w:rsidRPr="00746C01">
        <w:t xml:space="preserve">can limit diffusion of good practices not only in the design and delivery of government services, but also in the design and implementation of </w:t>
      </w:r>
      <w:r w:rsidR="00A200CD" w:rsidRPr="00746C01">
        <w:t>government policies and regulations. For example, n</w:t>
      </w:r>
      <w:r w:rsidR="004D61C1" w:rsidRPr="00746C01">
        <w:t>otwithstanding the benefits of major re</w:t>
      </w:r>
      <w:r w:rsidR="004D61C1" w:rsidRPr="00746C01">
        <w:noBreakHyphen/>
        <w:t xml:space="preserve">zoning reforms in Australia’s biggest cities </w:t>
      </w:r>
      <w:r w:rsidR="00116531" w:rsidRPr="00116531">
        <w:rPr>
          <w:rFonts w:ascii="Arial" w:hAnsi="Arial" w:cs="Arial"/>
          <w:szCs w:val="24"/>
        </w:rPr>
        <w:t>(PC 2017d, pp. 145–146, 2022b)</w:t>
      </w:r>
      <w:r w:rsidR="004D61C1" w:rsidRPr="00746C01">
        <w:t>, progress across most jurisdictions has been slow</w:t>
      </w:r>
      <w:r w:rsidR="00A200CD" w:rsidRPr="00746C01">
        <w:t>. This is</w:t>
      </w:r>
      <w:r w:rsidR="004D61C1" w:rsidRPr="00746C01">
        <w:t xml:space="preserve"> partly </w:t>
      </w:r>
      <w:r w:rsidR="00D44206" w:rsidRPr="00746C01">
        <w:t>because each state or territory has its own, distinct statutory planning frameworks, lexicons and professions, which makes knowledge sh</w:t>
      </w:r>
      <w:r w:rsidR="00D44206" w:rsidRPr="006D473D">
        <w:t>aring between jurisdictions challenging</w:t>
      </w:r>
      <w:r w:rsidR="004D61C1" w:rsidRPr="006D473D">
        <w:t xml:space="preserve">. This inquiry’s companion volume </w:t>
      </w:r>
      <w:r w:rsidR="004D61C1" w:rsidRPr="00746C01">
        <w:rPr>
          <w:i/>
        </w:rPr>
        <w:t>A competitive, dynamic and sustainable future</w:t>
      </w:r>
      <w:r w:rsidR="004D61C1" w:rsidRPr="006D473D">
        <w:t xml:space="preserve"> includes recommendations on how State and Territory Governments could further improve planning and zoning regulation, including by standardising business and industrial zones across local government areas and reducing the number of zones (where possible) while broadening the range of permissible activities.</w:t>
      </w:r>
    </w:p>
    <w:p w14:paraId="7CA29488" w14:textId="74FA9F08" w:rsidR="003A0ECF" w:rsidRDefault="003A0ECF" w:rsidP="003A0ECF">
      <w:pPr>
        <w:pStyle w:val="Heading4"/>
      </w:pPr>
      <w:r>
        <w:t>Local monopolies abound and ca</w:t>
      </w:r>
      <w:r w:rsidR="000565F7">
        <w:t>nnot</w:t>
      </w:r>
      <w:r>
        <w:t xml:space="preserve"> go broke</w:t>
      </w:r>
    </w:p>
    <w:p w14:paraId="04292AC8" w14:textId="08E5C84B" w:rsidR="003A0ECF" w:rsidRDefault="003A0ECF" w:rsidP="003A0ECF">
      <w:pPr>
        <w:pStyle w:val="BodyText"/>
      </w:pPr>
      <w:r>
        <w:t>Many government</w:t>
      </w:r>
      <w:r>
        <w:noBreakHyphen/>
        <w:t xml:space="preserve">owned or funded services </w:t>
      </w:r>
      <w:r w:rsidRPr="00884F42">
        <w:rPr>
          <w:b/>
        </w:rPr>
        <w:t>face little or no competition</w:t>
      </w:r>
      <w:r>
        <w:t xml:space="preserve"> from rivals given they are the monopoly provider or meet the needs of different regions. For example, many state schools have restrictive arrangements for out</w:t>
      </w:r>
      <w:r>
        <w:noBreakHyphen/>
        <w:t>of</w:t>
      </w:r>
      <w:r>
        <w:noBreakHyphen/>
        <w:t>area enrolments, which limits parental choice to a local school. And unlike private (and even not</w:t>
      </w:r>
      <w:r>
        <w:noBreakHyphen/>
        <w:t>for</w:t>
      </w:r>
      <w:r>
        <w:noBreakHyphen/>
        <w:t>profit) businesses, there are relatively few exits and entries by government</w:t>
      </w:r>
      <w:r>
        <w:noBreakHyphen/>
        <w:t>owned service providers, nor much risk of them. This reduces the pressure for innovation and adoption of best practice. In some public services, there is no permitted competition (generally for good reasons) — as in policing, prisons, and the Australian Tax Office.</w:t>
      </w:r>
    </w:p>
    <w:p w14:paraId="3A5AFA6C" w14:textId="77777777" w:rsidR="003A0ECF" w:rsidRDefault="003A0ECF" w:rsidP="003A0ECF">
      <w:pPr>
        <w:pStyle w:val="Heading4"/>
      </w:pPr>
      <w:r>
        <w:t>Norms and regulations discourage innovation</w:t>
      </w:r>
    </w:p>
    <w:p w14:paraId="4F45CAD0" w14:textId="1744966B" w:rsidR="003A0ECF" w:rsidRPr="0039361E" w:rsidRDefault="003A0ECF" w:rsidP="003A0ECF">
      <w:pPr>
        <w:pStyle w:val="BodyText"/>
        <w:rPr>
          <w:spacing w:val="-2"/>
        </w:rPr>
      </w:pPr>
      <w:r w:rsidRPr="00F549F4">
        <w:rPr>
          <w:spacing w:val="-6"/>
        </w:rPr>
        <w:t xml:space="preserve">Government services are often </w:t>
      </w:r>
      <w:r w:rsidRPr="00F549F4">
        <w:rPr>
          <w:b/>
          <w:spacing w:val="-6"/>
        </w:rPr>
        <w:t>subject to higher levels of prescriptive regulation</w:t>
      </w:r>
      <w:r w:rsidRPr="00F549F4">
        <w:rPr>
          <w:spacing w:val="-6"/>
        </w:rPr>
        <w:t xml:space="preserve"> and have </w:t>
      </w:r>
      <w:r w:rsidRPr="00F549F4">
        <w:rPr>
          <w:b/>
          <w:spacing w:val="-6"/>
        </w:rPr>
        <w:t>risk</w:t>
      </w:r>
      <w:r w:rsidRPr="00F549F4">
        <w:rPr>
          <w:b/>
          <w:spacing w:val="-6"/>
        </w:rPr>
        <w:noBreakHyphen/>
        <w:t>averse norms</w:t>
      </w:r>
      <w:r w:rsidRPr="00F549F4">
        <w:rPr>
          <w:spacing w:val="-4"/>
        </w:rPr>
        <w:t xml:space="preserve"> </w:t>
      </w:r>
      <w:r w:rsidRPr="00F549F4">
        <w:rPr>
          <w:rFonts w:cs="Arial"/>
          <w:spacing w:val="-4"/>
          <w:szCs w:val="24"/>
        </w:rPr>
        <w:t>(ANZSOG 2019)</w:t>
      </w:r>
      <w:r w:rsidRPr="00F549F4">
        <w:rPr>
          <w:spacing w:val="-4"/>
        </w:rPr>
        <w:t xml:space="preserve">. These may be justified for safety, ethical or other reasons, but high levels of regulation and risk </w:t>
      </w:r>
      <w:r w:rsidRPr="0039361E">
        <w:rPr>
          <w:spacing w:val="-2"/>
        </w:rPr>
        <w:t>aversion can limit the scope to change deficient prescribed practices, require resources to meet regulatory reporting requirements and can reduce the capacity of lower managers to autonomously make changes.</w:t>
      </w:r>
    </w:p>
    <w:p w14:paraId="2499691F" w14:textId="471BCEF6" w:rsidR="004944B8" w:rsidRDefault="003A0ECF" w:rsidP="003A0ECF">
      <w:pPr>
        <w:pStyle w:val="BodyText"/>
      </w:pPr>
      <w:r>
        <w:t>Regulations eat time, and time is a scarce input into innovation and adoption. For example, teachers face high levels of administrative work reportedly due to government and school level bureaucracy, making up 8</w:t>
      </w:r>
      <w:r w:rsidR="00E94315">
        <w:t>%</w:t>
      </w:r>
      <w:r>
        <w:t xml:space="preserve"> of a ‘typical’ working week </w:t>
      </w:r>
      <w:r w:rsidRPr="00267003">
        <w:rPr>
          <w:rFonts w:ascii="Arial" w:hAnsi="Arial" w:cs="Arial"/>
          <w:szCs w:val="24"/>
        </w:rPr>
        <w:t>(Hunter, Sonnemann and Joiner 2022)</w:t>
      </w:r>
      <w:r>
        <w:t xml:space="preserve">. This is time that could be spent on better lesson preparation and professional development — </w:t>
      </w:r>
      <w:r w:rsidR="000008FB">
        <w:t xml:space="preserve">this inquiry’s companion </w:t>
      </w:r>
      <w:r w:rsidR="005C3546">
        <w:t>volume</w:t>
      </w:r>
      <w:r w:rsidR="000008FB">
        <w:t xml:space="preserve"> </w:t>
      </w:r>
      <w:proofErr w:type="gramStart"/>
      <w:r w:rsidR="000008FB">
        <w:rPr>
          <w:i/>
          <w:iCs/>
        </w:rPr>
        <w:t>From</w:t>
      </w:r>
      <w:proofErr w:type="gramEnd"/>
      <w:r w:rsidR="000008FB">
        <w:rPr>
          <w:i/>
          <w:iCs/>
        </w:rPr>
        <w:t xml:space="preserve"> learning to growth</w:t>
      </w:r>
      <w:r w:rsidR="001851FF">
        <w:t xml:space="preserve"> </w:t>
      </w:r>
      <w:r w:rsidR="004944B8">
        <w:t xml:space="preserve">included several </w:t>
      </w:r>
      <w:r w:rsidR="004944B8" w:rsidRPr="007D60FE">
        <w:t>re</w:t>
      </w:r>
      <w:r w:rsidR="005E7AFD" w:rsidRPr="007D60FE">
        <w:t>c</w:t>
      </w:r>
      <w:r w:rsidR="004944B8" w:rsidRPr="007D60FE">
        <w:t xml:space="preserve">ommendations </w:t>
      </w:r>
      <w:r w:rsidR="00443C9E" w:rsidRPr="007D60FE">
        <w:t xml:space="preserve">that could </w:t>
      </w:r>
      <w:r w:rsidR="00302703" w:rsidRPr="007D60FE">
        <w:t>lead to more effective use of school teachers’ time. These included replacing manual administrative processes with technology</w:t>
      </w:r>
      <w:r w:rsidR="00A43B86">
        <w:noBreakHyphen/>
      </w:r>
      <w:r w:rsidR="00302703" w:rsidRPr="007D60FE">
        <w:t xml:space="preserve">based </w:t>
      </w:r>
      <w:r w:rsidR="00C860BD" w:rsidRPr="007D60FE">
        <w:t>and automated</w:t>
      </w:r>
      <w:r w:rsidR="00302703" w:rsidRPr="007D60FE">
        <w:t xml:space="preserve"> solutions, </w:t>
      </w:r>
      <w:r w:rsidR="00AA72A3" w:rsidRPr="007D60FE">
        <w:t xml:space="preserve">and more curriculum implementation support </w:t>
      </w:r>
      <w:r w:rsidR="00430A09" w:rsidRPr="007D60FE">
        <w:t>such as through centralised provision of high</w:t>
      </w:r>
      <w:r w:rsidR="00A43B86">
        <w:noBreakHyphen/>
      </w:r>
      <w:r w:rsidR="00430A09" w:rsidRPr="007D60FE">
        <w:t xml:space="preserve">quality </w:t>
      </w:r>
      <w:r w:rsidR="001F4260" w:rsidRPr="007D60FE">
        <w:t>and government</w:t>
      </w:r>
      <w:r w:rsidR="00A43B86">
        <w:noBreakHyphen/>
      </w:r>
      <w:r w:rsidR="001F4260" w:rsidRPr="007D60FE">
        <w:t xml:space="preserve">endorsed </w:t>
      </w:r>
      <w:r w:rsidR="00430A09" w:rsidRPr="007D60FE">
        <w:t xml:space="preserve">lesson plans and </w:t>
      </w:r>
      <w:r w:rsidR="00384E98" w:rsidRPr="007D60FE">
        <w:t>classroom tools</w:t>
      </w:r>
      <w:r w:rsidR="00430A09" w:rsidRPr="007D60FE">
        <w:t>.</w:t>
      </w:r>
    </w:p>
    <w:p w14:paraId="7EE7D384" w14:textId="2F6BB576" w:rsidR="003A0ECF" w:rsidRPr="0039361E" w:rsidRDefault="003A0ECF" w:rsidP="003A0ECF">
      <w:pPr>
        <w:pStyle w:val="BodyText"/>
        <w:rPr>
          <w:spacing w:val="-2"/>
        </w:rPr>
      </w:pPr>
      <w:r w:rsidRPr="0039361E">
        <w:rPr>
          <w:spacing w:val="-2"/>
        </w:rPr>
        <w:t xml:space="preserve">Likewise, norms about the desirability and capacity for innovation (whether new altogether or new to the agency) vary across the public sector. In the Australian Public Service, all agencies participate in an annual </w:t>
      </w:r>
      <w:r w:rsidRPr="0039361E">
        <w:rPr>
          <w:spacing w:val="-2"/>
        </w:rPr>
        <w:lastRenderedPageBreak/>
        <w:t>census that includes questions about staff attitudes to innovation. While many staff believe one of their key roles is to innovate, far fewer believe this is rewarded and indeed, a minority believe that their agencies accept that failure is sometimes an inevitable feature of innovation or the adoption of new ideas (table 3.</w:t>
      </w:r>
      <w:r w:rsidR="00726D58">
        <w:rPr>
          <w:spacing w:val="-2"/>
        </w:rPr>
        <w:t>1</w:t>
      </w:r>
      <w:r w:rsidRPr="0039361E">
        <w:rPr>
          <w:spacing w:val="-2"/>
        </w:rPr>
        <w:t>). Other data show that there is considerable variability across agencies in their ratings of innovation and management.</w:t>
      </w:r>
    </w:p>
    <w:p w14:paraId="1EAA5EF9" w14:textId="48007DAB" w:rsidR="003A0ECF" w:rsidRDefault="003A0ECF" w:rsidP="003A0ECF">
      <w:pPr>
        <w:pStyle w:val="FigureTableHeading"/>
      </w:pPr>
      <w:r>
        <w:t>Table</w:t>
      </w:r>
      <w:r w:rsidR="00A43B86">
        <w:t> </w:t>
      </w:r>
      <w:r>
        <w:t>3.</w:t>
      </w:r>
      <w:r w:rsidR="00726D58">
        <w:t>1</w:t>
      </w:r>
      <w:r>
        <w:rPr>
          <w:noProof/>
        </w:rPr>
        <w:t xml:space="preserve"> – </w:t>
      </w:r>
      <w:r>
        <w:t>Attitudes to innovation in the Australian Public Service</w:t>
      </w:r>
    </w:p>
    <w:p w14:paraId="090A3F37" w14:textId="77777777" w:rsidR="003A0ECF" w:rsidRDefault="003A0ECF" w:rsidP="003A0ECF">
      <w:pPr>
        <w:pStyle w:val="FigureTableSubheading"/>
      </w:pPr>
      <w:r>
        <w:t>2020</w:t>
      </w:r>
      <w:r>
        <w:noBreakHyphen/>
        <w:t>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962"/>
        <w:gridCol w:w="1512"/>
        <w:gridCol w:w="1512"/>
        <w:gridCol w:w="1512"/>
      </w:tblGrid>
      <w:tr w:rsidR="00591C50" w:rsidRPr="00030C67" w14:paraId="337484B2" w14:textId="77777777" w:rsidTr="00F35196">
        <w:trPr>
          <w:trHeight w:val="199"/>
          <w:tblHeader/>
        </w:trPr>
        <w:tc>
          <w:tcPr>
            <w:tcW w:w="4962" w:type="dxa"/>
            <w:vMerge w:val="restart"/>
            <w:shd w:val="clear" w:color="000000" w:fill="auto"/>
            <w:vAlign w:val="bottom"/>
          </w:tcPr>
          <w:p w14:paraId="6927E2C4" w14:textId="77777777" w:rsidR="00591C50" w:rsidRPr="007E1F6B" w:rsidRDefault="00591C50" w:rsidP="00C426E9">
            <w:pPr>
              <w:pStyle w:val="TableColumnHeading"/>
              <w:jc w:val="left"/>
              <w:rPr>
                <w:b/>
                <w:bCs/>
                <w:i w:val="0"/>
                <w:iCs/>
                <w:color w:val="265A9A" w:themeColor="background2"/>
              </w:rPr>
            </w:pPr>
            <w:r w:rsidRPr="007E1F6B">
              <w:rPr>
                <w:b/>
                <w:bCs/>
                <w:i w:val="0"/>
                <w:iCs/>
                <w:color w:val="265A9A" w:themeColor="background2"/>
              </w:rPr>
              <w:t>Statement</w:t>
            </w:r>
          </w:p>
        </w:tc>
        <w:tc>
          <w:tcPr>
            <w:tcW w:w="1512" w:type="dxa"/>
            <w:tcBorders>
              <w:bottom w:val="nil"/>
            </w:tcBorders>
            <w:shd w:val="clear" w:color="000000" w:fill="auto"/>
            <w:vAlign w:val="bottom"/>
          </w:tcPr>
          <w:p w14:paraId="3A33657A" w14:textId="77777777" w:rsidR="00591C50" w:rsidRPr="007E1F6B" w:rsidRDefault="00591C50" w:rsidP="00212D93">
            <w:pPr>
              <w:pStyle w:val="TableColumnHeading"/>
              <w:keepNext w:val="0"/>
              <w:keepLines w:val="0"/>
              <w:spacing w:before="46" w:after="0"/>
              <w:rPr>
                <w:b/>
                <w:bCs/>
                <w:i w:val="0"/>
                <w:iCs/>
                <w:color w:val="265A9A" w:themeColor="background2"/>
              </w:rPr>
            </w:pPr>
            <w:r w:rsidRPr="007E1F6B">
              <w:rPr>
                <w:b/>
                <w:bCs/>
                <w:i w:val="0"/>
                <w:iCs/>
                <w:color w:val="265A9A" w:themeColor="background2"/>
              </w:rPr>
              <w:t>Positive</w:t>
            </w:r>
          </w:p>
        </w:tc>
        <w:tc>
          <w:tcPr>
            <w:tcW w:w="1512" w:type="dxa"/>
            <w:tcBorders>
              <w:bottom w:val="nil"/>
            </w:tcBorders>
            <w:shd w:val="clear" w:color="000000" w:fill="auto"/>
            <w:vAlign w:val="bottom"/>
          </w:tcPr>
          <w:p w14:paraId="60C8BEDA" w14:textId="77777777" w:rsidR="00591C50" w:rsidRPr="007E1F6B" w:rsidRDefault="00591C50" w:rsidP="00212D93">
            <w:pPr>
              <w:pStyle w:val="TableColumnHeading"/>
              <w:keepNext w:val="0"/>
              <w:keepLines w:val="0"/>
              <w:spacing w:before="46" w:after="0"/>
              <w:rPr>
                <w:b/>
                <w:bCs/>
                <w:i w:val="0"/>
                <w:iCs/>
                <w:color w:val="265A9A" w:themeColor="background2"/>
              </w:rPr>
            </w:pPr>
            <w:r w:rsidRPr="007E1F6B">
              <w:rPr>
                <w:b/>
                <w:bCs/>
                <w:i w:val="0"/>
                <w:iCs/>
                <w:color w:val="265A9A" w:themeColor="background2"/>
              </w:rPr>
              <w:t>Neutral</w:t>
            </w:r>
          </w:p>
        </w:tc>
        <w:tc>
          <w:tcPr>
            <w:tcW w:w="1512" w:type="dxa"/>
            <w:tcBorders>
              <w:bottom w:val="nil"/>
            </w:tcBorders>
            <w:shd w:val="clear" w:color="000000" w:fill="auto"/>
            <w:vAlign w:val="bottom"/>
          </w:tcPr>
          <w:p w14:paraId="104EA09E" w14:textId="77777777" w:rsidR="00591C50" w:rsidRPr="007E1F6B" w:rsidRDefault="00591C50" w:rsidP="00212D93">
            <w:pPr>
              <w:pStyle w:val="TableColumnHeading"/>
              <w:keepNext w:val="0"/>
              <w:keepLines w:val="0"/>
              <w:spacing w:before="46" w:after="0"/>
              <w:rPr>
                <w:b/>
                <w:bCs/>
                <w:i w:val="0"/>
                <w:iCs/>
                <w:color w:val="265A9A" w:themeColor="background2"/>
              </w:rPr>
            </w:pPr>
            <w:r w:rsidRPr="007E1F6B">
              <w:rPr>
                <w:b/>
                <w:bCs/>
                <w:i w:val="0"/>
                <w:iCs/>
                <w:color w:val="265A9A" w:themeColor="background2"/>
              </w:rPr>
              <w:t>Negative</w:t>
            </w:r>
          </w:p>
        </w:tc>
      </w:tr>
      <w:tr w:rsidR="00591C50" w:rsidRPr="00030C67" w14:paraId="737B189B" w14:textId="77777777" w:rsidTr="00F35196">
        <w:trPr>
          <w:trHeight w:val="248"/>
          <w:tblHeader/>
        </w:trPr>
        <w:tc>
          <w:tcPr>
            <w:tcW w:w="4962" w:type="dxa"/>
            <w:vMerge/>
            <w:tcBorders>
              <w:bottom w:val="single" w:sz="4" w:space="0" w:color="B3B3B3"/>
            </w:tcBorders>
            <w:shd w:val="clear" w:color="000000" w:fill="auto"/>
            <w:vAlign w:val="bottom"/>
          </w:tcPr>
          <w:p w14:paraId="18137C74" w14:textId="77777777" w:rsidR="00591C50" w:rsidRPr="007E1F6B" w:rsidRDefault="00591C50" w:rsidP="00C426E9">
            <w:pPr>
              <w:pStyle w:val="TableColumnHeading"/>
              <w:jc w:val="left"/>
              <w:rPr>
                <w:b/>
                <w:bCs/>
                <w:i w:val="0"/>
                <w:iCs/>
                <w:color w:val="265A9A" w:themeColor="background2"/>
              </w:rPr>
            </w:pPr>
          </w:p>
        </w:tc>
        <w:tc>
          <w:tcPr>
            <w:tcW w:w="1512" w:type="dxa"/>
            <w:tcBorders>
              <w:bottom w:val="single" w:sz="4" w:space="0" w:color="B3B3B3"/>
            </w:tcBorders>
            <w:shd w:val="clear" w:color="000000" w:fill="auto"/>
            <w:vAlign w:val="bottom"/>
          </w:tcPr>
          <w:p w14:paraId="3E9A352C" w14:textId="77777777" w:rsidR="00591C50" w:rsidRPr="007E1F6B" w:rsidRDefault="00591C50" w:rsidP="00212D93">
            <w:pPr>
              <w:pStyle w:val="TableColumnHeading"/>
              <w:spacing w:before="46" w:after="46"/>
              <w:rPr>
                <w:b/>
                <w:bCs/>
                <w:i w:val="0"/>
                <w:iCs/>
                <w:color w:val="265A9A" w:themeColor="background2"/>
              </w:rPr>
            </w:pPr>
            <w:r w:rsidRPr="007E1F6B">
              <w:rPr>
                <w:b/>
                <w:bCs/>
                <w:i w:val="0"/>
                <w:iCs/>
                <w:color w:val="265A9A" w:themeColor="background2"/>
              </w:rPr>
              <w:t>(%)</w:t>
            </w:r>
          </w:p>
        </w:tc>
        <w:tc>
          <w:tcPr>
            <w:tcW w:w="1512" w:type="dxa"/>
            <w:tcBorders>
              <w:bottom w:val="single" w:sz="4" w:space="0" w:color="B3B3B3"/>
            </w:tcBorders>
            <w:shd w:val="clear" w:color="000000" w:fill="auto"/>
          </w:tcPr>
          <w:p w14:paraId="3CF6BA51" w14:textId="77777777" w:rsidR="00591C50" w:rsidRPr="007E1F6B" w:rsidRDefault="00591C50" w:rsidP="00212D93">
            <w:pPr>
              <w:pStyle w:val="TableColumnHeading"/>
              <w:spacing w:before="46" w:after="46"/>
              <w:rPr>
                <w:b/>
                <w:bCs/>
                <w:i w:val="0"/>
                <w:iCs/>
                <w:color w:val="265A9A" w:themeColor="background2"/>
              </w:rPr>
            </w:pPr>
            <w:r w:rsidRPr="007E1F6B">
              <w:rPr>
                <w:b/>
                <w:bCs/>
                <w:i w:val="0"/>
                <w:iCs/>
                <w:color w:val="265A9A" w:themeColor="background2"/>
              </w:rPr>
              <w:t>(%)</w:t>
            </w:r>
          </w:p>
        </w:tc>
        <w:tc>
          <w:tcPr>
            <w:tcW w:w="1512" w:type="dxa"/>
            <w:tcBorders>
              <w:bottom w:val="single" w:sz="4" w:space="0" w:color="B3B3B3"/>
            </w:tcBorders>
            <w:shd w:val="clear" w:color="000000" w:fill="auto"/>
          </w:tcPr>
          <w:p w14:paraId="60568D64" w14:textId="77777777" w:rsidR="00591C50" w:rsidRPr="007E1F6B" w:rsidRDefault="00591C50" w:rsidP="00212D93">
            <w:pPr>
              <w:pStyle w:val="TableColumnHeading"/>
              <w:spacing w:before="46" w:after="46"/>
              <w:rPr>
                <w:b/>
                <w:bCs/>
                <w:i w:val="0"/>
                <w:iCs/>
                <w:color w:val="265A9A" w:themeColor="background2"/>
              </w:rPr>
            </w:pPr>
            <w:r w:rsidRPr="007E1F6B">
              <w:rPr>
                <w:b/>
                <w:bCs/>
                <w:i w:val="0"/>
                <w:iCs/>
                <w:color w:val="265A9A" w:themeColor="background2"/>
              </w:rPr>
              <w:t>(%)</w:t>
            </w:r>
          </w:p>
        </w:tc>
      </w:tr>
      <w:tr w:rsidR="003A0ECF" w:rsidRPr="00030C67" w14:paraId="01FB8207" w14:textId="77777777" w:rsidTr="0082084A">
        <w:trPr>
          <w:trHeight w:val="370"/>
        </w:trPr>
        <w:tc>
          <w:tcPr>
            <w:tcW w:w="4962" w:type="dxa"/>
            <w:tcBorders>
              <w:top w:val="single" w:sz="4" w:space="0" w:color="B3B3B3"/>
              <w:bottom w:val="nil"/>
            </w:tcBorders>
            <w:shd w:val="clear" w:color="000000" w:fill="F2F2F2"/>
          </w:tcPr>
          <w:p w14:paraId="546BE5FF" w14:textId="77777777" w:rsidR="003A0ECF" w:rsidRPr="007E1F6B" w:rsidRDefault="003A0ECF" w:rsidP="00C426E9">
            <w:pPr>
              <w:pStyle w:val="TableHeading"/>
              <w:rPr>
                <w:b w:val="0"/>
                <w:bCs/>
                <w:color w:val="auto"/>
              </w:rPr>
            </w:pPr>
            <w:r w:rsidRPr="007E1F6B">
              <w:rPr>
                <w:b w:val="0"/>
                <w:bCs/>
                <w:color w:val="auto"/>
              </w:rPr>
              <w:t>I believe that one of my responsibilities is to continually look for new ways to improve the way we work</w:t>
            </w:r>
          </w:p>
        </w:tc>
        <w:tc>
          <w:tcPr>
            <w:tcW w:w="1512" w:type="dxa"/>
            <w:tcBorders>
              <w:top w:val="single" w:sz="4" w:space="0" w:color="B3B3B3"/>
              <w:bottom w:val="nil"/>
            </w:tcBorders>
            <w:shd w:val="clear" w:color="000000" w:fill="F2F2F2"/>
          </w:tcPr>
          <w:p w14:paraId="4A6352DC" w14:textId="77777777" w:rsidR="003A0ECF" w:rsidRPr="00030C67" w:rsidRDefault="003A0ECF" w:rsidP="0082084A">
            <w:pPr>
              <w:pStyle w:val="TableBodyText"/>
              <w:spacing w:before="40" w:after="20"/>
              <w:rPr>
                <w:rFonts w:ascii="Arial (Body)" w:hAnsi="Arial (Body)"/>
                <w:color w:val="000000"/>
              </w:rPr>
            </w:pPr>
            <w:r w:rsidRPr="007F59D1">
              <w:t>93</w:t>
            </w:r>
          </w:p>
        </w:tc>
        <w:tc>
          <w:tcPr>
            <w:tcW w:w="1512" w:type="dxa"/>
            <w:tcBorders>
              <w:top w:val="single" w:sz="4" w:space="0" w:color="B3B3B3"/>
              <w:bottom w:val="nil"/>
            </w:tcBorders>
            <w:shd w:val="clear" w:color="000000" w:fill="F2F2F2"/>
          </w:tcPr>
          <w:p w14:paraId="5F6E98FD" w14:textId="77777777" w:rsidR="003A0ECF" w:rsidRDefault="003A0ECF" w:rsidP="0082084A">
            <w:pPr>
              <w:pStyle w:val="TableBodyText"/>
              <w:spacing w:before="40" w:after="20"/>
              <w:rPr>
                <w:rFonts w:ascii="Arial (Body)" w:hAnsi="Arial (Body)"/>
                <w:color w:val="000000"/>
              </w:rPr>
            </w:pPr>
            <w:r w:rsidRPr="007F59D1">
              <w:t>5</w:t>
            </w:r>
          </w:p>
        </w:tc>
        <w:tc>
          <w:tcPr>
            <w:tcW w:w="1512" w:type="dxa"/>
            <w:tcBorders>
              <w:top w:val="single" w:sz="4" w:space="0" w:color="B3B3B3"/>
              <w:bottom w:val="nil"/>
            </w:tcBorders>
            <w:shd w:val="clear" w:color="000000" w:fill="F2F2F2"/>
          </w:tcPr>
          <w:p w14:paraId="30EFFE4C" w14:textId="77777777" w:rsidR="003A0ECF" w:rsidRDefault="003A0ECF" w:rsidP="0082084A">
            <w:pPr>
              <w:pStyle w:val="TableBodyText"/>
              <w:spacing w:before="40" w:after="20"/>
              <w:rPr>
                <w:rFonts w:ascii="Arial (Body)" w:hAnsi="Arial (Body)"/>
                <w:color w:val="000000"/>
              </w:rPr>
            </w:pPr>
            <w:r w:rsidRPr="007F59D1">
              <w:t>2</w:t>
            </w:r>
          </w:p>
        </w:tc>
      </w:tr>
      <w:tr w:rsidR="003A0ECF" w:rsidRPr="00030C67" w14:paraId="51C11FAE" w14:textId="77777777" w:rsidTr="00C426E9">
        <w:trPr>
          <w:trHeight w:val="370"/>
        </w:trPr>
        <w:tc>
          <w:tcPr>
            <w:tcW w:w="4962" w:type="dxa"/>
            <w:tcBorders>
              <w:top w:val="nil"/>
              <w:bottom w:val="nil"/>
            </w:tcBorders>
            <w:shd w:val="clear" w:color="000000" w:fill="auto"/>
          </w:tcPr>
          <w:p w14:paraId="28B806E8" w14:textId="77777777" w:rsidR="003A0ECF" w:rsidRPr="007E1F6B" w:rsidRDefault="003A0ECF" w:rsidP="00C426E9">
            <w:pPr>
              <w:pStyle w:val="TableHeading"/>
              <w:rPr>
                <w:b w:val="0"/>
                <w:bCs/>
                <w:color w:val="auto"/>
              </w:rPr>
            </w:pPr>
            <w:r w:rsidRPr="007E1F6B">
              <w:rPr>
                <w:b w:val="0"/>
                <w:bCs/>
                <w:color w:val="auto"/>
              </w:rPr>
              <w:t>My immediate supervisor encourages me to come up with new or better ways of doing things</w:t>
            </w:r>
          </w:p>
        </w:tc>
        <w:tc>
          <w:tcPr>
            <w:tcW w:w="1512" w:type="dxa"/>
            <w:tcBorders>
              <w:top w:val="nil"/>
              <w:bottom w:val="nil"/>
            </w:tcBorders>
            <w:shd w:val="clear" w:color="000000" w:fill="auto"/>
          </w:tcPr>
          <w:p w14:paraId="36EDCD3F" w14:textId="77777777" w:rsidR="003A0ECF" w:rsidRPr="00030C67" w:rsidRDefault="003A0ECF" w:rsidP="0082084A">
            <w:pPr>
              <w:pStyle w:val="TableBodyText"/>
              <w:spacing w:before="40" w:after="20"/>
              <w:rPr>
                <w:rFonts w:ascii="Arial (Body)" w:hAnsi="Arial (Body)"/>
                <w:color w:val="000000"/>
              </w:rPr>
            </w:pPr>
            <w:r w:rsidRPr="007F59D1">
              <w:t>82</w:t>
            </w:r>
          </w:p>
        </w:tc>
        <w:tc>
          <w:tcPr>
            <w:tcW w:w="1512" w:type="dxa"/>
            <w:tcBorders>
              <w:top w:val="nil"/>
              <w:bottom w:val="nil"/>
            </w:tcBorders>
            <w:shd w:val="clear" w:color="000000" w:fill="auto"/>
          </w:tcPr>
          <w:p w14:paraId="5BE7C7FF" w14:textId="77777777" w:rsidR="003A0ECF" w:rsidRDefault="003A0ECF" w:rsidP="0082084A">
            <w:pPr>
              <w:pStyle w:val="TableBodyText"/>
              <w:spacing w:before="40" w:after="20"/>
              <w:rPr>
                <w:rFonts w:ascii="Arial (Body)" w:hAnsi="Arial (Body)"/>
                <w:color w:val="000000"/>
              </w:rPr>
            </w:pPr>
            <w:r w:rsidRPr="007F59D1">
              <w:t>13</w:t>
            </w:r>
          </w:p>
        </w:tc>
        <w:tc>
          <w:tcPr>
            <w:tcW w:w="1512" w:type="dxa"/>
            <w:tcBorders>
              <w:top w:val="nil"/>
              <w:bottom w:val="nil"/>
            </w:tcBorders>
            <w:shd w:val="clear" w:color="000000" w:fill="auto"/>
          </w:tcPr>
          <w:p w14:paraId="65F060DE" w14:textId="77777777" w:rsidR="003A0ECF" w:rsidRDefault="003A0ECF" w:rsidP="0082084A">
            <w:pPr>
              <w:pStyle w:val="TableBodyText"/>
              <w:spacing w:before="40" w:after="20"/>
              <w:rPr>
                <w:rFonts w:ascii="Arial (Body)" w:hAnsi="Arial (Body)"/>
                <w:color w:val="000000"/>
              </w:rPr>
            </w:pPr>
            <w:r w:rsidRPr="007F59D1">
              <w:t>4</w:t>
            </w:r>
          </w:p>
        </w:tc>
      </w:tr>
      <w:tr w:rsidR="003A0ECF" w:rsidRPr="00030C67" w14:paraId="46D72248" w14:textId="77777777" w:rsidTr="0082084A">
        <w:trPr>
          <w:trHeight w:val="370"/>
        </w:trPr>
        <w:tc>
          <w:tcPr>
            <w:tcW w:w="4962" w:type="dxa"/>
            <w:tcBorders>
              <w:top w:val="nil"/>
              <w:bottom w:val="nil"/>
            </w:tcBorders>
            <w:shd w:val="clear" w:color="000000" w:fill="F2F2F2"/>
          </w:tcPr>
          <w:p w14:paraId="78E939CA" w14:textId="77777777" w:rsidR="003A0ECF" w:rsidRPr="007E1F6B" w:rsidRDefault="003A0ECF" w:rsidP="00C426E9">
            <w:pPr>
              <w:pStyle w:val="TableHeading"/>
              <w:rPr>
                <w:b w:val="0"/>
                <w:bCs/>
                <w:color w:val="auto"/>
              </w:rPr>
            </w:pPr>
            <w:r w:rsidRPr="007E1F6B">
              <w:rPr>
                <w:b w:val="0"/>
                <w:bCs/>
                <w:color w:val="auto"/>
              </w:rPr>
              <w:t>People are recognised for coming up with new and innovative ways of working</w:t>
            </w:r>
          </w:p>
        </w:tc>
        <w:tc>
          <w:tcPr>
            <w:tcW w:w="1512" w:type="dxa"/>
            <w:tcBorders>
              <w:top w:val="nil"/>
              <w:bottom w:val="nil"/>
            </w:tcBorders>
            <w:shd w:val="clear" w:color="000000" w:fill="F2F2F2"/>
          </w:tcPr>
          <w:p w14:paraId="265AE396" w14:textId="77777777" w:rsidR="003A0ECF" w:rsidRPr="00030C67" w:rsidRDefault="003A0ECF" w:rsidP="0082084A">
            <w:pPr>
              <w:pStyle w:val="TableBodyText"/>
              <w:spacing w:before="40" w:after="20"/>
              <w:rPr>
                <w:rFonts w:ascii="Arial (Body)" w:hAnsi="Arial (Body)"/>
                <w:color w:val="000000"/>
              </w:rPr>
            </w:pPr>
            <w:r w:rsidRPr="007F59D1">
              <w:t>67</w:t>
            </w:r>
          </w:p>
        </w:tc>
        <w:tc>
          <w:tcPr>
            <w:tcW w:w="1512" w:type="dxa"/>
            <w:tcBorders>
              <w:top w:val="nil"/>
              <w:bottom w:val="nil"/>
            </w:tcBorders>
            <w:shd w:val="clear" w:color="000000" w:fill="F2F2F2"/>
          </w:tcPr>
          <w:p w14:paraId="07D9A5DF" w14:textId="77777777" w:rsidR="003A0ECF" w:rsidRDefault="003A0ECF" w:rsidP="0082084A">
            <w:pPr>
              <w:pStyle w:val="TableBodyText"/>
              <w:spacing w:before="40" w:after="20"/>
              <w:rPr>
                <w:rFonts w:ascii="Arial (Body)" w:hAnsi="Arial (Body)"/>
                <w:color w:val="000000"/>
              </w:rPr>
            </w:pPr>
            <w:r w:rsidRPr="007F59D1">
              <w:t>21</w:t>
            </w:r>
          </w:p>
        </w:tc>
        <w:tc>
          <w:tcPr>
            <w:tcW w:w="1512" w:type="dxa"/>
            <w:tcBorders>
              <w:top w:val="nil"/>
              <w:bottom w:val="nil"/>
            </w:tcBorders>
            <w:shd w:val="clear" w:color="000000" w:fill="F2F2F2"/>
          </w:tcPr>
          <w:p w14:paraId="43BD0E37" w14:textId="77777777" w:rsidR="003A0ECF" w:rsidRDefault="003A0ECF" w:rsidP="0082084A">
            <w:pPr>
              <w:pStyle w:val="TableBodyText"/>
              <w:spacing w:before="40" w:after="20"/>
              <w:rPr>
                <w:rFonts w:ascii="Arial (Body)" w:hAnsi="Arial (Body)"/>
                <w:color w:val="000000"/>
              </w:rPr>
            </w:pPr>
            <w:r w:rsidRPr="007F59D1">
              <w:t>11</w:t>
            </w:r>
          </w:p>
        </w:tc>
      </w:tr>
      <w:tr w:rsidR="003A0ECF" w:rsidRPr="00030C67" w14:paraId="616F58E6" w14:textId="77777777" w:rsidTr="00C426E9">
        <w:trPr>
          <w:trHeight w:val="370"/>
        </w:trPr>
        <w:tc>
          <w:tcPr>
            <w:tcW w:w="4962" w:type="dxa"/>
            <w:tcBorders>
              <w:top w:val="nil"/>
              <w:bottom w:val="nil"/>
            </w:tcBorders>
            <w:shd w:val="clear" w:color="000000" w:fill="auto"/>
          </w:tcPr>
          <w:p w14:paraId="464AF6E1" w14:textId="77777777" w:rsidR="003A0ECF" w:rsidRPr="007E1F6B" w:rsidRDefault="003A0ECF" w:rsidP="00C426E9">
            <w:pPr>
              <w:pStyle w:val="TableHeading"/>
              <w:rPr>
                <w:b w:val="0"/>
                <w:bCs/>
                <w:color w:val="auto"/>
              </w:rPr>
            </w:pPr>
            <w:r w:rsidRPr="007E1F6B">
              <w:rPr>
                <w:b w:val="0"/>
                <w:bCs/>
                <w:color w:val="auto"/>
              </w:rPr>
              <w:t>My agency inspires me to come up with new or better ways of doing things</w:t>
            </w:r>
          </w:p>
        </w:tc>
        <w:tc>
          <w:tcPr>
            <w:tcW w:w="1512" w:type="dxa"/>
            <w:tcBorders>
              <w:top w:val="nil"/>
              <w:bottom w:val="nil"/>
            </w:tcBorders>
            <w:shd w:val="clear" w:color="000000" w:fill="auto"/>
          </w:tcPr>
          <w:p w14:paraId="44EDDD98" w14:textId="77777777" w:rsidR="003A0ECF" w:rsidRDefault="003A0ECF" w:rsidP="0082084A">
            <w:pPr>
              <w:pStyle w:val="TableBodyText"/>
              <w:spacing w:before="40" w:after="20"/>
              <w:rPr>
                <w:rFonts w:ascii="Arial (Body)" w:hAnsi="Arial (Body)"/>
                <w:color w:val="000000"/>
              </w:rPr>
            </w:pPr>
            <w:r w:rsidRPr="007F59D1">
              <w:t>54</w:t>
            </w:r>
          </w:p>
        </w:tc>
        <w:tc>
          <w:tcPr>
            <w:tcW w:w="1512" w:type="dxa"/>
            <w:tcBorders>
              <w:top w:val="nil"/>
              <w:bottom w:val="nil"/>
            </w:tcBorders>
            <w:shd w:val="clear" w:color="000000" w:fill="auto"/>
          </w:tcPr>
          <w:p w14:paraId="745AF179" w14:textId="77777777" w:rsidR="003A0ECF" w:rsidRDefault="003A0ECF" w:rsidP="0082084A">
            <w:pPr>
              <w:pStyle w:val="TableBodyText"/>
              <w:spacing w:before="40" w:after="20"/>
              <w:rPr>
                <w:rFonts w:ascii="Arial (Body)" w:hAnsi="Arial (Body)"/>
                <w:color w:val="000000"/>
              </w:rPr>
            </w:pPr>
            <w:r w:rsidRPr="007F59D1">
              <w:t>30</w:t>
            </w:r>
          </w:p>
        </w:tc>
        <w:tc>
          <w:tcPr>
            <w:tcW w:w="1512" w:type="dxa"/>
            <w:tcBorders>
              <w:top w:val="nil"/>
              <w:bottom w:val="nil"/>
            </w:tcBorders>
            <w:shd w:val="clear" w:color="000000" w:fill="auto"/>
          </w:tcPr>
          <w:p w14:paraId="5FEEA651" w14:textId="77777777" w:rsidR="003A0ECF" w:rsidRDefault="003A0ECF" w:rsidP="0082084A">
            <w:pPr>
              <w:pStyle w:val="TableBodyText"/>
              <w:spacing w:before="40" w:after="20"/>
              <w:rPr>
                <w:rFonts w:ascii="Arial (Body)" w:hAnsi="Arial (Body)"/>
                <w:color w:val="000000"/>
              </w:rPr>
            </w:pPr>
            <w:r w:rsidRPr="007F59D1">
              <w:t>17</w:t>
            </w:r>
          </w:p>
        </w:tc>
      </w:tr>
      <w:tr w:rsidR="003A0ECF" w:rsidRPr="00030C67" w14:paraId="319623EE" w14:textId="77777777" w:rsidTr="00C426E9">
        <w:trPr>
          <w:trHeight w:val="370"/>
        </w:trPr>
        <w:tc>
          <w:tcPr>
            <w:tcW w:w="4962" w:type="dxa"/>
            <w:tcBorders>
              <w:bottom w:val="single" w:sz="4" w:space="0" w:color="B3B3B3"/>
            </w:tcBorders>
            <w:shd w:val="clear" w:color="000000" w:fill="F2F2F2"/>
          </w:tcPr>
          <w:p w14:paraId="07B269D7" w14:textId="77777777" w:rsidR="003A0ECF" w:rsidRPr="007E1F6B" w:rsidRDefault="003A0ECF" w:rsidP="00C426E9">
            <w:pPr>
              <w:pStyle w:val="TableHeading"/>
              <w:rPr>
                <w:b w:val="0"/>
                <w:bCs/>
                <w:color w:val="auto"/>
              </w:rPr>
            </w:pPr>
            <w:r w:rsidRPr="007E1F6B">
              <w:rPr>
                <w:b w:val="0"/>
                <w:bCs/>
                <w:color w:val="auto"/>
              </w:rPr>
              <w:t>My agency recognises and supports the notion that failure is a part of innovation</w:t>
            </w:r>
          </w:p>
        </w:tc>
        <w:tc>
          <w:tcPr>
            <w:tcW w:w="1512" w:type="dxa"/>
            <w:tcBorders>
              <w:bottom w:val="single" w:sz="4" w:space="0" w:color="B3B3B3"/>
            </w:tcBorders>
            <w:shd w:val="clear" w:color="000000" w:fill="F2F2F2"/>
          </w:tcPr>
          <w:p w14:paraId="6293215D" w14:textId="77777777" w:rsidR="003A0ECF" w:rsidRPr="00030C67" w:rsidRDefault="003A0ECF" w:rsidP="0082084A">
            <w:pPr>
              <w:pStyle w:val="TableBodyText"/>
              <w:spacing w:before="40" w:after="20"/>
              <w:rPr>
                <w:rFonts w:ascii="Arial (Body)" w:hAnsi="Arial (Body)"/>
                <w:color w:val="000000"/>
              </w:rPr>
            </w:pPr>
            <w:r w:rsidRPr="007F59D1">
              <w:t>34</w:t>
            </w:r>
          </w:p>
        </w:tc>
        <w:tc>
          <w:tcPr>
            <w:tcW w:w="1512" w:type="dxa"/>
            <w:tcBorders>
              <w:bottom w:val="single" w:sz="4" w:space="0" w:color="B3B3B3"/>
            </w:tcBorders>
            <w:shd w:val="clear" w:color="000000" w:fill="F2F2F2"/>
          </w:tcPr>
          <w:p w14:paraId="4173D8D5" w14:textId="77777777" w:rsidR="003A0ECF" w:rsidRDefault="003A0ECF" w:rsidP="0082084A">
            <w:pPr>
              <w:pStyle w:val="TableBodyText"/>
              <w:spacing w:before="40" w:after="20"/>
              <w:rPr>
                <w:rFonts w:ascii="Arial (Body)" w:hAnsi="Arial (Body)"/>
                <w:color w:val="000000"/>
              </w:rPr>
            </w:pPr>
            <w:r w:rsidRPr="007F59D1">
              <w:t>38</w:t>
            </w:r>
          </w:p>
        </w:tc>
        <w:tc>
          <w:tcPr>
            <w:tcW w:w="1512" w:type="dxa"/>
            <w:tcBorders>
              <w:bottom w:val="single" w:sz="4" w:space="0" w:color="B3B3B3"/>
            </w:tcBorders>
            <w:shd w:val="clear" w:color="000000" w:fill="F2F2F2"/>
          </w:tcPr>
          <w:p w14:paraId="14523A60" w14:textId="27906030" w:rsidR="003A0ECF" w:rsidRDefault="003A0ECF" w:rsidP="0082084A">
            <w:pPr>
              <w:pStyle w:val="TableBodyText"/>
              <w:spacing w:before="40" w:after="20"/>
              <w:rPr>
                <w:rFonts w:ascii="Arial (Body)" w:hAnsi="Arial (Body)"/>
                <w:color w:val="000000"/>
              </w:rPr>
            </w:pPr>
            <w:r w:rsidRPr="007F59D1">
              <w:t>27</w:t>
            </w:r>
          </w:p>
        </w:tc>
      </w:tr>
    </w:tbl>
    <w:p w14:paraId="67ED3DFF" w14:textId="5E50F272" w:rsidR="003A0ECF" w:rsidRDefault="003A0ECF" w:rsidP="003A0ECF">
      <w:pPr>
        <w:pStyle w:val="Source"/>
      </w:pPr>
      <w:r w:rsidRPr="00696447">
        <w:t>Source:</w:t>
      </w:r>
      <w:r w:rsidR="00746EF0">
        <w:t xml:space="preserve"> APSC</w:t>
      </w:r>
      <w:r w:rsidRPr="00696447">
        <w:t xml:space="preserve"> </w:t>
      </w:r>
      <w:r w:rsidR="00172D87" w:rsidRPr="00172D87">
        <w:rPr>
          <w:rFonts w:ascii="Arial" w:hAnsi="Arial" w:cs="Arial"/>
          <w:szCs w:val="24"/>
        </w:rPr>
        <w:t>(2021a, p. 11)</w:t>
      </w:r>
      <w:r w:rsidR="00A43B86">
        <w:rPr>
          <w:rFonts w:ascii="Arial" w:hAnsi="Arial" w:cs="Arial"/>
          <w:szCs w:val="24"/>
        </w:rPr>
        <w:t>.</w:t>
      </w:r>
    </w:p>
    <w:p w14:paraId="137045FE" w14:textId="02A1EA2B" w:rsidR="003A0ECF" w:rsidRDefault="00123024" w:rsidP="003A0ECF">
      <w:pPr>
        <w:pStyle w:val="BodyText"/>
      </w:pPr>
      <w:r>
        <w:t xml:space="preserve">In many cases, </w:t>
      </w:r>
      <w:r w:rsidR="00C258B1">
        <w:t xml:space="preserve">the barriers to innovation include both norms and regulations. </w:t>
      </w:r>
      <w:r w:rsidR="003A0ECF">
        <w:t xml:space="preserve">Some of the largest barriers to workforce innovation in key areas of public service delivery, especially healthcare, include funding constraints, regulations, and </w:t>
      </w:r>
      <w:proofErr w:type="gramStart"/>
      <w:r w:rsidR="003A0ECF">
        <w:t>long standing</w:t>
      </w:r>
      <w:proofErr w:type="gramEnd"/>
      <w:r w:rsidR="003A0ECF">
        <w:t xml:space="preserve"> workplace practices and cultures </w:t>
      </w:r>
      <w:r w:rsidR="00AE71A4" w:rsidRPr="00AE71A4">
        <w:rPr>
          <w:rFonts w:ascii="Arial" w:hAnsi="Arial" w:cs="Arial"/>
          <w:szCs w:val="24"/>
        </w:rPr>
        <w:t>(Pharmacy Guild of Australia sub.</w:t>
      </w:r>
      <w:r w:rsidR="00A43B86">
        <w:rPr>
          <w:rFonts w:ascii="Arial" w:hAnsi="Arial" w:cs="Arial"/>
          <w:szCs w:val="24"/>
        </w:rPr>
        <w:t> </w:t>
      </w:r>
      <w:r w:rsidR="00AE71A4" w:rsidRPr="00AE71A4">
        <w:rPr>
          <w:rFonts w:ascii="Arial" w:hAnsi="Arial" w:cs="Arial"/>
          <w:szCs w:val="24"/>
        </w:rPr>
        <w:t>67; PC 2021b, p. 68)</w:t>
      </w:r>
      <w:r w:rsidR="003A0ECF">
        <w:t>. Scope of practice restrictions can frustrate different care models and access to services. The Australia Healthcare &amp; Hospital Association observed:</w:t>
      </w:r>
    </w:p>
    <w:p w14:paraId="5539D965" w14:textId="00D60047" w:rsidR="003A0ECF" w:rsidRDefault="003A0ECF" w:rsidP="003A0ECF">
      <w:pPr>
        <w:pStyle w:val="Quote"/>
      </w:pPr>
      <w:r>
        <w:t xml:space="preserve">With evidence that the current organisation of health professionals and their associated scope of practice is not suited to meeting the needs of the Australian health system [ </w:t>
      </w:r>
      <w:proofErr w:type="gramStart"/>
      <w:r>
        <w:t>… ]</w:t>
      </w:r>
      <w:proofErr w:type="gramEnd"/>
      <w:r>
        <w:t xml:space="preserve"> </w:t>
      </w:r>
      <w:r w:rsidR="00954D85">
        <w:t>[w]</w:t>
      </w:r>
      <w:r>
        <w:t>ithout an overarching strategy to achieve an integrated, multidisciplinary health workforce that works to their top of scope, there will continue to be barriers in the redesign of models of care. Opportunities to develop new models of care with flexible use of the health workforce and innovative funding models should be leveraged. (AHHA, sub.</w:t>
      </w:r>
      <w:r w:rsidR="000565F7">
        <w:t> </w:t>
      </w:r>
      <w:r>
        <w:t>27, p.</w:t>
      </w:r>
      <w:r w:rsidR="000565F7">
        <w:t> </w:t>
      </w:r>
      <w:r>
        <w:t>2)</w:t>
      </w:r>
    </w:p>
    <w:p w14:paraId="2755D368" w14:textId="6BFC7BC4" w:rsidR="003A0ECF" w:rsidRDefault="003A0ECF" w:rsidP="003A0ECF">
      <w:pPr>
        <w:pStyle w:val="BodyText"/>
      </w:pPr>
      <w:r>
        <w:t xml:space="preserve">Increased use of electronic records, big data analysis and </w:t>
      </w:r>
      <w:r w:rsidR="003A101E">
        <w:t>AI</w:t>
      </w:r>
      <w:r>
        <w:t xml:space="preserve"> offer scope for some human tasks to be performed by software, as in radiology, though any application requires regulatory approval </w:t>
      </w:r>
      <w:r w:rsidRPr="00B71788">
        <w:rPr>
          <w:rFonts w:ascii="Arial" w:hAnsi="Arial" w:cs="Arial"/>
          <w:szCs w:val="24"/>
        </w:rPr>
        <w:t>(van Leeuwen et al. 2021)</w:t>
      </w:r>
      <w:r>
        <w:t>. An emerging technology is model</w:t>
      </w:r>
      <w:r>
        <w:noBreakHyphen/>
        <w:t>informed precision dosing, which provides decision support to clinicians that takes account of the unique aspects of patients (age, co</w:t>
      </w:r>
      <w:r>
        <w:noBreakHyphen/>
        <w:t>morbidities, sex, ethnicity). But its widespread use in healthcare requires data from electronic health records (which governments typically maintain and develop), funding models, regulatory acceptance and changing norms:</w:t>
      </w:r>
    </w:p>
    <w:p w14:paraId="229BFCD9" w14:textId="19A4D9EF" w:rsidR="003A0ECF" w:rsidRDefault="003A0ECF" w:rsidP="003A0ECF">
      <w:pPr>
        <w:pStyle w:val="Quote"/>
      </w:pPr>
      <w:r>
        <w:t>The challenge for Bayesian dosing moving forward is clinical acceptability. Indifference from the medical and healthcare community is understandable. Pharmacometrics is completely absent from medical school programs. Commercial providers rely largely on marketing to sell the concept. Until Bayesian dosing is accepted by the healthcare community as decision</w:t>
      </w:r>
      <w:r>
        <w:noBreakHyphen/>
        <w:t>support tools for some drugs, until funders see the economic and clinical benefits, and until regulatory agencies clarify the status of these systems from a regulatory/legal perspective</w:t>
      </w:r>
      <w:r w:rsidR="00317564">
        <w:t xml:space="preserve">, </w:t>
      </w:r>
      <w:r w:rsidR="00317564" w:rsidRPr="00317564">
        <w:t>the future remains uncertain</w:t>
      </w:r>
      <w:r>
        <w:t xml:space="preserve">. </w:t>
      </w:r>
      <w:r w:rsidR="00973F06" w:rsidRPr="00FA15AF">
        <w:rPr>
          <w:rFonts w:ascii="Arial" w:hAnsi="Arial" w:cs="Arial"/>
          <w:szCs w:val="24"/>
        </w:rPr>
        <w:t>(Darwich et al. 2021, p. 231)</w:t>
      </w:r>
    </w:p>
    <w:p w14:paraId="553FCFEC" w14:textId="49A56666" w:rsidR="003A0ECF" w:rsidRPr="00657DAF" w:rsidRDefault="003A0ECF" w:rsidP="003A0ECF">
      <w:pPr>
        <w:pStyle w:val="BodyText"/>
        <w:rPr>
          <w:spacing w:val="-4"/>
        </w:rPr>
      </w:pPr>
      <w:r w:rsidRPr="00657DAF">
        <w:rPr>
          <w:spacing w:val="-4"/>
        </w:rPr>
        <w:lastRenderedPageBreak/>
        <w:t>Australia has made some steps to implement predictive analytics in healthcare, but some evidence suggest</w:t>
      </w:r>
      <w:r w:rsidR="0020283E" w:rsidRPr="00657DAF">
        <w:rPr>
          <w:spacing w:val="-4"/>
        </w:rPr>
        <w:t>s</w:t>
      </w:r>
      <w:r w:rsidRPr="00657DAF">
        <w:rPr>
          <w:spacing w:val="-4"/>
        </w:rPr>
        <w:t xml:space="preserve"> it lags many countries, with only 55</w:t>
      </w:r>
      <w:r w:rsidR="00E94315" w:rsidRPr="00657DAF">
        <w:rPr>
          <w:spacing w:val="-4"/>
        </w:rPr>
        <w:t>%</w:t>
      </w:r>
      <w:r w:rsidRPr="00657DAF">
        <w:rPr>
          <w:spacing w:val="-4"/>
        </w:rPr>
        <w:t xml:space="preserve"> of health leaders claiming that they have already adopted this technology or are about to do so </w:t>
      </w:r>
      <w:r w:rsidRPr="00657DAF">
        <w:rPr>
          <w:rFonts w:cs="Arial"/>
          <w:spacing w:val="-4"/>
          <w:szCs w:val="24"/>
        </w:rPr>
        <w:t>(Philips 2022, p. 19)</w:t>
      </w:r>
      <w:r w:rsidRPr="00657DAF">
        <w:rPr>
          <w:spacing w:val="-4"/>
        </w:rPr>
        <w:t>. The rate is 66</w:t>
      </w:r>
      <w:r w:rsidR="00E94315" w:rsidRPr="00657DAF">
        <w:rPr>
          <w:spacing w:val="-4"/>
        </w:rPr>
        <w:t>%</w:t>
      </w:r>
      <w:r w:rsidRPr="00657DAF">
        <w:rPr>
          <w:spacing w:val="-4"/>
        </w:rPr>
        <w:t xml:space="preserve"> in the United Sates and 92</w:t>
      </w:r>
      <w:r w:rsidR="00E94315" w:rsidRPr="00657DAF">
        <w:rPr>
          <w:spacing w:val="-4"/>
        </w:rPr>
        <w:t>%</w:t>
      </w:r>
      <w:r w:rsidRPr="00657DAF">
        <w:rPr>
          <w:spacing w:val="-4"/>
        </w:rPr>
        <w:t xml:space="preserve"> in Singapore.</w:t>
      </w:r>
    </w:p>
    <w:p w14:paraId="0C186854" w14:textId="77777777" w:rsidR="003A0ECF" w:rsidRDefault="003A0ECF" w:rsidP="003A0EC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A0ECF" w14:paraId="702B38A3" w14:textId="77777777" w:rsidTr="00C426E9">
        <w:trPr>
          <w:trHeight w:val="765"/>
          <w:tblHeader/>
        </w:trPr>
        <w:tc>
          <w:tcPr>
            <w:tcW w:w="366" w:type="pct"/>
            <w:tcBorders>
              <w:bottom w:val="nil"/>
            </w:tcBorders>
            <w:tcMar>
              <w:bottom w:w="0" w:type="dxa"/>
            </w:tcMar>
            <w:vAlign w:val="center"/>
          </w:tcPr>
          <w:p w14:paraId="1F671EF5" w14:textId="77777777" w:rsidR="003A0ECF" w:rsidRDefault="003A0ECF" w:rsidP="00C426E9">
            <w:pPr>
              <w:pStyle w:val="NoSpacing"/>
              <w:keepLines/>
              <w:jc w:val="right"/>
            </w:pPr>
            <w:r w:rsidRPr="00A51374">
              <w:rPr>
                <w:noProof/>
              </w:rPr>
              <w:drawing>
                <wp:inline distT="0" distB="0" distL="0" distR="0" wp14:anchorId="36549CF7" wp14:editId="67168B97">
                  <wp:extent cx="288000" cy="288000"/>
                  <wp:effectExtent l="0" t="0" r="0" b="0"/>
                  <wp:docPr id="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21B5892" w14:textId="79DDD202" w:rsidR="003A0ECF" w:rsidRPr="00A4395A" w:rsidRDefault="003A0ECF" w:rsidP="00C426E9">
            <w:pPr>
              <w:pStyle w:val="TableHeading"/>
              <w:keepLines/>
              <w:spacing w:before="60" w:after="120"/>
              <w:contextualSpacing/>
              <w:rPr>
                <w:sz w:val="20"/>
              </w:rPr>
            </w:pPr>
            <w:r w:rsidRPr="00A4395A">
              <w:rPr>
                <w:sz w:val="20"/>
              </w:rPr>
              <w:t xml:space="preserve">Finding </w:t>
            </w:r>
            <w:r w:rsidR="002F5767">
              <w:rPr>
                <w:sz w:val="20"/>
              </w:rPr>
              <w:t>5.10</w:t>
            </w:r>
          </w:p>
          <w:p w14:paraId="7E21C263" w14:textId="77777777" w:rsidR="003A0ECF" w:rsidRDefault="003A0ECF" w:rsidP="00C426E9">
            <w:pPr>
              <w:pStyle w:val="TableHeading"/>
              <w:keepLines/>
              <w:spacing w:before="60" w:after="120"/>
              <w:contextualSpacing/>
            </w:pPr>
            <w:r>
              <w:rPr>
                <w:sz w:val="20"/>
              </w:rPr>
              <w:t>Structural flaws in government frustrate innovation and its diffusion</w:t>
            </w:r>
          </w:p>
        </w:tc>
      </w:tr>
      <w:tr w:rsidR="003A0ECF" w14:paraId="46C03BEA" w14:textId="77777777" w:rsidTr="00C426E9">
        <w:tc>
          <w:tcPr>
            <w:tcW w:w="5000" w:type="pct"/>
            <w:gridSpan w:val="2"/>
            <w:tcBorders>
              <w:top w:val="nil"/>
              <w:bottom w:val="single" w:sz="4" w:space="0" w:color="66BCDB" w:themeColor="text2"/>
            </w:tcBorders>
          </w:tcPr>
          <w:p w14:paraId="4528BBFA" w14:textId="77777777" w:rsidR="003A0ECF" w:rsidRDefault="003A0ECF" w:rsidP="00C426E9">
            <w:pPr>
              <w:pStyle w:val="BodyText"/>
              <w:keepLines/>
            </w:pPr>
            <w:r w:rsidRPr="00E5478E">
              <w:t>While slowness partly reflects divergent views about what amounts to best practice or innovation across different governments, there are also major structural flaws in government processes that frustrate innovation and diffusion. Uncoordinated actions of governments and agencies that share overlapping roles, siloed services, clashing funding incentives and risk averse cultural norms tend to work against experimentation. Few publicly operated services experience the risk that poor performance will lead to their closure, unlike businesses.</w:t>
            </w:r>
          </w:p>
        </w:tc>
      </w:tr>
      <w:tr w:rsidR="003A0ECF" w14:paraId="141C9F09" w14:textId="77777777" w:rsidTr="00C426E9">
        <w:tc>
          <w:tcPr>
            <w:tcW w:w="5000" w:type="pct"/>
            <w:gridSpan w:val="2"/>
            <w:tcBorders>
              <w:top w:val="single" w:sz="4" w:space="0" w:color="66BCDB" w:themeColor="text2"/>
              <w:left w:val="nil"/>
              <w:bottom w:val="nil"/>
              <w:right w:val="nil"/>
            </w:tcBorders>
            <w:tcMar>
              <w:bottom w:w="0" w:type="dxa"/>
            </w:tcMar>
          </w:tcPr>
          <w:p w14:paraId="57C74E88" w14:textId="77777777" w:rsidR="003A0ECF" w:rsidRDefault="003A0ECF" w:rsidP="00C426E9">
            <w:pPr>
              <w:pStyle w:val="NoSpacing"/>
              <w:spacing w:line="200" w:lineRule="atLeast"/>
            </w:pPr>
          </w:p>
        </w:tc>
      </w:tr>
    </w:tbl>
    <w:p w14:paraId="76DD0022" w14:textId="77777777" w:rsidR="003A0ECF" w:rsidRDefault="003A0ECF" w:rsidP="003A0ECF">
      <w:pPr>
        <w:pStyle w:val="Heading2"/>
      </w:pPr>
      <w:bookmarkStart w:id="120" w:name="_Toc126145995"/>
      <w:bookmarkStart w:id="121" w:name="_Toc126304789"/>
      <w:r>
        <w:t>What is to be done?</w:t>
      </w:r>
      <w:bookmarkEnd w:id="120"/>
      <w:bookmarkEnd w:id="121"/>
    </w:p>
    <w:p w14:paraId="0FB1B87B" w14:textId="060B2447" w:rsidR="003A0ECF" w:rsidRDefault="00777DD1" w:rsidP="003A0ECF">
      <w:pPr>
        <w:pStyle w:val="BodyText"/>
      </w:pPr>
      <w:r>
        <w:t>G</w:t>
      </w:r>
      <w:r w:rsidR="003A0ECF">
        <w:t>overnments and their agencies often innovate and adopt best practices</w:t>
      </w:r>
      <w:r w:rsidR="00846CD3">
        <w:t xml:space="preserve">, as </w:t>
      </w:r>
      <w:r w:rsidR="00BD7310">
        <w:t xml:space="preserve">already </w:t>
      </w:r>
      <w:r w:rsidR="00846CD3">
        <w:t>highlighted in examples throughout this chapter</w:t>
      </w:r>
      <w:r w:rsidR="003A0ECF">
        <w:t>. The challenge is to accelerate these</w:t>
      </w:r>
      <w:r w:rsidR="006C65FD">
        <w:t xml:space="preserve"> and diffuse learnings</w:t>
      </w:r>
      <w:r w:rsidR="00115C0D">
        <w:t xml:space="preserve"> about effective approaches across governments and agencies that have </w:t>
      </w:r>
      <w:r w:rsidR="00DD6AE7">
        <w:t xml:space="preserve">yet to </w:t>
      </w:r>
      <w:r w:rsidR="00294963">
        <w:t>adopt such improvements</w:t>
      </w:r>
      <w:r w:rsidR="003A0ECF">
        <w:t>.</w:t>
      </w:r>
      <w:r w:rsidR="00294963">
        <w:t xml:space="preserve"> </w:t>
      </w:r>
      <w:r w:rsidR="003A0ECF">
        <w:t>Many of the ingredients for achieving this are well</w:t>
      </w:r>
      <w:r w:rsidR="003A0ECF">
        <w:noBreakHyphen/>
        <w:t>known, but underexploited.</w:t>
      </w:r>
      <w:r w:rsidR="00BF1391">
        <w:t xml:space="preserve"> Governments can use their funding and procurement </w:t>
      </w:r>
      <w:r w:rsidR="009A67F1">
        <w:t xml:space="preserve">processes as levers to encourage the adoption of best practices, </w:t>
      </w:r>
      <w:proofErr w:type="gramStart"/>
      <w:r w:rsidR="009A67F1">
        <w:t>and also</w:t>
      </w:r>
      <w:proofErr w:type="gramEnd"/>
      <w:r w:rsidR="009A67F1">
        <w:t xml:space="preserve"> have opportunities to improve diffusion in the ways they run their agencies and deliver services through </w:t>
      </w:r>
      <w:r w:rsidR="00A777E3">
        <w:t>better use of data, technology, skills and knowledge.</w:t>
      </w:r>
    </w:p>
    <w:p w14:paraId="2FFEFFB5" w14:textId="3E04C588" w:rsidR="003A0ECF" w:rsidRDefault="00605CE4" w:rsidP="00522FBC">
      <w:pPr>
        <w:pStyle w:val="Heading3"/>
      </w:pPr>
      <w:r>
        <w:t>Improving</w:t>
      </w:r>
      <w:r w:rsidR="003A0ECF">
        <w:t xml:space="preserve"> funding and procurement </w:t>
      </w:r>
      <w:r>
        <w:t>approaches</w:t>
      </w:r>
      <w:r w:rsidR="003A0ECF">
        <w:t xml:space="preserve"> can drive diffusion and innovation</w:t>
      </w:r>
    </w:p>
    <w:p w14:paraId="471B29E2" w14:textId="2ABCC540" w:rsidR="00EF4311" w:rsidRDefault="00124059" w:rsidP="00542E5F">
      <w:pPr>
        <w:pStyle w:val="Heading4"/>
      </w:pPr>
      <w:r>
        <w:t xml:space="preserve">Regular review and update of </w:t>
      </w:r>
      <w:r w:rsidR="004F7294">
        <w:t>how government funding is allocated</w:t>
      </w:r>
    </w:p>
    <w:p w14:paraId="2056B3A8" w14:textId="1B64920B" w:rsidR="00D71C67" w:rsidDel="00ED3F1D" w:rsidRDefault="0060053E" w:rsidP="00D71C67">
      <w:pPr>
        <w:pStyle w:val="BodyText"/>
      </w:pPr>
      <w:r>
        <w:t xml:space="preserve">Given the significant amounts of funding allocated to various government services (discussed above), </w:t>
      </w:r>
      <w:r w:rsidR="00385959">
        <w:t xml:space="preserve">it is important </w:t>
      </w:r>
      <w:r w:rsidR="00965674">
        <w:t>that t</w:t>
      </w:r>
      <w:r w:rsidR="00302B45">
        <w:t xml:space="preserve">hese funds are </w:t>
      </w:r>
      <w:r w:rsidR="0083739D">
        <w:t xml:space="preserve">spent on practices and </w:t>
      </w:r>
      <w:r w:rsidR="006F70C7">
        <w:t>policies</w:t>
      </w:r>
      <w:r w:rsidR="0083739D">
        <w:t xml:space="preserve"> that </w:t>
      </w:r>
      <w:r w:rsidR="00F0264D">
        <w:t xml:space="preserve">have been proven to </w:t>
      </w:r>
      <w:r w:rsidR="00385959">
        <w:t>deliver desired outcomes</w:t>
      </w:r>
      <w:r w:rsidR="0029626F">
        <w:t xml:space="preserve">. Moreover, </w:t>
      </w:r>
      <w:r w:rsidR="00F92312">
        <w:t xml:space="preserve">these should be periodically reviewed </w:t>
      </w:r>
      <w:r w:rsidR="00640015">
        <w:t xml:space="preserve">to ensure that funding continues to be </w:t>
      </w:r>
      <w:r w:rsidR="007B30CA">
        <w:t xml:space="preserve">allocated </w:t>
      </w:r>
      <w:r w:rsidR="00640015">
        <w:t xml:space="preserve">based on </w:t>
      </w:r>
      <w:r w:rsidR="005B4B22">
        <w:t xml:space="preserve">the </w:t>
      </w:r>
      <w:r w:rsidR="007D46CC">
        <w:t>most effective</w:t>
      </w:r>
      <w:r w:rsidR="005B4B22">
        <w:t xml:space="preserve"> </w:t>
      </w:r>
      <w:proofErr w:type="gramStart"/>
      <w:r w:rsidR="005B4B22">
        <w:t>approaches</w:t>
      </w:r>
      <w:r w:rsidR="007D46CC">
        <w:t xml:space="preserve">, </w:t>
      </w:r>
      <w:r w:rsidR="006B4590">
        <w:t>and</w:t>
      </w:r>
      <w:proofErr w:type="gramEnd"/>
      <w:r w:rsidR="006B4590">
        <w:t xml:space="preserve"> reflects changing population needs.</w:t>
      </w:r>
    </w:p>
    <w:p w14:paraId="4FF4B364" w14:textId="06DB757F" w:rsidR="00CB06F1" w:rsidRPr="00746C01" w:rsidRDefault="006B4590" w:rsidP="00EF4311">
      <w:pPr>
        <w:pStyle w:val="BodyText"/>
      </w:pPr>
      <w:r w:rsidRPr="00746C01">
        <w:t>For example, p</w:t>
      </w:r>
      <w:r w:rsidR="00D71C67" w:rsidRPr="00746C01">
        <w:t>ublic transport fare setting in most jurisdictions suffers from policy inertia (PC 2021c, p. 24). Fare structures are often based on historical settings without much review, with most</w:t>
      </w:r>
      <w:r w:rsidR="00D71C67" w:rsidRPr="00746C01" w:rsidDel="00EF04EB">
        <w:t xml:space="preserve"> jurisdictions </w:t>
      </w:r>
      <w:r w:rsidR="00D71C67" w:rsidRPr="00746C01">
        <w:t xml:space="preserve">using simple and ad hoc approaches to setting fares and subsidies that do not systematically address equity or efficiency goals. A superior approach to pricing developed by the Independent Pricing and Regulatory Tribunal has been operational in New South Wales for some years (PC 2021c, p. 18), while Infrastructure Victoria has undertaken considerable research on pricing reforms (Infrastructure Victoria, sub. 10, p. 1), though this is not yet reflected in policy. No other jurisdictions have moved to more sophisticated approaches, but there may be opportunities for governments to adopt more efficient pricing mechanisms and fare structures. This inquiry’s companion volume </w:t>
      </w:r>
      <w:r w:rsidR="00D71C67" w:rsidRPr="00746C01">
        <w:rPr>
          <w:i/>
        </w:rPr>
        <w:t>A competitive, dynamic and sustainable future</w:t>
      </w:r>
      <w:r w:rsidR="00D71C67" w:rsidRPr="00746C01">
        <w:t xml:space="preserve"> includes a recommendation to improve public transport pricing by</w:t>
      </w:r>
      <w:r w:rsidR="00720E38">
        <w:t xml:space="preserve"> implementing pricing reforms that have been </w:t>
      </w:r>
      <w:r w:rsidR="006D59AF">
        <w:lastRenderedPageBreak/>
        <w:t>suggested</w:t>
      </w:r>
      <w:r w:rsidR="00720E38">
        <w:t xml:space="preserve"> by </w:t>
      </w:r>
      <w:r w:rsidR="009A10F3">
        <w:t>independent bodies</w:t>
      </w:r>
      <w:r w:rsidR="00663568">
        <w:t xml:space="preserve"> and better diffusing learnings about efficient </w:t>
      </w:r>
      <w:r w:rsidR="00701CF3">
        <w:t xml:space="preserve">pricing mechanisms </w:t>
      </w:r>
      <w:r w:rsidR="00152D4D">
        <w:t>across different jurisdictions</w:t>
      </w:r>
      <w:r w:rsidR="006D59AF">
        <w:t>.</w:t>
      </w:r>
      <w:r w:rsidR="00D71C67" w:rsidRPr="007F3318">
        <w:t xml:space="preserve"> </w:t>
      </w:r>
    </w:p>
    <w:p w14:paraId="22C55AAE" w14:textId="56259058" w:rsidR="00995121" w:rsidRPr="00746C01" w:rsidRDefault="00C80D00" w:rsidP="00EF4311">
      <w:pPr>
        <w:pStyle w:val="BodyText"/>
      </w:pPr>
      <w:r w:rsidRPr="00746C01">
        <w:t xml:space="preserve">In </w:t>
      </w:r>
      <w:r w:rsidR="00F03964" w:rsidRPr="00746C01">
        <w:t xml:space="preserve">primary healthcare, </w:t>
      </w:r>
      <w:r w:rsidR="001F00DC" w:rsidRPr="00746C01">
        <w:t>the Australian Government is</w:t>
      </w:r>
      <w:r w:rsidR="00995121" w:rsidRPr="00746C01" w:rsidDel="001F00DC">
        <w:t xml:space="preserve"> </w:t>
      </w:r>
      <w:r w:rsidR="00EF4311" w:rsidRPr="00746C01">
        <w:t xml:space="preserve">the </w:t>
      </w:r>
      <w:r w:rsidR="00995121" w:rsidRPr="00746C01">
        <w:t xml:space="preserve">major funder and a source of clinical guidelines and advice, </w:t>
      </w:r>
      <w:r w:rsidR="001F00DC" w:rsidRPr="00746C01">
        <w:t>but it has</w:t>
      </w:r>
      <w:r w:rsidR="00995121" w:rsidRPr="00746C01">
        <w:t xml:space="preserve"> often struggled to contain unwarranted variations in clinician</w:t>
      </w:r>
      <w:r w:rsidR="0068228D" w:rsidRPr="00746C01">
        <w:t xml:space="preserve"> practice</w:t>
      </w:r>
      <w:r w:rsidR="00995121" w:rsidRPr="00746C01">
        <w:t>.</w:t>
      </w:r>
      <w:r w:rsidR="00995121" w:rsidRPr="00746C01" w:rsidDel="00833A35">
        <w:t xml:space="preserve"> </w:t>
      </w:r>
      <w:r w:rsidR="00AB1AE4" w:rsidRPr="00746C01">
        <w:t>According to</w:t>
      </w:r>
      <w:r w:rsidR="00EF4311" w:rsidRPr="00746C01">
        <w:t xml:space="preserve"> the </w:t>
      </w:r>
      <w:r w:rsidR="00AB1AE4" w:rsidRPr="00746C01">
        <w:t>ACSQHC (sub. 9, p. 7),</w:t>
      </w:r>
      <w:r w:rsidR="00833A35" w:rsidRPr="00746C01">
        <w:t xml:space="preserve"> ‘i</w:t>
      </w:r>
      <w:r w:rsidR="00995121" w:rsidRPr="00746C01">
        <w:t>f clinical variation does not reflect a difference in patients’ clinical needs or preferences, it is unwarranted and can present an opportunity for the system to improve</w:t>
      </w:r>
      <w:r w:rsidR="00833A35" w:rsidRPr="00746C01">
        <w:t>’</w:t>
      </w:r>
      <w:r w:rsidR="00995121" w:rsidRPr="00746C01" w:rsidDel="00833A35">
        <w:t>.</w:t>
      </w:r>
      <w:r w:rsidR="00833A35" w:rsidRPr="00746C01">
        <w:t xml:space="preserve"> </w:t>
      </w:r>
      <w:r w:rsidR="00C96EA2" w:rsidRPr="00746C01">
        <w:t>L</w:t>
      </w:r>
      <w:r w:rsidR="00F91C56" w:rsidRPr="00746C01">
        <w:t xml:space="preserve">arge variations in </w:t>
      </w:r>
      <w:r w:rsidR="008E6B31" w:rsidRPr="00746C01">
        <w:t>healthcare</w:t>
      </w:r>
      <w:r w:rsidR="00F91C56" w:rsidRPr="00746C01">
        <w:t xml:space="preserve"> </w:t>
      </w:r>
      <w:r w:rsidR="00C96EA2" w:rsidRPr="00746C01">
        <w:t xml:space="preserve">can </w:t>
      </w:r>
      <w:r w:rsidR="00F91C56" w:rsidRPr="00746C01">
        <w:t xml:space="preserve">reflect different rates at which new practices spread through the health system or, worse, </w:t>
      </w:r>
      <w:r w:rsidR="00C96EA2" w:rsidRPr="00746C01">
        <w:t xml:space="preserve">the persistence of </w:t>
      </w:r>
      <w:r w:rsidR="00F91C56" w:rsidRPr="00746C01">
        <w:t xml:space="preserve">outdated and sometimes harmful practices </w:t>
      </w:r>
      <w:r w:rsidR="00F91C56" w:rsidRPr="00746C01">
        <w:rPr>
          <w:rFonts w:ascii="Arial" w:hAnsi="Arial" w:cs="Arial"/>
          <w:szCs w:val="24"/>
        </w:rPr>
        <w:t>(ACSQHC 2019, p. 46, 2021b, 2021a; Duckett 2017, pp. 15–17; OECD 2017)</w:t>
      </w:r>
      <w:r w:rsidR="00F91C56" w:rsidRPr="00746C01">
        <w:t>.</w:t>
      </w:r>
      <w:r w:rsidR="00C96EA2" w:rsidRPr="00746C01">
        <w:t xml:space="preserve"> Some examples include:</w:t>
      </w:r>
    </w:p>
    <w:p w14:paraId="6DD74B3E" w14:textId="29626117" w:rsidR="00010E0A" w:rsidRPr="00746C01" w:rsidRDefault="005843E0" w:rsidP="00C96EA2">
      <w:pPr>
        <w:pStyle w:val="ListBullet"/>
      </w:pPr>
      <w:r w:rsidRPr="00746C01">
        <w:t>O</w:t>
      </w:r>
      <w:r w:rsidR="00010E0A" w:rsidRPr="00746C01">
        <w:t>ver</w:t>
      </w:r>
      <w:r w:rsidR="00010E0A" w:rsidRPr="00746C01">
        <w:noBreakHyphen/>
        <w:t xml:space="preserve">prescription of antibiotics by GPs </w:t>
      </w:r>
      <w:r w:rsidR="0026442B" w:rsidRPr="00746C01">
        <w:t>can lead to antibiotic resistance.</w:t>
      </w:r>
      <w:r w:rsidR="00010E0A" w:rsidRPr="00746C01">
        <w:t xml:space="preserve"> A large percentage of patients are being prescribed antibiotics for conditions for which there is no evidence of health benefits from antibiotic use such as non</w:t>
      </w:r>
      <w:r w:rsidR="00010E0A" w:rsidRPr="00746C01">
        <w:noBreakHyphen/>
        <w:t>infant acute tonsillitis (85</w:t>
      </w:r>
      <w:r w:rsidR="00E94315">
        <w:t>%</w:t>
      </w:r>
      <w:r w:rsidR="00010E0A" w:rsidRPr="00746C01">
        <w:t xml:space="preserve"> of patients) and bronchitis (82</w:t>
      </w:r>
      <w:r w:rsidR="00E94315">
        <w:t>%</w:t>
      </w:r>
      <w:r w:rsidR="00010E0A" w:rsidRPr="00746C01">
        <w:t xml:space="preserve"> of patients) </w:t>
      </w:r>
      <w:r w:rsidR="00010E0A" w:rsidRPr="00746C01">
        <w:rPr>
          <w:rFonts w:ascii="Arial" w:hAnsi="Arial" w:cs="Arial"/>
          <w:szCs w:val="24"/>
        </w:rPr>
        <w:t>(ACSQHC 2021a, pp. 79–80)</w:t>
      </w:r>
      <w:r w:rsidR="00010E0A" w:rsidRPr="00746C01">
        <w:t>.</w:t>
      </w:r>
    </w:p>
    <w:p w14:paraId="5DA151AB" w14:textId="668DF7A5" w:rsidR="00C96EA2" w:rsidRPr="00746C01" w:rsidRDefault="008E6B31" w:rsidP="00C96EA2">
      <w:pPr>
        <w:pStyle w:val="ListBullet"/>
      </w:pPr>
      <w:r w:rsidRPr="00746C01">
        <w:t>B</w:t>
      </w:r>
      <w:r w:rsidR="00EF4311" w:rsidRPr="00746C01">
        <w:t>efore</w:t>
      </w:r>
      <w:r w:rsidR="00EF4311" w:rsidRPr="00746C01" w:rsidDel="00033F72">
        <w:t xml:space="preserve"> </w:t>
      </w:r>
      <w:r w:rsidR="00EF4311" w:rsidRPr="00746C01">
        <w:t>change</w:t>
      </w:r>
      <w:r w:rsidR="00033F72" w:rsidRPr="00746C01">
        <w:t>s</w:t>
      </w:r>
      <w:r w:rsidR="00EF4311" w:rsidRPr="00746C01">
        <w:t xml:space="preserve"> to the Medical Benefits Schedule (MBS) in 2020 in response to COVID</w:t>
      </w:r>
      <w:r w:rsidR="00EF4311" w:rsidRPr="00746C01">
        <w:noBreakHyphen/>
        <w:t>19, GP telehealth services were very limited, though the technology (the telephone) existed. Payments for telehealth were restricted to only rural or remote areas and aged care facilities, and before mid</w:t>
      </w:r>
      <w:r w:rsidR="00EF4311" w:rsidRPr="00746C01">
        <w:noBreakHyphen/>
        <w:t xml:space="preserve">2011 were further confined to psychiatric and radiology services </w:t>
      </w:r>
      <w:r w:rsidR="00EF4311" w:rsidRPr="00746C01">
        <w:rPr>
          <w:rFonts w:ascii="Arial" w:hAnsi="Arial" w:cs="Arial"/>
          <w:szCs w:val="24"/>
        </w:rPr>
        <w:t>(PC 2017d, p. 56; Tran and Haddock 2021, p. 6)</w:t>
      </w:r>
      <w:r w:rsidR="00EF4311" w:rsidRPr="00746C01">
        <w:t xml:space="preserve"> despite evidence of their benefits </w:t>
      </w:r>
      <w:r w:rsidR="00EF4311" w:rsidRPr="00746C01">
        <w:rPr>
          <w:rFonts w:ascii="Arial" w:hAnsi="Arial" w:cs="Arial"/>
          <w:szCs w:val="24"/>
        </w:rPr>
        <w:t>(Moffatt and Eley 2010)</w:t>
      </w:r>
      <w:r w:rsidR="00EF4311" w:rsidRPr="00746C01">
        <w:t xml:space="preserve">. </w:t>
      </w:r>
    </w:p>
    <w:p w14:paraId="64AE4508" w14:textId="3BF8B10D" w:rsidR="00EF4311" w:rsidRPr="00746C01" w:rsidRDefault="00EF4311" w:rsidP="00AF2ECF">
      <w:pPr>
        <w:pStyle w:val="ListBullet"/>
      </w:pPr>
      <w:r w:rsidRPr="00746C01">
        <w:t>There are other technologies — such as wearables that gather and communicate health indicators to clinicians in a timely, efficient and unobtrusive manner — that are not supported by the clinical model underpinning MBS funding (MTAA, sub. 33, pp.</w:t>
      </w:r>
      <w:r w:rsidR="00A43B86">
        <w:t> </w:t>
      </w:r>
      <w:r w:rsidRPr="00746C01">
        <w:t>5–6).</w:t>
      </w:r>
    </w:p>
    <w:p w14:paraId="16508307" w14:textId="15125FA5" w:rsidR="00AF119F" w:rsidRPr="00746C01" w:rsidRDefault="00EF4311" w:rsidP="00EF4311">
      <w:pPr>
        <w:pStyle w:val="BodyText"/>
      </w:pPr>
      <w:r w:rsidRPr="00746C01">
        <w:t>The striking variation suggests opportunities for improvement through more guidance, monitoring, education, and for some contexts and procedures, de</w:t>
      </w:r>
      <w:r w:rsidRPr="00746C01">
        <w:noBreakHyphen/>
        <w:t>funding. The MBS was first introduced in 1984 and before 2015</w:t>
      </w:r>
      <w:r w:rsidRPr="00746C01">
        <w:noBreakHyphen/>
        <w:t xml:space="preserve">16 had never been subject to a comprehensive review despite substantial changes to medical practice </w:t>
      </w:r>
      <w:r w:rsidRPr="00746C01">
        <w:rPr>
          <w:rFonts w:ascii="Arial" w:hAnsi="Arial" w:cs="Arial"/>
          <w:szCs w:val="24"/>
        </w:rPr>
        <w:t>(Medicare Benefit Schedule Review Taskforce 2020, p. 1)</w:t>
      </w:r>
      <w:r w:rsidRPr="00746C01">
        <w:t xml:space="preserve">. </w:t>
      </w:r>
    </w:p>
    <w:p w14:paraId="3618D6D4" w14:textId="606FEBA3" w:rsidR="00EF4311" w:rsidRPr="00746C01" w:rsidRDefault="00EF4311" w:rsidP="00EF4311">
      <w:pPr>
        <w:pStyle w:val="BodyText"/>
      </w:pPr>
      <w:r w:rsidRPr="00746C01">
        <w:t xml:space="preserve">The government should regularly update the MBS so that funding is only provided to treatments that reflect medical best practice, based on medical research both domestically and from overseas. Comprehensive reviews take significant amounts of time — for example, the comprehensive </w:t>
      </w:r>
      <w:r w:rsidR="00426D0B" w:rsidRPr="00746C01">
        <w:t xml:space="preserve">MBS </w:t>
      </w:r>
      <w:r w:rsidRPr="00746C01">
        <w:t>review that started in 2015 was completed in 2020. As research and feedback on medical best practice is constantly emerging, updates to the MBS should occur more frequently and on a rolling basis where there is evidence that questions the efficacy or cost effectiveness of existing treatments. A systematic mechanism for this to occur would be for the Medical Services Advisory Committee (MSAC) to undertake an annual review of selected MBS items to determine whether they should continue to receive government subsidies. The list of items to be reviewed each year should be targeted based on:</w:t>
      </w:r>
    </w:p>
    <w:p w14:paraId="71F6421A" w14:textId="6C2D50EE" w:rsidR="00EF4311" w:rsidRPr="00F24EB3" w:rsidRDefault="00EF4311" w:rsidP="00EF4311">
      <w:pPr>
        <w:pStyle w:val="ListBullet"/>
        <w:rPr>
          <w:spacing w:val="-4"/>
        </w:rPr>
      </w:pPr>
      <w:r w:rsidRPr="00F24EB3">
        <w:rPr>
          <w:spacing w:val="-4"/>
        </w:rPr>
        <w:t>treatments where emerging Australian and/or international evidence questions the efficacy or cost effectiveness of existing procedures, including treatments that international bodies (such as the UK’s National Institute for Health and Care Excellence) have recommended de</w:t>
      </w:r>
      <w:r w:rsidR="00A43B86">
        <w:rPr>
          <w:spacing w:val="-4"/>
        </w:rPr>
        <w:noBreakHyphen/>
      </w:r>
      <w:r w:rsidRPr="00F24EB3">
        <w:rPr>
          <w:spacing w:val="-4"/>
        </w:rPr>
        <w:t>funding or replacing with new treatments</w:t>
      </w:r>
    </w:p>
    <w:p w14:paraId="0F52DD67" w14:textId="77777777" w:rsidR="00EF4311" w:rsidRPr="00746C01" w:rsidRDefault="00EF4311" w:rsidP="00EF4311">
      <w:pPr>
        <w:pStyle w:val="ListBullet"/>
      </w:pPr>
      <w:r w:rsidRPr="00746C01">
        <w:t>treatments that MSAC has received clinician feedback on doubting their effectiveness</w:t>
      </w:r>
    </w:p>
    <w:p w14:paraId="790478EE" w14:textId="77777777" w:rsidR="00EF4311" w:rsidRPr="00746C01" w:rsidRDefault="00EF4311" w:rsidP="00EF4311">
      <w:pPr>
        <w:pStyle w:val="ListBullet"/>
      </w:pPr>
      <w:r w:rsidRPr="00746C01">
        <w:t>highly costly treatments that receive large government subsidies through the MBS and have not been reviewed in the past 10 years.</w:t>
      </w:r>
    </w:p>
    <w:p w14:paraId="3BA02B5C" w14:textId="47E20705" w:rsidR="00EF4311" w:rsidRDefault="00EF4311" w:rsidP="00EF4311">
      <w:pPr>
        <w:pStyle w:val="BodyText"/>
      </w:pPr>
      <w:r w:rsidRPr="00746C01">
        <w:t>While MSAC’s remit already includes considering amendments to existing services funded by the MBS, much of its current activities focus on assessing new MBS items rather than re</w:t>
      </w:r>
      <w:r w:rsidR="00A43B86">
        <w:noBreakHyphen/>
      </w:r>
      <w:r w:rsidRPr="00746C01">
        <w:t>evaluating existing ones. More prominently incorporating such annual assessments as a standing function of MSAC may require the Australian Government to provide higher levels of funding to MSAC so that it has the resources and capabilities to undertake regular targeted reviews.</w:t>
      </w:r>
    </w:p>
    <w:p w14:paraId="64A47EFF" w14:textId="77777777" w:rsidR="003A0ECF" w:rsidRDefault="003A0ECF" w:rsidP="00522FBC">
      <w:pPr>
        <w:pStyle w:val="Heading4"/>
      </w:pPr>
      <w:r>
        <w:lastRenderedPageBreak/>
        <w:t>Overcoming funding models that undermine innovation and best practice</w:t>
      </w:r>
    </w:p>
    <w:p w14:paraId="04ED0CD9" w14:textId="5926F286" w:rsidR="00B007C7" w:rsidRPr="00B007C7" w:rsidRDefault="00B007C7" w:rsidP="007B4C59">
      <w:pPr>
        <w:pStyle w:val="Heading5"/>
      </w:pPr>
      <w:r>
        <w:t>Healthcare funding models</w:t>
      </w:r>
    </w:p>
    <w:p w14:paraId="15A8D7FA" w14:textId="000E1768" w:rsidR="003A0ECF" w:rsidRPr="00F24EB3" w:rsidRDefault="003A0ECF" w:rsidP="003A0ECF">
      <w:pPr>
        <w:pStyle w:val="BodyText"/>
        <w:rPr>
          <w:spacing w:val="-2"/>
        </w:rPr>
      </w:pPr>
      <w:r w:rsidRPr="00F24EB3">
        <w:rPr>
          <w:spacing w:val="-2"/>
        </w:rPr>
        <w:t>Funding models should reward increases in the quality and efficiency of outputs and encourage cost reductions for government service bundles</w:t>
      </w:r>
      <w:r w:rsidR="00A45BC2" w:rsidRPr="00F24EB3">
        <w:rPr>
          <w:spacing w:val="-2"/>
        </w:rPr>
        <w:t>, whether that service is ultimately delivered by government or an external service provider</w:t>
      </w:r>
      <w:r w:rsidRPr="00F24EB3">
        <w:rPr>
          <w:spacing w:val="-2"/>
        </w:rPr>
        <w:t>. The word ‘bundle’ is important because many existing government</w:t>
      </w:r>
      <w:r w:rsidRPr="00F24EB3">
        <w:rPr>
          <w:spacing w:val="-2"/>
        </w:rPr>
        <w:noBreakHyphen/>
        <w:t>funded services are unbundled (or siloed) and then provided or managed separately by different arms and levels of government.</w:t>
      </w:r>
    </w:p>
    <w:p w14:paraId="09725569" w14:textId="592A6CEE" w:rsidR="003A0ECF" w:rsidRDefault="003A0ECF" w:rsidP="003A0ECF">
      <w:pPr>
        <w:pStyle w:val="BodyText"/>
      </w:pPr>
      <w:r>
        <w:t>The prime example of such siloing is healthcare with its fractured funding and governance mechanisms. The customer is equally fractured by unbundled services. They are a customer of a pharmacist, a patient to a GP, an admission to a hospital and a case to an outpatient service — four different people through the eyes of the current system. It makes sense to re</w:t>
      </w:r>
      <w:r>
        <w:noBreakHyphen/>
        <w:t>assemble them into one human being and provide them integrated care at whatever point they touch the system.</w:t>
      </w:r>
    </w:p>
    <w:p w14:paraId="2D9EB15C" w14:textId="3DF2AE2F" w:rsidR="00775721" w:rsidRPr="004B0107" w:rsidRDefault="003A0ECF" w:rsidP="00775721">
      <w:pPr>
        <w:pStyle w:val="BodyText"/>
      </w:pPr>
      <w:r>
        <w:t>Healthcare funding</w:t>
      </w:r>
      <w:r w:rsidR="00952DF2">
        <w:t xml:space="preserve">, </w:t>
      </w:r>
      <w:r w:rsidR="00490DF7">
        <w:t>delivery</w:t>
      </w:r>
      <w:r>
        <w:t xml:space="preserve"> and oversight should be managed </w:t>
      </w:r>
      <w:r w:rsidRPr="008C1392">
        <w:rPr>
          <w:i/>
          <w:iCs/>
        </w:rPr>
        <w:t>as if</w:t>
      </w:r>
      <w:r>
        <w:t xml:space="preserve"> there was only one level of government holding responsibility for it, recognising that creating this single virtual agent requires re</w:t>
      </w:r>
      <w:r>
        <w:noBreakHyphen/>
        <w:t>configuration of existing government funding models</w:t>
      </w:r>
      <w:r w:rsidR="0026236D">
        <w:t>,</w:t>
      </w:r>
      <w:r>
        <w:t xml:space="preserve"> changes in regulations (such as the </w:t>
      </w:r>
      <w:r w:rsidRPr="00F92AF4">
        <w:rPr>
          <w:i/>
          <w:iCs/>
        </w:rPr>
        <w:t xml:space="preserve">Health Insurance Act 1973 </w:t>
      </w:r>
      <w:r w:rsidRPr="00114125">
        <w:t>(Cth)</w:t>
      </w:r>
      <w:r>
        <w:t>)</w:t>
      </w:r>
      <w:r w:rsidR="00114125">
        <w:t xml:space="preserve"> and greater data sharing between different p</w:t>
      </w:r>
      <w:r w:rsidR="00114125" w:rsidRPr="0051035D">
        <w:t>arts of the health system</w:t>
      </w:r>
      <w:r w:rsidR="00C00174" w:rsidRPr="0051035D">
        <w:t xml:space="preserve">. The latter is discussed </w:t>
      </w:r>
      <w:r w:rsidR="00775721" w:rsidRPr="0051035D">
        <w:t xml:space="preserve">in this inquiry’s companion volume </w:t>
      </w:r>
      <w:r w:rsidR="00775721" w:rsidRPr="0051035D">
        <w:rPr>
          <w:i/>
          <w:iCs/>
        </w:rPr>
        <w:t>Australia’s data and digital dividend</w:t>
      </w:r>
      <w:r w:rsidR="00C00174" w:rsidRPr="0051035D">
        <w:t>, which recommends that</w:t>
      </w:r>
      <w:r w:rsidR="00775721" w:rsidRPr="0051035D">
        <w:t xml:space="preserve"> </w:t>
      </w:r>
      <w:r w:rsidR="005C4B9E" w:rsidRPr="0051035D">
        <w:t xml:space="preserve">the government </w:t>
      </w:r>
      <w:r w:rsidR="009E21E6" w:rsidRPr="0051035D">
        <w:t>implements improvements to</w:t>
      </w:r>
      <w:r w:rsidR="005C4B9E" w:rsidRPr="0051035D">
        <w:t xml:space="preserve"> </w:t>
      </w:r>
      <w:r w:rsidR="00775721" w:rsidRPr="0051035D">
        <w:t xml:space="preserve">My Health Record </w:t>
      </w:r>
      <w:r w:rsidR="009E21E6" w:rsidRPr="0051035D">
        <w:t xml:space="preserve">so that it can be </w:t>
      </w:r>
      <w:r w:rsidR="005C4B9E" w:rsidRPr="0051035D">
        <w:t>the foundation for a comprehensive health data sharing system</w:t>
      </w:r>
      <w:r w:rsidR="00B84DB3" w:rsidRPr="0051035D">
        <w:t xml:space="preserve"> across all parts of the healthcare sector</w:t>
      </w:r>
      <w:r w:rsidR="00775721" w:rsidRPr="0051035D">
        <w:t>.</w:t>
      </w:r>
    </w:p>
    <w:p w14:paraId="02434A7B" w14:textId="3F7B46E6" w:rsidR="003A0ECF" w:rsidRDefault="003A0ECF" w:rsidP="003A0ECF">
      <w:pPr>
        <w:pStyle w:val="BodyText"/>
      </w:pPr>
      <w:r>
        <w:t>Various capitation models, such as the Victorian HealthLinks program, are promising contenders for wider application for chronic disease management</w:t>
      </w:r>
      <w:r w:rsidR="00FD445F">
        <w:t xml:space="preserve"> and preventative care</w:t>
      </w:r>
      <w:r>
        <w:t>, as are bundling payment models for conditions (such as hip and knee replacements) that need predictable coordinated care spanning the whole health sector.</w:t>
      </w:r>
      <w:r w:rsidRPr="00E33348">
        <w:t xml:space="preserve"> </w:t>
      </w:r>
      <w:r>
        <w:t>The ideas of</w:t>
      </w:r>
      <w:r w:rsidRPr="00484239">
        <w:t xml:space="preserve"> </w:t>
      </w:r>
      <w:r>
        <w:t xml:space="preserve">the Consumers Health Forum of Australia </w:t>
      </w:r>
      <w:r w:rsidRPr="00281326">
        <w:rPr>
          <w:rFonts w:ascii="Arial" w:hAnsi="Arial" w:cs="Arial"/>
        </w:rPr>
        <w:t>(2020)</w:t>
      </w:r>
      <w:r>
        <w:t xml:space="preserve">, various reports from the Productivity Commission </w:t>
      </w:r>
      <w:r w:rsidR="00936D73" w:rsidRPr="00936D73">
        <w:rPr>
          <w:rFonts w:ascii="Arial" w:hAnsi="Arial" w:cs="Arial"/>
          <w:szCs w:val="24"/>
        </w:rPr>
        <w:t>(PC 2017d, 2020e)</w:t>
      </w:r>
      <w:r>
        <w:t xml:space="preserve">, the Grattan Institute </w:t>
      </w:r>
      <w:r w:rsidRPr="00465640">
        <w:rPr>
          <w:rFonts w:ascii="Arial" w:hAnsi="Arial" w:cs="Arial"/>
          <w:szCs w:val="24"/>
        </w:rPr>
        <w:t>(Breadon 2022; Duckett 2017, 2018b; Swerissen and Duckett 2018)</w:t>
      </w:r>
      <w:r>
        <w:t xml:space="preserve"> and others have set out reform directions that could apply at a greater scale, even if the details vary.</w:t>
      </w:r>
    </w:p>
    <w:p w14:paraId="6A8D0009" w14:textId="060F8A64" w:rsidR="003A0ECF" w:rsidRDefault="003A0ECF" w:rsidP="003A0ECF">
      <w:pPr>
        <w:pStyle w:val="BodyText"/>
      </w:pPr>
      <w:r>
        <w:t>The institutional and funding models</w:t>
      </w:r>
      <w:r w:rsidR="00EA64D6">
        <w:t xml:space="preserve"> </w:t>
      </w:r>
      <w:r>
        <w:t>to support reform of hospital funding are much better developed than under the previous health agreement between the Australian</w:t>
      </w:r>
      <w:r w:rsidR="00B7754A">
        <w:t>,</w:t>
      </w:r>
      <w:r>
        <w:t xml:space="preserve"> </w:t>
      </w:r>
      <w:r w:rsidR="00B7754A">
        <w:t>S</w:t>
      </w:r>
      <w:r>
        <w:t xml:space="preserve">tate and </w:t>
      </w:r>
      <w:r w:rsidR="00B7754A">
        <w:t>T</w:t>
      </w:r>
      <w:r>
        <w:t>erritory governments. Under the 2020 addendum to the National Health Reform Agreement, the Independent Hospital Pricing Authority (now the Independent Hospital and Aged Care Pricing Authority — IHACPA) has the capacity to reimburse hospitals for their participation in state</w:t>
      </w:r>
      <w:r>
        <w:noBreakHyphen/>
        <w:t>sponsored innovative fixed</w:t>
      </w:r>
      <w:r>
        <w:noBreakHyphen/>
        <w:t>term funding trials</w:t>
      </w:r>
      <w:r w:rsidRPr="00867ECC">
        <w:t xml:space="preserve"> </w:t>
      </w:r>
      <w:r w:rsidRPr="00B033B1">
        <w:rPr>
          <w:rFonts w:ascii="Arial" w:hAnsi="Arial" w:cs="Arial"/>
          <w:szCs w:val="24"/>
        </w:rPr>
        <w:t>(First Ministers 2020; IHPA 2022)</w:t>
      </w:r>
      <w:r>
        <w:t>. IHACPA will advise governments on any trial that might be nationally applied, yet there is no formal transition path to any Australia</w:t>
      </w:r>
      <w:r>
        <w:noBreakHyphen/>
        <w:t>wide systemic change to hospital funding.</w:t>
      </w:r>
    </w:p>
    <w:p w14:paraId="3E4751AF" w14:textId="1371F1C9" w:rsidR="003A0ECF" w:rsidRDefault="003A0ECF" w:rsidP="003A0ECF">
      <w:pPr>
        <w:pStyle w:val="BodyText"/>
      </w:pPr>
      <w:r>
        <w:t xml:space="preserve">The advantage of new funding models is not just that they bring to fruition ideas that have long been advanced and used overseas, but that they underpin the diffusion of other innovations. Were a hospital given appropriate incentives, there are hundreds of novel ways of preventing unnecessary, or shortening the duration of, hospitalisation that it could be motivated to introduce. Similarly, new funding models for improved primary care — even if not directly coordinated with hospitals — can better manage and prevent chronic disease, as shown in the case studies examined by the Productivity Commission </w:t>
      </w:r>
      <w:r w:rsidRPr="00741A94">
        <w:rPr>
          <w:rFonts w:ascii="Arial" w:hAnsi="Arial" w:cs="Arial"/>
          <w:szCs w:val="24"/>
        </w:rPr>
        <w:t>(PC 2021b)</w:t>
      </w:r>
      <w:r>
        <w:t>. The main problem is not a lack of appetite for changes in funding models, but the slow pace of scaling up promising initiatives. The rapidity of health system adaptations to the COVID</w:t>
      </w:r>
      <w:r>
        <w:noBreakHyphen/>
        <w:t>19 pandemic suggests that there should be scope for acceleration.</w:t>
      </w:r>
    </w:p>
    <w:p w14:paraId="3F015742" w14:textId="2E37993C" w:rsidR="0048704D" w:rsidRDefault="00B007C7" w:rsidP="007B4C59">
      <w:pPr>
        <w:pStyle w:val="Heading5"/>
      </w:pPr>
      <w:r>
        <w:lastRenderedPageBreak/>
        <w:t>Contract lengths for human services</w:t>
      </w:r>
    </w:p>
    <w:p w14:paraId="0681553D" w14:textId="704241D0" w:rsidR="00F741BD" w:rsidRDefault="007E3261" w:rsidP="003A0ECF">
      <w:pPr>
        <w:pStyle w:val="BodyText"/>
      </w:pPr>
      <w:r>
        <w:t xml:space="preserve">Contract terms set by governments can frustrate innovation and diffusion through excessive prescription </w:t>
      </w:r>
      <w:r w:rsidRPr="00683FE9">
        <w:rPr>
          <w:rFonts w:ascii="Arial" w:hAnsi="Arial" w:cs="Arial"/>
          <w:szCs w:val="24"/>
        </w:rPr>
        <w:t>(PC 2016b, p. 32)</w:t>
      </w:r>
      <w:r>
        <w:t xml:space="preserve"> and limit the capacity for user choice to encourage best practice and innovation among service providers. </w:t>
      </w:r>
      <w:r w:rsidR="003C089A">
        <w:t>F</w:t>
      </w:r>
      <w:r w:rsidR="003A0ECF">
        <w:t>unding contracts for community organisations delivering government</w:t>
      </w:r>
      <w:r w:rsidR="003A0ECF">
        <w:noBreakHyphen/>
        <w:t>funded services are often too short (sometimes only 12 months) and with low certainty of renewal. This limits the capacity for community organisations to set up, develop their skills and processes, learn from experience, and invest in innovation. Re</w:t>
      </w:r>
      <w:r w:rsidR="003A0ECF">
        <w:noBreakHyphen/>
        <w:t xml:space="preserve">tendering can also take up considerable resources and management time better spent on raising the performance and capability of the agency. </w:t>
      </w:r>
    </w:p>
    <w:p w14:paraId="3E06958C" w14:textId="51BF3FD2" w:rsidR="003A0ECF" w:rsidRDefault="003A0ECF" w:rsidP="003A0ECF">
      <w:pPr>
        <w:pStyle w:val="BodyText"/>
      </w:pPr>
      <w:r>
        <w:t>While shorter</w:t>
      </w:r>
      <w:r>
        <w:noBreakHyphen/>
        <w:t>term contracts may seem to control risks, there are other ways of doing this without stifling innovation. In its assessment of various government services, the Productivity Commission concluded that contract durations should be longer than the usual default. The Commission recommended default contract lengths of a minimum of seven years for providers of</w:t>
      </w:r>
      <w:r w:rsidRPr="00104B2C">
        <w:t xml:space="preserve"> </w:t>
      </w:r>
      <w:r>
        <w:t>children and family services</w:t>
      </w:r>
      <w:r w:rsidRPr="00EC327B">
        <w:t xml:space="preserve"> </w:t>
      </w:r>
      <w:r>
        <w:t xml:space="preserve">in the Northern Territory </w:t>
      </w:r>
      <w:r w:rsidRPr="002429C8">
        <w:rPr>
          <w:rFonts w:ascii="Arial" w:hAnsi="Arial" w:cs="Arial"/>
          <w:szCs w:val="24"/>
        </w:rPr>
        <w:t>(PC 2020b, p. 37)</w:t>
      </w:r>
      <w:r>
        <w:t xml:space="preserve">, which </w:t>
      </w:r>
      <w:r w:rsidR="00A94D00">
        <w:t>is consistent</w:t>
      </w:r>
      <w:r>
        <w:t xml:space="preserve"> an earlier finding of seven years as a</w:t>
      </w:r>
      <w:r w:rsidR="00A37AAE">
        <w:t>n</w:t>
      </w:r>
      <w:r>
        <w:t xml:space="preserve"> appropriate contract length for human services generally </w:t>
      </w:r>
      <w:r w:rsidR="00936D73" w:rsidRPr="00936D73">
        <w:rPr>
          <w:rFonts w:ascii="Arial" w:hAnsi="Arial" w:cs="Arial"/>
          <w:szCs w:val="24"/>
        </w:rPr>
        <w:t>(PC 2017c, p. 24)</w:t>
      </w:r>
      <w:r>
        <w:t xml:space="preserve">. </w:t>
      </w:r>
      <w:r w:rsidR="00A55C40">
        <w:t xml:space="preserve">The appropriate contract length may vary depending on </w:t>
      </w:r>
      <w:r w:rsidR="006523B6">
        <w:t>several factors, such as the type of service being provided and the location of provision</w:t>
      </w:r>
      <w:r w:rsidR="007D0F4A">
        <w:t>; for example,</w:t>
      </w:r>
      <w:r w:rsidR="006523B6">
        <w:t xml:space="preserve"> </w:t>
      </w:r>
      <w:r w:rsidR="00434009">
        <w:t xml:space="preserve">the </w:t>
      </w:r>
      <w:r w:rsidR="007D0F4A">
        <w:t>Commissio</w:t>
      </w:r>
      <w:r w:rsidR="00851625">
        <w:t xml:space="preserve">n’s mental health inquiry recommended that funding cycles for psychosocial support services should be increased to a minimum of five years </w:t>
      </w:r>
      <w:r w:rsidR="006F0AC7" w:rsidRPr="006F0AC7">
        <w:rPr>
          <w:rFonts w:ascii="Arial" w:hAnsi="Arial" w:cs="Arial"/>
          <w:szCs w:val="24"/>
        </w:rPr>
        <w:t>(PC 2020e, p. 843)</w:t>
      </w:r>
      <w:r w:rsidR="002B2475">
        <w:t>.</w:t>
      </w:r>
      <w:r w:rsidR="005A0FAE">
        <w:t xml:space="preserve"> </w:t>
      </w:r>
      <w:r w:rsidR="007052EB">
        <w:t>S</w:t>
      </w:r>
      <w:r w:rsidR="00434009">
        <w:t xml:space="preserve">uitable </w:t>
      </w:r>
      <w:r w:rsidR="007052EB">
        <w:t xml:space="preserve">contract </w:t>
      </w:r>
      <w:r w:rsidR="00434009">
        <w:t>length</w:t>
      </w:r>
      <w:r w:rsidR="007052EB">
        <w:t>s</w:t>
      </w:r>
      <w:r w:rsidR="00434009">
        <w:t xml:space="preserve"> </w:t>
      </w:r>
      <w:r w:rsidR="006523B6">
        <w:t>could be reconsidered for contracts that are retendered</w:t>
      </w:r>
      <w:r w:rsidR="00434009">
        <w:t xml:space="preserve"> upon their expiry.</w:t>
      </w:r>
    </w:p>
    <w:p w14:paraId="5FA815CE" w14:textId="7D8BA5E5" w:rsidR="00B007C7" w:rsidRDefault="00240D49" w:rsidP="003406C4">
      <w:pPr>
        <w:pStyle w:val="Heading5"/>
        <w:spacing w:before="240"/>
      </w:pPr>
      <w:r>
        <w:t>A citizen</w:t>
      </w:r>
      <w:r w:rsidR="00A43B86">
        <w:noBreakHyphen/>
      </w:r>
      <w:r>
        <w:t>centred approach to funding</w:t>
      </w:r>
    </w:p>
    <w:p w14:paraId="75A2EB47" w14:textId="49D036F4" w:rsidR="00ED743D" w:rsidRDefault="003A0ECF" w:rsidP="003A0ECF">
      <w:pPr>
        <w:pStyle w:val="BodyText"/>
      </w:pPr>
      <w:r>
        <w:t>Funding models for government services centred on consumer</w:t>
      </w:r>
      <w:r>
        <w:noBreakHyphen/>
        <w:t>directed control underpin a different kind of diffusion and innovation — the capacity for consumers to engage imaginatively with mainstream providers</w:t>
      </w:r>
      <w:r w:rsidR="00605BCA">
        <w:t>,</w:t>
      </w:r>
      <w:r w:rsidR="006113CD">
        <w:t xml:space="preserve"> and for providers to compete based on their ability to service consumers’ needs</w:t>
      </w:r>
      <w:r>
        <w:t xml:space="preserve">. On the one hand, contract and funding arrangements can diffuse best practice among providers for </w:t>
      </w:r>
      <w:r w:rsidRPr="00D226BB">
        <w:rPr>
          <w:i/>
          <w:iCs/>
        </w:rPr>
        <w:t>that</w:t>
      </w:r>
      <w:r>
        <w:t xml:space="preserve"> model of service provision. But in many cases, best practice is to let the citizen decide how to arrange the services that meet their preferences, subject to an appropriate budget limit. </w:t>
      </w:r>
      <w:r w:rsidR="008C3D46">
        <w:t>Citizen</w:t>
      </w:r>
      <w:r w:rsidR="00A43B86">
        <w:noBreakHyphen/>
      </w:r>
      <w:r w:rsidR="008C3D46">
        <w:t xml:space="preserve">centred funding models are particularly beneficial for delivering human services, as </w:t>
      </w:r>
      <w:r w:rsidR="00631499">
        <w:t xml:space="preserve">they allow service providers to receive signals from </w:t>
      </w:r>
      <w:r w:rsidR="00D248F3">
        <w:t>citizens</w:t>
      </w:r>
      <w:r w:rsidR="00631499">
        <w:t xml:space="preserve"> about what they value most, with the flexibility for providers to implement </w:t>
      </w:r>
      <w:r w:rsidR="00477967">
        <w:t xml:space="preserve">innovations that can meet these </w:t>
      </w:r>
      <w:r w:rsidR="00B94716">
        <w:t>needs in either a specialised or general way depending on the citizen’s preferences</w:t>
      </w:r>
      <w:r w:rsidR="00477967">
        <w:t>.</w:t>
      </w:r>
      <w:r w:rsidR="00611DBF">
        <w:t xml:space="preserve"> This applies both for human services delivered by government and those funded by government and delivered by an external provider.</w:t>
      </w:r>
    </w:p>
    <w:p w14:paraId="763EA2A1" w14:textId="1614647F" w:rsidR="00ED743D" w:rsidRDefault="003A0ECF" w:rsidP="003A0ECF">
      <w:pPr>
        <w:pStyle w:val="BodyText"/>
      </w:pPr>
      <w:r>
        <w:t xml:space="preserve">An example of this from a previous </w:t>
      </w:r>
      <w:r w:rsidR="0019794E">
        <w:t xml:space="preserve">Productivity </w:t>
      </w:r>
      <w:r>
        <w:t xml:space="preserve">Commission inquiry </w:t>
      </w:r>
      <w:r w:rsidRPr="00B31F66">
        <w:rPr>
          <w:rFonts w:ascii="Arial" w:hAnsi="Arial" w:cs="Arial"/>
          <w:szCs w:val="24"/>
        </w:rPr>
        <w:t>(PC 2011)</w:t>
      </w:r>
      <w:r>
        <w:t xml:space="preserve"> was of a young person with Down’s Syndrome who used to receive services from specialist disability providers, being picked up by a bus for people with disabilities and taken to activities that might or might not interest them. When given a budget for services, the person learned how to take public transport, to go the cinema</w:t>
      </w:r>
      <w:r w:rsidRPr="003962C2">
        <w:t xml:space="preserve"> </w:t>
      </w:r>
      <w:r>
        <w:t xml:space="preserve">and to buy her favourite meal from McDonalds, which she loved. Best practice was not the achievement of the most efficient allocation of resources </w:t>
      </w:r>
      <w:r w:rsidRPr="00495783">
        <w:rPr>
          <w:i/>
          <w:iCs/>
        </w:rPr>
        <w:t>within</w:t>
      </w:r>
      <w:r>
        <w:t xml:space="preserve"> an enterprise, but the meeting of the preferences of the person. </w:t>
      </w:r>
    </w:p>
    <w:p w14:paraId="1DA3EA50" w14:textId="4B4C0425" w:rsidR="003A0ECF" w:rsidRDefault="003A0ECF" w:rsidP="00F24E78">
      <w:pPr>
        <w:pStyle w:val="BodyText"/>
      </w:pPr>
      <w:r>
        <w:t>Governments can much better diffuse this different way of organising resources in some of its other services.</w:t>
      </w:r>
      <w:r w:rsidR="009A0609">
        <w:t xml:space="preserve"> </w:t>
      </w:r>
      <w:r w:rsidR="005E2C28">
        <w:t xml:space="preserve">For instance, </w:t>
      </w:r>
      <w:r w:rsidR="00C1186B">
        <w:t xml:space="preserve">in the housing policy space, </w:t>
      </w:r>
      <w:r w:rsidR="005E2C28">
        <w:t>t</w:t>
      </w:r>
      <w:r w:rsidR="009A0609">
        <w:t>he Commission</w:t>
      </w:r>
      <w:r w:rsidR="0096125E">
        <w:t xml:space="preserve"> </w:t>
      </w:r>
      <w:r w:rsidR="00EB0341">
        <w:t xml:space="preserve">noted </w:t>
      </w:r>
      <w:r w:rsidR="0096125E">
        <w:t xml:space="preserve">that </w:t>
      </w:r>
      <w:r w:rsidR="00AA2F1C">
        <w:t xml:space="preserve">financial assistance </w:t>
      </w:r>
      <w:r w:rsidR="00285434">
        <w:t>to people in need should</w:t>
      </w:r>
      <w:r w:rsidR="0011151A">
        <w:t xml:space="preserve"> be user</w:t>
      </w:r>
      <w:r w:rsidR="00A43B86">
        <w:noBreakHyphen/>
      </w:r>
      <w:r w:rsidR="0011151A">
        <w:t>centred and</w:t>
      </w:r>
      <w:r w:rsidR="00285434">
        <w:t xml:space="preserve"> </w:t>
      </w:r>
      <w:r w:rsidR="00160A46">
        <w:t xml:space="preserve">enable them </w:t>
      </w:r>
      <w:r w:rsidR="00F24E78">
        <w:t xml:space="preserve">‘to have a genuine choice over where they live </w:t>
      </w:r>
      <w:r w:rsidR="00EB0341">
        <w:t xml:space="preserve">[which] </w:t>
      </w:r>
      <w:r w:rsidR="00F24E78">
        <w:t>would improve the responsiveness of the social housing system to the requirements of tenants by increasing competition between housing</w:t>
      </w:r>
      <w:r w:rsidR="00EB0341">
        <w:t xml:space="preserve"> </w:t>
      </w:r>
      <w:r w:rsidR="00F24E78">
        <w:t>providers’</w:t>
      </w:r>
      <w:r w:rsidR="00EB0341">
        <w:t xml:space="preserve"> </w:t>
      </w:r>
      <w:r w:rsidR="006F0AC7" w:rsidRPr="006F0AC7">
        <w:rPr>
          <w:rFonts w:ascii="Arial" w:hAnsi="Arial" w:cs="Arial"/>
          <w:szCs w:val="24"/>
        </w:rPr>
        <w:t>(PC 2017c, p. 15)</w:t>
      </w:r>
      <w:r w:rsidR="00A365DC">
        <w:t>.</w:t>
      </w:r>
      <w:r w:rsidR="0060061C">
        <w:t xml:space="preserve"> </w:t>
      </w:r>
      <w:r w:rsidR="004C5C40">
        <w:t xml:space="preserve">It also found in </w:t>
      </w:r>
      <w:r w:rsidR="00846B8D">
        <w:t>the 2022</w:t>
      </w:r>
      <w:r w:rsidR="004C5C40">
        <w:t xml:space="preserve"> </w:t>
      </w:r>
      <w:r w:rsidR="00846B8D" w:rsidRPr="00647ACF">
        <w:rPr>
          <w:i/>
          <w:iCs/>
        </w:rPr>
        <w:t>Housing and Homelessness Agreement Review</w:t>
      </w:r>
      <w:r w:rsidR="00846B8D">
        <w:t xml:space="preserve"> that </w:t>
      </w:r>
      <w:r w:rsidR="000A645C">
        <w:t xml:space="preserve">delivering housing assistance through </w:t>
      </w:r>
      <w:r w:rsidR="00D4461F">
        <w:t xml:space="preserve">government </w:t>
      </w:r>
      <w:r w:rsidR="00D21882">
        <w:t>subsidies tied to properties</w:t>
      </w:r>
      <w:r w:rsidR="002618F0">
        <w:t xml:space="preserve"> </w:t>
      </w:r>
      <w:r w:rsidR="007F21F6">
        <w:t>can lock renters into h</w:t>
      </w:r>
      <w:r w:rsidR="00706607">
        <w:t xml:space="preserve">omes that do not meet their needs, </w:t>
      </w:r>
      <w:r w:rsidR="00533209">
        <w:t>as should p</w:t>
      </w:r>
      <w:r w:rsidR="003D341C">
        <w:t xml:space="preserve">references and circumstances </w:t>
      </w:r>
      <w:proofErr w:type="gramStart"/>
      <w:r w:rsidR="003D341C">
        <w:t>change</w:t>
      </w:r>
      <w:proofErr w:type="gramEnd"/>
      <w:r w:rsidR="003D341C">
        <w:t xml:space="preserve"> they are unable to move without losing the assistance </w:t>
      </w:r>
      <w:r w:rsidR="00116531" w:rsidRPr="00116531">
        <w:rPr>
          <w:rFonts w:ascii="Arial" w:hAnsi="Arial" w:cs="Arial"/>
          <w:szCs w:val="24"/>
        </w:rPr>
        <w:t>(PC 2022b, p. 281)</w:t>
      </w:r>
      <w:r w:rsidR="003D341C">
        <w:t>.</w:t>
      </w:r>
    </w:p>
    <w:p w14:paraId="19DC9926" w14:textId="5D54254B" w:rsidR="00E55DCC" w:rsidRPr="00F65F5F" w:rsidRDefault="00E4694B" w:rsidP="0066361B">
      <w:pPr>
        <w:pStyle w:val="BodyText"/>
      </w:pPr>
      <w:r>
        <w:lastRenderedPageBreak/>
        <w:t>There are also o</w:t>
      </w:r>
      <w:r w:rsidR="00097046">
        <w:t xml:space="preserve">ther human services where governments could </w:t>
      </w:r>
      <w:r w:rsidR="0070186B">
        <w:t>encourage provider innovation and improve resource allocation</w:t>
      </w:r>
      <w:r w:rsidR="002A34A6">
        <w:t xml:space="preserve"> via a more citizen</w:t>
      </w:r>
      <w:r w:rsidR="00A43B86">
        <w:noBreakHyphen/>
      </w:r>
      <w:r w:rsidR="002A34A6">
        <w:t>centred approach</w:t>
      </w:r>
      <w:r>
        <w:t>. This</w:t>
      </w:r>
      <w:r w:rsidR="0070186B">
        <w:t xml:space="preserve"> include</w:t>
      </w:r>
      <w:r>
        <w:t>s</w:t>
      </w:r>
      <w:r w:rsidR="0070186B">
        <w:t xml:space="preserve"> end</w:t>
      </w:r>
      <w:r w:rsidR="00A43B86">
        <w:noBreakHyphen/>
      </w:r>
      <w:r w:rsidR="0070186B">
        <w:t>of</w:t>
      </w:r>
      <w:r w:rsidR="00A43B86">
        <w:noBreakHyphen/>
      </w:r>
      <w:r w:rsidR="0070186B">
        <w:t>life care, where</w:t>
      </w:r>
      <w:r w:rsidR="006B5067">
        <w:t xml:space="preserve"> governments should initially prioritise ensuring wider availability of high</w:t>
      </w:r>
      <w:r w:rsidR="00A43B86">
        <w:noBreakHyphen/>
      </w:r>
      <w:r w:rsidR="006B5067">
        <w:t>quality services that place users’ interests at the centre of delivery</w:t>
      </w:r>
      <w:r w:rsidR="003355D2">
        <w:t xml:space="preserve"> and</w:t>
      </w:r>
      <w:r w:rsidR="00CC40AA">
        <w:t>,</w:t>
      </w:r>
      <w:r w:rsidR="003355D2">
        <w:t xml:space="preserve"> in the long term</w:t>
      </w:r>
      <w:r w:rsidR="00CC40AA">
        <w:t>,</w:t>
      </w:r>
      <w:r w:rsidR="003355D2">
        <w:t xml:space="preserve"> offer users choice of provider where feasible</w:t>
      </w:r>
      <w:r w:rsidR="0070186B" w:rsidDel="003355D2">
        <w:t xml:space="preserve"> </w:t>
      </w:r>
      <w:r w:rsidR="006F0AC7" w:rsidRPr="006F0AC7">
        <w:rPr>
          <w:rFonts w:ascii="Arial" w:hAnsi="Arial" w:cs="Arial"/>
          <w:szCs w:val="24"/>
        </w:rPr>
        <w:t>(PC 2017c, p. 138)</w:t>
      </w:r>
      <w:r>
        <w:t>.</w:t>
      </w:r>
      <w:r w:rsidR="000733D8">
        <w:t xml:space="preserve"> </w:t>
      </w:r>
      <w:r>
        <w:t>A</w:t>
      </w:r>
      <w:r w:rsidR="000733D8">
        <w:t xml:space="preserve">nd </w:t>
      </w:r>
      <w:r>
        <w:t xml:space="preserve">in </w:t>
      </w:r>
      <w:r w:rsidR="000733D8">
        <w:t>public dental services,</w:t>
      </w:r>
      <w:r w:rsidR="002A34A6" w:rsidDel="00E4694B">
        <w:t xml:space="preserve"> </w:t>
      </w:r>
      <w:r w:rsidR="002A34A6">
        <w:t>‘giving users greater choice over their dental provider can also generate incentives for providers to be more responsive to patients’ needs as they are only funded when users choose them’</w:t>
      </w:r>
      <w:r w:rsidR="002D118D">
        <w:t xml:space="preserve"> </w:t>
      </w:r>
      <w:r w:rsidR="006F0AC7" w:rsidRPr="006F0AC7">
        <w:rPr>
          <w:rFonts w:ascii="Arial" w:hAnsi="Arial" w:cs="Arial"/>
          <w:szCs w:val="24"/>
        </w:rPr>
        <w:t>(PC 2017c, p. 387)</w:t>
      </w:r>
      <w:r w:rsidR="002A34A6">
        <w:t>.</w:t>
      </w:r>
      <w:r w:rsidR="00D64E55">
        <w:t xml:space="preserve"> And h</w:t>
      </w:r>
      <w:r w:rsidR="007666B4">
        <w:t xml:space="preserve">ealthcare </w:t>
      </w:r>
      <w:r w:rsidR="00C905D4">
        <w:t>is another</w:t>
      </w:r>
      <w:r w:rsidR="00A8746E">
        <w:t xml:space="preserve"> policy</w:t>
      </w:r>
      <w:r w:rsidR="00D4461F">
        <w:t xml:space="preserve"> </w:t>
      </w:r>
      <w:r w:rsidR="00A8746E">
        <w:t>area</w:t>
      </w:r>
      <w:r w:rsidR="00C905D4">
        <w:t xml:space="preserve"> where governments can </w:t>
      </w:r>
      <w:r w:rsidR="008D5B46">
        <w:t>shift to a more person</w:t>
      </w:r>
      <w:r w:rsidR="00A43B86">
        <w:noBreakHyphen/>
      </w:r>
      <w:r w:rsidR="008D5B46">
        <w:t>centred funding approach</w:t>
      </w:r>
      <w:r w:rsidR="007F433D">
        <w:t xml:space="preserve"> to foster innovation and improve patient outcomes</w:t>
      </w:r>
      <w:r w:rsidR="008D5B46">
        <w:t>.</w:t>
      </w:r>
      <w:r w:rsidR="00504D8C">
        <w:t xml:space="preserve"> </w:t>
      </w:r>
      <w:r w:rsidR="0088399A">
        <w:t>More co</w:t>
      </w:r>
      <w:r w:rsidR="00A43B86">
        <w:noBreakHyphen/>
      </w:r>
      <w:r w:rsidR="0088399A">
        <w:t xml:space="preserve">operative funding mechanisms </w:t>
      </w:r>
      <w:r w:rsidR="0052152A">
        <w:t>w</w:t>
      </w:r>
      <w:r w:rsidR="0088399A">
        <w:t xml:space="preserve">ould enable </w:t>
      </w:r>
      <w:r w:rsidR="00FA2360">
        <w:t xml:space="preserve">more integrated </w:t>
      </w:r>
      <w:r w:rsidR="00BA7EEE">
        <w:t>health</w:t>
      </w:r>
      <w:r w:rsidR="00FA2360">
        <w:t xml:space="preserve">care centred </w:t>
      </w:r>
      <w:r w:rsidR="00F66327">
        <w:t>on</w:t>
      </w:r>
      <w:r w:rsidR="00FA2360">
        <w:t xml:space="preserve"> a patient’s needs, </w:t>
      </w:r>
      <w:r w:rsidR="0031694A">
        <w:t>such as by encouraging longer</w:t>
      </w:r>
      <w:r w:rsidR="00A43B86">
        <w:noBreakHyphen/>
      </w:r>
      <w:r w:rsidR="0031694A">
        <w:t xml:space="preserve">term </w:t>
      </w:r>
      <w:r w:rsidR="00D177D6">
        <w:t>and/or preventative care</w:t>
      </w:r>
      <w:r w:rsidR="00C914EC">
        <w:t>,</w:t>
      </w:r>
      <w:r w:rsidR="009141F3">
        <w:t xml:space="preserve"> which are not well supported by the current health funding system </w:t>
      </w:r>
      <w:r w:rsidR="006F0AC7" w:rsidRPr="006F0AC7">
        <w:rPr>
          <w:rFonts w:ascii="Arial" w:hAnsi="Arial" w:cs="Arial"/>
          <w:szCs w:val="24"/>
        </w:rPr>
        <w:t>(PC 2021b, p. 145)</w:t>
      </w:r>
      <w:r w:rsidR="009141F3">
        <w:t>.</w:t>
      </w:r>
      <w:r w:rsidR="00A07B0C">
        <w:t xml:space="preserve"> </w:t>
      </w:r>
    </w:p>
    <w:p w14:paraId="43476389" w14:textId="77777777" w:rsidR="00897250" w:rsidRDefault="00897250">
      <w:pPr>
        <w:pStyle w:val="NoSpacing"/>
      </w:pPr>
    </w:p>
    <w:tbl>
      <w:tblPr>
        <w:tblStyle w:val="Texttable-Paleblue"/>
        <w:tblW w:w="5000" w:type="pct"/>
        <w:tblLook w:val="04A0" w:firstRow="1" w:lastRow="0" w:firstColumn="1" w:lastColumn="0" w:noHBand="0" w:noVBand="1"/>
      </w:tblPr>
      <w:tblGrid>
        <w:gridCol w:w="713"/>
        <w:gridCol w:w="8925"/>
      </w:tblGrid>
      <w:tr w:rsidR="00897250" w14:paraId="43693E06" w14:textId="77777777">
        <w:trPr>
          <w:tblHeader/>
        </w:trPr>
        <w:tc>
          <w:tcPr>
            <w:tcW w:w="709" w:type="dxa"/>
            <w:tcMar>
              <w:top w:w="0" w:type="dxa"/>
              <w:bottom w:w="0" w:type="dxa"/>
            </w:tcMar>
            <w:vAlign w:val="center"/>
          </w:tcPr>
          <w:p w14:paraId="24C248BA" w14:textId="77777777" w:rsidR="00897250" w:rsidRDefault="00897250">
            <w:pPr>
              <w:keepLines/>
              <w:jc w:val="center"/>
            </w:pPr>
            <w:r w:rsidRPr="00A51374">
              <w:rPr>
                <w:noProof/>
              </w:rPr>
              <w:drawing>
                <wp:inline distT="0" distB="0" distL="0" distR="0" wp14:anchorId="114F1933" wp14:editId="22867DB7">
                  <wp:extent cx="288000" cy="288000"/>
                  <wp:effectExtent l="0" t="0" r="0" b="0"/>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C6CC5C3" w14:textId="2BE8CE21" w:rsidR="00897250" w:rsidRPr="00715040" w:rsidRDefault="00897250">
            <w:pPr>
              <w:pStyle w:val="TableHeading"/>
              <w:keepLines/>
              <w:spacing w:before="120" w:after="120"/>
              <w:contextualSpacing/>
              <w:rPr>
                <w:sz w:val="20"/>
              </w:rPr>
            </w:pPr>
            <w:r w:rsidRPr="00715040">
              <w:rPr>
                <w:sz w:val="20"/>
              </w:rPr>
              <w:t xml:space="preserve">Recommendation </w:t>
            </w:r>
            <w:r w:rsidR="00A911E8">
              <w:rPr>
                <w:sz w:val="20"/>
              </w:rPr>
              <w:t>5.6</w:t>
            </w:r>
          </w:p>
          <w:p w14:paraId="03EB9A8B" w14:textId="53B8ABD3" w:rsidR="00897250" w:rsidRPr="00715040" w:rsidRDefault="008722F8">
            <w:pPr>
              <w:pStyle w:val="TableHeading"/>
              <w:keepLines/>
              <w:spacing w:before="120" w:after="120"/>
              <w:contextualSpacing/>
              <w:rPr>
                <w:sz w:val="20"/>
              </w:rPr>
            </w:pPr>
            <w:r>
              <w:rPr>
                <w:sz w:val="20"/>
              </w:rPr>
              <w:t>Using health and human service funding</w:t>
            </w:r>
            <w:r w:rsidR="002B4AE8">
              <w:rPr>
                <w:sz w:val="20"/>
              </w:rPr>
              <w:t xml:space="preserve"> </w:t>
            </w:r>
            <w:r w:rsidR="00140582">
              <w:rPr>
                <w:sz w:val="20"/>
              </w:rPr>
              <w:t>approaches</w:t>
            </w:r>
            <w:r w:rsidR="002B4AE8">
              <w:rPr>
                <w:sz w:val="20"/>
              </w:rPr>
              <w:t xml:space="preserve"> to improve diffusion</w:t>
            </w:r>
          </w:p>
        </w:tc>
      </w:tr>
      <w:tr w:rsidR="00897250" w14:paraId="5DF0C899" w14:textId="77777777">
        <w:tc>
          <w:tcPr>
            <w:tcW w:w="9583" w:type="dxa"/>
            <w:gridSpan w:val="2"/>
            <w:tcMar>
              <w:top w:w="0" w:type="dxa"/>
            </w:tcMar>
          </w:tcPr>
          <w:p w14:paraId="0CFD5A43" w14:textId="7E45A5AA" w:rsidR="00EE12CB" w:rsidRDefault="00EE12CB" w:rsidP="00536032">
            <w:pPr>
              <w:pStyle w:val="BodyText"/>
              <w:keepLines/>
            </w:pPr>
            <w:r w:rsidRPr="00EE12CB">
              <w:t xml:space="preserve">Governments should use their funding and procurement approaches </w:t>
            </w:r>
            <w:r>
              <w:t>to drive</w:t>
            </w:r>
            <w:r w:rsidRPr="00EE12CB">
              <w:t xml:space="preserve"> improved efficacy, innovation and diffusion in health and human services</w:t>
            </w:r>
            <w:r w:rsidR="008F70C5">
              <w:t xml:space="preserve"> that they deliver </w:t>
            </w:r>
            <w:r w:rsidR="00ED6320">
              <w:t>or contract external service providers to deliver</w:t>
            </w:r>
            <w:r w:rsidRPr="00EE12CB">
              <w:t>. This could include:</w:t>
            </w:r>
          </w:p>
          <w:p w14:paraId="6035A23E" w14:textId="50F223E9" w:rsidR="000927F6" w:rsidRDefault="00296F99" w:rsidP="00935BC3">
            <w:pPr>
              <w:pStyle w:val="ListBullet"/>
            </w:pPr>
            <w:r>
              <w:t>i</w:t>
            </w:r>
            <w:r w:rsidR="00EE4F4B">
              <w:t>mproving</w:t>
            </w:r>
            <w:r w:rsidR="000A618F">
              <w:t xml:space="preserve"> the diffusion of good practice in primary healthcare by regularly updating the Medicare Benefits Schedule (MBS) to reflect effective treatments. </w:t>
            </w:r>
            <w:r w:rsidR="00642C49">
              <w:t>T</w:t>
            </w:r>
            <w:r w:rsidR="000A618F">
              <w:t xml:space="preserve">he Medical Services Advisory Committee </w:t>
            </w:r>
            <w:r w:rsidR="00C7410A">
              <w:t xml:space="preserve">(MSAC) </w:t>
            </w:r>
            <w:r w:rsidR="00642C49">
              <w:t>should be required</w:t>
            </w:r>
            <w:r w:rsidR="000A618F">
              <w:t xml:space="preserve"> to undertake an annual rolling review of selected MBS items</w:t>
            </w:r>
            <w:r w:rsidR="00642C49">
              <w:t>, focusing on treatments</w:t>
            </w:r>
            <w:r w:rsidR="000A618F">
              <w:t xml:space="preserve"> where emerging evidence </w:t>
            </w:r>
            <w:r w:rsidR="001B772A">
              <w:t xml:space="preserve">or clinician feedback </w:t>
            </w:r>
            <w:r w:rsidR="000A618F">
              <w:t xml:space="preserve">questions </w:t>
            </w:r>
            <w:r w:rsidR="001B772A">
              <w:t>the</w:t>
            </w:r>
            <w:r w:rsidR="00335474">
              <w:t>ir</w:t>
            </w:r>
            <w:r w:rsidR="000A618F">
              <w:t xml:space="preserve"> efficacy or cost </w:t>
            </w:r>
            <w:r w:rsidR="008E3D40">
              <w:t xml:space="preserve">effectiveness. </w:t>
            </w:r>
            <w:r w:rsidR="000A618F">
              <w:t xml:space="preserve">The Australian Government should assess the need for higher levels of funding </w:t>
            </w:r>
            <w:r w:rsidR="004E3ECD">
              <w:t>for</w:t>
            </w:r>
            <w:r w:rsidR="000A618F">
              <w:t xml:space="preserve"> MSAC to undertake these annual reviews as a standing function</w:t>
            </w:r>
          </w:p>
          <w:p w14:paraId="10D67CC4" w14:textId="4C7A0A23" w:rsidR="00935BC3" w:rsidRDefault="00296F99" w:rsidP="00935BC3">
            <w:pPr>
              <w:pStyle w:val="ListBullet"/>
            </w:pPr>
            <w:r>
              <w:t>i</w:t>
            </w:r>
            <w:r w:rsidR="000F6247">
              <w:t>mplement</w:t>
            </w:r>
            <w:r w:rsidR="00FC74D6">
              <w:t>ing</w:t>
            </w:r>
            <w:r w:rsidR="000F6247">
              <w:t xml:space="preserve"> funding models that support the diffusion of innovation in healthcare, including preventative care, and a more patient</w:t>
            </w:r>
            <w:r w:rsidR="00A43B86">
              <w:noBreakHyphen/>
            </w:r>
            <w:r w:rsidR="000F6247">
              <w:t xml:space="preserve">centred approach by aligning incentives across different parts of the health system. This includes by accelerating and scaling up </w:t>
            </w:r>
            <w:r w:rsidR="000F6247" w:rsidRPr="00457FF3">
              <w:t>long</w:t>
            </w:r>
            <w:r w:rsidR="00A43B86">
              <w:noBreakHyphen/>
            </w:r>
            <w:r w:rsidR="000F6247" w:rsidRPr="00457FF3">
              <w:t>term co</w:t>
            </w:r>
            <w:r w:rsidR="00A43B86">
              <w:noBreakHyphen/>
            </w:r>
            <w:r w:rsidR="000F6247" w:rsidRPr="00457FF3">
              <w:t>operative funding mechanisms that align the incentives of primary and hospital providers to avoid costly hospital admissions</w:t>
            </w:r>
            <w:r w:rsidR="000F6247">
              <w:t xml:space="preserve"> and support integrated care, such as capitation models that have demonstrated success and other mechanisms</w:t>
            </w:r>
            <w:r w:rsidR="000F6247" w:rsidRPr="00457FF3">
              <w:t xml:space="preserve"> supported by </w:t>
            </w:r>
            <w:r w:rsidR="000F6247" w:rsidRPr="00092B2F">
              <w:t>the Independent Hospital and Aged Care Pricing Authority</w:t>
            </w:r>
            <w:r w:rsidR="000F6247" w:rsidRPr="00457FF3">
              <w:t xml:space="preserve">. Governments should </w:t>
            </w:r>
            <w:r w:rsidR="000F6247">
              <w:t xml:space="preserve">also </w:t>
            </w:r>
            <w:r w:rsidR="000F6247" w:rsidRPr="00457FF3">
              <w:t xml:space="preserve">seek to overcome obstacles to </w:t>
            </w:r>
            <w:r w:rsidR="000F6247">
              <w:t xml:space="preserve">implementing </w:t>
            </w:r>
            <w:r w:rsidR="000F6247" w:rsidRPr="00457FF3">
              <w:t>co</w:t>
            </w:r>
            <w:r w:rsidR="00A43B86">
              <w:noBreakHyphen/>
            </w:r>
            <w:r w:rsidR="000F6247" w:rsidRPr="00457FF3">
              <w:t>operative models</w:t>
            </w:r>
            <w:r w:rsidR="000F6247">
              <w:t>,</w:t>
            </w:r>
            <w:r w:rsidR="000F6247" w:rsidRPr="00457FF3">
              <w:t xml:space="preserve"> such as </w:t>
            </w:r>
            <w:r w:rsidR="000F6247">
              <w:t>chang</w:t>
            </w:r>
            <w:r w:rsidR="00825F60">
              <w:t>ing</w:t>
            </w:r>
            <w:r w:rsidR="000F6247">
              <w:t xml:space="preserve"> </w:t>
            </w:r>
            <w:r w:rsidR="000F6247" w:rsidRPr="00457FF3">
              <w:t xml:space="preserve">the </w:t>
            </w:r>
            <w:r w:rsidR="000F6247" w:rsidRPr="00F27277">
              <w:rPr>
                <w:i/>
                <w:iCs/>
              </w:rPr>
              <w:t>Health Insurance Act 1973</w:t>
            </w:r>
            <w:r w:rsidR="000F6247" w:rsidRPr="00457FF3">
              <w:t xml:space="preserve"> </w:t>
            </w:r>
            <w:r w:rsidR="000F6247">
              <w:t xml:space="preserve">(Cth) </w:t>
            </w:r>
            <w:r w:rsidR="000F6247" w:rsidRPr="00457FF3">
              <w:t xml:space="preserve">and </w:t>
            </w:r>
            <w:r w:rsidR="000F6247">
              <w:t xml:space="preserve">improving </w:t>
            </w:r>
            <w:r w:rsidR="000F6247" w:rsidRPr="00457FF3">
              <w:t>data sharing</w:t>
            </w:r>
          </w:p>
          <w:p w14:paraId="4EBC358A" w14:textId="6FF37769" w:rsidR="00897250" w:rsidRDefault="00296F99" w:rsidP="00935BC3">
            <w:pPr>
              <w:pStyle w:val="ListBullet"/>
            </w:pPr>
            <w:r>
              <w:t>e</w:t>
            </w:r>
            <w:r w:rsidR="00AF0D7A">
              <w:t>ncourag</w:t>
            </w:r>
            <w:r w:rsidR="00290B65">
              <w:t>ing</w:t>
            </w:r>
            <w:r w:rsidR="00AF0D7A">
              <w:t xml:space="preserve"> human service providers </w:t>
            </w:r>
            <w:r w:rsidR="00960C48">
              <w:t xml:space="preserve">to innovate and compete </w:t>
            </w:r>
            <w:r w:rsidR="00B23A4E">
              <w:t xml:space="preserve">to meet </w:t>
            </w:r>
            <w:r w:rsidR="003B1B8F">
              <w:t xml:space="preserve">consumers’ needs by </w:t>
            </w:r>
            <w:r w:rsidR="001F7FB3">
              <w:t xml:space="preserve">providing citizens with more control over how </w:t>
            </w:r>
            <w:r w:rsidR="00EA1042">
              <w:t xml:space="preserve">government funding allocated to these services is spent. </w:t>
            </w:r>
            <w:r w:rsidR="0068392F" w:rsidRPr="0068392F">
              <w:t>This could apply to the allocation of</w:t>
            </w:r>
            <w:r w:rsidR="00611D58">
              <w:t xml:space="preserve"> housing assistance to people rather than properties</w:t>
            </w:r>
            <w:r w:rsidR="0068392F">
              <w:t>,</w:t>
            </w:r>
            <w:r w:rsidR="002F5ECE">
              <w:t xml:space="preserve"> end</w:t>
            </w:r>
            <w:r w:rsidR="00A43B86">
              <w:noBreakHyphen/>
            </w:r>
            <w:r w:rsidR="002F5ECE">
              <w:t>of</w:t>
            </w:r>
            <w:r w:rsidR="00A43B86">
              <w:noBreakHyphen/>
            </w:r>
            <w:r w:rsidR="002F5ECE">
              <w:t>life care, public dental services and healthcare</w:t>
            </w:r>
          </w:p>
          <w:p w14:paraId="7FB32542" w14:textId="261CC704" w:rsidR="00897250" w:rsidRPr="00217FB5" w:rsidRDefault="00296F99" w:rsidP="00E23CB1">
            <w:pPr>
              <w:pStyle w:val="ListBullet"/>
              <w:rPr>
                <w:spacing w:val="-4"/>
              </w:rPr>
            </w:pPr>
            <w:r w:rsidRPr="00217FB5">
              <w:rPr>
                <w:spacing w:val="-4"/>
              </w:rPr>
              <w:t>i</w:t>
            </w:r>
            <w:r w:rsidR="0069314A" w:rsidRPr="00217FB5">
              <w:rPr>
                <w:spacing w:val="-4"/>
              </w:rPr>
              <w:t xml:space="preserve">ncreasing default contract lengths </w:t>
            </w:r>
            <w:r w:rsidR="00765536" w:rsidRPr="00217FB5">
              <w:rPr>
                <w:spacing w:val="-4"/>
              </w:rPr>
              <w:t xml:space="preserve">to 5–7 years </w:t>
            </w:r>
            <w:r w:rsidR="0069314A" w:rsidRPr="00217FB5">
              <w:rPr>
                <w:spacing w:val="-4"/>
              </w:rPr>
              <w:t>for government</w:t>
            </w:r>
            <w:r w:rsidR="00A43B86">
              <w:rPr>
                <w:spacing w:val="-4"/>
              </w:rPr>
              <w:noBreakHyphen/>
            </w:r>
            <w:r w:rsidR="0069314A" w:rsidRPr="00217FB5">
              <w:rPr>
                <w:spacing w:val="-4"/>
              </w:rPr>
              <w:t xml:space="preserve">funded services delivered by community organisations to support innovation and diffusion. Suitable contract lengths </w:t>
            </w:r>
            <w:r w:rsidR="00B232DE" w:rsidRPr="00217FB5">
              <w:rPr>
                <w:spacing w:val="-4"/>
              </w:rPr>
              <w:t>will</w:t>
            </w:r>
            <w:r w:rsidR="0069314A" w:rsidRPr="00217FB5">
              <w:rPr>
                <w:spacing w:val="-4"/>
              </w:rPr>
              <w:t xml:space="preserve"> depend on the type of service provided, and the lengths of contracts that are retendered could be reconsidered upon their expiry</w:t>
            </w:r>
            <w:r w:rsidR="000F6247" w:rsidRPr="00217FB5">
              <w:rPr>
                <w:spacing w:val="-4"/>
              </w:rPr>
              <w:t>.</w:t>
            </w:r>
          </w:p>
        </w:tc>
      </w:tr>
      <w:tr w:rsidR="00897250" w14:paraId="41B5DB94" w14:textId="77777777">
        <w:tc>
          <w:tcPr>
            <w:tcW w:w="9583" w:type="dxa"/>
            <w:gridSpan w:val="2"/>
            <w:shd w:val="clear" w:color="auto" w:fill="auto"/>
            <w:tcMar>
              <w:top w:w="0" w:type="dxa"/>
              <w:bottom w:w="0" w:type="dxa"/>
            </w:tcMar>
          </w:tcPr>
          <w:p w14:paraId="79F62EDD" w14:textId="77777777" w:rsidR="00897250" w:rsidRPr="007E0EA8" w:rsidRDefault="00897250">
            <w:pPr>
              <w:pStyle w:val="NoSpacing"/>
              <w:spacing w:line="200" w:lineRule="exact"/>
            </w:pPr>
          </w:p>
        </w:tc>
      </w:tr>
    </w:tbl>
    <w:p w14:paraId="660DF488" w14:textId="0EA4E20E" w:rsidR="00915E32" w:rsidRDefault="00EC19B2" w:rsidP="00EC19B2">
      <w:pPr>
        <w:pStyle w:val="BodyText"/>
      </w:pPr>
      <w:r w:rsidRPr="0054464F">
        <w:t>More broadly</w:t>
      </w:r>
      <w:r w:rsidR="0054464F">
        <w:t xml:space="preserve">, funding </w:t>
      </w:r>
      <w:r w:rsidR="00F86BC5">
        <w:t>models</w:t>
      </w:r>
      <w:r w:rsidR="00683481">
        <w:t xml:space="preserve"> and regulatory settings</w:t>
      </w:r>
      <w:r w:rsidR="00F86BC5">
        <w:t xml:space="preserve"> for health and human services have tended to be focused on inputs</w:t>
      </w:r>
      <w:r w:rsidR="000D3E1E">
        <w:t xml:space="preserve"> rather than outcomes. For example,</w:t>
      </w:r>
      <w:r w:rsidR="00CF5538">
        <w:t xml:space="preserve"> fixed</w:t>
      </w:r>
      <w:r w:rsidR="000D3E1E">
        <w:t xml:space="preserve"> </w:t>
      </w:r>
      <w:r w:rsidR="00916D23">
        <w:t xml:space="preserve">labour ratios are a feature of many </w:t>
      </w:r>
      <w:r w:rsidR="00541C85">
        <w:t>of these services</w:t>
      </w:r>
      <w:r w:rsidR="00D61C87">
        <w:t xml:space="preserve">, </w:t>
      </w:r>
      <w:r w:rsidR="00541C85">
        <w:t xml:space="preserve">including in hospitals and </w:t>
      </w:r>
      <w:proofErr w:type="gramStart"/>
      <w:r w:rsidR="00541C85">
        <w:t>child care</w:t>
      </w:r>
      <w:proofErr w:type="gramEnd"/>
      <w:r w:rsidR="00541C85">
        <w:t xml:space="preserve"> provision</w:t>
      </w:r>
      <w:r w:rsidR="00D61C87">
        <w:t>,</w:t>
      </w:r>
      <w:r w:rsidR="00267F9E">
        <w:t xml:space="preserve"> and activity</w:t>
      </w:r>
      <w:r w:rsidR="00267F9E">
        <w:noBreakHyphen/>
        <w:t xml:space="preserve">based funding — </w:t>
      </w:r>
      <w:r w:rsidR="00D61C87">
        <w:t>while leading to efficiency gains</w:t>
      </w:r>
      <w:r w:rsidR="00884BFE">
        <w:t xml:space="preserve"> </w:t>
      </w:r>
      <w:r w:rsidR="002434E8">
        <w:t xml:space="preserve">in the past </w:t>
      </w:r>
      <w:r w:rsidR="00884BFE">
        <w:t>(discussed above) — can lead to providers limiting</w:t>
      </w:r>
      <w:r w:rsidR="00C429E5">
        <w:t xml:space="preserve"> the design and delivery of their services to the specific activities that are funded. </w:t>
      </w:r>
      <w:r w:rsidR="00915E32" w:rsidRPr="00915E32">
        <w:t xml:space="preserve">These </w:t>
      </w:r>
      <w:r w:rsidR="004D6B2D">
        <w:t>approaches</w:t>
      </w:r>
      <w:r w:rsidR="00915E32" w:rsidRPr="00915E32">
        <w:t xml:space="preserve"> often exist for good reason. In </w:t>
      </w:r>
      <w:r w:rsidR="00915E32" w:rsidRPr="00915E32">
        <w:lastRenderedPageBreak/>
        <w:t>government</w:t>
      </w:r>
      <w:r w:rsidR="00A43B86">
        <w:noBreakHyphen/>
      </w:r>
      <w:r w:rsidR="00915E32" w:rsidRPr="00915E32">
        <w:t xml:space="preserve">funded human services, </w:t>
      </w:r>
      <w:r w:rsidR="00DC1F26">
        <w:t>consumers may</w:t>
      </w:r>
      <w:r w:rsidR="00915E32" w:rsidRPr="00915E32">
        <w:t xml:space="preserve"> have incomplete information about the quality of providers, are often vulnerable (due to age or disability) and have fewer incentives to properly hold providers to account (as they do not face the full cost of their service).</w:t>
      </w:r>
      <w:r w:rsidR="00C429E5">
        <w:t xml:space="preserve"> </w:t>
      </w:r>
    </w:p>
    <w:p w14:paraId="7A430AA3" w14:textId="7B8AFE3D" w:rsidR="00DC6FFD" w:rsidRDefault="00DC1F26" w:rsidP="00EC19B2">
      <w:pPr>
        <w:pStyle w:val="BodyText"/>
      </w:pPr>
      <w:r>
        <w:t xml:space="preserve">However, </w:t>
      </w:r>
      <w:r w:rsidR="00295D54">
        <w:t xml:space="preserve">these input measures </w:t>
      </w:r>
      <w:r w:rsidR="009E6374">
        <w:t xml:space="preserve">can </w:t>
      </w:r>
      <w:r w:rsidR="00C364B4">
        <w:t>inhibit</w:t>
      </w:r>
      <w:r w:rsidR="007065B7">
        <w:t xml:space="preserve"> service providers from adopting</w:t>
      </w:r>
      <w:r w:rsidR="00C364B4">
        <w:t xml:space="preserve"> innovations that would deliver the same, or better, outcomes for consumers.</w:t>
      </w:r>
      <w:r w:rsidR="007065B7">
        <w:t xml:space="preserve"> The</w:t>
      </w:r>
      <w:r w:rsidR="007065B7" w:rsidRPr="007065B7">
        <w:t xml:space="preserve"> benefits of regulating for quality assurance </w:t>
      </w:r>
      <w:r w:rsidR="007065B7">
        <w:t xml:space="preserve">therefore </w:t>
      </w:r>
      <w:r w:rsidR="007065B7" w:rsidRPr="007065B7">
        <w:t>need to be balanced against the costs from discouraging productivity</w:t>
      </w:r>
      <w:r w:rsidR="00A43B86">
        <w:noBreakHyphen/>
      </w:r>
      <w:r w:rsidR="007065B7" w:rsidRPr="007065B7">
        <w:t>enhancing innovation</w:t>
      </w:r>
      <w:r w:rsidR="007065B7">
        <w:t xml:space="preserve">. Shifting </w:t>
      </w:r>
      <w:r w:rsidR="00295D54">
        <w:t xml:space="preserve">towards </w:t>
      </w:r>
      <w:r w:rsidR="00BD04EB">
        <w:t>outcomes</w:t>
      </w:r>
      <w:r w:rsidR="00BD04EB">
        <w:noBreakHyphen/>
        <w:t xml:space="preserve">based approaches to allocating funding </w:t>
      </w:r>
      <w:r w:rsidR="005D238D">
        <w:t xml:space="preserve">and regulating quality </w:t>
      </w:r>
      <w:r w:rsidR="00A1331D">
        <w:t>would give providers more flexibility t</w:t>
      </w:r>
      <w:r w:rsidR="00665285">
        <w:t xml:space="preserve">o adopt innovations that </w:t>
      </w:r>
      <w:r w:rsidR="009F4CB7">
        <w:t>allow them to meet their obligations in the</w:t>
      </w:r>
      <w:r w:rsidR="00C11B98">
        <w:t xml:space="preserve"> most effective and efficient way possible</w:t>
      </w:r>
      <w:r w:rsidR="00665285">
        <w:t xml:space="preserve">. </w:t>
      </w:r>
      <w:r w:rsidR="002C526C">
        <w:t xml:space="preserve">Such a shift </w:t>
      </w:r>
      <w:r w:rsidR="00C11B98">
        <w:t xml:space="preserve">could also include </w:t>
      </w:r>
      <w:r w:rsidR="00C11B98" w:rsidRPr="00C11B98">
        <w:t xml:space="preserve">exemptions from input </w:t>
      </w:r>
      <w:r w:rsidR="002C526C">
        <w:t>measures</w:t>
      </w:r>
      <w:r w:rsidR="00C11B98" w:rsidRPr="00C11B98">
        <w:t xml:space="preserve"> if a provider can demonstrate that they have achieved quality in other ways</w:t>
      </w:r>
      <w:r w:rsidR="00C11B98">
        <w:t xml:space="preserve">. </w:t>
      </w:r>
      <w:r w:rsidR="00DC6FFD">
        <w:t>This should be a longer</w:t>
      </w:r>
      <w:r w:rsidR="00A43B86">
        <w:noBreakHyphen/>
      </w:r>
      <w:r w:rsidR="00DC6FFD">
        <w:t xml:space="preserve">term reform direction </w:t>
      </w:r>
      <w:r w:rsidR="00BB1557">
        <w:t xml:space="preserve">pursued by governments at all levels, </w:t>
      </w:r>
      <w:r w:rsidR="0022590E">
        <w:t>to incentivise innovation</w:t>
      </w:r>
      <w:r w:rsidR="000E4B6E">
        <w:t>, competition</w:t>
      </w:r>
      <w:r w:rsidR="0022590E">
        <w:t xml:space="preserve"> and productivity gains in </w:t>
      </w:r>
      <w:r w:rsidR="007F13B3">
        <w:t>these government</w:t>
      </w:r>
      <w:r w:rsidR="009D027C">
        <w:noBreakHyphen/>
      </w:r>
      <w:r w:rsidR="007F13B3">
        <w:t>funded services.</w:t>
      </w:r>
    </w:p>
    <w:p w14:paraId="7A8B5FE9" w14:textId="10110454" w:rsidR="00EC19B2" w:rsidRDefault="00973211" w:rsidP="00EC19B2">
      <w:pPr>
        <w:pStyle w:val="BodyText"/>
      </w:pPr>
      <w:r>
        <w:t xml:space="preserve">One </w:t>
      </w:r>
      <w:r w:rsidR="00B37FFB">
        <w:t xml:space="preserve">prerequisite for doing this is </w:t>
      </w:r>
      <w:r w:rsidR="00C30D49">
        <w:t>improving data collection about the outcomes that matter in health and human services</w:t>
      </w:r>
      <w:r w:rsidR="0091063A">
        <w:t xml:space="preserve"> and better understanding the factors underpinning differences in performance (so that </w:t>
      </w:r>
      <w:r w:rsidR="00DC6FFD">
        <w:t>outcomes</w:t>
      </w:r>
      <w:r w:rsidR="00DC6FFD">
        <w:noBreakHyphen/>
        <w:t xml:space="preserve">based funding can be implemented to account for these </w:t>
      </w:r>
      <w:r w:rsidR="00F166B9">
        <w:t>factors</w:t>
      </w:r>
      <w:r w:rsidR="00DC6FFD">
        <w:t xml:space="preserve">, where they are not within the control of service providers). This is discussed further below and in recommendation </w:t>
      </w:r>
      <w:r w:rsidR="00A911E8">
        <w:t>5.9</w:t>
      </w:r>
      <w:r w:rsidR="00DC6FFD">
        <w:t>.</w:t>
      </w:r>
    </w:p>
    <w:p w14:paraId="011B9065" w14:textId="77777777" w:rsidR="00EF345F" w:rsidRDefault="00EF345F" w:rsidP="00EF345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F345F" w14:paraId="6F5EDE3F" w14:textId="77777777" w:rsidTr="00BF2062">
        <w:trPr>
          <w:trHeight w:val="765"/>
          <w:tblHeader/>
        </w:trPr>
        <w:tc>
          <w:tcPr>
            <w:tcW w:w="366" w:type="pct"/>
            <w:tcBorders>
              <w:bottom w:val="nil"/>
            </w:tcBorders>
            <w:tcMar>
              <w:bottom w:w="0" w:type="dxa"/>
            </w:tcMar>
            <w:vAlign w:val="center"/>
          </w:tcPr>
          <w:p w14:paraId="19CCECCE" w14:textId="77777777" w:rsidR="00EF345F" w:rsidRDefault="00EF345F" w:rsidP="00BF2062">
            <w:pPr>
              <w:pStyle w:val="NoSpacing"/>
              <w:keepLines/>
              <w:jc w:val="right"/>
            </w:pPr>
            <w:r w:rsidRPr="00A51374">
              <w:rPr>
                <w:noProof/>
              </w:rPr>
              <w:drawing>
                <wp:inline distT="0" distB="0" distL="0" distR="0" wp14:anchorId="4F2B9C07" wp14:editId="570D917B">
                  <wp:extent cx="288000" cy="288000"/>
                  <wp:effectExtent l="0" t="0" r="0" b="0"/>
                  <wp:docPr id="2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5A56AB5" w14:textId="3522769B" w:rsidR="00EF345F" w:rsidRPr="00A4395A" w:rsidRDefault="00EF345F" w:rsidP="00BF2062">
            <w:pPr>
              <w:pStyle w:val="TableHeading"/>
              <w:keepLines/>
              <w:spacing w:before="60" w:after="120"/>
              <w:contextualSpacing/>
              <w:rPr>
                <w:sz w:val="20"/>
              </w:rPr>
            </w:pPr>
            <w:r w:rsidRPr="00A4395A">
              <w:rPr>
                <w:sz w:val="20"/>
              </w:rPr>
              <w:t xml:space="preserve">Finding </w:t>
            </w:r>
            <w:r w:rsidR="002F5767">
              <w:rPr>
                <w:sz w:val="20"/>
              </w:rPr>
              <w:t>5.11</w:t>
            </w:r>
          </w:p>
          <w:p w14:paraId="15FB93B9" w14:textId="49A4BE19" w:rsidR="00EF345F" w:rsidRDefault="00C54BE4" w:rsidP="00BF2062">
            <w:pPr>
              <w:pStyle w:val="TableHeading"/>
              <w:keepLines/>
              <w:spacing w:before="60" w:after="120"/>
              <w:contextualSpacing/>
            </w:pPr>
            <w:r>
              <w:rPr>
                <w:sz w:val="20"/>
              </w:rPr>
              <w:t>Funding models and regulatory settings based on input measures can stifle innovation</w:t>
            </w:r>
          </w:p>
        </w:tc>
      </w:tr>
      <w:tr w:rsidR="00EF345F" w14:paraId="60EA46EF" w14:textId="77777777" w:rsidTr="00BF2062">
        <w:tc>
          <w:tcPr>
            <w:tcW w:w="5000" w:type="pct"/>
            <w:gridSpan w:val="2"/>
            <w:tcBorders>
              <w:top w:val="nil"/>
              <w:bottom w:val="single" w:sz="4" w:space="0" w:color="66BCDB" w:themeColor="text2"/>
            </w:tcBorders>
          </w:tcPr>
          <w:p w14:paraId="25810003" w14:textId="7CEA4882" w:rsidR="00EF345F" w:rsidRDefault="004D6B2D" w:rsidP="00BF2062">
            <w:pPr>
              <w:pStyle w:val="BodyText"/>
              <w:keepLines/>
            </w:pPr>
            <w:r>
              <w:t>While input</w:t>
            </w:r>
            <w:r w:rsidR="00A43B86">
              <w:noBreakHyphen/>
            </w:r>
            <w:r>
              <w:t>based approaches to funding models and regulatory settings (such as</w:t>
            </w:r>
            <w:r w:rsidR="00CF5538">
              <w:t xml:space="preserve"> fixed</w:t>
            </w:r>
            <w:r>
              <w:t xml:space="preserve"> labour ratios and activity</w:t>
            </w:r>
            <w:r w:rsidR="00A43B86">
              <w:noBreakHyphen/>
            </w:r>
            <w:r>
              <w:t xml:space="preserve">based funding) </w:t>
            </w:r>
            <w:r w:rsidR="00B95A06">
              <w:t xml:space="preserve">can have benefits for quality assurance, they can also </w:t>
            </w:r>
            <w:r w:rsidR="00DF1626">
              <w:t xml:space="preserve">limit the potential for innovation in government service delivery. </w:t>
            </w:r>
            <w:r w:rsidR="006F212E">
              <w:t>Shifting towards outcomes</w:t>
            </w:r>
            <w:r w:rsidR="00A43B86">
              <w:noBreakHyphen/>
            </w:r>
            <w:r w:rsidR="006F212E">
              <w:t xml:space="preserve">based approaches </w:t>
            </w:r>
            <w:r w:rsidR="00C4174E">
              <w:t>to allocating funding and regulating quality would give service providers more flexibility to adopt innovations that allow them to meet their obligations in the most effective and efficient way possible.</w:t>
            </w:r>
          </w:p>
        </w:tc>
      </w:tr>
      <w:tr w:rsidR="00EF345F" w14:paraId="7E27927C" w14:textId="77777777" w:rsidTr="00BF2062">
        <w:tc>
          <w:tcPr>
            <w:tcW w:w="5000" w:type="pct"/>
            <w:gridSpan w:val="2"/>
            <w:tcBorders>
              <w:top w:val="single" w:sz="4" w:space="0" w:color="66BCDB" w:themeColor="text2"/>
              <w:left w:val="nil"/>
              <w:bottom w:val="nil"/>
              <w:right w:val="nil"/>
            </w:tcBorders>
            <w:tcMar>
              <w:bottom w:w="0" w:type="dxa"/>
            </w:tcMar>
          </w:tcPr>
          <w:p w14:paraId="16B0227B" w14:textId="77777777" w:rsidR="00EF345F" w:rsidRDefault="00EF345F" w:rsidP="00BF2062">
            <w:pPr>
              <w:pStyle w:val="NoSpacing"/>
              <w:spacing w:line="200" w:lineRule="atLeast"/>
            </w:pPr>
          </w:p>
        </w:tc>
      </w:tr>
    </w:tbl>
    <w:p w14:paraId="27F64B68" w14:textId="77777777" w:rsidR="003A0ECF" w:rsidRDefault="003A0ECF" w:rsidP="00522FBC">
      <w:pPr>
        <w:pStyle w:val="Heading4"/>
      </w:pPr>
      <w:r>
        <w:t>Infrastructure and equipment procurement</w:t>
      </w:r>
    </w:p>
    <w:p w14:paraId="3480192E" w14:textId="5903A1C4" w:rsidR="005C0450" w:rsidRDefault="003A0ECF" w:rsidP="005C0450">
      <w:pPr>
        <w:pStyle w:val="BodyText"/>
      </w:pPr>
      <w:r>
        <w:t xml:space="preserve">Outside of human services, there are other ways in which government procurement could encourage best practice. </w:t>
      </w:r>
      <w:r w:rsidR="005C0450">
        <w:t>Procurement of public infrastructure like roads, bridges, hospitals, and prisons has often preserved out</w:t>
      </w:r>
      <w:r w:rsidR="005C0450">
        <w:noBreakHyphen/>
        <w:t>of</w:t>
      </w:r>
      <w:r w:rsidR="005C0450">
        <w:noBreakHyphen/>
        <w:t>date approaches that have constrained collaboration and innovation and missed opportunities for deferring upgrades and replacements. For example, it has been estimated that 37</w:t>
      </w:r>
      <w:r w:rsidR="00E94315">
        <w:t>%</w:t>
      </w:r>
      <w:r w:rsidR="005C0450">
        <w:t xml:space="preserve"> of requests for proposals in public infrastructure projects suffer from unclear project objectives </w:t>
      </w:r>
      <w:r w:rsidR="005C0450" w:rsidRPr="006F0AC7">
        <w:rPr>
          <w:rFonts w:ascii="Arial" w:hAnsi="Arial" w:cs="Arial"/>
          <w:szCs w:val="24"/>
        </w:rPr>
        <w:t>(DAE 2015, p. ii)</w:t>
      </w:r>
      <w:r w:rsidR="005C0450">
        <w:t>. Some 45</w:t>
      </w:r>
      <w:r w:rsidR="00E94315">
        <w:t>%</w:t>
      </w:r>
      <w:r w:rsidR="005C0450">
        <w:t xml:space="preserve"> of professional service firms commissioned by the public sector for infrastructure projects say their clients were unresponsive to innovative suggestions during tender processes (ibid p. vi).</w:t>
      </w:r>
    </w:p>
    <w:p w14:paraId="3152C158" w14:textId="51F9082E" w:rsidR="005C0450" w:rsidRDefault="005C0450" w:rsidP="005C0450">
      <w:pPr>
        <w:pStyle w:val="BodyText"/>
      </w:pPr>
      <w:r>
        <w:t xml:space="preserve">For their part, current key users and constructors are pessimistic about government and industry’s </w:t>
      </w:r>
      <w:r w:rsidR="00577D2F">
        <w:t xml:space="preserve">overall </w:t>
      </w:r>
      <w:r>
        <w:t>uptake of best practice procurement approaches. Roads Australia (sub. 25, pp. 3–4) argued that the state and territory pipeline for new infrastructure has been overly ambitious given that governments and industry struggle with ‘outdated, inflexible commercial frameworks’, notwithstanding superior options. The Civil Contractors Federation considered that adoption of best practice in government procurement had been weakened by the loss of in</w:t>
      </w:r>
      <w:r>
        <w:noBreakHyphen/>
        <w:t xml:space="preserve">house technical capability in procurement agencies (sub. 38, p. 3). This highlights that one of the key determinants of adoption of best practice are the skills of government agencies. Moreover, </w:t>
      </w:r>
      <w:r w:rsidRPr="0025519E">
        <w:t xml:space="preserve">all states are undertaking </w:t>
      </w:r>
      <w:r>
        <w:t xml:space="preserve">large complex </w:t>
      </w:r>
      <w:r w:rsidRPr="0025519E">
        <w:t xml:space="preserve">projects </w:t>
      </w:r>
      <w:r>
        <w:t>with major exposure to risks of cost blowouts, design flaws, delay and uncertain patronage</w:t>
      </w:r>
      <w:r w:rsidRPr="0025519E">
        <w:t xml:space="preserve">, but without (it seems) </w:t>
      </w:r>
      <w:r>
        <w:t xml:space="preserve">sufficient </w:t>
      </w:r>
      <w:r w:rsidRPr="0025519E">
        <w:t>knowledge sharing between them</w:t>
      </w:r>
      <w:r>
        <w:t xml:space="preserve"> about the contractual and other ways these risks may be mitigated</w:t>
      </w:r>
      <w:r w:rsidRPr="0025519E">
        <w:t>.</w:t>
      </w:r>
    </w:p>
    <w:p w14:paraId="6F6909DF" w14:textId="7837E955" w:rsidR="00853C54" w:rsidRDefault="005C0450" w:rsidP="003A0ECF">
      <w:pPr>
        <w:pStyle w:val="BodyText"/>
      </w:pPr>
      <w:r>
        <w:lastRenderedPageBreak/>
        <w:t>One approach that has the potential to drive better quality and productivity outcomes in public infrastructure is the use of c</w:t>
      </w:r>
      <w:r w:rsidR="003A0ECF">
        <w:t>ollaborative construction procurement models</w:t>
      </w:r>
      <w:r>
        <w:t>,</w:t>
      </w:r>
      <w:r w:rsidR="003A0ECF">
        <w:t xml:space="preserve"> </w:t>
      </w:r>
      <w:r w:rsidR="00A27983">
        <w:t>in which contractors are involved early in the planning and scoping stages of the project</w:t>
      </w:r>
      <w:r w:rsidR="003A0ECF">
        <w:t xml:space="preserve"> </w:t>
      </w:r>
      <w:r w:rsidR="006F0AC7" w:rsidRPr="006F0AC7">
        <w:rPr>
          <w:rFonts w:ascii="Arial" w:hAnsi="Arial" w:cs="Arial"/>
          <w:szCs w:val="24"/>
        </w:rPr>
        <w:t>(Australian Constructors Association, sub.</w:t>
      </w:r>
      <w:r w:rsidR="00A43B86">
        <w:rPr>
          <w:rFonts w:ascii="Arial" w:hAnsi="Arial" w:cs="Arial"/>
          <w:szCs w:val="24"/>
        </w:rPr>
        <w:t> </w:t>
      </w:r>
      <w:r w:rsidR="006F0AC7" w:rsidRPr="006F0AC7">
        <w:rPr>
          <w:rFonts w:ascii="Arial" w:hAnsi="Arial" w:cs="Arial"/>
          <w:szCs w:val="24"/>
        </w:rPr>
        <w:t>73, p.</w:t>
      </w:r>
      <w:r w:rsidR="00A43B86">
        <w:rPr>
          <w:rFonts w:ascii="Arial" w:hAnsi="Arial" w:cs="Arial"/>
          <w:szCs w:val="24"/>
        </w:rPr>
        <w:t> </w:t>
      </w:r>
      <w:r w:rsidR="006F0AC7" w:rsidRPr="006F0AC7">
        <w:rPr>
          <w:rFonts w:ascii="Arial" w:hAnsi="Arial" w:cs="Arial"/>
          <w:szCs w:val="24"/>
        </w:rPr>
        <w:t>8; IA 2022)</w:t>
      </w:r>
      <w:r w:rsidR="003A0ECF">
        <w:t>. This will require strengthening expertise in public sector procurement agencies, as well as greater understanding of alliance</w:t>
      </w:r>
      <w:r w:rsidR="00A27983">
        <w:t xml:space="preserve"> and </w:t>
      </w:r>
      <w:r w:rsidR="003A0ECF">
        <w:t>collaborative contracting</w:t>
      </w:r>
      <w:r w:rsidR="00A27983">
        <w:t xml:space="preserve"> models</w:t>
      </w:r>
      <w:r w:rsidR="003A0ECF">
        <w:t xml:space="preserve">. </w:t>
      </w:r>
    </w:p>
    <w:p w14:paraId="0E7F3873" w14:textId="5A65F5D0" w:rsidR="007154A8" w:rsidRDefault="004B7113" w:rsidP="003A0ECF">
      <w:pPr>
        <w:pStyle w:val="BodyText"/>
      </w:pPr>
      <w:r>
        <w:t xml:space="preserve">There are </w:t>
      </w:r>
      <w:r w:rsidR="00577D2F">
        <w:t>a small number of</w:t>
      </w:r>
      <w:r>
        <w:t xml:space="preserve"> r</w:t>
      </w:r>
      <w:r w:rsidR="003B28B2">
        <w:t xml:space="preserve">ecent </w:t>
      </w:r>
      <w:r w:rsidR="00D0621F">
        <w:t xml:space="preserve">examples of </w:t>
      </w:r>
      <w:r w:rsidR="00AF2A2A">
        <w:t xml:space="preserve">public </w:t>
      </w:r>
      <w:r w:rsidR="00D0621F">
        <w:t xml:space="preserve">infrastructure </w:t>
      </w:r>
      <w:r w:rsidR="00AF2A2A">
        <w:t xml:space="preserve">procurement with more </w:t>
      </w:r>
      <w:r w:rsidR="00D0621F">
        <w:t xml:space="preserve">collaboration between </w:t>
      </w:r>
      <w:r w:rsidR="00AF2A2A">
        <w:t>the government client and contractor</w:t>
      </w:r>
      <w:r>
        <w:t>,</w:t>
      </w:r>
      <w:r w:rsidR="00853C54">
        <w:t xml:space="preserve"> includ</w:t>
      </w:r>
      <w:r>
        <w:t>ing</w:t>
      </w:r>
      <w:r w:rsidR="00C023C3">
        <w:t xml:space="preserve"> Transport for New South Wales and Victoria’s Major Transport Infrastructure Authority </w:t>
      </w:r>
      <w:r w:rsidR="002D7BDB">
        <w:t>(</w:t>
      </w:r>
      <w:r w:rsidR="00C023C3">
        <w:t>which oversees the Level Crossing Removal Project</w:t>
      </w:r>
      <w:r w:rsidR="002D7BDB">
        <w:t>)</w:t>
      </w:r>
      <w:r w:rsidR="00C023C3">
        <w:t xml:space="preserve"> </w:t>
      </w:r>
      <w:r w:rsidR="00477126">
        <w:t>trialling Incentivised Target Cost contracts</w:t>
      </w:r>
      <w:r w:rsidR="00DD4193">
        <w:t xml:space="preserve"> (Roads Australia, sub. 151</w:t>
      </w:r>
      <w:r w:rsidR="00853C54">
        <w:t>, p. 2</w:t>
      </w:r>
      <w:r w:rsidR="00DD4193">
        <w:t>)</w:t>
      </w:r>
      <w:r w:rsidR="002D7BDB">
        <w:t>.</w:t>
      </w:r>
      <w:r w:rsidR="009F3CB8">
        <w:t xml:space="preserve"> </w:t>
      </w:r>
      <w:r w:rsidR="00796AD5">
        <w:t>T</w:t>
      </w:r>
      <w:r w:rsidR="008831B5">
        <w:t>he</w:t>
      </w:r>
      <w:r w:rsidR="00703D3C">
        <w:t xml:space="preserve"> Australian Constructors Association commented that the use of relational contracting in the Level Crossing Removal Project has led to higher productivity and enhanced innovation. </w:t>
      </w:r>
      <w:r w:rsidR="00935A06">
        <w:t>C</w:t>
      </w:r>
      <w:r w:rsidR="00703D3C">
        <w:t xml:space="preserve">ontracts were structured </w:t>
      </w:r>
      <w:r w:rsidR="00935A06">
        <w:t xml:space="preserve">to </w:t>
      </w:r>
      <w:r w:rsidR="00E93C3A">
        <w:t>allow</w:t>
      </w:r>
      <w:r w:rsidR="00703D3C">
        <w:t xml:space="preserve"> construction teams </w:t>
      </w:r>
      <w:r w:rsidR="00456B70">
        <w:t>that</w:t>
      </w:r>
      <w:r w:rsidR="00703D3C">
        <w:t xml:space="preserve"> achieved minimum standards on a crossing removal </w:t>
      </w:r>
      <w:r w:rsidR="00E93C3A">
        <w:t>to be</w:t>
      </w:r>
      <w:r w:rsidR="00703D3C">
        <w:t xml:space="preserve"> employed for future crossing removals</w:t>
      </w:r>
      <w:r w:rsidR="00456B70">
        <w:t>,</w:t>
      </w:r>
      <w:r w:rsidR="00703D3C">
        <w:t xml:space="preserve"> thereby </w:t>
      </w:r>
      <w:r w:rsidR="00456B70">
        <w:t>‘</w:t>
      </w:r>
      <w:r w:rsidR="00703D3C" w:rsidRPr="00B0013B">
        <w:t>reducing the churn of people and maintaining that knowledge base on the job</w:t>
      </w:r>
      <w:r w:rsidR="00456B70">
        <w:t>’</w:t>
      </w:r>
      <w:r w:rsidR="00703D3C" w:rsidRPr="005248C1">
        <w:t xml:space="preserve"> </w:t>
      </w:r>
      <w:r w:rsidR="00703D3C">
        <w:t>(</w:t>
      </w:r>
      <w:r w:rsidR="00E44FE3">
        <w:rPr>
          <w:rFonts w:ascii="Arial" w:hAnsi="Arial" w:cs="Arial"/>
          <w:szCs w:val="24"/>
        </w:rPr>
        <w:t>ACA</w:t>
      </w:r>
      <w:r w:rsidR="00703D3C">
        <w:rPr>
          <w:rFonts w:ascii="Arial" w:hAnsi="Arial" w:cs="Arial"/>
          <w:szCs w:val="24"/>
        </w:rPr>
        <w:t>, trans.</w:t>
      </w:r>
      <w:r w:rsidR="00DD211F">
        <w:rPr>
          <w:rFonts w:ascii="Arial" w:hAnsi="Arial" w:cs="Arial"/>
          <w:szCs w:val="24"/>
        </w:rPr>
        <w:t>,</w:t>
      </w:r>
      <w:r w:rsidR="00703D3C">
        <w:rPr>
          <w:rFonts w:ascii="Arial" w:hAnsi="Arial" w:cs="Arial"/>
          <w:szCs w:val="24"/>
        </w:rPr>
        <w:t xml:space="preserve"> p.</w:t>
      </w:r>
      <w:r w:rsidR="00DD211F">
        <w:rPr>
          <w:rFonts w:ascii="Arial" w:hAnsi="Arial" w:cs="Arial"/>
          <w:szCs w:val="24"/>
        </w:rPr>
        <w:t> </w:t>
      </w:r>
      <w:r w:rsidR="00703D3C">
        <w:rPr>
          <w:rFonts w:ascii="Arial" w:hAnsi="Arial" w:cs="Arial"/>
          <w:szCs w:val="24"/>
        </w:rPr>
        <w:t>84).</w:t>
      </w:r>
      <w:r w:rsidR="003A0ECF">
        <w:t xml:space="preserve"> </w:t>
      </w:r>
      <w:r w:rsidR="00022813">
        <w:t xml:space="preserve">However, </w:t>
      </w:r>
      <w:r w:rsidR="00EA0B41">
        <w:t xml:space="preserve">some </w:t>
      </w:r>
      <w:r w:rsidR="00486546">
        <w:t xml:space="preserve">stakeholders have highlighted that </w:t>
      </w:r>
      <w:r w:rsidR="00022813">
        <w:t>there are still areas</w:t>
      </w:r>
      <w:r w:rsidR="00D02803">
        <w:t xml:space="preserve"> for</w:t>
      </w:r>
      <w:r w:rsidR="00022813">
        <w:t xml:space="preserve"> improve</w:t>
      </w:r>
      <w:r w:rsidR="00D02803">
        <w:t>ment</w:t>
      </w:r>
      <w:r w:rsidR="00022813">
        <w:t xml:space="preserve"> (Roads Australia, sub. 151, p. 2).</w:t>
      </w:r>
      <w:r w:rsidR="004B2471">
        <w:t xml:space="preserve"> </w:t>
      </w:r>
    </w:p>
    <w:p w14:paraId="0D593A9F" w14:textId="77777777" w:rsidR="003336AA" w:rsidRDefault="003336AA" w:rsidP="003336AA">
      <w:pPr>
        <w:pStyle w:val="NoSpacing"/>
      </w:pPr>
    </w:p>
    <w:tbl>
      <w:tblPr>
        <w:tblStyle w:val="Texttable-Paleblue"/>
        <w:tblW w:w="5000" w:type="pct"/>
        <w:tblLook w:val="04A0" w:firstRow="1" w:lastRow="0" w:firstColumn="1" w:lastColumn="0" w:noHBand="0" w:noVBand="1"/>
      </w:tblPr>
      <w:tblGrid>
        <w:gridCol w:w="713"/>
        <w:gridCol w:w="8925"/>
      </w:tblGrid>
      <w:tr w:rsidR="00B83FF9" w14:paraId="5E39A9F8" w14:textId="77777777">
        <w:trPr>
          <w:tblHeader/>
        </w:trPr>
        <w:tc>
          <w:tcPr>
            <w:tcW w:w="709" w:type="dxa"/>
            <w:tcMar>
              <w:top w:w="0" w:type="dxa"/>
              <w:bottom w:w="0" w:type="dxa"/>
            </w:tcMar>
            <w:vAlign w:val="center"/>
          </w:tcPr>
          <w:p w14:paraId="332AA860" w14:textId="77777777" w:rsidR="003336AA" w:rsidRDefault="003336AA">
            <w:pPr>
              <w:keepLines/>
              <w:jc w:val="center"/>
            </w:pPr>
            <w:r w:rsidRPr="00A51374">
              <w:rPr>
                <w:noProof/>
              </w:rPr>
              <w:drawing>
                <wp:inline distT="0" distB="0" distL="0" distR="0" wp14:anchorId="7CE49DAF" wp14:editId="69823D4E">
                  <wp:extent cx="288000" cy="288000"/>
                  <wp:effectExtent l="0" t="0" r="0" b="0"/>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68A30B6" w14:textId="615BD352" w:rsidR="003336AA" w:rsidRPr="00715040" w:rsidRDefault="003336AA">
            <w:pPr>
              <w:pStyle w:val="TableHeading"/>
              <w:keepLines/>
              <w:spacing w:before="120" w:after="120"/>
              <w:contextualSpacing/>
              <w:rPr>
                <w:sz w:val="20"/>
              </w:rPr>
            </w:pPr>
            <w:r w:rsidRPr="00715040">
              <w:rPr>
                <w:sz w:val="20"/>
              </w:rPr>
              <w:t xml:space="preserve">Recommendation </w:t>
            </w:r>
            <w:r w:rsidR="00A911E8">
              <w:rPr>
                <w:sz w:val="20"/>
              </w:rPr>
              <w:t>5.7</w:t>
            </w:r>
          </w:p>
          <w:p w14:paraId="7E7B74AE" w14:textId="04095B09" w:rsidR="003336AA" w:rsidRPr="00715040" w:rsidRDefault="00906EB1">
            <w:pPr>
              <w:pStyle w:val="TableHeading"/>
              <w:keepLines/>
              <w:spacing w:before="120" w:after="120"/>
              <w:contextualSpacing/>
              <w:rPr>
                <w:sz w:val="20"/>
              </w:rPr>
            </w:pPr>
            <w:r>
              <w:rPr>
                <w:sz w:val="20"/>
              </w:rPr>
              <w:t>C</w:t>
            </w:r>
            <w:r w:rsidR="003336AA">
              <w:rPr>
                <w:sz w:val="20"/>
              </w:rPr>
              <w:t xml:space="preserve">ollaborative </w:t>
            </w:r>
            <w:r>
              <w:rPr>
                <w:sz w:val="20"/>
              </w:rPr>
              <w:t xml:space="preserve">procurement on </w:t>
            </w:r>
            <w:r w:rsidR="003336AA">
              <w:rPr>
                <w:sz w:val="20"/>
              </w:rPr>
              <w:t>major project</w:t>
            </w:r>
            <w:r>
              <w:rPr>
                <w:sz w:val="20"/>
              </w:rPr>
              <w:t>s to increase productivity</w:t>
            </w:r>
          </w:p>
        </w:tc>
      </w:tr>
      <w:tr w:rsidR="00C40547" w14:paraId="0DEDECBD" w14:textId="77777777">
        <w:tc>
          <w:tcPr>
            <w:tcW w:w="9583" w:type="dxa"/>
            <w:gridSpan w:val="2"/>
            <w:tcMar>
              <w:top w:w="0" w:type="dxa"/>
            </w:tcMar>
          </w:tcPr>
          <w:p w14:paraId="42CCE530" w14:textId="16F5E627" w:rsidR="003336AA" w:rsidRPr="00E169BA" w:rsidRDefault="00346092">
            <w:pPr>
              <w:pStyle w:val="BodyText"/>
              <w:keepLines/>
              <w:rPr>
                <w:spacing w:val="-4"/>
              </w:rPr>
            </w:pPr>
            <w:r w:rsidRPr="00E169BA">
              <w:rPr>
                <w:spacing w:val="-4"/>
              </w:rPr>
              <w:t>The Australian, State and Ter</w:t>
            </w:r>
            <w:r w:rsidR="001A0752" w:rsidRPr="00E169BA">
              <w:rPr>
                <w:spacing w:val="-4"/>
              </w:rPr>
              <w:t>ritory Govern</w:t>
            </w:r>
            <w:r w:rsidR="00D942F5" w:rsidRPr="00E169BA">
              <w:rPr>
                <w:spacing w:val="-4"/>
              </w:rPr>
              <w:t>ment</w:t>
            </w:r>
            <w:r w:rsidR="001A0752" w:rsidRPr="00E169BA">
              <w:rPr>
                <w:spacing w:val="-4"/>
              </w:rPr>
              <w:t>s should improve the quality and productivity outcomes of public infrastructure projects by i</w:t>
            </w:r>
            <w:r w:rsidR="003336AA" w:rsidRPr="00E169BA">
              <w:rPr>
                <w:spacing w:val="-4"/>
              </w:rPr>
              <w:t>ncreas</w:t>
            </w:r>
            <w:r w:rsidR="001A0752" w:rsidRPr="00E169BA">
              <w:rPr>
                <w:spacing w:val="-4"/>
              </w:rPr>
              <w:t>ing</w:t>
            </w:r>
            <w:r w:rsidR="003336AA" w:rsidRPr="00E169BA">
              <w:rPr>
                <w:spacing w:val="-4"/>
              </w:rPr>
              <w:t xml:space="preserve"> the use of alliance contracting or collaborative contracting for major projects, so that contractors are involved earlier in the planning and scoping stages of a project. This could also include building incentives into contracts for the achievement of certain targets or standards.</w:t>
            </w:r>
          </w:p>
        </w:tc>
      </w:tr>
      <w:tr w:rsidR="00A8136D" w14:paraId="659D6AC1" w14:textId="77777777">
        <w:tc>
          <w:tcPr>
            <w:tcW w:w="9583" w:type="dxa"/>
            <w:gridSpan w:val="2"/>
            <w:shd w:val="clear" w:color="auto" w:fill="auto"/>
            <w:tcMar>
              <w:top w:w="0" w:type="dxa"/>
              <w:bottom w:w="0" w:type="dxa"/>
            </w:tcMar>
          </w:tcPr>
          <w:p w14:paraId="7B1B022E" w14:textId="77777777" w:rsidR="003336AA" w:rsidRPr="007E0EA8" w:rsidRDefault="003336AA">
            <w:pPr>
              <w:pStyle w:val="NoSpacing"/>
              <w:spacing w:line="200" w:lineRule="exact"/>
            </w:pPr>
          </w:p>
        </w:tc>
      </w:tr>
    </w:tbl>
    <w:p w14:paraId="167FDDB9" w14:textId="742F65BE" w:rsidR="00A95662" w:rsidRDefault="003A0ECF" w:rsidP="003A0ECF">
      <w:pPr>
        <w:pStyle w:val="BodyText"/>
      </w:pPr>
      <w:r>
        <w:t>In some instances, best practice procurement is not to procure at all because the dollars could be spent elsewhere on better outcomes for the public. The oft</w:t>
      </w:r>
      <w:r>
        <w:noBreakHyphen/>
        <w:t>repeated admonition to apply genuine, disinterested, rigorous cost</w:t>
      </w:r>
      <w:r>
        <w:noBreakHyphen/>
        <w:t>benefit analysis (CBA) of major projects suffers from its forgettability. Everyone says it</w:t>
      </w:r>
      <w:r w:rsidR="00BB2961">
        <w:t xml:space="preserve"> is</w:t>
      </w:r>
      <w:r>
        <w:t xml:space="preserve"> a good idea. All jurisdictions and many agencies have developed guides about how to do it</w:t>
      </w:r>
      <w:r w:rsidR="00C043B1">
        <w:t xml:space="preserve"> </w:t>
      </w:r>
      <w:r w:rsidR="006F0AC7" w:rsidRPr="006F0AC7">
        <w:rPr>
          <w:rFonts w:ascii="Arial" w:hAnsi="Arial" w:cs="Arial"/>
          <w:szCs w:val="24"/>
        </w:rPr>
        <w:t>(see, for example, ATAP 2018; Infrastructure Australia 2021)</w:t>
      </w:r>
      <w:r w:rsidR="00CD546A">
        <w:t>.</w:t>
      </w:r>
      <w:r w:rsidR="00B60D3A">
        <w:t xml:space="preserve"> </w:t>
      </w:r>
      <w:r w:rsidR="00CD546A">
        <w:t>E</w:t>
      </w:r>
      <w:r w:rsidR="00B60D3A">
        <w:t>ssential elements of best practice CBA includ</w:t>
      </w:r>
      <w:r w:rsidR="00CD546A">
        <w:t>e</w:t>
      </w:r>
      <w:r w:rsidR="00B60D3A">
        <w:t xml:space="preserve"> independent evaluation</w:t>
      </w:r>
      <w:r w:rsidR="00242AB5">
        <w:t xml:space="preserve"> of assumptions and inputs (such as cost estimates </w:t>
      </w:r>
      <w:r w:rsidR="00CF558F">
        <w:t>and demand or benefit forecasts</w:t>
      </w:r>
      <w:r w:rsidR="00762670">
        <w:t>, involving external experts where required</w:t>
      </w:r>
      <w:r w:rsidR="00CF558F">
        <w:t>)</w:t>
      </w:r>
      <w:r w:rsidR="00B60D3A">
        <w:t xml:space="preserve">, transparency </w:t>
      </w:r>
      <w:r w:rsidR="00CD546A">
        <w:t>(for example</w:t>
      </w:r>
      <w:r w:rsidR="00DE384C">
        <w:t xml:space="preserve">, showing breakdowns of cost and benefit calculations and </w:t>
      </w:r>
      <w:r w:rsidR="0065272D">
        <w:t xml:space="preserve">being clear on how different scenarios were selected) </w:t>
      </w:r>
      <w:r w:rsidR="00B60D3A">
        <w:t>and accountability</w:t>
      </w:r>
      <w:r w:rsidR="000411D5">
        <w:t xml:space="preserve"> (by government</w:t>
      </w:r>
      <w:r w:rsidR="001173FD">
        <w:t>s</w:t>
      </w:r>
      <w:r w:rsidR="000411D5">
        <w:t xml:space="preserve"> </w:t>
      </w:r>
      <w:r w:rsidR="0033515C">
        <w:t xml:space="preserve">as </w:t>
      </w:r>
      <w:r w:rsidR="000411D5">
        <w:t xml:space="preserve">to how CBA </w:t>
      </w:r>
      <w:r w:rsidR="0026678E">
        <w:t>outcomes</w:t>
      </w:r>
      <w:r w:rsidR="000411D5">
        <w:t xml:space="preserve"> have been used </w:t>
      </w:r>
      <w:r w:rsidR="004B589F">
        <w:t xml:space="preserve">— or not used — </w:t>
      </w:r>
      <w:r w:rsidR="0033515C">
        <w:t>in</w:t>
      </w:r>
      <w:r w:rsidR="000411D5">
        <w:t xml:space="preserve"> the</w:t>
      </w:r>
      <w:r w:rsidR="0033515C">
        <w:t>ir</w:t>
      </w:r>
      <w:r w:rsidR="000411D5">
        <w:t xml:space="preserve"> </w:t>
      </w:r>
      <w:r w:rsidR="00F13903">
        <w:t>project</w:t>
      </w:r>
      <w:r w:rsidR="000411D5">
        <w:t xml:space="preserve"> decision</w:t>
      </w:r>
      <w:r w:rsidR="00F13903">
        <w:t>s</w:t>
      </w:r>
      <w:r w:rsidR="000411D5">
        <w:t>)</w:t>
      </w:r>
      <w:r>
        <w:t xml:space="preserve">. </w:t>
      </w:r>
    </w:p>
    <w:p w14:paraId="3F389599" w14:textId="7F0CDDEE" w:rsidR="006D4FA9" w:rsidRDefault="003A0ECF" w:rsidP="003A0ECF">
      <w:pPr>
        <w:pStyle w:val="BodyText"/>
      </w:pPr>
      <w:r>
        <w:t>But compliance with best practice is piecemeal, and the outcomes of the analysis may not have any effect on project choice. The consequence is that big public infrastructure projects routinely suffer from optimism bias, with large cost blowouts and long completion delays.</w:t>
      </w:r>
      <w:r w:rsidR="00727011">
        <w:t xml:space="preserve"> </w:t>
      </w:r>
      <w:r w:rsidR="00060E7E">
        <w:t>In 2020, t</w:t>
      </w:r>
      <w:r w:rsidR="006D4FA9">
        <w:t xml:space="preserve">he Grattan Institute </w:t>
      </w:r>
      <w:r w:rsidR="00060E7E">
        <w:t xml:space="preserve">estimated that cost overruns </w:t>
      </w:r>
      <w:r w:rsidR="00A31076">
        <w:t xml:space="preserve">on transport infrastructure in the preceding two decades totalled </w:t>
      </w:r>
      <w:r w:rsidR="00EA27BC">
        <w:t xml:space="preserve">$34 billion in government expenditure, </w:t>
      </w:r>
      <w:r w:rsidR="00147182">
        <w:t xml:space="preserve">and that </w:t>
      </w:r>
      <w:r w:rsidR="000954D8">
        <w:t xml:space="preserve">at the time of writing </w:t>
      </w:r>
      <w:r w:rsidR="00147182">
        <w:t xml:space="preserve">six current projects </w:t>
      </w:r>
      <w:r w:rsidR="002A428F">
        <w:t>(including Inland Rail, Melbourne</w:t>
      </w:r>
      <w:r w:rsidR="00A43B86">
        <w:t>’</w:t>
      </w:r>
      <w:r w:rsidR="002A428F">
        <w:t xml:space="preserve">s </w:t>
      </w:r>
      <w:proofErr w:type="gramStart"/>
      <w:r w:rsidR="002A428F">
        <w:t>North East</w:t>
      </w:r>
      <w:proofErr w:type="gramEnd"/>
      <w:r w:rsidR="002A428F">
        <w:t xml:space="preserve"> Link and the Sydney Metro City &amp; Southwest) </w:t>
      </w:r>
      <w:r w:rsidR="00B84E32">
        <w:t xml:space="preserve">had already </w:t>
      </w:r>
      <w:r w:rsidR="002A428F">
        <w:t xml:space="preserve">accrued cost overruns of $24 billion </w:t>
      </w:r>
      <w:r w:rsidR="006F0AC7" w:rsidRPr="006F0AC7">
        <w:rPr>
          <w:rFonts w:ascii="Arial" w:hAnsi="Arial" w:cs="Arial"/>
          <w:szCs w:val="24"/>
        </w:rPr>
        <w:t>(Terrill, Emslie and Moran 2020, p. 3)</w:t>
      </w:r>
      <w:r w:rsidR="002A428F">
        <w:t>.</w:t>
      </w:r>
      <w:r w:rsidR="000138F1">
        <w:t xml:space="preserve"> </w:t>
      </w:r>
      <w:r w:rsidR="004D5E0D">
        <w:t>M</w:t>
      </w:r>
      <w:r w:rsidR="00013FDE">
        <w:t xml:space="preserve">ore recently, many infrastructure projects involving substantial public funds </w:t>
      </w:r>
      <w:r w:rsidR="00D44DEF">
        <w:t xml:space="preserve">were committed to by governments before Infrastructure Australia had completed an assessment </w:t>
      </w:r>
      <w:r w:rsidR="006F0AC7" w:rsidRPr="006F0AC7">
        <w:rPr>
          <w:rFonts w:ascii="Arial" w:hAnsi="Arial" w:cs="Arial"/>
          <w:szCs w:val="24"/>
        </w:rPr>
        <w:t>(Terrill 2022, p. 28)</w:t>
      </w:r>
      <w:r w:rsidR="00D44DEF">
        <w:t xml:space="preserve">. </w:t>
      </w:r>
      <w:r w:rsidR="00586C24">
        <w:t>Even if</w:t>
      </w:r>
      <w:r w:rsidR="00F058AD">
        <w:t xml:space="preserve"> improving the </w:t>
      </w:r>
      <w:r w:rsidR="00051983">
        <w:t>use of CBAs only le</w:t>
      </w:r>
      <w:r w:rsidR="00565E89">
        <w:t>a</w:t>
      </w:r>
      <w:r w:rsidR="00051983">
        <w:t>d</w:t>
      </w:r>
      <w:r w:rsidR="00565E89">
        <w:t>s</w:t>
      </w:r>
      <w:r w:rsidR="00051983">
        <w:t xml:space="preserve"> to a</w:t>
      </w:r>
      <w:r w:rsidR="00557CE5">
        <w:t xml:space="preserve"> slight shift in government decision making and a</w:t>
      </w:r>
      <w:r w:rsidR="000138F1">
        <w:t xml:space="preserve"> </w:t>
      </w:r>
      <w:r w:rsidR="00557CE5">
        <w:t xml:space="preserve">small reduction in cost overruns in percentage terms, this would amount to </w:t>
      </w:r>
      <w:r w:rsidR="005E30E7">
        <w:t xml:space="preserve">substantial </w:t>
      </w:r>
      <w:r w:rsidR="00C97A9B">
        <w:t>improvements in resource allocation and efficiency gains in dollar terms</w:t>
      </w:r>
      <w:r w:rsidR="00487A25">
        <w:t xml:space="preserve"> given the size of these projects</w:t>
      </w:r>
      <w:r w:rsidR="00C97A9B">
        <w:t>.</w:t>
      </w:r>
    </w:p>
    <w:p w14:paraId="01D074A3" w14:textId="024A985B" w:rsidR="008905CE" w:rsidRDefault="00727011" w:rsidP="003A0ECF">
      <w:pPr>
        <w:pStyle w:val="BodyText"/>
      </w:pPr>
      <w:r>
        <w:lastRenderedPageBreak/>
        <w:t>Governments should</w:t>
      </w:r>
      <w:r w:rsidR="009B1A9A">
        <w:t xml:space="preserve"> therefore</w:t>
      </w:r>
      <w:r>
        <w:t xml:space="preserve"> commit to </w:t>
      </w:r>
      <w:r w:rsidR="004B4144">
        <w:t xml:space="preserve">institutional and governance arrangements that </w:t>
      </w:r>
      <w:r w:rsidR="00684C05">
        <w:t xml:space="preserve">adopt the </w:t>
      </w:r>
      <w:proofErr w:type="gramStart"/>
      <w:r w:rsidR="00684C05">
        <w:t>aforementioned elements</w:t>
      </w:r>
      <w:proofErr w:type="gramEnd"/>
      <w:r w:rsidR="00684C05">
        <w:t xml:space="preserve"> of best practice CBA</w:t>
      </w:r>
      <w:r w:rsidR="00F0444B">
        <w:t xml:space="preserve">. </w:t>
      </w:r>
      <w:r w:rsidR="000F33E1">
        <w:t xml:space="preserve">An example </w:t>
      </w:r>
      <w:r w:rsidR="004006CF">
        <w:t xml:space="preserve">of such an institutional arrangement is the Washington State Institute for Public Policy </w:t>
      </w:r>
      <w:r w:rsidR="00C241FE">
        <w:t>(WSIPP)</w:t>
      </w:r>
      <w:r w:rsidR="004006CF">
        <w:t xml:space="preserve"> in the United States</w:t>
      </w:r>
      <w:r w:rsidR="00786881">
        <w:t xml:space="preserve">. </w:t>
      </w:r>
      <w:r w:rsidR="00405CDD">
        <w:t>WSIPP is</w:t>
      </w:r>
      <w:r w:rsidR="006D489F">
        <w:t xml:space="preserve"> a </w:t>
      </w:r>
      <w:r w:rsidR="008905CE" w:rsidRPr="008905CE">
        <w:t>non</w:t>
      </w:r>
      <w:r w:rsidR="00A43B86">
        <w:noBreakHyphen/>
      </w:r>
      <w:r w:rsidR="008905CE" w:rsidRPr="008905CE">
        <w:t xml:space="preserve">partisan </w:t>
      </w:r>
      <w:r w:rsidR="00C5151F">
        <w:t xml:space="preserve">public research group </w:t>
      </w:r>
      <w:r w:rsidR="00EA0CE4">
        <w:t xml:space="preserve">that </w:t>
      </w:r>
      <w:r w:rsidR="008905CE" w:rsidRPr="008905CE">
        <w:t xml:space="preserve">applies a consistent </w:t>
      </w:r>
      <w:r w:rsidR="00EA0CE4">
        <w:t xml:space="preserve">CBA </w:t>
      </w:r>
      <w:r w:rsidR="008905CE" w:rsidRPr="008905CE">
        <w:t>model across multiple</w:t>
      </w:r>
      <w:r w:rsidR="00DF779E">
        <w:t xml:space="preserve"> state</w:t>
      </w:r>
      <w:r w:rsidR="00A43B86">
        <w:noBreakHyphen/>
      </w:r>
      <w:r w:rsidR="00DF779E">
        <w:t xml:space="preserve">level </w:t>
      </w:r>
      <w:r w:rsidR="008905CE" w:rsidRPr="008905CE">
        <w:t>policies</w:t>
      </w:r>
      <w:r w:rsidR="00DF779E">
        <w:t xml:space="preserve"> to provide </w:t>
      </w:r>
      <w:r w:rsidR="00C23A81">
        <w:t>‘</w:t>
      </w:r>
      <w:r w:rsidR="00C23A81" w:rsidRPr="00C23A81">
        <w:t>policymakers and budget writers with a list of well</w:t>
      </w:r>
      <w:r w:rsidR="00A43B86">
        <w:noBreakHyphen/>
      </w:r>
      <w:r w:rsidR="00C23A81" w:rsidRPr="00C23A81">
        <w:t>researched public policies that can, with a high degree of certainty, lead to better statewide outcomes coupled with a more efficient use of taxpayer dollars</w:t>
      </w:r>
      <w:r w:rsidR="00C23A81">
        <w:t>’</w:t>
      </w:r>
      <w:r w:rsidR="008905CE" w:rsidRPr="008905CE">
        <w:t xml:space="preserve"> </w:t>
      </w:r>
      <w:r w:rsidR="006F0AC7" w:rsidRPr="006F0AC7">
        <w:rPr>
          <w:rFonts w:ascii="Arial" w:hAnsi="Arial" w:cs="Arial"/>
          <w:szCs w:val="24"/>
        </w:rPr>
        <w:t>(WSIPP 2019)</w:t>
      </w:r>
      <w:r w:rsidR="00886D1A">
        <w:t xml:space="preserve">. </w:t>
      </w:r>
      <w:r w:rsidR="006F209C">
        <w:t>It us</w:t>
      </w:r>
      <w:r w:rsidR="00DA0706">
        <w:t>es</w:t>
      </w:r>
      <w:r w:rsidR="006F209C">
        <w:t xml:space="preserve"> a standardised set of measures</w:t>
      </w:r>
      <w:r w:rsidR="00DA0706">
        <w:t xml:space="preserve"> to </w:t>
      </w:r>
      <w:r w:rsidR="00195EE8">
        <w:t>promote comparability</w:t>
      </w:r>
      <w:r w:rsidR="006F209C">
        <w:t xml:space="preserve">, </w:t>
      </w:r>
      <w:r w:rsidR="004D636C">
        <w:t xml:space="preserve">including </w:t>
      </w:r>
      <w:r w:rsidR="002A3F9E">
        <w:t>a</w:t>
      </w:r>
      <w:r w:rsidR="00293632">
        <w:t xml:space="preserve"> normalised </w:t>
      </w:r>
      <w:r w:rsidR="003E769A">
        <w:t>approach to meta</w:t>
      </w:r>
      <w:r w:rsidR="00A43B86">
        <w:noBreakHyphen/>
      </w:r>
      <w:r w:rsidR="003E769A">
        <w:t xml:space="preserve">analysis </w:t>
      </w:r>
      <w:r w:rsidR="00C20866">
        <w:t>that</w:t>
      </w:r>
      <w:r w:rsidR="00704E95">
        <w:t xml:space="preserve"> generates</w:t>
      </w:r>
      <w:r w:rsidR="002A3F9E">
        <w:t xml:space="preserve"> </w:t>
      </w:r>
      <w:r w:rsidR="00A9316B">
        <w:t>consistent</w:t>
      </w:r>
      <w:r w:rsidR="002A3F9E">
        <w:t xml:space="preserve"> </w:t>
      </w:r>
      <w:r w:rsidR="00277AC7">
        <w:t>(but context dependent)</w:t>
      </w:r>
      <w:r w:rsidR="002A3F9E">
        <w:t xml:space="preserve"> measure</w:t>
      </w:r>
      <w:r w:rsidR="008F206B">
        <w:t>s</w:t>
      </w:r>
      <w:r w:rsidR="002A3F9E">
        <w:t xml:space="preserve"> of effect </w:t>
      </w:r>
      <w:r w:rsidR="005031DA">
        <w:t>sizes</w:t>
      </w:r>
      <w:r w:rsidR="00277AC7">
        <w:t xml:space="preserve"> </w:t>
      </w:r>
      <w:r w:rsidR="006F0AC7" w:rsidRPr="006F0AC7">
        <w:rPr>
          <w:rFonts w:ascii="Arial" w:hAnsi="Arial" w:cs="Arial"/>
          <w:szCs w:val="24"/>
        </w:rPr>
        <w:t>(WSIPP nd, pp. 2–4)</w:t>
      </w:r>
      <w:r w:rsidR="008070AC">
        <w:t xml:space="preserve"> </w:t>
      </w:r>
      <w:r w:rsidR="004A2BAC">
        <w:t>and</w:t>
      </w:r>
      <w:r w:rsidR="00277AC7">
        <w:t xml:space="preserve"> </w:t>
      </w:r>
      <w:r w:rsidR="008070AC">
        <w:t xml:space="preserve">a prescribed method </w:t>
      </w:r>
      <w:r w:rsidR="00324FB5">
        <w:t>for conducting sensitivity analysis</w:t>
      </w:r>
      <w:r w:rsidR="00194F8D">
        <w:t xml:space="preserve"> on </w:t>
      </w:r>
      <w:r w:rsidR="00FA47EA">
        <w:t>costs and benefits</w:t>
      </w:r>
      <w:r w:rsidR="00324FB5">
        <w:t xml:space="preserve"> </w:t>
      </w:r>
      <w:r w:rsidR="006F0AC7" w:rsidRPr="006F0AC7">
        <w:rPr>
          <w:rFonts w:ascii="Arial" w:hAnsi="Arial" w:cs="Arial"/>
          <w:szCs w:val="24"/>
        </w:rPr>
        <w:t>(WSIPP nd, p. 2)</w:t>
      </w:r>
      <w:r w:rsidR="00351B9C">
        <w:t>.</w:t>
      </w:r>
      <w:r w:rsidR="00AC4FDC">
        <w:t xml:space="preserve"> </w:t>
      </w:r>
      <w:r w:rsidR="00653CA2">
        <w:t>This improv</w:t>
      </w:r>
      <w:r w:rsidR="007F53B0">
        <w:t>e</w:t>
      </w:r>
      <w:r w:rsidR="00653CA2">
        <w:t xml:space="preserve">s transparency </w:t>
      </w:r>
      <w:r w:rsidR="00B265BB">
        <w:t>by giving</w:t>
      </w:r>
      <w:r w:rsidR="007F53B0">
        <w:t xml:space="preserve"> the public </w:t>
      </w:r>
      <w:r w:rsidR="005B10D6">
        <w:t>reliable and comparable measure</w:t>
      </w:r>
      <w:r w:rsidR="009F034A">
        <w:t>s</w:t>
      </w:r>
      <w:r w:rsidR="007F53B0">
        <w:t xml:space="preserve"> to ga</w:t>
      </w:r>
      <w:r w:rsidR="009F034A">
        <w:t>u</w:t>
      </w:r>
      <w:r w:rsidR="007F53B0">
        <w:t>ge the effectiveness of a range of policies.</w:t>
      </w:r>
    </w:p>
    <w:p w14:paraId="22E7A45E" w14:textId="469C3DB1" w:rsidR="004F537D" w:rsidRDefault="008B6BBB" w:rsidP="003A0ECF">
      <w:pPr>
        <w:pStyle w:val="BodyText"/>
      </w:pPr>
      <w:r>
        <w:t xml:space="preserve">In Australia, the </w:t>
      </w:r>
      <w:r w:rsidR="00AD2A3F">
        <w:t xml:space="preserve">government has committed to establishing </w:t>
      </w:r>
      <w:r w:rsidR="009B5F65">
        <w:t xml:space="preserve">an Evaluator General, which aims to improve the measurement of </w:t>
      </w:r>
      <w:r w:rsidR="00E23861">
        <w:t>policy</w:t>
      </w:r>
      <w:r w:rsidR="00086B08">
        <w:t xml:space="preserve"> </w:t>
      </w:r>
      <w:r w:rsidR="00E23861">
        <w:t xml:space="preserve">and project </w:t>
      </w:r>
      <w:r w:rsidR="00086B08">
        <w:t xml:space="preserve">outcomes and work with other government departments to conduct </w:t>
      </w:r>
      <w:r w:rsidR="00E74113">
        <w:t>high</w:t>
      </w:r>
      <w:r w:rsidR="00C149BC">
        <w:noBreakHyphen/>
      </w:r>
      <w:r w:rsidR="00E74113">
        <w:t>quality</w:t>
      </w:r>
      <w:r w:rsidR="00C149BC">
        <w:t xml:space="preserve"> program</w:t>
      </w:r>
      <w:r w:rsidR="00E74113">
        <w:t xml:space="preserve"> </w:t>
      </w:r>
      <w:r w:rsidR="00086B08">
        <w:t>evaluations</w:t>
      </w:r>
      <w:r w:rsidR="005C5A60">
        <w:t xml:space="preserve"> </w:t>
      </w:r>
      <w:r w:rsidR="006F0AC7" w:rsidRPr="006F0AC7">
        <w:rPr>
          <w:rFonts w:ascii="Arial" w:hAnsi="Arial" w:cs="Arial"/>
          <w:szCs w:val="24"/>
        </w:rPr>
        <w:t>(Leigh 2018, 2022)</w:t>
      </w:r>
      <w:r w:rsidR="00086B08" w:rsidRPr="00DE3510">
        <w:t>.</w:t>
      </w:r>
      <w:r w:rsidR="000B6267">
        <w:t xml:space="preserve"> Such an entity could be a starting point for </w:t>
      </w:r>
      <w:r w:rsidR="000E78AC">
        <w:t>improving CBA practices</w:t>
      </w:r>
      <w:r w:rsidR="004A7AC4">
        <w:t xml:space="preserve"> (for example, by providing independent evaluation </w:t>
      </w:r>
      <w:r w:rsidR="004C13D0">
        <w:t>of CBA assumptions and inputs)</w:t>
      </w:r>
      <w:r w:rsidR="000E78AC">
        <w:t xml:space="preserve">, </w:t>
      </w:r>
      <w:r w:rsidR="00033EF2">
        <w:t xml:space="preserve">noting that the proposal is </w:t>
      </w:r>
      <w:r w:rsidR="00C149BC">
        <w:t xml:space="preserve">at the </w:t>
      </w:r>
      <w:r w:rsidR="005C53B7">
        <w:t>Commonwealth</w:t>
      </w:r>
      <w:r w:rsidR="00C149BC">
        <w:t xml:space="preserve"> level, </w:t>
      </w:r>
      <w:r w:rsidR="00BD5338">
        <w:t xml:space="preserve">so efforts would still be required to </w:t>
      </w:r>
      <w:r w:rsidR="00C573A1">
        <w:t>increase the quality</w:t>
      </w:r>
      <w:r w:rsidR="00FB3999">
        <w:t>,</w:t>
      </w:r>
      <w:r w:rsidR="00C573A1">
        <w:t xml:space="preserve"> consistency </w:t>
      </w:r>
      <w:r w:rsidR="00FB3999">
        <w:t xml:space="preserve">and comparability </w:t>
      </w:r>
      <w:r w:rsidR="00C573A1">
        <w:t xml:space="preserve">of CBAs undertaken at </w:t>
      </w:r>
      <w:r w:rsidR="005A4273">
        <w:t>the state and territory level.</w:t>
      </w:r>
    </w:p>
    <w:p w14:paraId="1EB203E8" w14:textId="485DFF84" w:rsidR="00F0444B" w:rsidRDefault="00AB5E5C" w:rsidP="003673C6">
      <w:pPr>
        <w:pStyle w:val="BodyText"/>
      </w:pPr>
      <w:r>
        <w:t>While improving the quality of CBAs</w:t>
      </w:r>
      <w:r w:rsidR="00F071EA">
        <w:t xml:space="preserve"> is important</w:t>
      </w:r>
      <w:r w:rsidR="00F0444B">
        <w:t xml:space="preserve">, </w:t>
      </w:r>
      <w:r w:rsidR="00D066E0">
        <w:t xml:space="preserve">whether </w:t>
      </w:r>
      <w:r w:rsidR="00F0444B">
        <w:t>government officials select projects in line with the results of robust CBAs</w:t>
      </w:r>
      <w:r w:rsidR="00D066E0">
        <w:t xml:space="preserve"> is another matter</w:t>
      </w:r>
      <w:r w:rsidR="00F0444B">
        <w:t>.</w:t>
      </w:r>
      <w:r w:rsidR="0044051F">
        <w:t xml:space="preserve"> At a minimum, CBA</w:t>
      </w:r>
      <w:r w:rsidR="007B1BD8">
        <w:t>s</w:t>
      </w:r>
      <w:r w:rsidR="0044051F">
        <w:t xml:space="preserve"> should be provided to </w:t>
      </w:r>
      <w:r w:rsidR="00270BFF">
        <w:t>government decision maker</w:t>
      </w:r>
      <w:r w:rsidR="008F2E5E">
        <w:t>s</w:t>
      </w:r>
      <w:r w:rsidR="00270BFF">
        <w:t xml:space="preserve"> before </w:t>
      </w:r>
      <w:r w:rsidR="00130C91">
        <w:t>an</w:t>
      </w:r>
      <w:r w:rsidR="007B1BD8">
        <w:t xml:space="preserve"> investment decision is made, so that the results can be factored into project choice. </w:t>
      </w:r>
      <w:r w:rsidR="00B01081">
        <w:t>The Grattan Institute previously recommended that</w:t>
      </w:r>
      <w:r w:rsidR="003F3B54">
        <w:t xml:space="preserve"> before government funds are committed to an infrastructure project valued at $100 million or more,</w:t>
      </w:r>
      <w:r w:rsidR="00B01081">
        <w:t xml:space="preserve"> </w:t>
      </w:r>
      <w:r w:rsidR="00943A83">
        <w:t xml:space="preserve">independent infrastructure advisory bodies </w:t>
      </w:r>
      <w:r w:rsidR="007675C4">
        <w:t xml:space="preserve">in the states and at the Commonwealth level </w:t>
      </w:r>
      <w:r w:rsidR="00AF6F5E">
        <w:t xml:space="preserve">should have a legislated role to independently assess the quality and assumptions underpinning </w:t>
      </w:r>
      <w:r w:rsidR="003F3B54">
        <w:t xml:space="preserve">the project’s </w:t>
      </w:r>
      <w:r w:rsidR="00837DAD">
        <w:t>business case</w:t>
      </w:r>
      <w:r w:rsidR="00F84908">
        <w:t xml:space="preserve">, </w:t>
      </w:r>
      <w:r w:rsidR="000F0200">
        <w:t xml:space="preserve">costs and benefits, </w:t>
      </w:r>
      <w:r w:rsidR="00F84908">
        <w:t>and publish this assessment</w:t>
      </w:r>
      <w:r w:rsidR="00FE7876">
        <w:t xml:space="preserve">. </w:t>
      </w:r>
      <w:r w:rsidR="00A22F9A">
        <w:t xml:space="preserve">Although ultimately the project decision </w:t>
      </w:r>
      <w:r w:rsidR="001B4266">
        <w:t xml:space="preserve">would still be made by </w:t>
      </w:r>
      <w:r w:rsidR="00F84908">
        <w:t>an</w:t>
      </w:r>
      <w:r w:rsidR="001B4266">
        <w:t xml:space="preserve"> elected government official, </w:t>
      </w:r>
      <w:r w:rsidR="00A81103">
        <w:t>‘the scrutiny on cost management and infrastructure investment decisions would be increased. This</w:t>
      </w:r>
      <w:r w:rsidR="003673C6">
        <w:t xml:space="preserve"> </w:t>
      </w:r>
      <w:r w:rsidR="00A81103">
        <w:t>scrutiny would serve to better align politicians’ incentives to the public</w:t>
      </w:r>
      <w:r w:rsidR="003673C6">
        <w:t xml:space="preserve"> </w:t>
      </w:r>
      <w:r w:rsidR="00A81103">
        <w:t>interest’</w:t>
      </w:r>
      <w:r w:rsidR="003673C6">
        <w:t xml:space="preserve"> </w:t>
      </w:r>
      <w:r w:rsidR="006F0AC7" w:rsidRPr="006F0AC7">
        <w:rPr>
          <w:rFonts w:ascii="Arial" w:hAnsi="Arial" w:cs="Arial"/>
          <w:szCs w:val="24"/>
        </w:rPr>
        <w:t>(Terrill, Emslie and Moran 2020, p. 34)</w:t>
      </w:r>
      <w:r w:rsidR="003A44CD">
        <w:t>.</w:t>
      </w:r>
    </w:p>
    <w:p w14:paraId="549D6901" w14:textId="1698DD9B" w:rsidR="003A0ECF" w:rsidRPr="003406C4" w:rsidRDefault="003A0ECF" w:rsidP="003A0ECF">
      <w:pPr>
        <w:pStyle w:val="BodyText"/>
        <w:rPr>
          <w:spacing w:val="-4"/>
        </w:rPr>
      </w:pPr>
      <w:r w:rsidRPr="003406C4">
        <w:rPr>
          <w:spacing w:val="-4"/>
        </w:rPr>
        <w:t xml:space="preserve">While harder to do, and probably more open to manipulation, CBA also has strong relevance to other government activities like defence, social programs, and healthcare. Dobes </w:t>
      </w:r>
      <w:r w:rsidRPr="003406C4">
        <w:rPr>
          <w:rFonts w:cs="Arial"/>
          <w:spacing w:val="-4"/>
        </w:rPr>
        <w:t>(2008)</w:t>
      </w:r>
      <w:r w:rsidRPr="003406C4">
        <w:rPr>
          <w:spacing w:val="-4"/>
        </w:rPr>
        <w:t xml:space="preserve"> argued that the traditions and expertise of these areas of government predisposes them to use other tools for assessment, like cost effectiveness studies, which provides less guidance to governments about how to allocate finite budgets across projects that are very different in their nature. That assessment remains relevant. Notably, an assessment by the Productivity Commission of programs for Aboriginal and Torres Strait Islander</w:t>
      </w:r>
      <w:r w:rsidR="00B434A7" w:rsidRPr="003406C4">
        <w:rPr>
          <w:spacing w:val="-4"/>
        </w:rPr>
        <w:t xml:space="preserve"> people</w:t>
      </w:r>
      <w:r w:rsidRPr="003406C4">
        <w:rPr>
          <w:spacing w:val="-4"/>
        </w:rPr>
        <w:t xml:space="preserve"> found CBA </w:t>
      </w:r>
      <w:r w:rsidR="0057224F" w:rsidRPr="003406C4">
        <w:rPr>
          <w:spacing w:val="-4"/>
        </w:rPr>
        <w:t>and other tools to measure outcomes were</w:t>
      </w:r>
      <w:r w:rsidRPr="003406C4">
        <w:rPr>
          <w:spacing w:val="-4"/>
        </w:rPr>
        <w:t xml:space="preserve"> rarely used </w:t>
      </w:r>
      <w:r w:rsidRPr="003406C4">
        <w:rPr>
          <w:rFonts w:cs="Arial"/>
          <w:spacing w:val="-4"/>
          <w:szCs w:val="24"/>
        </w:rPr>
        <w:t>(PC 2020a)</w:t>
      </w:r>
      <w:r w:rsidRPr="003406C4">
        <w:rPr>
          <w:spacing w:val="-4"/>
        </w:rPr>
        <w:t>. But while billions seem to be on the pavement for the picking, a proven tool is neglected. There is a strong need for practical solutions to this predicament.</w:t>
      </w:r>
    </w:p>
    <w:p w14:paraId="31AAAF01" w14:textId="77777777" w:rsidR="0066054C" w:rsidRDefault="0066054C">
      <w:pPr>
        <w:pStyle w:val="NoSpacing"/>
      </w:pPr>
    </w:p>
    <w:tbl>
      <w:tblPr>
        <w:tblStyle w:val="Texttable-Paleblue"/>
        <w:tblW w:w="5000" w:type="pct"/>
        <w:tblLook w:val="04A0" w:firstRow="1" w:lastRow="0" w:firstColumn="1" w:lastColumn="0" w:noHBand="0" w:noVBand="1"/>
      </w:tblPr>
      <w:tblGrid>
        <w:gridCol w:w="707"/>
        <w:gridCol w:w="8931"/>
      </w:tblGrid>
      <w:tr w:rsidR="009E435F" w14:paraId="6AEA1AF1" w14:textId="77777777" w:rsidTr="0077326B">
        <w:trPr>
          <w:tblHeader/>
        </w:trPr>
        <w:tc>
          <w:tcPr>
            <w:tcW w:w="707" w:type="dxa"/>
            <w:tcMar>
              <w:top w:w="0" w:type="dxa"/>
              <w:bottom w:w="0" w:type="dxa"/>
            </w:tcMar>
            <w:vAlign w:val="center"/>
          </w:tcPr>
          <w:p w14:paraId="7C088C01" w14:textId="77777777" w:rsidR="0066054C" w:rsidRDefault="0066054C" w:rsidP="00E169BA">
            <w:pPr>
              <w:keepNext/>
              <w:keepLines/>
              <w:jc w:val="center"/>
            </w:pPr>
            <w:r w:rsidRPr="00A51374">
              <w:rPr>
                <w:noProof/>
              </w:rPr>
              <w:lastRenderedPageBreak/>
              <w:drawing>
                <wp:inline distT="0" distB="0" distL="0" distR="0" wp14:anchorId="4C16A4E8" wp14:editId="1BC13678">
                  <wp:extent cx="288000" cy="288000"/>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931" w:type="dxa"/>
            <w:tcMar>
              <w:top w:w="0" w:type="dxa"/>
              <w:bottom w:w="0" w:type="dxa"/>
            </w:tcMar>
            <w:vAlign w:val="center"/>
          </w:tcPr>
          <w:p w14:paraId="6EF00FFA" w14:textId="0D64758A" w:rsidR="0066054C" w:rsidRPr="00715040" w:rsidRDefault="0066054C" w:rsidP="00E169BA">
            <w:pPr>
              <w:pStyle w:val="TableHeading"/>
              <w:keepNext/>
              <w:keepLines/>
              <w:spacing w:before="120" w:after="120"/>
              <w:contextualSpacing/>
              <w:rPr>
                <w:sz w:val="20"/>
              </w:rPr>
            </w:pPr>
            <w:r w:rsidRPr="00715040">
              <w:rPr>
                <w:sz w:val="20"/>
              </w:rPr>
              <w:t xml:space="preserve">Recommendation </w:t>
            </w:r>
            <w:r w:rsidR="00A911E8">
              <w:rPr>
                <w:sz w:val="20"/>
              </w:rPr>
              <w:t>5.8</w:t>
            </w:r>
          </w:p>
          <w:p w14:paraId="0AA1CF5A" w14:textId="62A68D46" w:rsidR="0066054C" w:rsidRPr="00715040" w:rsidRDefault="00C043B3" w:rsidP="00E169BA">
            <w:pPr>
              <w:pStyle w:val="TableHeading"/>
              <w:keepNext/>
              <w:keepLines/>
              <w:spacing w:before="120" w:after="120"/>
              <w:contextualSpacing/>
              <w:rPr>
                <w:sz w:val="20"/>
              </w:rPr>
            </w:pPr>
            <w:r>
              <w:rPr>
                <w:sz w:val="20"/>
              </w:rPr>
              <w:t>Improving the efficacy of public expenditure through better</w:t>
            </w:r>
            <w:r w:rsidR="00C83C47">
              <w:rPr>
                <w:sz w:val="20"/>
              </w:rPr>
              <w:t xml:space="preserve"> </w:t>
            </w:r>
            <w:r w:rsidR="00DA67D9">
              <w:rPr>
                <w:sz w:val="20"/>
              </w:rPr>
              <w:t>investment decisions</w:t>
            </w:r>
          </w:p>
        </w:tc>
      </w:tr>
      <w:tr w:rsidR="009E435F" w14:paraId="4F2A0EEF" w14:textId="77777777" w:rsidTr="0077326B">
        <w:tc>
          <w:tcPr>
            <w:tcW w:w="9638" w:type="dxa"/>
            <w:gridSpan w:val="2"/>
            <w:tcMar>
              <w:top w:w="0" w:type="dxa"/>
            </w:tcMar>
          </w:tcPr>
          <w:p w14:paraId="14BC4A0C" w14:textId="2154710F" w:rsidR="00EA64D6" w:rsidRDefault="004231C4" w:rsidP="00E169BA">
            <w:pPr>
              <w:pStyle w:val="BodyText"/>
              <w:keepNext/>
              <w:keepLines/>
            </w:pPr>
            <w:r>
              <w:t>Gover</w:t>
            </w:r>
            <w:r w:rsidR="0029370C">
              <w:t>n</w:t>
            </w:r>
            <w:r>
              <w:t xml:space="preserve">ments </w:t>
            </w:r>
            <w:r w:rsidR="00686483">
              <w:t xml:space="preserve">can improve the efficacy </w:t>
            </w:r>
            <w:r w:rsidR="00942A98">
              <w:t xml:space="preserve">and productivity outcomes </w:t>
            </w:r>
            <w:r w:rsidR="00686483">
              <w:t xml:space="preserve">of public expenditure </w:t>
            </w:r>
            <w:r w:rsidR="00942A98">
              <w:t>through</w:t>
            </w:r>
            <w:r w:rsidR="00D77120">
              <w:t xml:space="preserve"> </w:t>
            </w:r>
            <w:r w:rsidR="00C95525" w:rsidRPr="00C95525">
              <w:t>institutional and governance arrangements that address the systemic absence or disregard of rigorous cost</w:t>
            </w:r>
            <w:r w:rsidR="00A43B86">
              <w:noBreakHyphen/>
            </w:r>
            <w:r w:rsidR="00C95525" w:rsidRPr="00C95525">
              <w:t xml:space="preserve">benefit analysis </w:t>
            </w:r>
            <w:r w:rsidR="007F3C6A">
              <w:t xml:space="preserve">(CBA) </w:t>
            </w:r>
            <w:r w:rsidR="00C95525" w:rsidRPr="00C95525">
              <w:t>for both major infrastructure projects and in other government activities, such as defence and social services</w:t>
            </w:r>
            <w:r w:rsidR="00C95525">
              <w:t>.</w:t>
            </w:r>
            <w:r w:rsidR="00D730B6">
              <w:t xml:space="preserve"> </w:t>
            </w:r>
            <w:r w:rsidR="000B5C64">
              <w:t>Such</w:t>
            </w:r>
            <w:r w:rsidR="00D77120">
              <w:t xml:space="preserve"> arrangements </w:t>
            </w:r>
            <w:r w:rsidR="007F3C6A">
              <w:t>should include</w:t>
            </w:r>
            <w:r w:rsidR="00EA64D6">
              <w:t>:</w:t>
            </w:r>
            <w:r w:rsidR="007F3C6A">
              <w:t xml:space="preserve"> </w:t>
            </w:r>
          </w:p>
          <w:p w14:paraId="64275976" w14:textId="5F899AEE" w:rsidR="00EA64D6" w:rsidRDefault="007F3C6A" w:rsidP="00E169BA">
            <w:pPr>
              <w:pStyle w:val="ListBullet"/>
              <w:keepNext/>
              <w:keepLines/>
            </w:pPr>
            <w:r>
              <w:t>independent evaluation of the assumptions and inputs used in a CBA</w:t>
            </w:r>
            <w:r w:rsidR="0053426D">
              <w:t xml:space="preserve">, which could be undertaken </w:t>
            </w:r>
            <w:r w:rsidR="0023126E">
              <w:t>by a single institution across the State, Territory and Commonwealth levels to support consistency and comparability across different projects</w:t>
            </w:r>
            <w:r w:rsidR="00BF3BCA">
              <w:t xml:space="preserve"> and programs. The </w:t>
            </w:r>
            <w:r w:rsidR="004E5C0A">
              <w:t>proposed Evaluator General at the Commonwealth level could be a starting point for this improvement</w:t>
            </w:r>
          </w:p>
          <w:p w14:paraId="594963BE" w14:textId="5D6628CF" w:rsidR="00EA64D6" w:rsidRDefault="007F3C6A" w:rsidP="00E169BA">
            <w:pPr>
              <w:pStyle w:val="ListBullet"/>
              <w:keepNext/>
              <w:keepLines/>
            </w:pPr>
            <w:r>
              <w:t xml:space="preserve">transparency </w:t>
            </w:r>
            <w:r w:rsidR="00F66327">
              <w:t>about</w:t>
            </w:r>
            <w:r>
              <w:t xml:space="preserve"> </w:t>
            </w:r>
            <w:r w:rsidR="0095083E">
              <w:t>the analysis</w:t>
            </w:r>
            <w:r w:rsidR="0023126E">
              <w:t>, i</w:t>
            </w:r>
            <w:r w:rsidR="0095083E">
              <w:t xml:space="preserve">ncluding </w:t>
            </w:r>
            <w:r w:rsidR="009C510C">
              <w:t>on cost and benefit estimates and forecasts and scenario selection</w:t>
            </w:r>
            <w:r w:rsidR="00D74A68">
              <w:t>, with independent assessments to be published and provided to government decision makers before an investment decision is made</w:t>
            </w:r>
          </w:p>
          <w:p w14:paraId="0D445F94" w14:textId="5DF9E550" w:rsidR="0066054C" w:rsidRPr="00767EAE" w:rsidRDefault="00201020" w:rsidP="00E169BA">
            <w:pPr>
              <w:pStyle w:val="ListBullet"/>
              <w:keepNext/>
              <w:keepLines/>
            </w:pPr>
            <w:r>
              <w:t>government</w:t>
            </w:r>
            <w:r w:rsidR="00A17525">
              <w:t xml:space="preserve"> officials</w:t>
            </w:r>
            <w:r>
              <w:t xml:space="preserve"> </w:t>
            </w:r>
            <w:r w:rsidR="00600EC0">
              <w:t>aligning their investment decisions</w:t>
            </w:r>
            <w:r w:rsidR="00441698">
              <w:t xml:space="preserve"> with</w:t>
            </w:r>
            <w:r w:rsidR="00733AE7">
              <w:t xml:space="preserve"> CBA </w:t>
            </w:r>
            <w:proofErr w:type="gramStart"/>
            <w:r w:rsidR="00733AE7">
              <w:t xml:space="preserve">results, </w:t>
            </w:r>
            <w:r w:rsidR="0022029D">
              <w:t>and</w:t>
            </w:r>
            <w:proofErr w:type="gramEnd"/>
            <w:r w:rsidR="0022029D">
              <w:t xml:space="preserve"> </w:t>
            </w:r>
            <w:r w:rsidR="009C510C">
              <w:t xml:space="preserve">being </w:t>
            </w:r>
            <w:r w:rsidR="0022029D">
              <w:t xml:space="preserve">held </w:t>
            </w:r>
            <w:r w:rsidR="009C510C">
              <w:t xml:space="preserve">accountable </w:t>
            </w:r>
            <w:r w:rsidR="00FB1148">
              <w:t xml:space="preserve">for </w:t>
            </w:r>
            <w:r w:rsidR="00890742">
              <w:t>how the C</w:t>
            </w:r>
            <w:r w:rsidR="003F7835">
              <w:t xml:space="preserve">BA outcomes </w:t>
            </w:r>
            <w:r w:rsidR="00464E07">
              <w:t>a</w:t>
            </w:r>
            <w:r w:rsidR="003F7835">
              <w:t>re used</w:t>
            </w:r>
            <w:r w:rsidR="004B589F">
              <w:t xml:space="preserve"> — or not used — in project </w:t>
            </w:r>
            <w:r w:rsidR="00C26086">
              <w:t>selection</w:t>
            </w:r>
            <w:r w:rsidR="004B589F">
              <w:t>.</w:t>
            </w:r>
          </w:p>
        </w:tc>
      </w:tr>
      <w:tr w:rsidR="009E435F" w14:paraId="30585ECC" w14:textId="77777777" w:rsidTr="0077326B">
        <w:tc>
          <w:tcPr>
            <w:tcW w:w="9638" w:type="dxa"/>
            <w:gridSpan w:val="2"/>
            <w:shd w:val="clear" w:color="auto" w:fill="auto"/>
            <w:tcMar>
              <w:top w:w="0" w:type="dxa"/>
              <w:bottom w:w="0" w:type="dxa"/>
            </w:tcMar>
          </w:tcPr>
          <w:p w14:paraId="682AA504" w14:textId="77777777" w:rsidR="0066054C" w:rsidRPr="007E0EA8" w:rsidRDefault="0066054C" w:rsidP="00E169BA">
            <w:pPr>
              <w:pStyle w:val="NoSpacing"/>
              <w:keepNext/>
              <w:keepLines/>
              <w:spacing w:line="200" w:lineRule="exact"/>
            </w:pPr>
          </w:p>
        </w:tc>
      </w:tr>
    </w:tbl>
    <w:p w14:paraId="7B382CD6" w14:textId="4B5430A2" w:rsidR="003A0ECF" w:rsidRDefault="003A0ECF" w:rsidP="003A0ECF">
      <w:pPr>
        <w:pStyle w:val="BodyText"/>
      </w:pPr>
      <w:r>
        <w:t xml:space="preserve">Defence procurement has long been a contentious issue, bedevilled by concerns about mixed and often inconsistent objectives (defence capability </w:t>
      </w:r>
      <w:r w:rsidRPr="00B4350E">
        <w:rPr>
          <w:i/>
          <w:iCs/>
        </w:rPr>
        <w:t>and</w:t>
      </w:r>
      <w:r>
        <w:t xml:space="preserve"> assistance to industry), cost overruns, technical failures, and the weighting given to Australian exceptionalism (‘we have unique needs’).</w:t>
      </w:r>
    </w:p>
    <w:p w14:paraId="351D0A6D" w14:textId="7D0BA2AB" w:rsidR="003A0ECF" w:rsidRPr="003406C4" w:rsidRDefault="003A0ECF" w:rsidP="003A0ECF">
      <w:pPr>
        <w:pStyle w:val="BodyText"/>
        <w:rPr>
          <w:spacing w:val="-4"/>
        </w:rPr>
      </w:pPr>
      <w:r w:rsidRPr="003406C4">
        <w:rPr>
          <w:spacing w:val="-4"/>
        </w:rPr>
        <w:t>Some problems arise from the extraordinary complexity of much defence equipment, systems, and software. Complex defence equipment and associated software involves sophisticated manufacturing, information technologies and a highly</w:t>
      </w:r>
      <w:r w:rsidRPr="003406C4">
        <w:rPr>
          <w:spacing w:val="-4"/>
        </w:rPr>
        <w:noBreakHyphen/>
        <w:t xml:space="preserve">skilled workforce. These are slow and risky to develop for bespoke and specialised capabilities. Such capabilities also require other specialised inputs, such as training systems, facilities, </w:t>
      </w:r>
      <w:r w:rsidR="00E201B8" w:rsidRPr="003406C4">
        <w:rPr>
          <w:spacing w:val="-4"/>
        </w:rPr>
        <w:t xml:space="preserve">and </w:t>
      </w:r>
      <w:r w:rsidRPr="003406C4">
        <w:rPr>
          <w:spacing w:val="-4"/>
        </w:rPr>
        <w:t xml:space="preserve">documentation, and </w:t>
      </w:r>
      <w:r w:rsidR="00CD50B6" w:rsidRPr="003406C4">
        <w:rPr>
          <w:spacing w:val="-4"/>
        </w:rPr>
        <w:t>involves</w:t>
      </w:r>
      <w:r w:rsidRPr="003406C4">
        <w:rPr>
          <w:spacing w:val="-4"/>
        </w:rPr>
        <w:t xml:space="preserve"> costs </w:t>
      </w:r>
      <w:r w:rsidR="00CD50B6" w:rsidRPr="003406C4">
        <w:rPr>
          <w:spacing w:val="-4"/>
        </w:rPr>
        <w:t>to integrate</w:t>
      </w:r>
      <w:r w:rsidRPr="003406C4">
        <w:rPr>
          <w:spacing w:val="-4"/>
        </w:rPr>
        <w:t xml:space="preserve"> the new technology into existing ones </w:t>
      </w:r>
      <w:r w:rsidRPr="003406C4">
        <w:rPr>
          <w:rFonts w:cs="Arial"/>
          <w:spacing w:val="-4"/>
          <w:szCs w:val="24"/>
        </w:rPr>
        <w:t>(Hellyer 2022)</w:t>
      </w:r>
      <w:r w:rsidRPr="003406C4">
        <w:rPr>
          <w:spacing w:val="-4"/>
        </w:rPr>
        <w:t>.</w:t>
      </w:r>
    </w:p>
    <w:p w14:paraId="3625B4AA" w14:textId="6C92F31B" w:rsidR="003A0ECF" w:rsidRDefault="003A0ECF" w:rsidP="003A0ECF">
      <w:pPr>
        <w:pStyle w:val="BodyText"/>
      </w:pPr>
      <w:r>
        <w:t xml:space="preserve">It is not feasible for Australia to develop expertise or domestic capabilities for all such equipment and software. Moreover, attempting to undertake multiple defence projects can slow down the production of any single one, which lowers productivity. It can also pay to wait if government plans to produce equipment already in production overseas, as there can be learning economies as global production ramps up </w:t>
      </w:r>
      <w:r w:rsidRPr="00564A1A">
        <w:rPr>
          <w:rFonts w:ascii="Arial" w:hAnsi="Arial" w:cs="Arial"/>
          <w:szCs w:val="24"/>
        </w:rPr>
        <w:t>(Markowski, Hall and Wylie 2010, p. 91ff)</w:t>
      </w:r>
      <w:r>
        <w:t>. The early adoption of complex equipment may require adaptation to remedy design and production flaws that only become clear after commencement of production.</w:t>
      </w:r>
    </w:p>
    <w:p w14:paraId="5F90B905" w14:textId="469E8382" w:rsidR="003A0ECF" w:rsidRDefault="003A0ECF" w:rsidP="003A0ECF">
      <w:r>
        <w:t xml:space="preserve">Depending on the context, buying an already proven technology from overseas and not quickly, if ever, developing a domestic </w:t>
      </w:r>
      <w:r w:rsidRPr="003D57C8">
        <w:rPr>
          <w:i/>
          <w:iCs/>
        </w:rPr>
        <w:t>production</w:t>
      </w:r>
      <w:r>
        <w:t xml:space="preserve"> capability is likely to be optimal in many contexts. A sophisticated domestic capability to use</w:t>
      </w:r>
      <w:r w:rsidR="003704A9">
        <w:t>,</w:t>
      </w:r>
      <w:r>
        <w:t xml:space="preserve"> </w:t>
      </w:r>
      <w:r w:rsidR="0092210C">
        <w:t xml:space="preserve">store </w:t>
      </w:r>
      <w:r>
        <w:t>and maintain equipment would still be required regardless of where it was sourced from but would involve lower costs than domestic production and assembly.</w:t>
      </w:r>
    </w:p>
    <w:p w14:paraId="4E16D7CC" w14:textId="3375BE4B" w:rsidR="003A0ECF" w:rsidRDefault="003A0ECF" w:rsidP="003A0ECF">
      <w:pPr>
        <w:pStyle w:val="BodyText"/>
      </w:pPr>
      <w:r>
        <w:t xml:space="preserve">The </w:t>
      </w:r>
      <w:r w:rsidR="00CF7595">
        <w:t xml:space="preserve">Productivity </w:t>
      </w:r>
      <w:r>
        <w:t>Commission has catalogued instances of large defence procurement projects that involve effective rates of assistance for domestic production of up to 300</w:t>
      </w:r>
      <w:r w:rsidR="00E94315">
        <w:t>%</w:t>
      </w:r>
      <w:r>
        <w:t xml:space="preserve"> </w:t>
      </w:r>
      <w:r w:rsidRPr="00561D61">
        <w:rPr>
          <w:rFonts w:ascii="Arial" w:hAnsi="Arial" w:cs="Arial"/>
          <w:szCs w:val="24"/>
        </w:rPr>
        <w:t>(PC 2019, p. 34)</w:t>
      </w:r>
      <w:r>
        <w:t xml:space="preserve">. This is an extraordinary rate in the context of the other industry assistance, which has dwindled to between </w:t>
      </w:r>
      <w:r w:rsidR="00716266">
        <w:t>0</w:t>
      </w:r>
      <w:r>
        <w:t xml:space="preserve"> and </w:t>
      </w:r>
      <w:r w:rsidR="00716266">
        <w:t>5</w:t>
      </w:r>
      <w:r w:rsidR="00E94315">
        <w:t>%</w:t>
      </w:r>
      <w:r>
        <w:t>. The transparency that would normally apply for many other procurement activities is lower because of security concerns, though this does not justify the present level of opacity. The Australian National Audit Office, for example</w:t>
      </w:r>
      <w:r w:rsidR="004D5343">
        <w:t>,</w:t>
      </w:r>
      <w:r>
        <w:t xml:space="preserve"> was prevented from publishing its conclusions on the effectiveness and value for money of the $2.2 billion acquisition of the Hawkei vehicle </w:t>
      </w:r>
      <w:r w:rsidR="00936D73" w:rsidRPr="00936D73">
        <w:rPr>
          <w:rFonts w:ascii="Arial" w:hAnsi="Arial" w:cs="Arial"/>
          <w:szCs w:val="24"/>
        </w:rPr>
        <w:t>(PC 2020i, p. 17)</w:t>
      </w:r>
      <w:r>
        <w:t>.</w:t>
      </w:r>
    </w:p>
    <w:p w14:paraId="5D6184ED" w14:textId="2E82C9FC" w:rsidR="003A0ECF" w:rsidRDefault="003A0ECF" w:rsidP="003A0ECF">
      <w:pPr>
        <w:pStyle w:val="BodyText"/>
      </w:pPr>
      <w:r>
        <w:lastRenderedPageBreak/>
        <w:t xml:space="preserve">The ambitious Collins class submarine program provides an example of what can go wrong and what might be done to shift the procurement mindset. At conception in 1982, the goal was to acquire 10 boats at $100 million each (1982). By December 1999, the cost of the fewer planned boats was $850 million each </w:t>
      </w:r>
      <w:r w:rsidRPr="00F44242">
        <w:rPr>
          <w:rFonts w:ascii="Arial" w:hAnsi="Arial" w:cs="Arial"/>
          <w:szCs w:val="24"/>
        </w:rPr>
        <w:t>(Woolner 2001)</w:t>
      </w:r>
      <w:r>
        <w:t xml:space="preserve">. Of the five boats in the water in 1999, none were performing adequately </w:t>
      </w:r>
      <w:r w:rsidRPr="0086069D">
        <w:rPr>
          <w:rFonts w:ascii="Arial" w:hAnsi="Arial" w:cs="Arial"/>
          <w:szCs w:val="24"/>
        </w:rPr>
        <w:t>(McIntosh and Prescott 1999)</w:t>
      </w:r>
      <w:r>
        <w:t>. The problems stemmed not just from the inevitable difficulties in acquiring highly complex products, but from the unique design, the contracting model, the decision to build locally, and project oversight among many other things. Not all aspects of the Collins program were disastrous, but defence acquisitions are so costly to taxpayers and so important for effective defence, that the returns from getting closer to best practice procurement and management would be worth tens of billions of dollars. (</w:t>
      </w:r>
      <w:r w:rsidRPr="00B946AA">
        <w:t>Defence spending is anticipated to be about $270 billion over the next decade</w:t>
      </w:r>
      <w:r w:rsidR="002120AC">
        <w:t xml:space="preserve"> </w:t>
      </w:r>
      <w:r w:rsidR="006F0AC7" w:rsidRPr="006F0AC7">
        <w:rPr>
          <w:rFonts w:ascii="Arial" w:hAnsi="Arial" w:cs="Arial"/>
          <w:szCs w:val="24"/>
        </w:rPr>
        <w:t>(Department of Defence 2022, p. 9)</w:t>
      </w:r>
      <w:r>
        <w:t>.)</w:t>
      </w:r>
    </w:p>
    <w:p w14:paraId="01354D72" w14:textId="691B9323" w:rsidR="003A0ECF" w:rsidRDefault="003A0ECF" w:rsidP="003A0ECF">
      <w:pPr>
        <w:pStyle w:val="BodyText"/>
      </w:pPr>
      <w:r>
        <w:t>Defence procurement is ripe for deep and disinterested scrutiny of its processes. There are strong grounds for re</w:t>
      </w:r>
      <w:r>
        <w:noBreakHyphen/>
        <w:t xml:space="preserve">thinking defence procurement, drawing on advice from those outside defence. </w:t>
      </w:r>
      <w:r w:rsidR="00BC67F1">
        <w:t xml:space="preserve">The </w:t>
      </w:r>
      <w:r w:rsidR="002B104C">
        <w:t xml:space="preserve">independent </w:t>
      </w:r>
      <w:r w:rsidR="00BC67F1">
        <w:t>Defence Strategic Review</w:t>
      </w:r>
      <w:r w:rsidR="00446AA1">
        <w:t xml:space="preserve"> has been tasked with </w:t>
      </w:r>
      <w:r w:rsidR="005A3E07">
        <w:t>‘identify[ing] and prioritis[ing] the estate, infrastructure, disposition, logistics and security investments required to provide Australia with the Defence force posture required by 2032</w:t>
      </w:r>
      <w:r w:rsidR="00A43B86">
        <w:noBreakHyphen/>
      </w:r>
      <w:r w:rsidR="005A3E07">
        <w:t>33</w:t>
      </w:r>
      <w:r w:rsidR="002B104C">
        <w:t>’</w:t>
      </w:r>
      <w:r w:rsidR="006D3CFC" w:rsidRPr="00B52B7B">
        <w:t xml:space="preserve"> </w:t>
      </w:r>
      <w:r w:rsidR="006F0AC7" w:rsidRPr="006F0AC7">
        <w:rPr>
          <w:rFonts w:ascii="Arial" w:hAnsi="Arial" w:cs="Arial"/>
          <w:szCs w:val="24"/>
        </w:rPr>
        <w:t>(Australian Government 2022a, p. 2)</w:t>
      </w:r>
      <w:r w:rsidR="002B104C" w:rsidRPr="00B52B7B">
        <w:t>,</w:t>
      </w:r>
      <w:r w:rsidR="002B104C">
        <w:t xml:space="preserve"> including outlining future investment, mobilisation and funding needs. It </w:t>
      </w:r>
      <w:r w:rsidR="00706CC8">
        <w:t xml:space="preserve">provides an opportunity to consider the issues outlined in this report and </w:t>
      </w:r>
      <w:r w:rsidR="002B104C">
        <w:t xml:space="preserve">will </w:t>
      </w:r>
      <w:r w:rsidR="00706CC8">
        <w:t xml:space="preserve">deliver its recommendations </w:t>
      </w:r>
      <w:r w:rsidR="00A64EBB">
        <w:t>to government no later than March 2023.</w:t>
      </w:r>
    </w:p>
    <w:p w14:paraId="74E8BD9E" w14:textId="77777777" w:rsidR="003A0ECF" w:rsidRDefault="003A0ECF" w:rsidP="00AC48CE">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A0ECF" w14:paraId="11AF7EDD" w14:textId="77777777" w:rsidTr="00C426E9">
        <w:trPr>
          <w:trHeight w:val="765"/>
          <w:tblHeader/>
        </w:trPr>
        <w:tc>
          <w:tcPr>
            <w:tcW w:w="366" w:type="pct"/>
            <w:tcBorders>
              <w:bottom w:val="nil"/>
            </w:tcBorders>
            <w:tcMar>
              <w:bottom w:w="0" w:type="dxa"/>
            </w:tcMar>
            <w:vAlign w:val="center"/>
          </w:tcPr>
          <w:p w14:paraId="1FBF40E0" w14:textId="77777777" w:rsidR="003A0ECF" w:rsidRDefault="003A0ECF" w:rsidP="00AC48CE">
            <w:pPr>
              <w:pStyle w:val="NoSpacing"/>
              <w:keepNext/>
              <w:keepLines/>
              <w:jc w:val="right"/>
            </w:pPr>
            <w:r w:rsidRPr="00A51374">
              <w:rPr>
                <w:noProof/>
              </w:rPr>
              <w:drawing>
                <wp:inline distT="0" distB="0" distL="0" distR="0" wp14:anchorId="58E4C14E" wp14:editId="5AD8B5C9">
                  <wp:extent cx="288000" cy="288000"/>
                  <wp:effectExtent l="0" t="0" r="0" b="0"/>
                  <wp:docPr id="7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72894BD" w14:textId="5A1EC8DD" w:rsidR="003A0ECF" w:rsidRPr="00A4395A" w:rsidRDefault="003A0ECF" w:rsidP="00AC48CE">
            <w:pPr>
              <w:pStyle w:val="TableHeading"/>
              <w:keepNext/>
              <w:keepLines/>
              <w:spacing w:before="60" w:after="120"/>
              <w:contextualSpacing/>
              <w:rPr>
                <w:sz w:val="20"/>
              </w:rPr>
            </w:pPr>
            <w:r w:rsidRPr="00A4395A">
              <w:rPr>
                <w:sz w:val="20"/>
              </w:rPr>
              <w:t xml:space="preserve">Finding </w:t>
            </w:r>
            <w:r w:rsidR="0099123C">
              <w:rPr>
                <w:sz w:val="20"/>
              </w:rPr>
              <w:t>5</w:t>
            </w:r>
            <w:r w:rsidR="002F5767">
              <w:rPr>
                <w:sz w:val="20"/>
              </w:rPr>
              <w:t>.12</w:t>
            </w:r>
          </w:p>
          <w:p w14:paraId="3ADED573" w14:textId="25DDB211" w:rsidR="003A0ECF" w:rsidRDefault="003A0ECF" w:rsidP="00AC48CE">
            <w:pPr>
              <w:pStyle w:val="TableHeading"/>
              <w:keepNext/>
              <w:keepLines/>
              <w:spacing w:before="60" w:after="120"/>
              <w:contextualSpacing/>
            </w:pPr>
            <w:r>
              <w:rPr>
                <w:sz w:val="20"/>
              </w:rPr>
              <w:t>Defence procurement has often had mixed goals, used imperfect processes that have led to cost</w:t>
            </w:r>
            <w:r>
              <w:rPr>
                <w:sz w:val="20"/>
              </w:rPr>
              <w:noBreakHyphen/>
              <w:t>overruns and failed to achieve the desired capabilities</w:t>
            </w:r>
          </w:p>
        </w:tc>
      </w:tr>
      <w:tr w:rsidR="003A0ECF" w14:paraId="3B4ED4E7" w14:textId="77777777" w:rsidTr="00C426E9">
        <w:tc>
          <w:tcPr>
            <w:tcW w:w="5000" w:type="pct"/>
            <w:gridSpan w:val="2"/>
            <w:tcBorders>
              <w:top w:val="nil"/>
              <w:bottom w:val="single" w:sz="4" w:space="0" w:color="66BCDB" w:themeColor="text2"/>
            </w:tcBorders>
          </w:tcPr>
          <w:p w14:paraId="14A28ED9" w14:textId="77777777" w:rsidR="003A0ECF" w:rsidRPr="007A4576" w:rsidRDefault="003A0ECF" w:rsidP="00AC48CE">
            <w:pPr>
              <w:pStyle w:val="BodyText"/>
              <w:keepNext/>
              <w:keepLines/>
            </w:pPr>
            <w:r w:rsidRPr="00811C67">
              <w:t xml:space="preserve">Defence procurement has often had </w:t>
            </w:r>
            <w:r>
              <w:t xml:space="preserve">the </w:t>
            </w:r>
            <w:r w:rsidRPr="00811C67">
              <w:t>mixed goal</w:t>
            </w:r>
            <w:r>
              <w:t>s of achieving a defence capability and</w:t>
            </w:r>
            <w:r w:rsidRPr="00811C67">
              <w:t xml:space="preserve"> </w:t>
            </w:r>
            <w:r>
              <w:t>providing industry assistance. I</w:t>
            </w:r>
            <w:r w:rsidRPr="00811C67">
              <w:t>mperfect processes have led to cost</w:t>
            </w:r>
            <w:r>
              <w:noBreakHyphen/>
            </w:r>
            <w:r w:rsidRPr="00811C67">
              <w:t xml:space="preserve">overruns </w:t>
            </w:r>
            <w:r>
              <w:t xml:space="preserve">of billions of dollars </w:t>
            </w:r>
            <w:r w:rsidRPr="00811C67">
              <w:t>and failed to achieve the desired capabilities.</w:t>
            </w:r>
            <w:r>
              <w:t xml:space="preserve"> The productivity and efficiency benefits of better practices are large given the $270 billion of anticipated defence spending over the next decade.</w:t>
            </w:r>
          </w:p>
        </w:tc>
      </w:tr>
    </w:tbl>
    <w:p w14:paraId="53A514B7" w14:textId="77777777" w:rsidR="00AC48CE" w:rsidRDefault="00AC48CE" w:rsidP="00AC48CE">
      <w:pPr>
        <w:pStyle w:val="NoSpacing"/>
      </w:pPr>
    </w:p>
    <w:p w14:paraId="25250A3A" w14:textId="05FA4864" w:rsidR="001D4415" w:rsidRDefault="00876E34" w:rsidP="001D4415">
      <w:pPr>
        <w:pStyle w:val="Heading3"/>
      </w:pPr>
      <w:r>
        <w:t>Other opportunities to improve public sector diffusion</w:t>
      </w:r>
    </w:p>
    <w:p w14:paraId="2505F66F" w14:textId="77777777" w:rsidR="003A0ECF" w:rsidRDefault="003A0ECF" w:rsidP="003A0ECF">
      <w:pPr>
        <w:pStyle w:val="Heading4"/>
      </w:pPr>
      <w:r>
        <w:t>Data, benchmarking and accountability</w:t>
      </w:r>
    </w:p>
    <w:p w14:paraId="24072BDD" w14:textId="4EB796DA" w:rsidR="00AB5BB9" w:rsidRDefault="003A0ECF" w:rsidP="00AB5BB9">
      <w:pPr>
        <w:pStyle w:val="BodyText"/>
      </w:pPr>
      <w:r>
        <w:t xml:space="preserve">Benchmarking can provide good incentives for public sector services to adopt best practice. Governments are already sophisticated at benchmarking their performance with reporting across many services </w:t>
      </w:r>
      <w:r w:rsidR="001024D6">
        <w:t xml:space="preserve">— </w:t>
      </w:r>
      <w:r>
        <w:t xml:space="preserve">as in the Productivity Commission’s </w:t>
      </w:r>
      <w:r w:rsidRPr="00AA7734">
        <w:rPr>
          <w:i/>
          <w:iCs/>
        </w:rPr>
        <w:t>Report on Government Services</w:t>
      </w:r>
      <w:r>
        <w:t>, MySchools, MyHospitals, the Australian Atlas of Healthcare Variations, and publication of sentinel events in hospitals.</w:t>
      </w:r>
      <w:r w:rsidR="001024D6">
        <w:rPr>
          <w:rStyle w:val="BodyTextChar"/>
        </w:rPr>
        <w:t xml:space="preserve"> </w:t>
      </w:r>
      <w:r w:rsidR="00AB5BB9" w:rsidRPr="00930C88">
        <w:rPr>
          <w:rStyle w:val="BodyTextChar"/>
        </w:rPr>
        <w:t>State and territory governments have developed (and continue to refine) measures of the comparative performance of the more than 550 local governments providing municipal services (</w:t>
      </w:r>
      <w:r w:rsidR="00AB5BB9">
        <w:rPr>
          <w:rStyle w:val="BodyTextChar"/>
        </w:rPr>
        <w:t xml:space="preserve">with a Victorian benchmarking tool shown in </w:t>
      </w:r>
      <w:r w:rsidR="00AB5BB9" w:rsidRPr="00930C88">
        <w:rPr>
          <w:rStyle w:val="BodyTextChar"/>
        </w:rPr>
        <w:t>figure 3.</w:t>
      </w:r>
      <w:r w:rsidR="008262CB">
        <w:rPr>
          <w:rStyle w:val="BodyTextChar"/>
        </w:rPr>
        <w:t>2</w:t>
      </w:r>
      <w:r w:rsidR="00AB5BB9" w:rsidRPr="00930C88">
        <w:rPr>
          <w:rStyle w:val="BodyTextChar"/>
        </w:rPr>
        <w:t>). The benchmarking tools improve the accountability of local government</w:t>
      </w:r>
      <w:r w:rsidR="00AB5BB9">
        <w:rPr>
          <w:rStyle w:val="BodyTextChar"/>
        </w:rPr>
        <w:t>s</w:t>
      </w:r>
      <w:r w:rsidR="00AB5BB9" w:rsidRPr="00930C88">
        <w:rPr>
          <w:rStyle w:val="BodyTextChar"/>
        </w:rPr>
        <w:t xml:space="preserve"> to their citizens and provide incentives for them to improve their practices. This is buttressed by a range of</w:t>
      </w:r>
      <w:r w:rsidR="00AB5BB9">
        <w:t xml:space="preserve"> non</w:t>
      </w:r>
      <w:r w:rsidR="00AB5BB9">
        <w:noBreakHyphen/>
        <w:t xml:space="preserve">government agencies that provide benchmarking models that pool data from local governments to deliver individualised advice on improvements </w:t>
      </w:r>
      <w:r w:rsidR="00AB5BB9" w:rsidRPr="00E57F50">
        <w:rPr>
          <w:rFonts w:cs="Arial"/>
          <w:szCs w:val="24"/>
        </w:rPr>
        <w:t>(Smith 2021)</w:t>
      </w:r>
      <w:r w:rsidR="00AB5BB9">
        <w:t>.</w:t>
      </w:r>
    </w:p>
    <w:p w14:paraId="422A8E82" w14:textId="0F9987CE" w:rsidR="00AB5BB9" w:rsidRPr="00146382" w:rsidRDefault="00AB5BB9" w:rsidP="00AB5BB9">
      <w:pPr>
        <w:pStyle w:val="FigureTableHeading"/>
      </w:pPr>
      <w:r>
        <w:lastRenderedPageBreak/>
        <w:t>Figure</w:t>
      </w:r>
      <w:r w:rsidR="00A43B86">
        <w:t> </w:t>
      </w:r>
      <w:r>
        <w:t>3.</w:t>
      </w:r>
      <w:r w:rsidR="008262CB">
        <w:t>2</w:t>
      </w:r>
      <w:r>
        <w:rPr>
          <w:noProof/>
        </w:rPr>
        <w:t xml:space="preserve"> </w:t>
      </w:r>
      <w:r>
        <w:t>– Benchmarking local government performance</w:t>
      </w:r>
    </w:p>
    <w:p w14:paraId="12164393" w14:textId="7B8567D7" w:rsidR="00AB5BB9" w:rsidRPr="005550A0" w:rsidRDefault="00E467FD" w:rsidP="00AB5BB9">
      <w:pPr>
        <w:pStyle w:val="BodyText"/>
      </w:pPr>
      <w:r>
        <w:rPr>
          <w:rFonts w:asciiTheme="majorHAnsi" w:hAnsiTheme="majorHAnsi"/>
          <w:iCs/>
          <w:color w:val="58585B"/>
          <w:szCs w:val="18"/>
        </w:rPr>
        <w:t>B</w:t>
      </w:r>
      <w:r w:rsidR="00F0628B" w:rsidRPr="00F0628B">
        <w:rPr>
          <w:rFonts w:asciiTheme="majorHAnsi" w:hAnsiTheme="majorHAnsi"/>
          <w:iCs/>
          <w:color w:val="58585B"/>
          <w:szCs w:val="18"/>
        </w:rPr>
        <w:t>enchmarking garbage collection costs across local governments in Victoria</w:t>
      </w:r>
      <w:r w:rsidR="00553779" w:rsidRPr="00553779">
        <w:rPr>
          <w:noProof/>
        </w:rPr>
        <w:drawing>
          <wp:inline distT="0" distB="0" distL="0" distR="0" wp14:anchorId="78614797" wp14:editId="796FC470">
            <wp:extent cx="6120130" cy="4234180"/>
            <wp:effectExtent l="0" t="0" r="0" b="0"/>
            <wp:docPr id="25" name="Picture 25" descr="This figure shows a screen clipping of an online tool offered by the Victorian government to benchmark the performance of local councils across a range of performance crite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figure shows a screen clipping of an online tool offered by the Victorian government to benchmark the performance of local councils across a range of performance criteria.&#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4234180"/>
                    </a:xfrm>
                    <a:prstGeom prst="rect">
                      <a:avLst/>
                    </a:prstGeom>
                    <a:noFill/>
                    <a:ln>
                      <a:noFill/>
                    </a:ln>
                  </pic:spPr>
                </pic:pic>
              </a:graphicData>
            </a:graphic>
          </wp:inline>
        </w:drawing>
      </w:r>
    </w:p>
    <w:p w14:paraId="7B2B280E" w14:textId="2101F69F" w:rsidR="00AB5BB9" w:rsidRDefault="00AB5BB9" w:rsidP="00AB5BB9">
      <w:pPr>
        <w:pStyle w:val="Source"/>
      </w:pPr>
      <w:r w:rsidRPr="00696447">
        <w:t>Source:</w:t>
      </w:r>
      <w:r>
        <w:t xml:space="preserve"> VAGO </w:t>
      </w:r>
      <w:r w:rsidRPr="00107A85">
        <w:rPr>
          <w:rFonts w:ascii="Arial" w:hAnsi="Arial" w:cs="Arial"/>
        </w:rPr>
        <w:t>(nd)</w:t>
      </w:r>
      <w:r>
        <w:t>.</w:t>
      </w:r>
    </w:p>
    <w:p w14:paraId="554FA805" w14:textId="1E7086AB" w:rsidR="003A0ECF" w:rsidRDefault="003A0ECF" w:rsidP="003A0ECF">
      <w:pPr>
        <w:pStyle w:val="BodyText"/>
      </w:pPr>
      <w:r>
        <w:t>New assessment instruments, such as Patient Reported Experience Measures (PREMs) and Patient Reported Outcome Measures (PROMs) have been developed to get better feedback on outcomes from patients and are in tune with the re</w:t>
      </w:r>
      <w:r>
        <w:noBreakHyphen/>
        <w:t>orientation of healthcare to a patient</w:t>
      </w:r>
      <w:r>
        <w:noBreakHyphen/>
        <w:t xml:space="preserve">centred model. </w:t>
      </w:r>
      <w:proofErr w:type="gramStart"/>
      <w:r>
        <w:t>At</w:t>
      </w:r>
      <w:proofErr w:type="gramEnd"/>
      <w:r>
        <w:t xml:space="preserve"> August 2022, there were 275 validated condition</w:t>
      </w:r>
      <w:r>
        <w:noBreakHyphen/>
        <w:t xml:space="preserve">specific PROMs </w:t>
      </w:r>
      <w:r w:rsidR="00116531" w:rsidRPr="00116531">
        <w:rPr>
          <w:rFonts w:ascii="Arial" w:hAnsi="Arial" w:cs="Arial"/>
          <w:szCs w:val="24"/>
        </w:rPr>
        <w:t>(ACSQHC 2022)</w:t>
      </w:r>
      <w:r>
        <w:t xml:space="preserve">. The </w:t>
      </w:r>
      <w:r w:rsidR="00AA7734">
        <w:t xml:space="preserve">Productivity </w:t>
      </w:r>
      <w:r w:rsidR="006A26FA">
        <w:t xml:space="preserve">Commission has previously noted that </w:t>
      </w:r>
      <w:r w:rsidR="00D35ACA">
        <w:t xml:space="preserve">putting greater emphasis on </w:t>
      </w:r>
      <w:r w:rsidR="00E1039D">
        <w:t>reporting such p</w:t>
      </w:r>
      <w:r w:rsidR="007D1457">
        <w:t>atient</w:t>
      </w:r>
      <w:r w:rsidR="00A43B86">
        <w:noBreakHyphen/>
      </w:r>
      <w:r w:rsidR="007D1457">
        <w:t xml:space="preserve">centric outcomes, as well as </w:t>
      </w:r>
      <w:r w:rsidR="00CC7FB6">
        <w:t xml:space="preserve">indicators on clinical outcomes such as </w:t>
      </w:r>
      <w:r w:rsidR="00220239">
        <w:t xml:space="preserve">hospital readmission rates, </w:t>
      </w:r>
      <w:r w:rsidR="00465AFE">
        <w:t xml:space="preserve">would further encourage </w:t>
      </w:r>
      <w:r w:rsidR="00B24FD9">
        <w:t>self</w:t>
      </w:r>
      <w:r w:rsidR="00A43B86">
        <w:noBreakHyphen/>
      </w:r>
      <w:r w:rsidR="00B24FD9">
        <w:t xml:space="preserve">improvement </w:t>
      </w:r>
      <w:r w:rsidR="00FB15D1">
        <w:t>across the healthcare sector</w:t>
      </w:r>
      <w:r w:rsidR="000E0BF5">
        <w:t xml:space="preserve"> </w:t>
      </w:r>
      <w:r w:rsidR="006F0AC7" w:rsidRPr="006F0AC7">
        <w:rPr>
          <w:rFonts w:ascii="Arial" w:hAnsi="Arial" w:cs="Arial"/>
          <w:szCs w:val="24"/>
        </w:rPr>
        <w:t>(PC 2017c, p. 53)</w:t>
      </w:r>
      <w:r w:rsidR="00FB15D1">
        <w:t>. This would also assist in reducing variation in healt</w:t>
      </w:r>
      <w:r w:rsidR="00C00715">
        <w:t>h service delivery</w:t>
      </w:r>
      <w:r w:rsidR="000F61F8">
        <w:t xml:space="preserve"> across different providers (section</w:t>
      </w:r>
      <w:r w:rsidR="00A43B86">
        <w:t> </w:t>
      </w:r>
      <w:r w:rsidR="000F61F8">
        <w:t>3.2).</w:t>
      </w:r>
    </w:p>
    <w:p w14:paraId="6BED9B0F" w14:textId="1E132074" w:rsidR="003A0ECF" w:rsidRDefault="003A0ECF" w:rsidP="003A0ECF">
      <w:pPr>
        <w:pStyle w:val="BodyText"/>
      </w:pPr>
      <w:r>
        <w:t xml:space="preserve">There are pitfalls in benchmarking than can undermine its credibility, such as the risk that parties have incentives to manipulate embarrassing data. This occurred in the ACT when 11 700 records were found to have been falsified for Canberra </w:t>
      </w:r>
      <w:r w:rsidR="00E53F67">
        <w:t>H</w:t>
      </w:r>
      <w:r>
        <w:t>ospital over a three</w:t>
      </w:r>
      <w:r w:rsidR="00AA7734">
        <w:noBreakHyphen/>
      </w:r>
      <w:r>
        <w:t xml:space="preserve">year period </w:t>
      </w:r>
      <w:r w:rsidRPr="0002348D">
        <w:rPr>
          <w:rFonts w:ascii="Arial" w:hAnsi="Arial" w:cs="Arial"/>
          <w:szCs w:val="24"/>
        </w:rPr>
        <w:t>(ACTAO 2012, p. 11)</w:t>
      </w:r>
      <w:r>
        <w:t xml:space="preserve">. It has been alleged that some schools — wary of the reputational damage of poor NAPLAN results — discouraged some students from sitting the exam, though </w:t>
      </w:r>
      <w:r w:rsidR="006A2B6F">
        <w:t xml:space="preserve">there is </w:t>
      </w:r>
      <w:r>
        <w:t xml:space="preserve">little evidence of the extent of the issue </w:t>
      </w:r>
      <w:r w:rsidRPr="006E6392">
        <w:rPr>
          <w:rFonts w:ascii="Arial" w:hAnsi="Arial" w:cs="Arial"/>
          <w:szCs w:val="24"/>
        </w:rPr>
        <w:t>(EERC 2014, p. 17; McGaw, Louden and Wyatt</w:t>
      </w:r>
      <w:r w:rsidR="00A43B86">
        <w:rPr>
          <w:rFonts w:ascii="Arial" w:hAnsi="Arial" w:cs="Arial"/>
          <w:szCs w:val="24"/>
        </w:rPr>
        <w:noBreakHyphen/>
      </w:r>
      <w:r w:rsidRPr="006E6392">
        <w:rPr>
          <w:rFonts w:ascii="Arial" w:hAnsi="Arial" w:cs="Arial"/>
          <w:szCs w:val="24"/>
        </w:rPr>
        <w:t>Smith 2020, p. 78)</w:t>
      </w:r>
      <w:r>
        <w:t>. Audits and whistleblowing can help limit these risks, but so too can deeper analysis of data.</w:t>
      </w:r>
    </w:p>
    <w:p w14:paraId="15628716" w14:textId="24B1367F" w:rsidR="003A0ECF" w:rsidRDefault="003A0ECF" w:rsidP="003A0ECF">
      <w:pPr>
        <w:pStyle w:val="BodyText"/>
      </w:pPr>
      <w:r>
        <w:t>As data gathering and linking by governments increase, the scope for deeper analysis of why there are variations in performance will grow and provide a stronger evidence base for scrutinising the performance of government</w:t>
      </w:r>
      <w:r>
        <w:noBreakHyphen/>
        <w:t xml:space="preserve">funded or operated organisations. For example, school performance depends on funding, </w:t>
      </w:r>
      <w:r>
        <w:lastRenderedPageBreak/>
        <w:t xml:space="preserve">student background and traits, </w:t>
      </w:r>
      <w:r w:rsidR="006E0FE7">
        <w:t xml:space="preserve">and </w:t>
      </w:r>
      <w:r>
        <w:t xml:space="preserve">teacher and leader quality among other things. Without controlling for such aspects, a school might appear to perform poorly despite being a high performer given the characteristics of its students. Evidence about what works in the classroom needs observation and data linked across students and schools. </w:t>
      </w:r>
      <w:r w:rsidR="00F5224D">
        <w:t>T</w:t>
      </w:r>
      <w:r>
        <w:t xml:space="preserve">he Commission’s assessment of the National School Reform Agreement </w:t>
      </w:r>
      <w:r w:rsidR="00116531" w:rsidRPr="00116531">
        <w:rPr>
          <w:rFonts w:ascii="Arial" w:hAnsi="Arial" w:cs="Arial"/>
          <w:szCs w:val="24"/>
        </w:rPr>
        <w:t>(PC 2022c)</w:t>
      </w:r>
      <w:r w:rsidR="00F5224D">
        <w:t xml:space="preserve"> highlighted that</w:t>
      </w:r>
      <w:r>
        <w:t xml:space="preserve"> </w:t>
      </w:r>
      <w:r w:rsidR="00B83111">
        <w:t>a</w:t>
      </w:r>
      <w:r>
        <w:t xml:space="preserve"> </w:t>
      </w:r>
      <w:r w:rsidR="00382BEC">
        <w:t>unique</w:t>
      </w:r>
      <w:r>
        <w:t xml:space="preserve"> student identifier </w:t>
      </w:r>
      <w:r w:rsidR="00B83111">
        <w:t xml:space="preserve">for </w:t>
      </w:r>
      <w:r>
        <w:t xml:space="preserve">school students nationwide would </w:t>
      </w:r>
      <w:proofErr w:type="gramStart"/>
      <w:r>
        <w:t>open up</w:t>
      </w:r>
      <w:proofErr w:type="gramEnd"/>
      <w:r>
        <w:t xml:space="preserve"> the capacity for richer understanding of the determinants of school and student performance. As discussed in this Inquiry’s companion </w:t>
      </w:r>
      <w:r w:rsidR="00DA1C04">
        <w:t>volume</w:t>
      </w:r>
      <w:r>
        <w:t xml:space="preserve"> on digital technologies, </w:t>
      </w:r>
      <w:r w:rsidRPr="00462938">
        <w:rPr>
          <w:i/>
          <w:iCs/>
        </w:rPr>
        <w:t>Austra</w:t>
      </w:r>
      <w:r>
        <w:rPr>
          <w:i/>
          <w:iCs/>
        </w:rPr>
        <w:t>l</w:t>
      </w:r>
      <w:r w:rsidRPr="00462938">
        <w:rPr>
          <w:i/>
          <w:iCs/>
        </w:rPr>
        <w:t xml:space="preserve">ia’s </w:t>
      </w:r>
      <w:r w:rsidR="00A02B49">
        <w:rPr>
          <w:i/>
          <w:iCs/>
        </w:rPr>
        <w:t>d</w:t>
      </w:r>
      <w:r w:rsidRPr="00462938">
        <w:rPr>
          <w:i/>
          <w:iCs/>
        </w:rPr>
        <w:t xml:space="preserve">ata and </w:t>
      </w:r>
      <w:r w:rsidR="00A02B49">
        <w:rPr>
          <w:i/>
          <w:iCs/>
        </w:rPr>
        <w:t>d</w:t>
      </w:r>
      <w:r w:rsidRPr="00462938">
        <w:rPr>
          <w:i/>
          <w:iCs/>
        </w:rPr>
        <w:t xml:space="preserve">igital </w:t>
      </w:r>
      <w:r w:rsidR="00A02B49">
        <w:rPr>
          <w:i/>
          <w:iCs/>
        </w:rPr>
        <w:t>d</w:t>
      </w:r>
      <w:r w:rsidRPr="00462938">
        <w:rPr>
          <w:i/>
          <w:iCs/>
        </w:rPr>
        <w:t>ividend</w:t>
      </w:r>
      <w:r w:rsidRPr="00462938">
        <w:t xml:space="preserve">, </w:t>
      </w:r>
      <w:r>
        <w:t>the ongoing creation and integration of government datasets will be a major source of value.</w:t>
      </w:r>
    </w:p>
    <w:p w14:paraId="7FE51B8C" w14:textId="21F8FC89" w:rsidR="003A0ECF" w:rsidRDefault="003A0ECF" w:rsidP="003A0ECF">
      <w:pPr>
        <w:pStyle w:val="BodyText"/>
      </w:pPr>
      <w:r>
        <w:t>Accordingly, the next big and ambitious step for benchmarking data across all significant government services is to provide more like</w:t>
      </w:r>
      <w:r>
        <w:noBreakHyphen/>
        <w:t>with</w:t>
      </w:r>
      <w:r>
        <w:noBreakHyphen/>
        <w:t>like comparisons that enable a public</w:t>
      </w:r>
      <w:r w:rsidR="006B1A9C">
        <w:t>ly funded or delivered</w:t>
      </w:r>
      <w:r>
        <w:t xml:space="preserve"> service in any given area to grasp how far away they are from the frontier and why that is so. For example, the benchmarking comparisons of local government garbage collection costs in figure 3.</w:t>
      </w:r>
      <w:r w:rsidR="00526B33">
        <w:t>2</w:t>
      </w:r>
      <w:r>
        <w:t xml:space="preserve"> would be enhanced if it controlled for the population of the area and its density.</w:t>
      </w:r>
      <w:r w:rsidR="006B1A9C">
        <w:t xml:space="preserve"> And the Commission has previously recommended that </w:t>
      </w:r>
      <w:r w:rsidR="006A10C0">
        <w:t xml:space="preserve">in healthcare, reporting at the individual </w:t>
      </w:r>
      <w:r w:rsidR="0069203D">
        <w:t xml:space="preserve">practitioner level (for instance, individual specialists and allied health professionals) should </w:t>
      </w:r>
      <w:r w:rsidR="002E1374">
        <w:t xml:space="preserve">include </w:t>
      </w:r>
      <w:r w:rsidR="009C2A2D">
        <w:t>both</w:t>
      </w:r>
      <w:r w:rsidR="002E1374">
        <w:t xml:space="preserve"> clinical outcomes </w:t>
      </w:r>
      <w:r w:rsidR="009C2A2D">
        <w:t xml:space="preserve">and </w:t>
      </w:r>
      <w:r w:rsidR="002E1374">
        <w:t>details such as location, activity levels and out</w:t>
      </w:r>
      <w:r w:rsidR="00A43B86">
        <w:noBreakHyphen/>
      </w:r>
      <w:r w:rsidR="002E1374">
        <w:t>of</w:t>
      </w:r>
      <w:r w:rsidR="00A43B86">
        <w:noBreakHyphen/>
      </w:r>
      <w:r w:rsidR="002E1374">
        <w:t>pocke</w:t>
      </w:r>
      <w:r w:rsidR="002B1C46">
        <w:t>t</w:t>
      </w:r>
      <w:r w:rsidR="002E1374">
        <w:t xml:space="preserve"> charges, </w:t>
      </w:r>
      <w:r w:rsidR="007F12FA">
        <w:t>to</w:t>
      </w:r>
      <w:r w:rsidR="006F046A">
        <w:t xml:space="preserve"> facilitate </w:t>
      </w:r>
      <w:r w:rsidR="002B1C46">
        <w:t xml:space="preserve">better comparisons and </w:t>
      </w:r>
      <w:r w:rsidR="001B1D15">
        <w:t xml:space="preserve">more targeted performance improvements </w:t>
      </w:r>
      <w:r w:rsidR="006F0AC7" w:rsidRPr="006F0AC7">
        <w:rPr>
          <w:rFonts w:ascii="Arial" w:hAnsi="Arial" w:cs="Arial"/>
          <w:szCs w:val="24"/>
        </w:rPr>
        <w:t>(PC 2017c, p. 53)</w:t>
      </w:r>
      <w:r w:rsidR="001B1D15">
        <w:t>.</w:t>
      </w:r>
    </w:p>
    <w:p w14:paraId="730F3748" w14:textId="77777777" w:rsidR="00D5572D" w:rsidRDefault="00D5572D" w:rsidP="00D5572D">
      <w:pPr>
        <w:pStyle w:val="NoSpacing"/>
      </w:pPr>
    </w:p>
    <w:tbl>
      <w:tblPr>
        <w:tblStyle w:val="Texttable-Paleblue"/>
        <w:tblW w:w="5000" w:type="pct"/>
        <w:tblLook w:val="04A0" w:firstRow="1" w:lastRow="0" w:firstColumn="1" w:lastColumn="0" w:noHBand="0" w:noVBand="1"/>
      </w:tblPr>
      <w:tblGrid>
        <w:gridCol w:w="707"/>
        <w:gridCol w:w="8359"/>
        <w:gridCol w:w="572"/>
      </w:tblGrid>
      <w:tr w:rsidR="00D14BF9" w14:paraId="0FB42A80" w14:textId="77777777">
        <w:trPr>
          <w:tblHeader/>
        </w:trPr>
        <w:tc>
          <w:tcPr>
            <w:tcW w:w="709" w:type="dxa"/>
            <w:tcMar>
              <w:top w:w="0" w:type="dxa"/>
              <w:bottom w:w="0" w:type="dxa"/>
            </w:tcMar>
            <w:vAlign w:val="center"/>
          </w:tcPr>
          <w:p w14:paraId="29C8C1EA" w14:textId="77777777" w:rsidR="00D5572D" w:rsidRDefault="00D5572D">
            <w:pPr>
              <w:keepLines/>
              <w:jc w:val="center"/>
            </w:pPr>
            <w:r w:rsidRPr="00A51374">
              <w:rPr>
                <w:noProof/>
              </w:rPr>
              <w:drawing>
                <wp:inline distT="0" distB="0" distL="0" distR="0" wp14:anchorId="5D055C32" wp14:editId="31AED863">
                  <wp:extent cx="288000" cy="288000"/>
                  <wp:effectExtent l="0" t="0" r="0" b="0"/>
                  <wp:docPr id="98" name="Graphic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gridSpan w:val="2"/>
            <w:tcMar>
              <w:top w:w="0" w:type="dxa"/>
              <w:bottom w:w="0" w:type="dxa"/>
            </w:tcMar>
            <w:vAlign w:val="center"/>
          </w:tcPr>
          <w:p w14:paraId="15C3F21F" w14:textId="20F866B2" w:rsidR="00D5572D" w:rsidRPr="00715040" w:rsidRDefault="00D5572D">
            <w:pPr>
              <w:pStyle w:val="TableHeading"/>
              <w:keepLines/>
              <w:spacing w:before="120" w:after="120"/>
              <w:contextualSpacing/>
              <w:rPr>
                <w:sz w:val="20"/>
              </w:rPr>
            </w:pPr>
            <w:r w:rsidRPr="00715040">
              <w:rPr>
                <w:sz w:val="20"/>
              </w:rPr>
              <w:t xml:space="preserve">Recommendation </w:t>
            </w:r>
            <w:r w:rsidR="00A911E8">
              <w:rPr>
                <w:sz w:val="20"/>
              </w:rPr>
              <w:t>5.9</w:t>
            </w:r>
          </w:p>
          <w:p w14:paraId="192C4703" w14:textId="1BD80D94" w:rsidR="00D5572D" w:rsidRPr="00715040" w:rsidRDefault="007379E7">
            <w:pPr>
              <w:pStyle w:val="TableHeading"/>
              <w:keepLines/>
              <w:spacing w:before="120" w:after="120"/>
              <w:contextualSpacing/>
              <w:rPr>
                <w:sz w:val="20"/>
              </w:rPr>
            </w:pPr>
            <w:r>
              <w:rPr>
                <w:sz w:val="20"/>
              </w:rPr>
              <w:t xml:space="preserve">Using </w:t>
            </w:r>
            <w:r w:rsidR="002C107D">
              <w:rPr>
                <w:sz w:val="20"/>
              </w:rPr>
              <w:t xml:space="preserve">performance </w:t>
            </w:r>
            <w:r w:rsidR="0002479F">
              <w:rPr>
                <w:sz w:val="20"/>
              </w:rPr>
              <w:t xml:space="preserve">data </w:t>
            </w:r>
            <w:r w:rsidR="002C107D">
              <w:rPr>
                <w:sz w:val="20"/>
              </w:rPr>
              <w:t xml:space="preserve">on </w:t>
            </w:r>
            <w:r w:rsidR="0002479F">
              <w:rPr>
                <w:sz w:val="20"/>
              </w:rPr>
              <w:t>government services</w:t>
            </w:r>
            <w:r w:rsidR="00060220">
              <w:rPr>
                <w:sz w:val="20"/>
              </w:rPr>
              <w:t xml:space="preserve"> to diffuse </w:t>
            </w:r>
            <w:r w:rsidR="009338F6">
              <w:rPr>
                <w:sz w:val="20"/>
              </w:rPr>
              <w:t>best</w:t>
            </w:r>
            <w:r w:rsidR="00060220">
              <w:rPr>
                <w:sz w:val="20"/>
              </w:rPr>
              <w:t xml:space="preserve"> practice</w:t>
            </w:r>
          </w:p>
        </w:tc>
      </w:tr>
      <w:tr w:rsidR="009E435F" w14:paraId="08ED9075" w14:textId="77777777">
        <w:tc>
          <w:tcPr>
            <w:tcW w:w="9583" w:type="dxa"/>
            <w:gridSpan w:val="3"/>
            <w:tcMar>
              <w:top w:w="0" w:type="dxa"/>
            </w:tcMar>
          </w:tcPr>
          <w:p w14:paraId="01F30CDA" w14:textId="05BCAEC0" w:rsidR="00D5572D" w:rsidRPr="00767EAE" w:rsidRDefault="00994C02" w:rsidP="00536032">
            <w:pPr>
              <w:pStyle w:val="BodyText"/>
              <w:keepLines/>
            </w:pPr>
            <w:r>
              <w:t xml:space="preserve">Governments should </w:t>
            </w:r>
            <w:r w:rsidR="00741260">
              <w:t>c</w:t>
            </w:r>
            <w:r w:rsidR="004B48CA">
              <w:t xml:space="preserve">ollect and use data on </w:t>
            </w:r>
            <w:r w:rsidR="00AF66D8">
              <w:t xml:space="preserve">service outcomes and provider performance to </w:t>
            </w:r>
            <w:r w:rsidR="00553596" w:rsidRPr="00553596">
              <w:t xml:space="preserve">benchmark </w:t>
            </w:r>
            <w:r w:rsidR="00233D4D">
              <w:t xml:space="preserve">their </w:t>
            </w:r>
            <w:r w:rsidR="008C7609">
              <w:t>own</w:t>
            </w:r>
            <w:r w:rsidR="00553596" w:rsidRPr="00553596">
              <w:t xml:space="preserve"> service delivery</w:t>
            </w:r>
            <w:r w:rsidR="009338F6">
              <w:t xml:space="preserve"> and diffuse best practice</w:t>
            </w:r>
            <w:r w:rsidR="00AF66D8">
              <w:t>. This should</w:t>
            </w:r>
            <w:r w:rsidR="00553596" w:rsidRPr="00553596">
              <w:t xml:space="preserve"> go beyond simple </w:t>
            </w:r>
            <w:r w:rsidR="00D36EC9">
              <w:t xml:space="preserve">descriptive </w:t>
            </w:r>
            <w:r w:rsidR="00553596" w:rsidRPr="00553596">
              <w:t>performance comparisons</w:t>
            </w:r>
            <w:r w:rsidR="00667CD6">
              <w:t xml:space="preserve"> by providing more like</w:t>
            </w:r>
            <w:r w:rsidR="00A43B86">
              <w:noBreakHyphen/>
            </w:r>
            <w:r w:rsidR="00667CD6">
              <w:t>with</w:t>
            </w:r>
            <w:r w:rsidR="00A43B86">
              <w:noBreakHyphen/>
            </w:r>
            <w:r w:rsidR="00667CD6">
              <w:t xml:space="preserve">like comparisons, so that governments and service providers can understand </w:t>
            </w:r>
            <w:r w:rsidR="00553596" w:rsidRPr="00553596">
              <w:t>what</w:t>
            </w:r>
            <w:r w:rsidR="00667CD6">
              <w:t xml:space="preserve"> i</w:t>
            </w:r>
            <w:r w:rsidR="00553596" w:rsidRPr="00553596">
              <w:t xml:space="preserve">s driving differences </w:t>
            </w:r>
            <w:r w:rsidR="00667CD6">
              <w:t xml:space="preserve">in performance </w:t>
            </w:r>
            <w:r w:rsidR="00553596" w:rsidRPr="00553596">
              <w:t>and how</w:t>
            </w:r>
            <w:r w:rsidR="00A346EC">
              <w:t>, when not justified,</w:t>
            </w:r>
            <w:r w:rsidR="00553596" w:rsidRPr="00553596">
              <w:t xml:space="preserve"> </w:t>
            </w:r>
            <w:r w:rsidR="00667CD6">
              <w:t xml:space="preserve">these differences </w:t>
            </w:r>
            <w:r w:rsidR="00553596" w:rsidRPr="00553596">
              <w:t>could be narrowed</w:t>
            </w:r>
            <w:r w:rsidR="00667CD6">
              <w:t>.</w:t>
            </w:r>
          </w:p>
        </w:tc>
      </w:tr>
      <w:tr w:rsidR="009E435F" w14:paraId="7E78BD6E" w14:textId="77777777">
        <w:trPr>
          <w:gridAfter w:val="1"/>
          <w:wAfter w:w="612" w:type="dxa"/>
        </w:trPr>
        <w:tc>
          <w:tcPr>
            <w:tcW w:w="9583" w:type="dxa"/>
            <w:gridSpan w:val="2"/>
            <w:shd w:val="clear" w:color="auto" w:fill="auto"/>
            <w:tcMar>
              <w:top w:w="0" w:type="dxa"/>
              <w:bottom w:w="0" w:type="dxa"/>
            </w:tcMar>
          </w:tcPr>
          <w:p w14:paraId="24936FA6" w14:textId="77777777" w:rsidR="00D5572D" w:rsidRPr="007E0EA8" w:rsidRDefault="00D5572D">
            <w:pPr>
              <w:pStyle w:val="NoSpacing"/>
              <w:spacing w:line="200" w:lineRule="exact"/>
            </w:pPr>
          </w:p>
        </w:tc>
      </w:tr>
    </w:tbl>
    <w:p w14:paraId="0AE63C00" w14:textId="32D66781" w:rsidR="003A0ECF" w:rsidRDefault="003A0ECF" w:rsidP="003A0ECF">
      <w:pPr>
        <w:pStyle w:val="Heading4"/>
      </w:pPr>
      <w:r>
        <w:t>Skills</w:t>
      </w:r>
      <w:r w:rsidR="00876E34">
        <w:t xml:space="preserve"> in the public service workforce</w:t>
      </w:r>
    </w:p>
    <w:p w14:paraId="585B3DAE" w14:textId="10AF87FB" w:rsidR="00D36EC9" w:rsidRDefault="003A0ECF" w:rsidP="003A0ECF">
      <w:pPr>
        <w:pStyle w:val="BodyText"/>
      </w:pPr>
      <w:r>
        <w:t xml:space="preserve">The Thodey review </w:t>
      </w:r>
      <w:r w:rsidR="006F0AC7" w:rsidRPr="006F0AC7">
        <w:rPr>
          <w:rFonts w:ascii="Arial" w:hAnsi="Arial" w:cs="Arial"/>
          <w:szCs w:val="24"/>
        </w:rPr>
        <w:t>(PMC 2019)</w:t>
      </w:r>
      <w:r>
        <w:t xml:space="preserve"> found many flaws in the Australian Public </w:t>
      </w:r>
      <w:r w:rsidR="00876E34">
        <w:t>Service</w:t>
      </w:r>
      <w:r>
        <w:t xml:space="preserve"> in which skill and leadership deficiencies were predominant. (Some of these problems are manifest in the results shown in figure 3.</w:t>
      </w:r>
      <w:r w:rsidR="00526B33">
        <w:t>1.</w:t>
      </w:r>
      <w:r>
        <w:t>) Similar issues will affect public sector organisations across all levels of government and functions, especially considering economy</w:t>
      </w:r>
      <w:r>
        <w:noBreakHyphen/>
        <w:t xml:space="preserve">wide skill pressures. </w:t>
      </w:r>
    </w:p>
    <w:p w14:paraId="3D989415" w14:textId="1F4B0466" w:rsidR="003A0ECF" w:rsidRDefault="003A0ECF" w:rsidP="003A0ECF">
      <w:pPr>
        <w:pStyle w:val="BodyText"/>
      </w:pPr>
      <w:r>
        <w:t xml:space="preserve">The vast numbers of people employed in the public sector — about 250 000 in the </w:t>
      </w:r>
      <w:r w:rsidR="00F86382">
        <w:t>Australian</w:t>
      </w:r>
      <w:r>
        <w:t xml:space="preserve"> Government, 1.7 million in state and territory governments and 190 000 in local government </w:t>
      </w:r>
      <w:r w:rsidR="006F0AC7" w:rsidRPr="006F0AC7">
        <w:rPr>
          <w:rFonts w:ascii="Arial" w:hAnsi="Arial" w:cs="Arial"/>
          <w:szCs w:val="24"/>
        </w:rPr>
        <w:t>(ABS 2021b)</w:t>
      </w:r>
      <w:r>
        <w:t xml:space="preserve"> — means that there will be natural variation in people’s aptitudes. While overall performance can be raised, there are limits. Nor is it unambiguously beneficial to attract more of the ‘best and brightest’ into the public sector. They are also critical in the business and not</w:t>
      </w:r>
      <w:r>
        <w:noBreakHyphen/>
        <w:t>for</w:t>
      </w:r>
      <w:r>
        <w:noBreakHyphen/>
        <w:t xml:space="preserve">profit sectors. In teaching, for example, the appropriate aspiration may be to attract the </w:t>
      </w:r>
      <w:r w:rsidRPr="00817207">
        <w:rPr>
          <w:i/>
          <w:iCs/>
        </w:rPr>
        <w:t>good</w:t>
      </w:r>
      <w:r>
        <w:t xml:space="preserve"> (and those best suited to the role) and to better use pedagogy, coaching and software to maximise their effectiveness as teachers.</w:t>
      </w:r>
    </w:p>
    <w:p w14:paraId="50A1AFB4" w14:textId="77777777" w:rsidR="00861C51" w:rsidRDefault="003A0ECF" w:rsidP="003A0ECF">
      <w:pPr>
        <w:pStyle w:val="BodyText"/>
      </w:pPr>
      <w:r>
        <w:t xml:space="preserve">But one area where skills could readily be augmented without significant cost is through a reformed immigration system. As discussed in chapters 1 and 2, the movement of people between different organisations is an important conduit for transferring ideas. </w:t>
      </w:r>
    </w:p>
    <w:p w14:paraId="2175B96E" w14:textId="67D3B25E" w:rsidR="003A0ECF" w:rsidRDefault="00BD0D8F" w:rsidP="003A0ECF">
      <w:pPr>
        <w:pStyle w:val="BodyText"/>
      </w:pPr>
      <w:r>
        <w:lastRenderedPageBreak/>
        <w:t xml:space="preserve">While this inquiry’s companion </w:t>
      </w:r>
      <w:r w:rsidR="00730D29">
        <w:t>volume</w:t>
      </w:r>
      <w:r>
        <w:t xml:space="preserve"> </w:t>
      </w:r>
      <w:r>
        <w:rPr>
          <w:i/>
          <w:iCs/>
        </w:rPr>
        <w:t>A competitive, dynamic and sustainable future</w:t>
      </w:r>
      <w:r>
        <w:t xml:space="preserve"> discusses improvements to Australia’s skilled migration policy more generally</w:t>
      </w:r>
      <w:r w:rsidR="00861C51">
        <w:t xml:space="preserve"> (many of which are as apt for public services as they are for the business sector)</w:t>
      </w:r>
      <w:r>
        <w:t xml:space="preserve">, there are specific restrictions to recruiting people from outside Australia in the public sector that </w:t>
      </w:r>
      <w:r w:rsidR="003A0ECF">
        <w:t xml:space="preserve">are stifling innovation and diffusion of global best practice in </w:t>
      </w:r>
      <w:r>
        <w:t xml:space="preserve">government </w:t>
      </w:r>
      <w:r w:rsidR="003A0ECF">
        <w:t xml:space="preserve">agencies. </w:t>
      </w:r>
      <w:r>
        <w:t>These include antiquated security, citizenship and residency requirements; i</w:t>
      </w:r>
      <w:r w:rsidR="003A0ECF">
        <w:t xml:space="preserve">n particular, Australian citizenship is a usual requirement for permanent appointments to the Australian Public Service. </w:t>
      </w:r>
      <w:r w:rsidR="003A0ECF" w:rsidRPr="00AC43E1">
        <w:t>Across public service agencies, there are processes to gain exemptions, but they</w:t>
      </w:r>
      <w:r w:rsidR="003A0ECF">
        <w:t xml:space="preserve"> are unduly bureaucratic.</w:t>
      </w:r>
    </w:p>
    <w:p w14:paraId="3C577599" w14:textId="43AD4885" w:rsidR="003A0ECF" w:rsidRDefault="003A0ECF" w:rsidP="003A0ECF">
      <w:pPr>
        <w:pStyle w:val="BodyText"/>
      </w:pPr>
      <w:r>
        <w:t xml:space="preserve">Lowering the transaction costs of attracting people outside Australia to be in the public sector would raise skill levels, but above all bring new ideas from countries with different models of public sector services. </w:t>
      </w:r>
      <w:r w:rsidR="004515E0">
        <w:t xml:space="preserve">One way of implementing this could be to </w:t>
      </w:r>
      <w:r w:rsidR="00D449C8">
        <w:t xml:space="preserve">have expedited security approval processes for overseas workers that have already obtained </w:t>
      </w:r>
      <w:r w:rsidR="00076693">
        <w:t xml:space="preserve">similar levels of </w:t>
      </w:r>
      <w:r w:rsidR="00D449C8">
        <w:t xml:space="preserve">clearance </w:t>
      </w:r>
      <w:r w:rsidR="00076693">
        <w:t xml:space="preserve">in </w:t>
      </w:r>
      <w:r w:rsidR="00D449C8">
        <w:t xml:space="preserve">their home country, where Australia </w:t>
      </w:r>
      <w:r w:rsidR="00C40F06">
        <w:t>has a security or intelligence agreement</w:t>
      </w:r>
      <w:r w:rsidR="00B31DF3">
        <w:t xml:space="preserve"> with that country (for example, the Five Eyes alliance). </w:t>
      </w:r>
      <w:r w:rsidR="00276C0E">
        <w:t xml:space="preserve">For example, </w:t>
      </w:r>
      <w:r w:rsidR="00417454">
        <w:t>some stakeholders have</w:t>
      </w:r>
      <w:r w:rsidR="00276C0E">
        <w:t xml:space="preserve"> proposed that as part of the AUKUS agreement, </w:t>
      </w:r>
      <w:r w:rsidR="00CE1DE1">
        <w:t xml:space="preserve">there could be an accelerated security clearance process whereby </w:t>
      </w:r>
      <w:r w:rsidR="00EF2AE6">
        <w:t xml:space="preserve">UK or US workers who have been vetted in their home country could be considered for security clearance to work </w:t>
      </w:r>
      <w:r w:rsidR="00D25F5F">
        <w:t xml:space="preserve">on defence projects in the Australian </w:t>
      </w:r>
      <w:r w:rsidR="00A02407">
        <w:t>P</w:t>
      </w:r>
      <w:r w:rsidR="00D25F5F">
        <w:t xml:space="preserve">ublic </w:t>
      </w:r>
      <w:r w:rsidR="00A02407">
        <w:t>S</w:t>
      </w:r>
      <w:r w:rsidR="00D25F5F">
        <w:t>ervice, regardless of Australian citizenship</w:t>
      </w:r>
      <w:r w:rsidR="00342C0E">
        <w:t xml:space="preserve"> </w:t>
      </w:r>
      <w:r w:rsidR="006F0AC7" w:rsidRPr="006F0AC7">
        <w:rPr>
          <w:rFonts w:ascii="Arial" w:hAnsi="Arial" w:cs="Arial"/>
          <w:szCs w:val="24"/>
        </w:rPr>
        <w:t>(PwC Australia, American Chamber of Commerce in Australia, and Australian British Chamber of Commerce 2022, pp. 25–26)</w:t>
      </w:r>
      <w:r w:rsidR="00D25F5F">
        <w:t>.</w:t>
      </w:r>
    </w:p>
    <w:p w14:paraId="15112701" w14:textId="77777777" w:rsidR="002B77D3" w:rsidRDefault="002B77D3" w:rsidP="002B77D3">
      <w:pPr>
        <w:pStyle w:val="NoSpacing"/>
      </w:pPr>
    </w:p>
    <w:tbl>
      <w:tblPr>
        <w:tblStyle w:val="Texttable-Paleblue"/>
        <w:tblW w:w="5000" w:type="pct"/>
        <w:tblLook w:val="04A0" w:firstRow="1" w:lastRow="0" w:firstColumn="1" w:lastColumn="0" w:noHBand="0" w:noVBand="1"/>
      </w:tblPr>
      <w:tblGrid>
        <w:gridCol w:w="707"/>
        <w:gridCol w:w="8359"/>
        <w:gridCol w:w="572"/>
      </w:tblGrid>
      <w:tr w:rsidR="009E435F" w14:paraId="4AF9AEB0" w14:textId="77777777">
        <w:trPr>
          <w:tblHeader/>
        </w:trPr>
        <w:tc>
          <w:tcPr>
            <w:tcW w:w="709" w:type="dxa"/>
            <w:tcMar>
              <w:top w:w="0" w:type="dxa"/>
              <w:bottom w:w="0" w:type="dxa"/>
            </w:tcMar>
            <w:vAlign w:val="center"/>
          </w:tcPr>
          <w:p w14:paraId="4E120EBB" w14:textId="77777777" w:rsidR="002B77D3" w:rsidRDefault="002B77D3">
            <w:pPr>
              <w:keepLines/>
              <w:jc w:val="center"/>
            </w:pPr>
            <w:r w:rsidRPr="00A51374">
              <w:rPr>
                <w:noProof/>
              </w:rPr>
              <w:drawing>
                <wp:inline distT="0" distB="0" distL="0" distR="0" wp14:anchorId="43C140D5" wp14:editId="67E1104E">
                  <wp:extent cx="288000" cy="288000"/>
                  <wp:effectExtent l="0" t="0" r="0" b="0"/>
                  <wp:docPr id="99" name="Graphic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gridSpan w:val="2"/>
            <w:tcMar>
              <w:top w:w="0" w:type="dxa"/>
              <w:bottom w:w="0" w:type="dxa"/>
            </w:tcMar>
            <w:vAlign w:val="center"/>
          </w:tcPr>
          <w:p w14:paraId="25CBECB5" w14:textId="38D41F3E" w:rsidR="002B77D3" w:rsidRPr="00715040" w:rsidRDefault="002B77D3">
            <w:pPr>
              <w:pStyle w:val="TableHeading"/>
              <w:keepLines/>
              <w:spacing w:before="120" w:after="120"/>
              <w:contextualSpacing/>
              <w:rPr>
                <w:sz w:val="20"/>
              </w:rPr>
            </w:pPr>
            <w:r w:rsidRPr="00715040">
              <w:rPr>
                <w:sz w:val="20"/>
              </w:rPr>
              <w:t xml:space="preserve">Recommendation </w:t>
            </w:r>
            <w:r w:rsidR="00DD0598">
              <w:rPr>
                <w:sz w:val="20"/>
              </w:rPr>
              <w:t>5</w:t>
            </w:r>
            <w:r w:rsidR="00A911E8">
              <w:rPr>
                <w:sz w:val="20"/>
              </w:rPr>
              <w:t>.10</w:t>
            </w:r>
          </w:p>
          <w:p w14:paraId="1B44AE41" w14:textId="2E91C1DC" w:rsidR="002B77D3" w:rsidRPr="00715040" w:rsidRDefault="00A76668">
            <w:pPr>
              <w:pStyle w:val="TableHeading"/>
              <w:keepLines/>
              <w:spacing w:before="120" w:after="120"/>
              <w:contextualSpacing/>
              <w:rPr>
                <w:sz w:val="20"/>
              </w:rPr>
            </w:pPr>
            <w:r>
              <w:rPr>
                <w:sz w:val="20"/>
              </w:rPr>
              <w:t>R</w:t>
            </w:r>
            <w:r w:rsidR="00F50F2F">
              <w:rPr>
                <w:sz w:val="20"/>
              </w:rPr>
              <w:t>ecruit</w:t>
            </w:r>
            <w:r>
              <w:rPr>
                <w:sz w:val="20"/>
              </w:rPr>
              <w:t>ing</w:t>
            </w:r>
            <w:r w:rsidR="00F50F2F">
              <w:rPr>
                <w:sz w:val="20"/>
              </w:rPr>
              <w:t xml:space="preserve"> </w:t>
            </w:r>
            <w:r>
              <w:rPr>
                <w:sz w:val="20"/>
              </w:rPr>
              <w:t xml:space="preserve">public sector </w:t>
            </w:r>
            <w:r w:rsidR="00F50F2F">
              <w:rPr>
                <w:sz w:val="20"/>
              </w:rPr>
              <w:t>workers from overseas</w:t>
            </w:r>
            <w:r>
              <w:rPr>
                <w:sz w:val="20"/>
              </w:rPr>
              <w:t xml:space="preserve"> to bring in global best practice</w:t>
            </w:r>
          </w:p>
        </w:tc>
      </w:tr>
      <w:tr w:rsidR="009E435F" w14:paraId="4DDD5D00" w14:textId="77777777">
        <w:tc>
          <w:tcPr>
            <w:tcW w:w="9583" w:type="dxa"/>
            <w:gridSpan w:val="3"/>
            <w:tcMar>
              <w:top w:w="0" w:type="dxa"/>
            </w:tcMar>
          </w:tcPr>
          <w:p w14:paraId="1574D3B3" w14:textId="55C1260E" w:rsidR="002B77D3" w:rsidRPr="00767EAE" w:rsidRDefault="00264B3C" w:rsidP="00536032">
            <w:pPr>
              <w:pStyle w:val="BodyText"/>
              <w:keepLines/>
            </w:pPr>
            <w:r>
              <w:t>Improve the diffusion of global best practice in the public service by l</w:t>
            </w:r>
            <w:r w:rsidR="007C5B88" w:rsidRPr="007C5B88">
              <w:t>oosen</w:t>
            </w:r>
            <w:r>
              <w:t>ing</w:t>
            </w:r>
            <w:r w:rsidR="007C5B88" w:rsidRPr="007C5B88">
              <w:t xml:space="preserve"> the security and citizenship requirements</w:t>
            </w:r>
            <w:r w:rsidR="00597602">
              <w:t>,</w:t>
            </w:r>
            <w:r w:rsidR="007C5B88" w:rsidRPr="007C5B88">
              <w:t xml:space="preserve"> </w:t>
            </w:r>
            <w:r w:rsidR="00842EFA">
              <w:t>and overly bureaucratic processes</w:t>
            </w:r>
            <w:r w:rsidR="00597602">
              <w:t>,</w:t>
            </w:r>
            <w:r w:rsidR="00842EFA">
              <w:t xml:space="preserve"> </w:t>
            </w:r>
            <w:r w:rsidR="00597602">
              <w:t xml:space="preserve">which </w:t>
            </w:r>
            <w:r>
              <w:t xml:space="preserve">currently </w:t>
            </w:r>
            <w:r w:rsidR="007C5B88" w:rsidRPr="007C5B88">
              <w:t xml:space="preserve">limit </w:t>
            </w:r>
            <w:r w:rsidR="00497B53">
              <w:t xml:space="preserve">the </w:t>
            </w:r>
            <w:r w:rsidR="007C5B88" w:rsidRPr="007C5B88">
              <w:t xml:space="preserve">recruitment of </w:t>
            </w:r>
            <w:r w:rsidR="00004BE2">
              <w:t>workers</w:t>
            </w:r>
            <w:r w:rsidR="00842EFA">
              <w:t xml:space="preserve"> from outside Australia who bring innovative ideas and different </w:t>
            </w:r>
            <w:r w:rsidR="00397FA2">
              <w:t>models</w:t>
            </w:r>
            <w:r w:rsidR="00842EFA">
              <w:t xml:space="preserve"> to</w:t>
            </w:r>
            <w:r w:rsidR="007C5B88" w:rsidRPr="007C5B88">
              <w:t xml:space="preserve"> the public service.</w:t>
            </w:r>
            <w:r w:rsidR="00004BE2">
              <w:t xml:space="preserve"> This could include expedited security approval processes for overseas workers who have already obtained similar levels of security clearance in their home country, where Australia </w:t>
            </w:r>
            <w:r w:rsidR="00004BE2" w:rsidRPr="00004BE2">
              <w:t>has a security or intelligence agreement with that country (for example, the Five Eyes alliance).</w:t>
            </w:r>
          </w:p>
        </w:tc>
      </w:tr>
      <w:tr w:rsidR="009E435F" w14:paraId="01717F5C" w14:textId="77777777">
        <w:trPr>
          <w:gridAfter w:val="1"/>
          <w:wAfter w:w="612" w:type="dxa"/>
        </w:trPr>
        <w:tc>
          <w:tcPr>
            <w:tcW w:w="9583" w:type="dxa"/>
            <w:gridSpan w:val="2"/>
            <w:shd w:val="clear" w:color="auto" w:fill="auto"/>
            <w:tcMar>
              <w:top w:w="0" w:type="dxa"/>
              <w:bottom w:w="0" w:type="dxa"/>
            </w:tcMar>
          </w:tcPr>
          <w:p w14:paraId="5F7E15E4" w14:textId="77777777" w:rsidR="002B77D3" w:rsidRPr="007E0EA8" w:rsidRDefault="002B77D3">
            <w:pPr>
              <w:pStyle w:val="NoSpacing"/>
              <w:spacing w:line="200" w:lineRule="exact"/>
            </w:pPr>
          </w:p>
        </w:tc>
      </w:tr>
    </w:tbl>
    <w:p w14:paraId="42EE6244" w14:textId="2A1838C4" w:rsidR="003A0ECF" w:rsidRDefault="003A0ECF" w:rsidP="003A0ECF">
      <w:pPr>
        <w:pStyle w:val="Heading4"/>
      </w:pPr>
      <w:r>
        <w:t>Diffusion bodies and innovation funds with a charter for diffusion</w:t>
      </w:r>
    </w:p>
    <w:p w14:paraId="4E3C9B07" w14:textId="3B60EE43" w:rsidR="00876E34" w:rsidRDefault="003A0ECF" w:rsidP="00876E34">
      <w:pPr>
        <w:pStyle w:val="BodyText"/>
      </w:pPr>
      <w:r>
        <w:t>Good ideas often languish because they are lost in the quagmire of other information, are poorly communicated, have not been validated, but above all, require costly changes to the recipient organisation. Those costs arise due to crowded agendas, time poverty, limitations in skills, incompatible software, resistant cultures, and lack of clarity about effective implementation. Moving people with the ideas into the recipient organisation is one avenue because they can gain trust and know the details about implementation</w:t>
      </w:r>
      <w:r w:rsidR="00A8136D">
        <w:t xml:space="preserve"> — for example, </w:t>
      </w:r>
      <w:r w:rsidR="0004528D">
        <w:t xml:space="preserve">staff </w:t>
      </w:r>
      <w:r w:rsidR="00455D01">
        <w:t xml:space="preserve">secondments from one government department to another </w:t>
      </w:r>
      <w:r w:rsidR="0004528D">
        <w:t xml:space="preserve">enable </w:t>
      </w:r>
      <w:r w:rsidR="008C396C">
        <w:t>learnings about designing and implementing programs to be transferred between different</w:t>
      </w:r>
      <w:r w:rsidR="003B612D">
        <w:t xml:space="preserve"> (but related)</w:t>
      </w:r>
      <w:r w:rsidR="008C396C">
        <w:t xml:space="preserve"> policy areas</w:t>
      </w:r>
      <w:r w:rsidR="00C40547">
        <w:t xml:space="preserve"> </w:t>
      </w:r>
      <w:r w:rsidR="00172D87" w:rsidRPr="00172D87">
        <w:rPr>
          <w:rFonts w:ascii="Arial" w:hAnsi="Arial" w:cs="Arial"/>
          <w:szCs w:val="24"/>
        </w:rPr>
        <w:t>(APSC 2021b)</w:t>
      </w:r>
      <w:r w:rsidRPr="005135BD">
        <w:t>.</w:t>
      </w:r>
      <w:r>
        <w:t xml:space="preserve"> But this will rarely be an option if the innovation comes from one organisation</w:t>
      </w:r>
      <w:r w:rsidR="00E066D7">
        <w:t xml:space="preserve"> without adequate resourcing for this diffusion function</w:t>
      </w:r>
      <w:r>
        <w:t xml:space="preserve">, as was evident in many of the </w:t>
      </w:r>
      <w:r w:rsidR="0019794E">
        <w:t xml:space="preserve">Productivity </w:t>
      </w:r>
      <w:r>
        <w:t>Commission’s case studies of innovative practices in managing and preventing chronic disease.</w:t>
      </w:r>
    </w:p>
    <w:p w14:paraId="06142A99" w14:textId="7CB41EDF" w:rsidR="003A0ECF" w:rsidRDefault="003A0ECF" w:rsidP="00876E34">
      <w:pPr>
        <w:pStyle w:val="BodyText"/>
      </w:pPr>
      <w:r>
        <w:t>There are several options to reduce these problems</w:t>
      </w:r>
      <w:r w:rsidR="00514292">
        <w:t>.</w:t>
      </w:r>
    </w:p>
    <w:p w14:paraId="4EB2D4E5" w14:textId="7417DFD5" w:rsidR="003A0ECF" w:rsidRPr="004E14B3" w:rsidRDefault="003A0ECF" w:rsidP="005A1E90">
      <w:pPr>
        <w:pStyle w:val="ListBullet"/>
      </w:pPr>
      <w:r w:rsidRPr="004E14B3">
        <w:t xml:space="preserve">Show how a potential recipient’s organisation is faring compared with similar organisations to motivate adoption (see </w:t>
      </w:r>
      <w:r w:rsidR="00E51DCF">
        <w:t>b</w:t>
      </w:r>
      <w:r w:rsidRPr="004E14B3">
        <w:t>enchmarking</w:t>
      </w:r>
      <w:r w:rsidR="00E51DCF">
        <w:t>, discussed</w:t>
      </w:r>
      <w:r w:rsidRPr="004E14B3">
        <w:t xml:space="preserve"> above).</w:t>
      </w:r>
    </w:p>
    <w:p w14:paraId="07FC8C7F" w14:textId="77777777" w:rsidR="009C3017" w:rsidRDefault="003A0ECF" w:rsidP="005A1E90">
      <w:pPr>
        <w:pStyle w:val="ListBullet"/>
      </w:pPr>
      <w:r w:rsidRPr="004E14B3">
        <w:lastRenderedPageBreak/>
        <w:t xml:space="preserve">Demonstrate concretely the value of a new way of doing something, supported by evaluation, and showing that scaling up of the idea is feasible. </w:t>
      </w:r>
    </w:p>
    <w:p w14:paraId="3D9E4090" w14:textId="5CECD2D3" w:rsidR="003A0ECF" w:rsidRPr="00454F2F" w:rsidRDefault="003A0ECF" w:rsidP="009C3017">
      <w:pPr>
        <w:pStyle w:val="ListBullet2"/>
      </w:pPr>
      <w:r w:rsidRPr="004E14B3">
        <w:t xml:space="preserve">Just publishing evaluations is a good step. In the area of Indigenous program evaluation, the </w:t>
      </w:r>
      <w:r w:rsidR="0019794E">
        <w:t xml:space="preserve">Productivity </w:t>
      </w:r>
      <w:r w:rsidRPr="004E14B3">
        <w:t xml:space="preserve">Commission found that of 509 Australian </w:t>
      </w:r>
      <w:r w:rsidR="00B628E4">
        <w:t>p</w:t>
      </w:r>
      <w:r w:rsidRPr="004E14B3">
        <w:t>rograms from 2016</w:t>
      </w:r>
      <w:r w:rsidRPr="004E14B3">
        <w:noBreakHyphen/>
        <w:t>17 to 2019</w:t>
      </w:r>
      <w:r w:rsidRPr="004E14B3">
        <w:noBreakHyphen/>
        <w:t>20, only 44</w:t>
      </w:r>
      <w:r w:rsidR="00E94315">
        <w:t>%</w:t>
      </w:r>
      <w:r w:rsidRPr="004E14B3">
        <w:t xml:space="preserve"> were public </w:t>
      </w:r>
      <w:r w:rsidR="00936D73" w:rsidRPr="00936D73">
        <w:rPr>
          <w:rFonts w:ascii="Arial" w:hAnsi="Arial" w:cs="Arial"/>
          <w:szCs w:val="24"/>
        </w:rPr>
        <w:t>(PC 2020d, p. 104)</w:t>
      </w:r>
      <w:r w:rsidRPr="004E14B3">
        <w:t>.</w:t>
      </w:r>
      <w:r w:rsidR="0091270A">
        <w:t xml:space="preserve"> More publication of evaluations could be a focus of the government’s </w:t>
      </w:r>
      <w:r w:rsidR="0091270A" w:rsidRPr="00454F2F">
        <w:t xml:space="preserve">proposed Evaluator General (discussed above). </w:t>
      </w:r>
    </w:p>
    <w:p w14:paraId="35132AEC" w14:textId="221781BB" w:rsidR="009C3017" w:rsidRPr="00454F2F" w:rsidRDefault="00B628E4" w:rsidP="0064239E">
      <w:pPr>
        <w:pStyle w:val="ListBullet2"/>
      </w:pPr>
      <w:r w:rsidRPr="00454F2F">
        <w:t xml:space="preserve">Innovative </w:t>
      </w:r>
      <w:r w:rsidR="00B20493" w:rsidRPr="00454F2F">
        <w:t xml:space="preserve">new approaches adopted by one service provider can be used as case studies </w:t>
      </w:r>
      <w:r w:rsidR="00EF701F" w:rsidRPr="00454F2F">
        <w:t xml:space="preserve">that others can learn from. </w:t>
      </w:r>
      <w:r w:rsidR="009C3017" w:rsidRPr="00454F2F">
        <w:t xml:space="preserve">For example, </w:t>
      </w:r>
      <w:r w:rsidR="00097351" w:rsidRPr="00454F2F">
        <w:t xml:space="preserve">in healthcare, </w:t>
      </w:r>
      <w:r w:rsidR="009C3017" w:rsidRPr="00454F2F">
        <w:t>Monash Watch</w:t>
      </w:r>
      <w:r w:rsidR="00097351" w:rsidRPr="00454F2F">
        <w:t xml:space="preserve"> is</w:t>
      </w:r>
      <w:r w:rsidR="009C3017" w:rsidRPr="00454F2F">
        <w:t xml:space="preserve"> a Victorian telephone outreach program </w:t>
      </w:r>
      <w:r w:rsidR="00097351" w:rsidRPr="00454F2F">
        <w:t xml:space="preserve">that </w:t>
      </w:r>
      <w:r w:rsidR="009C3017" w:rsidRPr="00454F2F">
        <w:t>identifies people at risk of repeat hospitalisations and supports continuous health checks and support services through Care Guides who call consumers regularly, and Health Coaches who triage the calls and arrange necessary health services. Interim results show that Monash Watch is achieving a 20</w:t>
      </w:r>
      <w:r w:rsidR="009C3017" w:rsidRPr="00454F2F">
        <w:noBreakHyphen/>
        <w:t>25</w:t>
      </w:r>
      <w:r w:rsidR="00E94315">
        <w:t>%</w:t>
      </w:r>
      <w:r w:rsidR="009C3017" w:rsidRPr="00454F2F">
        <w:t xml:space="preserve"> reduction in hospital acute emergency bed days compared with usual care </w:t>
      </w:r>
      <w:r w:rsidR="009C3017" w:rsidRPr="00454F2F">
        <w:rPr>
          <w:rFonts w:ascii="Arial" w:hAnsi="Arial" w:cs="Arial"/>
          <w:szCs w:val="24"/>
        </w:rPr>
        <w:t>(PC 2021b, p. 61)</w:t>
      </w:r>
      <w:r w:rsidR="009C3017" w:rsidRPr="00454F2F">
        <w:t>. Monash Watch has already expanded from its original location in Dandenong with a second team operating in Cranbourne. Moreover, the initiative is being incorporated into Monash Health more broadly and the approach is expanding to other health services across Victoria.</w:t>
      </w:r>
    </w:p>
    <w:p w14:paraId="37A31AC5" w14:textId="77777777" w:rsidR="00DF2ECE" w:rsidRDefault="003A0ECF" w:rsidP="005A1E90">
      <w:pPr>
        <w:pStyle w:val="ListBullet"/>
      </w:pPr>
      <w:r w:rsidRPr="004E14B3">
        <w:t xml:space="preserve">Exploit the reputation of existing longstanding institutions with strong brand names that already act as repositories of best practice to be more active disseminators using the now established principles of implementation science. </w:t>
      </w:r>
    </w:p>
    <w:p w14:paraId="6DA38713" w14:textId="5CA22EF9" w:rsidR="00407061" w:rsidRDefault="00B45706" w:rsidP="00DF2ECE">
      <w:pPr>
        <w:pStyle w:val="ListBullet2"/>
      </w:pPr>
      <w:r>
        <w:t xml:space="preserve">For example, this includes the </w:t>
      </w:r>
      <w:r w:rsidRPr="004E14B3">
        <w:t>Australian Commission on Safety and Quality in Health Care</w:t>
      </w:r>
      <w:r>
        <w:t xml:space="preserve"> for healthcare; the CSIRO for science and research; and the Australian National Audit Office for public administration. Newer bodies such as the Australian Education Research Org</w:t>
      </w:r>
      <w:r w:rsidR="009211C0">
        <w:t>a</w:t>
      </w:r>
      <w:r>
        <w:t>nisation for school education and Aged Care Research and Industry Innovation Australia for aged care</w:t>
      </w:r>
      <w:r w:rsidR="008F67A3">
        <w:t xml:space="preserve"> could also play a significant role in diffusing best practice in the future.</w:t>
      </w:r>
    </w:p>
    <w:p w14:paraId="0B152C93" w14:textId="703E5D5A" w:rsidR="003A0ECF" w:rsidRPr="004E14B3" w:rsidRDefault="003A0ECF" w:rsidP="005A1E90">
      <w:pPr>
        <w:pStyle w:val="ListBullet"/>
      </w:pPr>
      <w:r w:rsidRPr="004E14B3">
        <w:t>Use existing networks. Regulators and service providers across jurisdictions often meet (for example, competition regulators, liquor and gambling licensing bodies, primary health networks). The norm — encouraged by government — should be consideration of adopting innovations developed in one organisation to another.</w:t>
      </w:r>
    </w:p>
    <w:p w14:paraId="465BB647" w14:textId="77777777" w:rsidR="003A0ECF" w:rsidRPr="004E14B3" w:rsidRDefault="003A0ECF" w:rsidP="005A1E90">
      <w:pPr>
        <w:pStyle w:val="ListBullet"/>
      </w:pPr>
      <w:r w:rsidRPr="004E14B3">
        <w:t>Encourage open standards so that software compatibility problems reduce over time.</w:t>
      </w:r>
    </w:p>
    <w:p w14:paraId="476CA872" w14:textId="537B29CF" w:rsidR="003A0ECF" w:rsidRPr="004E14B3" w:rsidRDefault="003A0ECF" w:rsidP="005A1E90">
      <w:pPr>
        <w:pStyle w:val="ListBullet"/>
      </w:pPr>
      <w:r w:rsidRPr="004E14B3">
        <w:t xml:space="preserve">Appoint dedicated diffusion champions to diffuse best practice and new technologies from around Australia (and global peers). These champions would generally be in the longstanding institutions </w:t>
      </w:r>
      <w:r w:rsidR="002630EA">
        <w:t xml:space="preserve">described </w:t>
      </w:r>
      <w:r w:rsidRPr="004E14B3">
        <w:t>above.</w:t>
      </w:r>
    </w:p>
    <w:p w14:paraId="2E86F169" w14:textId="1C06C059" w:rsidR="003A0ECF" w:rsidRDefault="003A0ECF" w:rsidP="003A0ECF">
      <w:pPr>
        <w:pStyle w:val="BodyText"/>
      </w:pPr>
      <w:r>
        <w:t xml:space="preserve">A challenge in some areas of the public sector is that there is </w:t>
      </w:r>
      <w:r w:rsidRPr="00F1613B">
        <w:rPr>
          <w:b/>
        </w:rPr>
        <w:t>no obvious body to act as a diffuser</w:t>
      </w:r>
      <w:r>
        <w:t>. In some instances, it may be worthwhile establishing a generic innovation fund that supports public sector innovation and then diffuse it. The Victorian Public Sector Innovation Fund is an example,</w:t>
      </w:r>
      <w:r w:rsidRPr="00231FDB">
        <w:t xml:space="preserve"> </w:t>
      </w:r>
      <w:r>
        <w:t xml:space="preserve">though its effectiveness is unknown. In its Mental Health Inquiry, the </w:t>
      </w:r>
      <w:r w:rsidR="00D72E61">
        <w:t>P</w:t>
      </w:r>
      <w:r w:rsidR="001A42E9">
        <w:t xml:space="preserve">roductivity </w:t>
      </w:r>
      <w:r>
        <w:t>Commission proposed a Mental Health Innovation Fund to trial and evaluate innovative service delivery, system organisation and payment models (which so far, has not been implemented). Where there are material gaps, there may be grounds for similar bodies.</w:t>
      </w:r>
    </w:p>
    <w:p w14:paraId="09E81460" w14:textId="298C9584" w:rsidR="003A0ECF" w:rsidRDefault="003A0ECF" w:rsidP="003A0ECF">
      <w:pPr>
        <w:pStyle w:val="BodyText"/>
      </w:pPr>
      <w:r>
        <w:t>This is especially so where government</w:t>
      </w:r>
      <w:r>
        <w:noBreakHyphen/>
        <w:t>funded services are delivered by smaller and highly decentralised organisations (as in employment service providers, disability and childcare) that have little expertise in diffusion, few resources and little individual motivation to invest in activities whose returns are spread over the whole industry.</w:t>
      </w:r>
    </w:p>
    <w:p w14:paraId="27626870" w14:textId="4D663240" w:rsidR="00876E34" w:rsidRDefault="003A0ECF" w:rsidP="00876E34">
      <w:pPr>
        <w:pStyle w:val="BodyText"/>
      </w:pPr>
      <w:r>
        <w:t xml:space="preserve">A hazard in some efforts to diffuse ideas is that they are based on </w:t>
      </w:r>
      <w:r w:rsidRPr="00F1613B">
        <w:rPr>
          <w:b/>
        </w:rPr>
        <w:t xml:space="preserve">loose networks with insufficient focus and funding </w:t>
      </w:r>
      <w:r>
        <w:t xml:space="preserve">to sustain them. The Public Sector Innovation Network had lofty goals for diffusing best practice </w:t>
      </w:r>
      <w:r>
        <w:lastRenderedPageBreak/>
        <w:t xml:space="preserve">methodologies and a place for developing networks between experts in the Australian Public Service. But it appears to have vanished </w:t>
      </w:r>
      <w:r w:rsidRPr="002220D6">
        <w:rPr>
          <w:rFonts w:ascii="Arial" w:hAnsi="Arial" w:cs="Arial"/>
          <w:szCs w:val="24"/>
        </w:rPr>
        <w:t>(DISR 2020)</w:t>
      </w:r>
      <w:r>
        <w:t xml:space="preserve">, though ghosts of its presence still linger on the web </w:t>
      </w:r>
      <w:r w:rsidR="006F0AC7" w:rsidRPr="006F0AC7">
        <w:rPr>
          <w:rFonts w:ascii="Arial" w:hAnsi="Arial" w:cs="Arial"/>
          <w:szCs w:val="24"/>
        </w:rPr>
        <w:t>(Australian Government 2022b)</w:t>
      </w:r>
      <w:r>
        <w:t>. There may be grounds for encouraging new diffusion networks, but only if they are sufficiently focussed, involve practitioners in the relevant area, and have a clear goal of diffusion.</w:t>
      </w:r>
    </w:p>
    <w:p w14:paraId="059DB2FD" w14:textId="7641A4C6" w:rsidR="003A0ECF" w:rsidRDefault="003A0ECF" w:rsidP="00876E34">
      <w:pPr>
        <w:pStyle w:val="BodyText"/>
      </w:pPr>
      <w:r>
        <w:t>In some instances — such as (virtual and physical) communities of practice — there are often strong enough incentives for participants to sustain the network and to share their knowledge because they obtain day</w:t>
      </w:r>
      <w:r>
        <w:noBreakHyphen/>
        <w:t>to</w:t>
      </w:r>
      <w:r>
        <w:noBreakHyphen/>
        <w:t xml:space="preserve">day benefits and share a direct interest in the knowledge being exchanged </w:t>
      </w:r>
      <w:r w:rsidRPr="004B5C69">
        <w:rPr>
          <w:rFonts w:ascii="Arial" w:hAnsi="Arial" w:cs="Arial"/>
          <w:szCs w:val="24"/>
        </w:rPr>
        <w:t>(Mullan et al. 2022; Shaw et al. 2022)</w:t>
      </w:r>
      <w:r>
        <w:t xml:space="preserve">. But networks that lack those features and involve </w:t>
      </w:r>
      <w:r w:rsidRPr="003731FA">
        <w:rPr>
          <w:b/>
        </w:rPr>
        <w:t>discretionary efforts by busy people</w:t>
      </w:r>
      <w:r>
        <w:t xml:space="preserve"> across agencies and service providers rarely survive because the enthusiastic people move on or because urgent tasks displace longer</w:t>
      </w:r>
      <w:r>
        <w:noBreakHyphen/>
        <w:t>term goals.</w:t>
      </w:r>
    </w:p>
    <w:p w14:paraId="0C1A562B" w14:textId="77777777" w:rsidR="002B77D3" w:rsidRDefault="002B77D3" w:rsidP="002B77D3">
      <w:pPr>
        <w:pStyle w:val="NoSpacing"/>
      </w:pPr>
    </w:p>
    <w:tbl>
      <w:tblPr>
        <w:tblStyle w:val="Texttable-Paleblue"/>
        <w:tblW w:w="5000" w:type="pct"/>
        <w:tblLook w:val="04A0" w:firstRow="1" w:lastRow="0" w:firstColumn="1" w:lastColumn="0" w:noHBand="0" w:noVBand="1"/>
      </w:tblPr>
      <w:tblGrid>
        <w:gridCol w:w="707"/>
        <w:gridCol w:w="8359"/>
        <w:gridCol w:w="572"/>
      </w:tblGrid>
      <w:tr w:rsidR="009E435F" w14:paraId="2E22B57C" w14:textId="77777777">
        <w:trPr>
          <w:tblHeader/>
        </w:trPr>
        <w:tc>
          <w:tcPr>
            <w:tcW w:w="709" w:type="dxa"/>
            <w:tcMar>
              <w:top w:w="0" w:type="dxa"/>
              <w:bottom w:w="0" w:type="dxa"/>
            </w:tcMar>
            <w:vAlign w:val="center"/>
          </w:tcPr>
          <w:p w14:paraId="69686C76" w14:textId="77777777" w:rsidR="002B77D3" w:rsidRDefault="002B77D3">
            <w:pPr>
              <w:keepLines/>
              <w:jc w:val="center"/>
            </w:pPr>
            <w:r w:rsidRPr="00A51374">
              <w:rPr>
                <w:noProof/>
              </w:rPr>
              <w:drawing>
                <wp:inline distT="0" distB="0" distL="0" distR="0" wp14:anchorId="0386C0E3" wp14:editId="63A27C6F">
                  <wp:extent cx="288000" cy="288000"/>
                  <wp:effectExtent l="0" t="0" r="0" b="0"/>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gridSpan w:val="2"/>
            <w:tcMar>
              <w:top w:w="0" w:type="dxa"/>
              <w:bottom w:w="0" w:type="dxa"/>
            </w:tcMar>
            <w:vAlign w:val="center"/>
          </w:tcPr>
          <w:p w14:paraId="6615D796" w14:textId="0E0BBE69" w:rsidR="002B77D3" w:rsidRPr="00715040" w:rsidRDefault="002B77D3">
            <w:pPr>
              <w:pStyle w:val="TableHeading"/>
              <w:keepLines/>
              <w:spacing w:before="120" w:after="120"/>
              <w:contextualSpacing/>
              <w:rPr>
                <w:sz w:val="20"/>
              </w:rPr>
            </w:pPr>
            <w:r w:rsidRPr="00715040">
              <w:rPr>
                <w:sz w:val="20"/>
              </w:rPr>
              <w:t xml:space="preserve">Recommendation </w:t>
            </w:r>
            <w:r w:rsidR="00A911E8">
              <w:rPr>
                <w:sz w:val="20"/>
              </w:rPr>
              <w:t>5.11</w:t>
            </w:r>
          </w:p>
          <w:p w14:paraId="6EFC84D5" w14:textId="7391C324" w:rsidR="002B77D3" w:rsidRPr="00715040" w:rsidRDefault="00DC2ABD">
            <w:pPr>
              <w:pStyle w:val="TableHeading"/>
              <w:keepLines/>
              <w:spacing w:before="120" w:after="120"/>
              <w:contextualSpacing/>
              <w:rPr>
                <w:sz w:val="20"/>
              </w:rPr>
            </w:pPr>
            <w:r>
              <w:rPr>
                <w:sz w:val="20"/>
              </w:rPr>
              <w:t>A bigger role for diffusion bodies</w:t>
            </w:r>
          </w:p>
        </w:tc>
      </w:tr>
      <w:tr w:rsidR="009E435F" w14:paraId="1F8E4B20" w14:textId="77777777">
        <w:tc>
          <w:tcPr>
            <w:tcW w:w="9583" w:type="dxa"/>
            <w:gridSpan w:val="3"/>
            <w:tcMar>
              <w:top w:w="0" w:type="dxa"/>
            </w:tcMar>
          </w:tcPr>
          <w:p w14:paraId="29B59A54" w14:textId="33051936" w:rsidR="002B77D3" w:rsidRPr="00767EAE" w:rsidRDefault="007F377B" w:rsidP="00536032">
            <w:pPr>
              <w:pStyle w:val="BodyText"/>
              <w:keepLines/>
            </w:pPr>
            <w:r w:rsidRPr="007F377B">
              <w:t xml:space="preserve">Expand or strengthen the role of existing </w:t>
            </w:r>
            <w:r w:rsidR="00871695">
              <w:t xml:space="preserve">diffusion </w:t>
            </w:r>
            <w:r w:rsidRPr="007F377B">
              <w:t>bodies</w:t>
            </w:r>
            <w:r w:rsidR="00A16C1F">
              <w:t xml:space="preserve"> —</w:t>
            </w:r>
            <w:r w:rsidRPr="007F377B">
              <w:t xml:space="preserve"> such as the Australian Commission on Safety and Quality in Health Care, </w:t>
            </w:r>
            <w:r w:rsidR="0010445F" w:rsidRPr="0010445F">
              <w:t>Aged Care Research and Industry Innovation Australia</w:t>
            </w:r>
            <w:r w:rsidR="0010445F">
              <w:t xml:space="preserve">, </w:t>
            </w:r>
            <w:r w:rsidR="00A16C1F" w:rsidRPr="00A16C1F">
              <w:t>Australian Education Research Organisation</w:t>
            </w:r>
            <w:r w:rsidR="001337FC">
              <w:t>, CSIRO and Australian National Audit Office —</w:t>
            </w:r>
            <w:r w:rsidR="00A16C1F" w:rsidRPr="00A16C1F">
              <w:t xml:space="preserve"> </w:t>
            </w:r>
            <w:r w:rsidRPr="007F377B">
              <w:t xml:space="preserve">with the aim of </w:t>
            </w:r>
            <w:r w:rsidR="00871695">
              <w:t>disseminating</w:t>
            </w:r>
            <w:r w:rsidRPr="007F377B">
              <w:t xml:space="preserve"> best practice, including the elimination of practices no longer underpinned by adequate evidence. Trial innovation funds in selected public services where there is no existing body for diffusing best practice, such as in mental health</w:t>
            </w:r>
            <w:r w:rsidR="00871695">
              <w:t xml:space="preserve"> service delivery</w:t>
            </w:r>
            <w:r w:rsidRPr="007F377B">
              <w:t>.</w:t>
            </w:r>
          </w:p>
        </w:tc>
      </w:tr>
      <w:tr w:rsidR="009E435F" w14:paraId="367BE9F0" w14:textId="77777777">
        <w:trPr>
          <w:gridAfter w:val="1"/>
          <w:wAfter w:w="612" w:type="dxa"/>
        </w:trPr>
        <w:tc>
          <w:tcPr>
            <w:tcW w:w="9583" w:type="dxa"/>
            <w:gridSpan w:val="2"/>
            <w:shd w:val="clear" w:color="auto" w:fill="auto"/>
            <w:tcMar>
              <w:top w:w="0" w:type="dxa"/>
              <w:bottom w:w="0" w:type="dxa"/>
            </w:tcMar>
          </w:tcPr>
          <w:p w14:paraId="6D88C50B" w14:textId="77777777" w:rsidR="002B77D3" w:rsidRPr="007E0EA8" w:rsidRDefault="002B77D3">
            <w:pPr>
              <w:pStyle w:val="NoSpacing"/>
              <w:spacing w:line="200" w:lineRule="exact"/>
            </w:pPr>
          </w:p>
        </w:tc>
      </w:tr>
    </w:tbl>
    <w:p w14:paraId="1CC4B975" w14:textId="77777777" w:rsidR="00FC7AE7" w:rsidRDefault="00FC7AE7" w:rsidP="00FC7AE7">
      <w:pPr>
        <w:pStyle w:val="Heading4"/>
      </w:pPr>
      <w:r>
        <w:t>Foundations for diffusing regtech</w:t>
      </w:r>
    </w:p>
    <w:p w14:paraId="35FFB2F8" w14:textId="408ED989" w:rsidR="0049716B" w:rsidRDefault="00FC7AE7" w:rsidP="00FC7AE7">
      <w:pPr>
        <w:pStyle w:val="BodyText"/>
      </w:pPr>
      <w:r>
        <w:t>Governments can facilitate more use of technology and diffusion of best practice in many industries through its use of and support for regulatory technology, or ‘</w:t>
      </w:r>
      <w:r w:rsidRPr="001C497C">
        <w:t xml:space="preserve">regtech’. Regtech can be a more efficient way of designing and implementing regulation for both businesses and government, as well as improving the quality of regulation and </w:t>
      </w:r>
      <w:proofErr w:type="gramStart"/>
      <w:r w:rsidRPr="001C497C">
        <w:t>opening up</w:t>
      </w:r>
      <w:proofErr w:type="gramEnd"/>
      <w:r w:rsidRPr="001C497C">
        <w:t xml:space="preserve"> new opportunities for streamlined regulation </w:t>
      </w:r>
      <w:r w:rsidR="006F0AC7" w:rsidRPr="006F0AC7">
        <w:rPr>
          <w:rFonts w:ascii="Arial" w:hAnsi="Arial" w:cs="Arial"/>
          <w:szCs w:val="24"/>
        </w:rPr>
        <w:t>(PC 2020h, p. 9)</w:t>
      </w:r>
      <w:r w:rsidRPr="001C497C">
        <w:t xml:space="preserve">. </w:t>
      </w:r>
    </w:p>
    <w:p w14:paraId="57516DC5" w14:textId="407AB875" w:rsidR="00736ED1" w:rsidRDefault="00515F0D" w:rsidP="00FC7AE7">
      <w:pPr>
        <w:pStyle w:val="BodyText"/>
      </w:pPr>
      <w:r>
        <w:t xml:space="preserve">For example, </w:t>
      </w:r>
      <w:r w:rsidR="00EC5141">
        <w:t xml:space="preserve">in the agriculture industry, the </w:t>
      </w:r>
      <w:r w:rsidR="00311205">
        <w:t xml:space="preserve">Australian Government is providing grants </w:t>
      </w:r>
      <w:r w:rsidR="00EC5141">
        <w:t xml:space="preserve">for regtech initiatives </w:t>
      </w:r>
      <w:r w:rsidR="00C27B64">
        <w:t xml:space="preserve">that can assist in streamlining compliance obligations, improve traceability across </w:t>
      </w:r>
      <w:r w:rsidR="00F23104">
        <w:t xml:space="preserve">agricultural supply chains and </w:t>
      </w:r>
      <w:r w:rsidR="006A27B7">
        <w:t xml:space="preserve">ultimately increase regulatory efficiency in the sector </w:t>
      </w:r>
      <w:r w:rsidR="006F0AC7" w:rsidRPr="006F0AC7">
        <w:rPr>
          <w:rFonts w:ascii="Arial" w:hAnsi="Arial" w:cs="Arial"/>
          <w:szCs w:val="24"/>
        </w:rPr>
        <w:t>(DAFF nd)</w:t>
      </w:r>
      <w:r w:rsidR="006A27B7">
        <w:t>.</w:t>
      </w:r>
      <w:r w:rsidR="00736ED1">
        <w:t xml:space="preserve"> And the single touch payroll (STP) system </w:t>
      </w:r>
      <w:r w:rsidR="00A33BBD">
        <w:t xml:space="preserve">has enabled businesses to </w:t>
      </w:r>
      <w:r w:rsidR="006D5CDE">
        <w:t xml:space="preserve">automatically </w:t>
      </w:r>
      <w:r w:rsidR="000664F2">
        <w:t>report their</w:t>
      </w:r>
      <w:r w:rsidR="00BE1865">
        <w:t xml:space="preserve"> pay</w:t>
      </w:r>
      <w:r w:rsidR="000664F2">
        <w:t xml:space="preserve">, </w:t>
      </w:r>
      <w:r w:rsidR="00A33BBD">
        <w:t>tax and super</w:t>
      </w:r>
      <w:r w:rsidR="000664F2">
        <w:t>annuation data</w:t>
      </w:r>
      <w:r w:rsidR="00A33BBD">
        <w:t xml:space="preserve"> </w:t>
      </w:r>
      <w:r w:rsidR="006D5CDE">
        <w:t xml:space="preserve">to the Australian Tax Office </w:t>
      </w:r>
      <w:r w:rsidR="0075204A">
        <w:t>via their STP</w:t>
      </w:r>
      <w:r w:rsidR="00A43B86">
        <w:noBreakHyphen/>
      </w:r>
      <w:r w:rsidR="0075204A">
        <w:t xml:space="preserve">enabled payroll accounting software, resulting in </w:t>
      </w:r>
      <w:r w:rsidR="000664F2">
        <w:t xml:space="preserve">lower compliance costs and greater speed and accuracy. </w:t>
      </w:r>
      <w:r w:rsidR="009338F7">
        <w:t xml:space="preserve">(The benefits of this initiative, including </w:t>
      </w:r>
      <w:r w:rsidR="00EB3D69">
        <w:t xml:space="preserve">providing </w:t>
      </w:r>
      <w:r w:rsidR="00CC7D23">
        <w:t>rapid monitoring of the economic impacts of COVID</w:t>
      </w:r>
      <w:r w:rsidR="00CC7D23">
        <w:noBreakHyphen/>
        <w:t xml:space="preserve">19 </w:t>
      </w:r>
      <w:r w:rsidR="00CC7D23" w:rsidRPr="00936D73">
        <w:rPr>
          <w:rFonts w:ascii="Arial" w:hAnsi="Arial" w:cs="Arial"/>
          <w:szCs w:val="24"/>
        </w:rPr>
        <w:t>(Andrews, Hambur and Bahar 2021; PC 2020h, p. 10, 2022a, pp. 48–49)</w:t>
      </w:r>
      <w:r w:rsidR="00CC7D23">
        <w:t xml:space="preserve"> and stimulat</w:t>
      </w:r>
      <w:r w:rsidR="00EB3D69">
        <w:t>ing</w:t>
      </w:r>
      <w:r w:rsidR="00CC7D23">
        <w:t xml:space="preserve"> the take</w:t>
      </w:r>
      <w:r w:rsidR="00CC7D23">
        <w:noBreakHyphen/>
        <w:t>up of technology by small businesses</w:t>
      </w:r>
      <w:r w:rsidR="00EB3D69">
        <w:t xml:space="preserve">, are discussed in further detail in this inquiry’s companion volume </w:t>
      </w:r>
      <w:r w:rsidR="00EB3D69">
        <w:rPr>
          <w:i/>
          <w:iCs/>
        </w:rPr>
        <w:t xml:space="preserve">Australia’s </w:t>
      </w:r>
      <w:r w:rsidR="0049716B">
        <w:rPr>
          <w:i/>
          <w:iCs/>
        </w:rPr>
        <w:t>data and digital dividend</w:t>
      </w:r>
      <w:r w:rsidR="0049716B">
        <w:t>.)</w:t>
      </w:r>
    </w:p>
    <w:p w14:paraId="0A2EDEDA" w14:textId="487D178F" w:rsidR="00FC7AE7" w:rsidRDefault="00FC7AE7" w:rsidP="00FC7AE7">
      <w:pPr>
        <w:pStyle w:val="BodyText"/>
      </w:pPr>
      <w:r w:rsidRPr="001C497C">
        <w:t>Regulations can be implemented in a way that lends itself to developing regtech solutions, such as through the coding of regulatory rules into machine</w:t>
      </w:r>
      <w:r w:rsidR="00A43B86">
        <w:noBreakHyphen/>
      </w:r>
      <w:r w:rsidRPr="001C497C">
        <w:t xml:space="preserve">interpretable formats </w:t>
      </w:r>
      <w:r w:rsidR="006F0AC7" w:rsidRPr="006F0AC7">
        <w:rPr>
          <w:rFonts w:ascii="Arial" w:hAnsi="Arial" w:cs="Arial"/>
          <w:szCs w:val="24"/>
        </w:rPr>
        <w:t>(PC 2020h, p. 24)</w:t>
      </w:r>
      <w:r w:rsidRPr="001C497C">
        <w:t>, which makes the details of complex regulation easily accessible to regtech software providers. Creating regulatory ‘rules as code’, such as the NSW Government’s machine</w:t>
      </w:r>
      <w:r w:rsidR="00A43B86">
        <w:noBreakHyphen/>
      </w:r>
      <w:r w:rsidRPr="001C497C">
        <w:t xml:space="preserve">readable version of the </w:t>
      </w:r>
      <w:r w:rsidRPr="001C497C">
        <w:rPr>
          <w:i/>
          <w:iCs/>
        </w:rPr>
        <w:t>Community Gaming Regulation 2020</w:t>
      </w:r>
      <w:r w:rsidRPr="001C497C">
        <w:t xml:space="preserve"> (NSW), ‘allows industry and government to embed digital rules directly into their IT systems to streamline compliance and automate any changes in the future. In addition, consumers are able to navigate this digital version of the regulation easily via an interactive questionnaire’ </w:t>
      </w:r>
      <w:r w:rsidR="006F0AC7" w:rsidRPr="006F0AC7">
        <w:rPr>
          <w:rFonts w:ascii="Arial" w:hAnsi="Arial" w:cs="Arial"/>
          <w:szCs w:val="24"/>
        </w:rPr>
        <w:t>(ACMA 2021, pp. 12–13)</w:t>
      </w:r>
      <w:r w:rsidRPr="001C497C">
        <w:t>. When new regulations are likely to be amenable to a regtech solution, governments should implement them in</w:t>
      </w:r>
      <w:r>
        <w:t xml:space="preserve"> a </w:t>
      </w:r>
      <w:r>
        <w:lastRenderedPageBreak/>
        <w:t>machine</w:t>
      </w:r>
      <w:r w:rsidR="00A43B86">
        <w:noBreakHyphen/>
      </w:r>
      <w:r>
        <w:t>interpretable format at the outset, so as to avoid the need to go back and codify such regulations in the future (which may be more costly).</w:t>
      </w:r>
    </w:p>
    <w:p w14:paraId="43280C9D" w14:textId="0B421F82" w:rsidR="00FC7AE7" w:rsidRPr="006E46B2" w:rsidRDefault="00FC7AE7" w:rsidP="00FC7AE7">
      <w:pPr>
        <w:pStyle w:val="BodyText"/>
        <w:rPr>
          <w:spacing w:val="-2"/>
        </w:rPr>
      </w:pPr>
      <w:r w:rsidRPr="006E46B2">
        <w:rPr>
          <w:spacing w:val="-2"/>
        </w:rPr>
        <w:t xml:space="preserve">Relatedly, the government has an important role to play in promulgating consistent data fields and formats that can be used in regtech, such as work the ATO has done through the Digital Partnership Office (see this inquiry’s companion </w:t>
      </w:r>
      <w:r w:rsidR="00DA1C04" w:rsidRPr="006E46B2">
        <w:rPr>
          <w:spacing w:val="-2"/>
        </w:rPr>
        <w:t>volume</w:t>
      </w:r>
      <w:r w:rsidRPr="006E46B2">
        <w:rPr>
          <w:spacing w:val="-2"/>
        </w:rPr>
        <w:t xml:space="preserve"> </w:t>
      </w:r>
      <w:r w:rsidRPr="006E46B2">
        <w:rPr>
          <w:i/>
          <w:iCs/>
          <w:spacing w:val="-2"/>
        </w:rPr>
        <w:t>Australia’s data and digital dividend</w:t>
      </w:r>
      <w:r w:rsidRPr="006E46B2">
        <w:rPr>
          <w:spacing w:val="-2"/>
        </w:rPr>
        <w:t xml:space="preserve">). For example, in the case of Standard Business Reporting, the Australian Government’s taxonomy and list of data fields allowed digital service providers to build new compliance solutions to automate regulatory reporting for businesses </w:t>
      </w:r>
      <w:r w:rsidR="006F0AC7" w:rsidRPr="006E46B2">
        <w:rPr>
          <w:rFonts w:cs="Arial"/>
          <w:spacing w:val="-2"/>
          <w:szCs w:val="24"/>
        </w:rPr>
        <w:t>(PC 2020h, p. 23)</w:t>
      </w:r>
      <w:r w:rsidRPr="006E46B2">
        <w:rPr>
          <w:spacing w:val="-2"/>
        </w:rPr>
        <w:t>.</w:t>
      </w:r>
    </w:p>
    <w:p w14:paraId="7278BE72" w14:textId="432233FC" w:rsidR="00FC7AE7" w:rsidRPr="001C497C" w:rsidRDefault="00FC7AE7" w:rsidP="00FC7AE7">
      <w:pPr>
        <w:pStyle w:val="BodyText"/>
      </w:pPr>
      <w:r w:rsidRPr="001C497C">
        <w:t>Software providers can use existing databases to create regtech solutions; however, by adopting a ‘rules as code’ approach and consistent data standards, governments make it easier for industry to design compliant solutions. Working with providers of regtech solutions can assist in identifying areas that would benefit most from these approaches. There were about 80 regtech providers headquarte</w:t>
      </w:r>
      <w:r w:rsidR="001B7F1F">
        <w:t>re</w:t>
      </w:r>
      <w:r w:rsidRPr="001C497C">
        <w:t>d in Australia in 2020, which compared favourably relative to other developed countries (fig</w:t>
      </w:r>
      <w:r w:rsidR="004B4AA7">
        <w:t>ure</w:t>
      </w:r>
      <w:r w:rsidR="00A43B86">
        <w:t> </w:t>
      </w:r>
      <w:r w:rsidR="00526B33">
        <w:t>3.3</w:t>
      </w:r>
      <w:r w:rsidRPr="001C497C">
        <w:t xml:space="preserve">), suggesting there is scope for government and industry to collaborate in rolling out regtech solutions. This can improve regulatory compliance and efficiency; for example, in implementing Single Touch Payroll, the ATO worked closely with digital service providers to ensure that payments could be reported directly from payroll software in a way that met regulatory requirements </w:t>
      </w:r>
      <w:r w:rsidR="006F0AC7" w:rsidRPr="006F0AC7">
        <w:rPr>
          <w:rFonts w:ascii="Arial" w:hAnsi="Arial" w:cs="Arial"/>
          <w:szCs w:val="24"/>
        </w:rPr>
        <w:t>(ATO 2019, pp. 2–3)</w:t>
      </w:r>
      <w:r w:rsidRPr="001C497C">
        <w:t>.</w:t>
      </w:r>
    </w:p>
    <w:p w14:paraId="1D2F0C55" w14:textId="0192E40C" w:rsidR="00FC7AE7" w:rsidRPr="00146382" w:rsidRDefault="00FC7AE7" w:rsidP="00FC7AE7">
      <w:pPr>
        <w:pStyle w:val="FigureTableHeading"/>
      </w:pPr>
      <w:r>
        <w:t>Figure</w:t>
      </w:r>
      <w:r w:rsidR="00A43B86">
        <w:t> </w:t>
      </w:r>
      <w:r>
        <w:rPr>
          <w:noProof/>
        </w:rPr>
        <w:t>3</w:t>
      </w:r>
      <w:r>
        <w:t>.</w:t>
      </w:r>
      <w:r w:rsidR="00526B33">
        <w:t>3</w:t>
      </w:r>
      <w:r>
        <w:rPr>
          <w:noProof/>
        </w:rPr>
        <w:t xml:space="preserve"> </w:t>
      </w:r>
      <w:r>
        <w:t>– Australia is a hub for regtech companies</w:t>
      </w:r>
    </w:p>
    <w:p w14:paraId="30F8E887" w14:textId="77777777" w:rsidR="00CC0720" w:rsidRDefault="00A00641">
      <w:pPr>
        <w:pStyle w:val="FigureTableSubheading"/>
        <w:keepLines/>
      </w:pPr>
      <w:r>
        <w:t xml:space="preserve">Number of regtech headquarters </w:t>
      </w:r>
      <w:r w:rsidR="000B6D19">
        <w:t>by country, 2020</w:t>
      </w:r>
    </w:p>
    <w:p w14:paraId="57FD601A" w14:textId="22A73A5D" w:rsidR="00FC7AE7" w:rsidRDefault="006C6CCA" w:rsidP="006E46B2">
      <w:pPr>
        <w:pStyle w:val="Note"/>
        <w:keepLines/>
        <w:spacing w:after="0"/>
        <w:rPr>
          <w:b/>
          <w:bCs/>
        </w:rPr>
      </w:pPr>
      <w:r w:rsidRPr="006C6CCA">
        <w:rPr>
          <w:noProof/>
        </w:rPr>
        <w:drawing>
          <wp:inline distT="0" distB="0" distL="0" distR="0" wp14:anchorId="484B9D1E" wp14:editId="48165303">
            <wp:extent cx="6120130" cy="2873375"/>
            <wp:effectExtent l="0" t="0" r="0" b="3175"/>
            <wp:docPr id="18" name="Picture 18" descr="This figure shows the number of regulatory technology company headquarters by country in 2020. Australia has the third most after the US and the U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igure shows the number of regulatory technology company headquarters by country in 2020. Australia has the third most after the US and the UK.&#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2E5CB637" w14:textId="6692BAE4" w:rsidR="00FC7AE7" w:rsidRPr="001C497C" w:rsidRDefault="00CC0720" w:rsidP="00FC7AE7">
      <w:pPr>
        <w:pStyle w:val="Source"/>
      </w:pPr>
      <w:r w:rsidRPr="00696447">
        <w:t>Source:</w:t>
      </w:r>
      <w:r w:rsidR="007822EA">
        <w:t xml:space="preserve"> </w:t>
      </w:r>
      <w:r w:rsidR="006F0AC7" w:rsidRPr="006F0AC7">
        <w:rPr>
          <w:rFonts w:ascii="Arial" w:hAnsi="Arial" w:cs="Arial"/>
          <w:szCs w:val="24"/>
        </w:rPr>
        <w:t>Wray et al. </w:t>
      </w:r>
      <w:r w:rsidR="00585428">
        <w:rPr>
          <w:rFonts w:ascii="Arial" w:hAnsi="Arial" w:cs="Arial"/>
          <w:szCs w:val="24"/>
        </w:rPr>
        <w:t>(</w:t>
      </w:r>
      <w:r w:rsidR="006F0AC7" w:rsidRPr="006F0AC7">
        <w:rPr>
          <w:rFonts w:ascii="Arial" w:hAnsi="Arial" w:cs="Arial"/>
          <w:szCs w:val="24"/>
        </w:rPr>
        <w:t>2020)</w:t>
      </w:r>
      <w:r w:rsidR="00585428">
        <w:t>.</w:t>
      </w:r>
    </w:p>
    <w:p w14:paraId="35C71D9E" w14:textId="7C1E3CBF" w:rsidR="00FC7AE7" w:rsidRDefault="00FC7AE7" w:rsidP="00FC7AE7">
      <w:pPr>
        <w:pStyle w:val="BodyText"/>
      </w:pPr>
      <w:r w:rsidRPr="001C497C">
        <w:t>One area with potential for greater diffusion of regtech is workplace relations. Numerous companies already offer payroll software solutions with automated award interpretation; that is, software that automates payroll changes when changes to modern awards occur. The process could be further streamlined, with the Fair Work Commission currently developing an application programming interface — co</w:t>
      </w:r>
      <w:r w:rsidR="00A43B86">
        <w:noBreakHyphen/>
      </w:r>
      <w:r w:rsidRPr="001C497C">
        <w:t xml:space="preserve">designed with software providers, peak bodies and unions — that will enable software providers to connect directly to its modern awards pay database as a ‘source of truth’ on wages and entitlements </w:t>
      </w:r>
      <w:r w:rsidR="006F0AC7" w:rsidRPr="006F0AC7">
        <w:rPr>
          <w:rFonts w:ascii="Arial" w:hAnsi="Arial" w:cs="Arial"/>
          <w:szCs w:val="24"/>
        </w:rPr>
        <w:t>(Hendry 2022)</w:t>
      </w:r>
      <w:r w:rsidRPr="001C497C">
        <w:t>. This</w:t>
      </w:r>
      <w:r>
        <w:t xml:space="preserve"> would mean that, should the government make future changes to modern awards, it would be easier for software providers to access information about the changes and accurately integrate them into their regtech solutions.</w:t>
      </w:r>
    </w:p>
    <w:p w14:paraId="32C814BC" w14:textId="77777777" w:rsidR="00FC7AE7" w:rsidRPr="00B30405" w:rsidRDefault="00FC7AE7" w:rsidP="00FC7AE7">
      <w:pPr>
        <w:pStyle w:val="NoSpacing"/>
      </w:pPr>
    </w:p>
    <w:tbl>
      <w:tblPr>
        <w:tblStyle w:val="Texttable-Paleblue"/>
        <w:tblW w:w="5000" w:type="pct"/>
        <w:tblLook w:val="04A0" w:firstRow="1" w:lastRow="0" w:firstColumn="1" w:lastColumn="0" w:noHBand="0" w:noVBand="1"/>
      </w:tblPr>
      <w:tblGrid>
        <w:gridCol w:w="707"/>
        <w:gridCol w:w="8359"/>
        <w:gridCol w:w="572"/>
      </w:tblGrid>
      <w:tr w:rsidR="00FC7AE7" w14:paraId="000495A4" w14:textId="77777777" w:rsidTr="00B90B1F">
        <w:trPr>
          <w:tblHeader/>
        </w:trPr>
        <w:tc>
          <w:tcPr>
            <w:tcW w:w="709" w:type="dxa"/>
            <w:tcMar>
              <w:top w:w="0" w:type="dxa"/>
              <w:bottom w:w="0" w:type="dxa"/>
            </w:tcMar>
            <w:vAlign w:val="center"/>
          </w:tcPr>
          <w:p w14:paraId="40D03E13" w14:textId="77777777" w:rsidR="00FC7AE7" w:rsidRDefault="00FC7AE7" w:rsidP="00B90B1F">
            <w:pPr>
              <w:keepLines/>
              <w:jc w:val="center"/>
            </w:pPr>
            <w:r w:rsidRPr="00A51374">
              <w:rPr>
                <w:noProof/>
              </w:rPr>
              <w:lastRenderedPageBreak/>
              <w:drawing>
                <wp:inline distT="0" distB="0" distL="0" distR="0" wp14:anchorId="2E0AC9F8" wp14:editId="6EF2F260">
                  <wp:extent cx="288000" cy="28800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gridSpan w:val="2"/>
            <w:tcMar>
              <w:top w:w="0" w:type="dxa"/>
              <w:bottom w:w="0" w:type="dxa"/>
            </w:tcMar>
            <w:vAlign w:val="center"/>
          </w:tcPr>
          <w:p w14:paraId="0FEA2736" w14:textId="1FFCDD56" w:rsidR="00FC7AE7" w:rsidRPr="00715040" w:rsidRDefault="00FC7AE7" w:rsidP="00B90B1F">
            <w:pPr>
              <w:pStyle w:val="TableHeading"/>
              <w:keepLines/>
              <w:spacing w:before="120" w:after="120"/>
              <w:contextualSpacing/>
              <w:rPr>
                <w:sz w:val="20"/>
              </w:rPr>
            </w:pPr>
            <w:r w:rsidRPr="00715040">
              <w:rPr>
                <w:sz w:val="20"/>
              </w:rPr>
              <w:t xml:space="preserve">Recommendation </w:t>
            </w:r>
            <w:r w:rsidR="00A911E8">
              <w:rPr>
                <w:sz w:val="20"/>
              </w:rPr>
              <w:t>5.12</w:t>
            </w:r>
          </w:p>
          <w:p w14:paraId="24EF00F6" w14:textId="77777777" w:rsidR="00FC7AE7" w:rsidRPr="00715040" w:rsidRDefault="00FC7AE7" w:rsidP="00B90B1F">
            <w:pPr>
              <w:pStyle w:val="TableHeading"/>
              <w:keepLines/>
              <w:spacing w:before="120" w:after="120"/>
              <w:contextualSpacing/>
              <w:rPr>
                <w:sz w:val="20"/>
              </w:rPr>
            </w:pPr>
            <w:r>
              <w:rPr>
                <w:sz w:val="20"/>
              </w:rPr>
              <w:t>Encouraging regtech development and diffusion</w:t>
            </w:r>
          </w:p>
        </w:tc>
      </w:tr>
      <w:tr w:rsidR="00FC7AE7" w14:paraId="5137ECC2" w14:textId="77777777" w:rsidTr="00B90B1F">
        <w:tc>
          <w:tcPr>
            <w:tcW w:w="9583" w:type="dxa"/>
            <w:gridSpan w:val="3"/>
            <w:tcMar>
              <w:top w:w="0" w:type="dxa"/>
            </w:tcMar>
          </w:tcPr>
          <w:p w14:paraId="4AED77DD" w14:textId="319A8075" w:rsidR="00FC7AE7" w:rsidRDefault="00FC7AE7" w:rsidP="00B90B1F">
            <w:pPr>
              <w:pStyle w:val="BodyText"/>
              <w:keepNext/>
              <w:keepLines/>
            </w:pPr>
            <w:r>
              <w:t>Governments should support greater use of productivity</w:t>
            </w:r>
            <w:r w:rsidR="00A43B86">
              <w:noBreakHyphen/>
            </w:r>
            <w:r>
              <w:t xml:space="preserve">enhancing regtech by: </w:t>
            </w:r>
          </w:p>
          <w:p w14:paraId="3C88EAA9" w14:textId="3F200B2C" w:rsidR="00FC7AE7" w:rsidRDefault="00FC7AE7" w:rsidP="00B90B1F">
            <w:pPr>
              <w:pStyle w:val="ListBullet"/>
            </w:pPr>
            <w:r>
              <w:t>providing regulation in forms that lend themselves to regtech solutions, such as coding regulatory rules into machine</w:t>
            </w:r>
            <w:r w:rsidR="00A43B86">
              <w:noBreakHyphen/>
            </w:r>
            <w:r>
              <w:t xml:space="preserve">interpretable documents, like the NSW Government’s </w:t>
            </w:r>
            <w:r w:rsidRPr="009A13C9">
              <w:t>machine</w:t>
            </w:r>
            <w:r w:rsidR="00A43B86">
              <w:noBreakHyphen/>
            </w:r>
            <w:r w:rsidRPr="009A13C9">
              <w:t xml:space="preserve">readable version of the </w:t>
            </w:r>
            <w:r w:rsidRPr="00EA22BA">
              <w:rPr>
                <w:i/>
              </w:rPr>
              <w:t>Community Gaming Regulation 2020</w:t>
            </w:r>
            <w:r>
              <w:rPr>
                <w:iCs/>
              </w:rPr>
              <w:t>. N</w:t>
            </w:r>
            <w:r w:rsidRPr="00032F42">
              <w:rPr>
                <w:iCs/>
              </w:rPr>
              <w:t xml:space="preserve">ew regulations </w:t>
            </w:r>
            <w:r>
              <w:rPr>
                <w:iCs/>
              </w:rPr>
              <w:t xml:space="preserve">that </w:t>
            </w:r>
            <w:r w:rsidRPr="00032F42">
              <w:rPr>
                <w:iCs/>
              </w:rPr>
              <w:t xml:space="preserve">are likely to be amenable to a regtech solution should </w:t>
            </w:r>
            <w:r>
              <w:rPr>
                <w:iCs/>
              </w:rPr>
              <w:t xml:space="preserve">be </w:t>
            </w:r>
            <w:r w:rsidRPr="00032F42">
              <w:rPr>
                <w:iCs/>
              </w:rPr>
              <w:t>implement</w:t>
            </w:r>
            <w:r>
              <w:rPr>
                <w:iCs/>
              </w:rPr>
              <w:t>ed</w:t>
            </w:r>
            <w:r w:rsidRPr="00032F42">
              <w:rPr>
                <w:iCs/>
              </w:rPr>
              <w:t xml:space="preserve"> in a machine</w:t>
            </w:r>
            <w:r w:rsidR="00A43B86">
              <w:rPr>
                <w:iCs/>
              </w:rPr>
              <w:noBreakHyphen/>
            </w:r>
            <w:r w:rsidRPr="00032F42">
              <w:rPr>
                <w:iCs/>
              </w:rPr>
              <w:t>interpretable format</w:t>
            </w:r>
            <w:r>
              <w:rPr>
                <w:iCs/>
              </w:rPr>
              <w:t xml:space="preserve"> at the outset</w:t>
            </w:r>
            <w:r w:rsidRPr="00032F42">
              <w:rPr>
                <w:iCs/>
              </w:rPr>
              <w:t>, to avoid the need to go back and codify such regulations in the future</w:t>
            </w:r>
          </w:p>
          <w:p w14:paraId="6B9F16BB" w14:textId="77777777" w:rsidR="00FC7AE7" w:rsidRPr="00767EAE" w:rsidRDefault="00FC7AE7" w:rsidP="00B90B1F">
            <w:pPr>
              <w:pStyle w:val="ListBullet"/>
              <w:keepLines/>
            </w:pPr>
            <w:r>
              <w:t>working with software providers to identify areas where they could improve foundational settings to encourage industry to design compliant regtech solutions. The Fair Work Commission’s efforts to develop an application programming interface that enables software providers to directly access its awards database, in co</w:t>
            </w:r>
            <w:r>
              <w:noBreakHyphen/>
              <w:t>design with stakeholders, is an example of such an improvement.</w:t>
            </w:r>
          </w:p>
        </w:tc>
      </w:tr>
      <w:tr w:rsidR="00FC7AE7" w14:paraId="552C7556" w14:textId="77777777" w:rsidTr="00B90B1F">
        <w:trPr>
          <w:gridAfter w:val="1"/>
          <w:wAfter w:w="612" w:type="dxa"/>
        </w:trPr>
        <w:tc>
          <w:tcPr>
            <w:tcW w:w="9583" w:type="dxa"/>
            <w:gridSpan w:val="2"/>
            <w:shd w:val="clear" w:color="auto" w:fill="auto"/>
            <w:tcMar>
              <w:top w:w="0" w:type="dxa"/>
              <w:bottom w:w="0" w:type="dxa"/>
            </w:tcMar>
          </w:tcPr>
          <w:p w14:paraId="6982ACCF" w14:textId="77777777" w:rsidR="00FC7AE7" w:rsidRPr="007E0EA8" w:rsidRDefault="00FC7AE7" w:rsidP="00B90B1F">
            <w:pPr>
              <w:pStyle w:val="NoSpacing"/>
              <w:spacing w:line="200" w:lineRule="exact"/>
            </w:pPr>
          </w:p>
        </w:tc>
      </w:tr>
    </w:tbl>
    <w:p w14:paraId="42F8CF94" w14:textId="340970E5" w:rsidR="003A0ECF" w:rsidRDefault="003A0ECF" w:rsidP="003A0ECF">
      <w:pPr>
        <w:pStyle w:val="Heading4"/>
      </w:pPr>
      <w:r>
        <w:t>Exploiting the special features of knowledge</w:t>
      </w:r>
    </w:p>
    <w:p w14:paraId="5E402CAB" w14:textId="5EB5E0CD" w:rsidR="003A0ECF" w:rsidRDefault="003A0ECF" w:rsidP="003A0ECF">
      <w:pPr>
        <w:pStyle w:val="BodyText"/>
      </w:pPr>
      <w:r>
        <w:t>Much knowledge is like a ‘free lunch’ hidden in a vault. By its nature, the consumption of knowledge by one person has no effect on the capacity of another person to consume it (knowledge is ‘non</w:t>
      </w:r>
      <w:r>
        <w:noBreakHyphen/>
        <w:t xml:space="preserve">rivalrous’). However, while some generators of knowledge cannot prevent others from copying it for free (for example, the </w:t>
      </w:r>
      <w:r w:rsidRPr="00F618A4">
        <w:rPr>
          <w:i/>
          <w:iCs/>
        </w:rPr>
        <w:t>idea</w:t>
      </w:r>
      <w:r>
        <w:t xml:space="preserve"> of a smartphone), in many instances, it is feasible to exclude use through contractual provisions like non</w:t>
      </w:r>
      <w:r>
        <w:noBreakHyphen/>
        <w:t>disclosure agreements and intellectual property regulations. Some such commercial protections can be justified to the extent that they allow a creator to benefit from, and thereby motivate, their inventiveness.</w:t>
      </w:r>
    </w:p>
    <w:p w14:paraId="5EFE7609" w14:textId="63227F7B" w:rsidR="003A0ECF" w:rsidRDefault="003A0ECF" w:rsidP="003A0ECF">
      <w:pPr>
        <w:pStyle w:val="BodyText"/>
      </w:pPr>
      <w:r>
        <w:t>However, such rights can be overly expansive and destructive to the diffusion of ideas. While some of the concerns relate to diffusion of knowledge that predominantly affects private businesses (like patents), others have a special significance to government</w:t>
      </w:r>
      <w:r>
        <w:noBreakHyphen/>
        <w:t>operated or funded activities (like education and social services) and best practice regulation (such as safety regulations).</w:t>
      </w:r>
    </w:p>
    <w:p w14:paraId="63030FE8" w14:textId="5D8EF7EC" w:rsidR="003A0ECF" w:rsidRDefault="003A0ECF" w:rsidP="00314A45">
      <w:pPr>
        <w:pStyle w:val="Heading5"/>
        <w:spacing w:before="240"/>
      </w:pPr>
      <w:r>
        <w:t>Access to publicly</w:t>
      </w:r>
      <w:r>
        <w:noBreakHyphen/>
        <w:t>funded research</w:t>
      </w:r>
    </w:p>
    <w:p w14:paraId="2F824620" w14:textId="01DC0619" w:rsidR="00163B8F" w:rsidRDefault="003A0ECF" w:rsidP="003A0ECF">
      <w:pPr>
        <w:pStyle w:val="BodyText"/>
      </w:pPr>
      <w:r>
        <w:t xml:space="preserve">Much of the academic literature funded by governments in Australia is refereed for free, but hidden behind paywalls by journal publishers, diminishing the free flow of ideas at the frontier </w:t>
      </w:r>
      <w:r w:rsidRPr="00F327CC">
        <w:rPr>
          <w:rFonts w:ascii="Arial" w:hAnsi="Arial" w:cs="Arial"/>
          <w:szCs w:val="24"/>
        </w:rPr>
        <w:t>(PC 2016a, pp. 465–471)</w:t>
      </w:r>
      <w:r>
        <w:t xml:space="preserve">. This hampers the diffusion (and further creation) of ideas </w:t>
      </w:r>
      <w:r w:rsidR="00770767">
        <w:t>not only to businesses, as discussed in chapter</w:t>
      </w:r>
      <w:r w:rsidR="00A43B86">
        <w:t> </w:t>
      </w:r>
      <w:r w:rsidR="00770767">
        <w:t>2, but also</w:t>
      </w:r>
      <w:r>
        <w:t xml:space="preserve"> to government</w:t>
      </w:r>
      <w:r>
        <w:noBreakHyphen/>
        <w:t xml:space="preserve">funded </w:t>
      </w:r>
      <w:r w:rsidR="00770767">
        <w:t xml:space="preserve">service providers </w:t>
      </w:r>
      <w:r>
        <w:t>like clinicians, and public sector organisations like universities, public hospitals, research agencies and many parts of the public service. While official evidence about the parties that use academic research is limited to the business sector, it suggests that industries with significant government funding are the most common users of this important source of ideas (table 3.</w:t>
      </w:r>
      <w:r w:rsidR="002C0474">
        <w:t>2</w:t>
      </w:r>
      <w:r>
        <w:t xml:space="preserve">). </w:t>
      </w:r>
      <w:r w:rsidR="009E435F">
        <w:t xml:space="preserve">Recommendation </w:t>
      </w:r>
      <w:r w:rsidR="007B765F">
        <w:t>5</w:t>
      </w:r>
      <w:r w:rsidR="009E435F">
        <w:t>.</w:t>
      </w:r>
      <w:r w:rsidR="00BD1949">
        <w:t>3</w:t>
      </w:r>
      <w:r w:rsidR="009E435F">
        <w:t xml:space="preserve"> discussed above in this report could therefore have significant benefits for the public sector, in addition to the potential productivity gains for businesses.</w:t>
      </w:r>
    </w:p>
    <w:p w14:paraId="425C099C" w14:textId="623E4D9F" w:rsidR="003A0ECF" w:rsidRDefault="003A0ECF" w:rsidP="00AF505E">
      <w:pPr>
        <w:pStyle w:val="FigureTableHeading"/>
        <w:keepLines/>
      </w:pPr>
      <w:r>
        <w:lastRenderedPageBreak/>
        <w:t>Table</w:t>
      </w:r>
      <w:r w:rsidR="00A43B86">
        <w:t> </w:t>
      </w:r>
      <w:r>
        <w:t>3.</w:t>
      </w:r>
      <w:r w:rsidR="002C0474">
        <w:t>2</w:t>
      </w:r>
      <w:r>
        <w:rPr>
          <w:noProof/>
        </w:rPr>
        <w:t xml:space="preserve"> – Select </w:t>
      </w:r>
      <w:r>
        <w:t xml:space="preserve">sources of ideas for the Health Care and Social Assistance Industry </w:t>
      </w:r>
    </w:p>
    <w:p w14:paraId="5FE96DE7" w14:textId="77777777" w:rsidR="003A0ECF" w:rsidRDefault="003A0ECF" w:rsidP="00A37160">
      <w:pPr>
        <w:pStyle w:val="FigureTableSubheading"/>
      </w:pPr>
      <w:r>
        <w:t>Two years ending 30 June 2021</w:t>
      </w:r>
      <w:r w:rsidRPr="005271D4">
        <w:rPr>
          <w:vertAlign w:val="superscript"/>
        </w:rPr>
        <w:t>a</w:t>
      </w:r>
    </w:p>
    <w:tbl>
      <w:tblPr>
        <w:tblW w:w="9356"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95"/>
        <w:gridCol w:w="1559"/>
        <w:gridCol w:w="1701"/>
        <w:gridCol w:w="1701"/>
      </w:tblGrid>
      <w:tr w:rsidR="00423BD9" w:rsidRPr="00030C67" w14:paraId="1A58AA24" w14:textId="77777777" w:rsidTr="001625E2">
        <w:trPr>
          <w:tblHeader/>
        </w:trPr>
        <w:tc>
          <w:tcPr>
            <w:tcW w:w="4395" w:type="dxa"/>
            <w:tcBorders>
              <w:bottom w:val="single" w:sz="4" w:space="0" w:color="B3B3B3"/>
            </w:tcBorders>
            <w:shd w:val="clear" w:color="000000" w:fill="auto"/>
            <w:vAlign w:val="bottom"/>
          </w:tcPr>
          <w:p w14:paraId="192A14A8" w14:textId="467042FF" w:rsidR="00423BD9" w:rsidRPr="00030C67" w:rsidRDefault="00423BD9" w:rsidP="001625E2">
            <w:pPr>
              <w:pStyle w:val="TableHeading"/>
              <w:keepNext/>
              <w:keepLines/>
              <w:spacing w:after="46"/>
              <w:rPr>
                <w:rFonts w:ascii="Arial (Body)" w:hAnsi="Arial (Body)"/>
                <w:color w:val="265A9A"/>
              </w:rPr>
            </w:pPr>
            <w:r>
              <w:t>S</w:t>
            </w:r>
            <w:r w:rsidRPr="00DF6C91">
              <w:t>ource</w:t>
            </w:r>
            <w:r>
              <w:t xml:space="preserve"> of idea/information</w:t>
            </w:r>
          </w:p>
        </w:tc>
        <w:tc>
          <w:tcPr>
            <w:tcW w:w="1559" w:type="dxa"/>
            <w:tcBorders>
              <w:bottom w:val="single" w:sz="4" w:space="0" w:color="B3B3B3"/>
            </w:tcBorders>
            <w:shd w:val="clear" w:color="000000" w:fill="auto"/>
          </w:tcPr>
          <w:p w14:paraId="79042946" w14:textId="09288BF0" w:rsidR="00423BD9" w:rsidRDefault="006873BA" w:rsidP="001625E2">
            <w:pPr>
              <w:pStyle w:val="TableHeading"/>
              <w:keepNext/>
              <w:keepLines/>
              <w:spacing w:after="46"/>
              <w:ind w:right="113"/>
              <w:jc w:val="right"/>
            </w:pPr>
            <w:r>
              <w:br/>
            </w:r>
            <w:r w:rsidR="00423BD9" w:rsidRPr="00DF6C91">
              <w:t xml:space="preserve">Share of </w:t>
            </w:r>
            <w:r w:rsidR="00423BD9">
              <w:br/>
            </w:r>
            <w:r w:rsidR="00423BD9" w:rsidRPr="00DF6C91">
              <w:t xml:space="preserve">entities using </w:t>
            </w:r>
            <w:r w:rsidR="00423BD9">
              <w:br/>
            </w:r>
            <w:r w:rsidR="00423BD9" w:rsidRPr="00DF6C91">
              <w:t>this source</w:t>
            </w:r>
            <w:r w:rsidR="00423BD9">
              <w:t xml:space="preserve"> (%)</w:t>
            </w:r>
          </w:p>
        </w:tc>
        <w:tc>
          <w:tcPr>
            <w:tcW w:w="1701" w:type="dxa"/>
            <w:tcBorders>
              <w:bottom w:val="single" w:sz="4" w:space="0" w:color="B3B3B3"/>
            </w:tcBorders>
            <w:shd w:val="clear" w:color="000000" w:fill="auto"/>
          </w:tcPr>
          <w:p w14:paraId="6BBD25E8" w14:textId="2B44162A" w:rsidR="00423BD9" w:rsidRDefault="00423BD9" w:rsidP="001625E2">
            <w:pPr>
              <w:pStyle w:val="TableHeading"/>
              <w:keepNext/>
              <w:keepLines/>
              <w:spacing w:after="46"/>
              <w:ind w:right="113"/>
              <w:jc w:val="right"/>
            </w:pPr>
            <w:r>
              <w:t xml:space="preserve">Relative use compared with </w:t>
            </w:r>
            <w:r>
              <w:br/>
              <w:t>all industries (multiple)</w:t>
            </w:r>
          </w:p>
        </w:tc>
        <w:tc>
          <w:tcPr>
            <w:tcW w:w="1701" w:type="dxa"/>
            <w:tcBorders>
              <w:bottom w:val="single" w:sz="4" w:space="0" w:color="B3B3B3"/>
            </w:tcBorders>
            <w:shd w:val="clear" w:color="000000" w:fill="auto"/>
          </w:tcPr>
          <w:p w14:paraId="7E672D6C" w14:textId="1F86DE16" w:rsidR="00423BD9" w:rsidRPr="00DF6C91" w:rsidRDefault="006873BA" w:rsidP="001625E2">
            <w:pPr>
              <w:pStyle w:val="TableHeading"/>
              <w:keepNext/>
              <w:keepLines/>
              <w:spacing w:after="46"/>
              <w:ind w:right="113"/>
              <w:jc w:val="right"/>
            </w:pPr>
            <w:r>
              <w:br/>
            </w:r>
            <w:r w:rsidR="00423BD9">
              <w:t xml:space="preserve">Rank of </w:t>
            </w:r>
            <w:r w:rsidR="00423BD9">
              <w:br/>
              <w:t>source among 17 industries</w:t>
            </w:r>
          </w:p>
        </w:tc>
      </w:tr>
      <w:tr w:rsidR="00423BD9" w:rsidRPr="00030C67" w14:paraId="312BFC48" w14:textId="77777777" w:rsidTr="00F73320">
        <w:tc>
          <w:tcPr>
            <w:tcW w:w="4395" w:type="dxa"/>
            <w:tcBorders>
              <w:top w:val="single" w:sz="4" w:space="0" w:color="B3B3B3"/>
              <w:bottom w:val="nil"/>
            </w:tcBorders>
            <w:shd w:val="clear" w:color="000000" w:fill="F2F2F2"/>
          </w:tcPr>
          <w:p w14:paraId="5683F1A1" w14:textId="77777777" w:rsidR="00423BD9" w:rsidRPr="00030C67" w:rsidRDefault="00423BD9" w:rsidP="00423BD9">
            <w:pPr>
              <w:pStyle w:val="TableHeading"/>
              <w:keepNext/>
              <w:keepLines/>
            </w:pPr>
            <w:r w:rsidRPr="008734AA">
              <w:t>Academic conferences</w:t>
            </w:r>
          </w:p>
        </w:tc>
        <w:tc>
          <w:tcPr>
            <w:tcW w:w="1559" w:type="dxa"/>
            <w:tcBorders>
              <w:top w:val="single" w:sz="4" w:space="0" w:color="B3B3B3"/>
              <w:bottom w:val="nil"/>
            </w:tcBorders>
            <w:shd w:val="clear" w:color="000000" w:fill="F2F2F2"/>
          </w:tcPr>
          <w:p w14:paraId="32A6123E" w14:textId="05D5B735" w:rsidR="00423BD9" w:rsidRDefault="00423BD9" w:rsidP="00423BD9">
            <w:pPr>
              <w:pStyle w:val="TableBody"/>
              <w:keepNext/>
              <w:keepLines/>
              <w:spacing w:before="45" w:after="45"/>
              <w:ind w:right="108"/>
              <w:jc w:val="right"/>
            </w:pPr>
            <w:r w:rsidRPr="009763EE">
              <w:t>1</w:t>
            </w:r>
            <w:r>
              <w:t>1</w:t>
            </w:r>
            <w:r w:rsidRPr="009763EE">
              <w:t>.</w:t>
            </w:r>
            <w:r>
              <w:t>7</w:t>
            </w:r>
          </w:p>
        </w:tc>
        <w:tc>
          <w:tcPr>
            <w:tcW w:w="1701" w:type="dxa"/>
            <w:tcBorders>
              <w:top w:val="single" w:sz="4" w:space="0" w:color="B3B3B3"/>
              <w:bottom w:val="nil"/>
            </w:tcBorders>
            <w:shd w:val="clear" w:color="000000" w:fill="F2F2F2"/>
          </w:tcPr>
          <w:p w14:paraId="727DC4F0" w14:textId="6E131C33" w:rsidR="00423BD9" w:rsidRDefault="00423BD9" w:rsidP="00423BD9">
            <w:pPr>
              <w:pStyle w:val="TableBody"/>
              <w:keepNext/>
              <w:keepLines/>
              <w:spacing w:before="45" w:after="45"/>
              <w:ind w:right="108"/>
              <w:jc w:val="right"/>
            </w:pPr>
            <w:r w:rsidRPr="00F53626">
              <w:t>4.3</w:t>
            </w:r>
          </w:p>
        </w:tc>
        <w:tc>
          <w:tcPr>
            <w:tcW w:w="1701" w:type="dxa"/>
            <w:tcBorders>
              <w:top w:val="single" w:sz="4" w:space="0" w:color="B3B3B3"/>
              <w:bottom w:val="nil"/>
            </w:tcBorders>
            <w:shd w:val="clear" w:color="000000" w:fill="F2F2F2"/>
          </w:tcPr>
          <w:p w14:paraId="1ED9A36E" w14:textId="482129D9" w:rsidR="00423BD9" w:rsidRPr="009763EE" w:rsidRDefault="00423BD9" w:rsidP="00423BD9">
            <w:pPr>
              <w:pStyle w:val="TableBody"/>
              <w:keepNext/>
              <w:keepLines/>
              <w:spacing w:before="45" w:after="45"/>
              <w:ind w:right="108"/>
              <w:jc w:val="right"/>
            </w:pPr>
            <w:r>
              <w:t>1</w:t>
            </w:r>
          </w:p>
        </w:tc>
      </w:tr>
      <w:tr w:rsidR="00423BD9" w:rsidRPr="00030C67" w14:paraId="3596C854" w14:textId="77777777" w:rsidTr="00274CA9">
        <w:tc>
          <w:tcPr>
            <w:tcW w:w="4395" w:type="dxa"/>
            <w:tcBorders>
              <w:top w:val="nil"/>
              <w:bottom w:val="nil"/>
            </w:tcBorders>
            <w:shd w:val="clear" w:color="000000" w:fill="auto"/>
          </w:tcPr>
          <w:p w14:paraId="7F7A11A5" w14:textId="145F6008" w:rsidR="00423BD9" w:rsidRPr="00030C67" w:rsidRDefault="00423BD9" w:rsidP="00423BD9">
            <w:pPr>
              <w:pStyle w:val="TableHeading"/>
              <w:keepNext/>
              <w:keepLines/>
            </w:pPr>
            <w:r w:rsidRPr="008734AA">
              <w:t>Universities or other higher education institutions</w:t>
            </w:r>
          </w:p>
        </w:tc>
        <w:tc>
          <w:tcPr>
            <w:tcW w:w="1559" w:type="dxa"/>
            <w:tcBorders>
              <w:top w:val="nil"/>
              <w:bottom w:val="nil"/>
            </w:tcBorders>
            <w:shd w:val="clear" w:color="000000" w:fill="auto"/>
          </w:tcPr>
          <w:p w14:paraId="4A8F09C7" w14:textId="72E229FE" w:rsidR="00423BD9" w:rsidRDefault="00423BD9" w:rsidP="00423BD9">
            <w:pPr>
              <w:pStyle w:val="TableBody"/>
              <w:keepNext/>
              <w:keepLines/>
              <w:spacing w:before="45" w:after="45"/>
              <w:ind w:right="108"/>
              <w:jc w:val="right"/>
            </w:pPr>
            <w:r w:rsidRPr="009763EE">
              <w:t>1</w:t>
            </w:r>
            <w:r>
              <w:t>7</w:t>
            </w:r>
            <w:r w:rsidRPr="009763EE">
              <w:t>.</w:t>
            </w:r>
            <w:r>
              <w:t>8</w:t>
            </w:r>
          </w:p>
        </w:tc>
        <w:tc>
          <w:tcPr>
            <w:tcW w:w="1701" w:type="dxa"/>
            <w:tcBorders>
              <w:top w:val="nil"/>
              <w:bottom w:val="nil"/>
            </w:tcBorders>
            <w:shd w:val="clear" w:color="000000" w:fill="auto"/>
          </w:tcPr>
          <w:p w14:paraId="281CB6AB" w14:textId="6E2DD3A6" w:rsidR="00423BD9" w:rsidRDefault="00423BD9" w:rsidP="00423BD9">
            <w:pPr>
              <w:pStyle w:val="TableBody"/>
              <w:keepNext/>
              <w:keepLines/>
              <w:spacing w:before="45" w:after="45"/>
              <w:ind w:right="108"/>
              <w:jc w:val="right"/>
            </w:pPr>
            <w:r w:rsidRPr="00F53626">
              <w:t>3.3</w:t>
            </w:r>
          </w:p>
        </w:tc>
        <w:tc>
          <w:tcPr>
            <w:tcW w:w="1701" w:type="dxa"/>
            <w:tcBorders>
              <w:top w:val="nil"/>
              <w:bottom w:val="nil"/>
            </w:tcBorders>
            <w:shd w:val="clear" w:color="000000" w:fill="auto"/>
          </w:tcPr>
          <w:p w14:paraId="0903EFB0" w14:textId="71C8C0B0" w:rsidR="00423BD9" w:rsidRPr="009763EE" w:rsidRDefault="00423BD9" w:rsidP="00423BD9">
            <w:pPr>
              <w:pStyle w:val="TableBody"/>
              <w:keepNext/>
              <w:keepLines/>
              <w:spacing w:before="45" w:after="45"/>
              <w:ind w:right="108"/>
              <w:jc w:val="right"/>
            </w:pPr>
            <w:r>
              <w:t>1</w:t>
            </w:r>
          </w:p>
        </w:tc>
      </w:tr>
      <w:tr w:rsidR="00423BD9" w:rsidRPr="00030C67" w14:paraId="4E17C676" w14:textId="77777777" w:rsidTr="00F73320">
        <w:tc>
          <w:tcPr>
            <w:tcW w:w="4395" w:type="dxa"/>
            <w:tcBorders>
              <w:top w:val="nil"/>
              <w:bottom w:val="nil"/>
            </w:tcBorders>
            <w:shd w:val="clear" w:color="000000" w:fill="F2F2F2"/>
          </w:tcPr>
          <w:p w14:paraId="74901F2C" w14:textId="77777777" w:rsidR="00423BD9" w:rsidRPr="00030C67" w:rsidRDefault="00423BD9" w:rsidP="00423BD9">
            <w:pPr>
              <w:pStyle w:val="TableHeading"/>
              <w:keepNext/>
              <w:keepLines/>
            </w:pPr>
            <w:r w:rsidRPr="008734AA">
              <w:t>Journals, research papers and publications</w:t>
            </w:r>
          </w:p>
        </w:tc>
        <w:tc>
          <w:tcPr>
            <w:tcW w:w="1559" w:type="dxa"/>
            <w:tcBorders>
              <w:top w:val="nil"/>
              <w:bottom w:val="nil"/>
            </w:tcBorders>
            <w:shd w:val="clear" w:color="000000" w:fill="F2F2F2"/>
          </w:tcPr>
          <w:p w14:paraId="3813B9EE" w14:textId="6971E8E3" w:rsidR="00423BD9" w:rsidRDefault="00423BD9" w:rsidP="00423BD9">
            <w:pPr>
              <w:pStyle w:val="TableBody"/>
              <w:keepNext/>
              <w:keepLines/>
              <w:spacing w:before="45" w:after="45"/>
              <w:ind w:right="108"/>
              <w:jc w:val="right"/>
            </w:pPr>
            <w:r>
              <w:t>11.0</w:t>
            </w:r>
          </w:p>
        </w:tc>
        <w:tc>
          <w:tcPr>
            <w:tcW w:w="1701" w:type="dxa"/>
            <w:tcBorders>
              <w:top w:val="nil"/>
              <w:bottom w:val="nil"/>
            </w:tcBorders>
            <w:shd w:val="clear" w:color="000000" w:fill="F2F2F2"/>
          </w:tcPr>
          <w:p w14:paraId="592F19DB" w14:textId="6F1D82B6" w:rsidR="00423BD9" w:rsidRDefault="00423BD9" w:rsidP="00423BD9">
            <w:pPr>
              <w:pStyle w:val="TableBody"/>
              <w:keepNext/>
              <w:keepLines/>
              <w:spacing w:before="45" w:after="45"/>
              <w:ind w:right="108"/>
              <w:jc w:val="right"/>
            </w:pPr>
            <w:r w:rsidRPr="00F53626">
              <w:t>2.9</w:t>
            </w:r>
          </w:p>
        </w:tc>
        <w:tc>
          <w:tcPr>
            <w:tcW w:w="1701" w:type="dxa"/>
            <w:tcBorders>
              <w:top w:val="nil"/>
              <w:bottom w:val="nil"/>
            </w:tcBorders>
            <w:shd w:val="clear" w:color="000000" w:fill="F2F2F2"/>
          </w:tcPr>
          <w:p w14:paraId="5808C0F6" w14:textId="0F95CAD0" w:rsidR="00423BD9" w:rsidRPr="009763EE" w:rsidRDefault="00423BD9" w:rsidP="00423BD9">
            <w:pPr>
              <w:pStyle w:val="TableBody"/>
              <w:keepNext/>
              <w:keepLines/>
              <w:spacing w:before="45" w:after="45"/>
              <w:ind w:right="108"/>
              <w:jc w:val="right"/>
            </w:pPr>
            <w:r>
              <w:t>2</w:t>
            </w:r>
          </w:p>
        </w:tc>
      </w:tr>
      <w:tr w:rsidR="00423BD9" w:rsidRPr="00030C67" w14:paraId="4603D971" w14:textId="77777777" w:rsidTr="00274CA9">
        <w:tc>
          <w:tcPr>
            <w:tcW w:w="4395" w:type="dxa"/>
            <w:tcBorders>
              <w:bottom w:val="single" w:sz="4" w:space="0" w:color="B3B3B3"/>
            </w:tcBorders>
            <w:shd w:val="clear" w:color="auto" w:fill="auto"/>
          </w:tcPr>
          <w:p w14:paraId="01256DF2" w14:textId="77777777" w:rsidR="00423BD9" w:rsidRPr="00030C67" w:rsidRDefault="00423BD9" w:rsidP="00423BD9">
            <w:pPr>
              <w:pStyle w:val="TableHeading"/>
              <w:keepNext/>
              <w:keepLines/>
            </w:pPr>
            <w:r w:rsidRPr="008734AA">
              <w:t>Government agencies</w:t>
            </w:r>
          </w:p>
        </w:tc>
        <w:tc>
          <w:tcPr>
            <w:tcW w:w="1559" w:type="dxa"/>
            <w:tcBorders>
              <w:bottom w:val="single" w:sz="4" w:space="0" w:color="B3B3B3"/>
            </w:tcBorders>
          </w:tcPr>
          <w:p w14:paraId="153A681E" w14:textId="520030CB" w:rsidR="00423BD9" w:rsidRDefault="00423BD9" w:rsidP="00423BD9">
            <w:pPr>
              <w:pStyle w:val="TableBody"/>
              <w:keepNext/>
              <w:keepLines/>
              <w:spacing w:before="45" w:after="45"/>
              <w:ind w:right="108"/>
              <w:jc w:val="right"/>
            </w:pPr>
            <w:r w:rsidRPr="009763EE">
              <w:t>13.2</w:t>
            </w:r>
          </w:p>
        </w:tc>
        <w:tc>
          <w:tcPr>
            <w:tcW w:w="1701" w:type="dxa"/>
            <w:tcBorders>
              <w:bottom w:val="single" w:sz="4" w:space="0" w:color="B3B3B3"/>
            </w:tcBorders>
          </w:tcPr>
          <w:p w14:paraId="08C4AE26" w14:textId="5A2C6040" w:rsidR="00423BD9" w:rsidRDefault="00423BD9" w:rsidP="00423BD9">
            <w:pPr>
              <w:pStyle w:val="TableBody"/>
              <w:keepNext/>
              <w:keepLines/>
              <w:spacing w:before="45" w:after="45"/>
              <w:ind w:right="108"/>
              <w:jc w:val="right"/>
            </w:pPr>
            <w:r w:rsidRPr="00F53626">
              <w:t>2.4</w:t>
            </w:r>
          </w:p>
        </w:tc>
        <w:tc>
          <w:tcPr>
            <w:tcW w:w="1701" w:type="dxa"/>
            <w:tcBorders>
              <w:bottom w:val="single" w:sz="4" w:space="0" w:color="B3B3B3"/>
            </w:tcBorders>
          </w:tcPr>
          <w:p w14:paraId="13F77E8F" w14:textId="0D4FC9B4" w:rsidR="00423BD9" w:rsidRPr="00D86872" w:rsidRDefault="00423BD9" w:rsidP="00423BD9">
            <w:pPr>
              <w:pStyle w:val="TableBody"/>
              <w:keepNext/>
              <w:keepLines/>
              <w:spacing w:before="45" w:after="45"/>
              <w:ind w:right="108"/>
              <w:jc w:val="right"/>
            </w:pPr>
            <w:r>
              <w:t>2</w:t>
            </w:r>
          </w:p>
        </w:tc>
      </w:tr>
    </w:tbl>
    <w:p w14:paraId="1CB9B0C6" w14:textId="4A1B7909" w:rsidR="003A0ECF" w:rsidRDefault="003A0ECF" w:rsidP="003A0ECF">
      <w:pPr>
        <w:pStyle w:val="Note"/>
      </w:pPr>
      <w:r w:rsidRPr="00C36914">
        <w:rPr>
          <w:b/>
          <w:bCs/>
        </w:rPr>
        <w:t>a.</w:t>
      </w:r>
      <w:r w:rsidRPr="00C36914">
        <w:t xml:space="preserve"> </w:t>
      </w:r>
      <w:r>
        <w:t xml:space="preserve">The </w:t>
      </w:r>
      <w:r w:rsidRPr="008027FA">
        <w:t xml:space="preserve">Health Care and Social Assistance </w:t>
      </w:r>
      <w:r>
        <w:t>industry includes a mix of private and not</w:t>
      </w:r>
      <w:r>
        <w:noBreakHyphen/>
        <w:t>for</w:t>
      </w:r>
      <w:r>
        <w:noBreakHyphen/>
        <w:t>profit organisations that are highly regulated by governments and that depend significantly on their funding, such as GPs, aged care, and disability facilities. The table relates to the sources of knowledge that are either directly sourced from the academic literature or where the sources of ideas are themselves likely to depend on access to that literature. For example, among the 17 industry divisions covered by the ABS Business Characteristics Survey, the number two user of ideas from journal</w:t>
      </w:r>
      <w:r w:rsidR="00160B5F">
        <w:t>s</w:t>
      </w:r>
      <w:r>
        <w:t xml:space="preserve">, research papers and publications </w:t>
      </w:r>
      <w:proofErr w:type="gramStart"/>
      <w:r>
        <w:t>was</w:t>
      </w:r>
      <w:proofErr w:type="gramEnd"/>
      <w:r>
        <w:t xml:space="preserve"> the Health Care and Social Assistance Industry, with about one in five entities in this industry sourcing ideas from the academic literature, which is a usage rate 2.9 times higher than the all</w:t>
      </w:r>
      <w:r>
        <w:noBreakHyphen/>
        <w:t>industries total. The relevant ABS survey excludes public sector enterprises (like public hospitals, universities, the public service and public research institutions) that would have a relatively high level of use academic literature. Accordingly, the table will underestimate the importance of the academic literature to public sector functions.</w:t>
      </w:r>
    </w:p>
    <w:p w14:paraId="1ABF64EA" w14:textId="748D6DA7" w:rsidR="003A0ECF" w:rsidRDefault="003A0ECF" w:rsidP="003A0ECF">
      <w:pPr>
        <w:pStyle w:val="Source"/>
      </w:pPr>
      <w:r w:rsidRPr="00696447">
        <w:t xml:space="preserve">Source: </w:t>
      </w:r>
      <w:r>
        <w:t xml:space="preserve">ABS </w:t>
      </w:r>
      <w:r w:rsidR="00CF64E8">
        <w:t>(</w:t>
      </w:r>
      <w:r w:rsidR="00CF64E8">
        <w:rPr>
          <w:i/>
          <w:iCs/>
        </w:rPr>
        <w:t>Characteristics of Australian Business</w:t>
      </w:r>
      <w:r w:rsidR="00CF64E8">
        <w:t xml:space="preserve">, </w:t>
      </w:r>
      <w:r w:rsidR="00CF64E8" w:rsidRPr="002A684D">
        <w:t>2020</w:t>
      </w:r>
      <w:r w:rsidR="00CF64E8" w:rsidRPr="002A684D">
        <w:noBreakHyphen/>
        <w:t>21 financial year,</w:t>
      </w:r>
      <w:r w:rsidR="00CF64E8">
        <w:t xml:space="preserve"> Cat. no. 8158.0</w:t>
      </w:r>
      <w:r w:rsidR="007D2E6A">
        <w:t>)</w:t>
      </w:r>
      <w:r w:rsidRPr="00696447">
        <w:t>.</w:t>
      </w:r>
    </w:p>
    <w:p w14:paraId="3B8F1556" w14:textId="77777777" w:rsidR="003A0ECF" w:rsidRDefault="003A0ECF" w:rsidP="004E14B3">
      <w:pPr>
        <w:pStyle w:val="Heading5"/>
      </w:pPr>
      <w:r>
        <w:t>Fair use</w:t>
      </w:r>
    </w:p>
    <w:p w14:paraId="5EB590A9" w14:textId="44483920" w:rsidR="003A0ECF" w:rsidRDefault="003A0ECF" w:rsidP="003A0ECF">
      <w:pPr>
        <w:pStyle w:val="BodyText"/>
      </w:pPr>
      <w:r>
        <w:t xml:space="preserve">Australia also has weak fair use provisions compared with countries like the United States, again potentially stymieing knowledge diffusion in activities run or funded by government — universities, schools, libraries — as well as businesses </w:t>
      </w:r>
      <w:r w:rsidRPr="002C5EC1">
        <w:rPr>
          <w:rFonts w:ascii="Arial" w:hAnsi="Arial" w:cs="Arial"/>
          <w:szCs w:val="24"/>
        </w:rPr>
        <w:t>(PC 2016a, pp. 165–198)</w:t>
      </w:r>
      <w:r>
        <w:t>. There are strong grounds to re</w:t>
      </w:r>
      <w:r>
        <w:noBreakHyphen/>
        <w:t>visit fair use provisions</w:t>
      </w:r>
      <w:r w:rsidR="00B52098">
        <w:t>, and</w:t>
      </w:r>
      <w:r w:rsidR="00FA65EE">
        <w:t xml:space="preserve"> a fair use exception could be developed and implemented in Australia </w:t>
      </w:r>
      <w:r w:rsidR="00E401D2">
        <w:t>in a way that complies with international copyright law</w:t>
      </w:r>
      <w:r w:rsidR="001E68F6">
        <w:t xml:space="preserve"> </w:t>
      </w:r>
      <w:r w:rsidR="006F0AC7" w:rsidRPr="006F0AC7">
        <w:rPr>
          <w:rFonts w:ascii="Arial" w:hAnsi="Arial" w:cs="Arial"/>
          <w:szCs w:val="24"/>
        </w:rPr>
        <w:t>(PC 2016a, p. 184)</w:t>
      </w:r>
      <w:r>
        <w:t>.</w:t>
      </w:r>
    </w:p>
    <w:p w14:paraId="5738F2D3" w14:textId="77777777" w:rsidR="003A0ECF" w:rsidRDefault="003A0ECF" w:rsidP="00F824C1">
      <w:pPr>
        <w:pStyle w:val="Heading5"/>
        <w:spacing w:before="240"/>
      </w:pPr>
      <w:r>
        <w:t>Standards</w:t>
      </w:r>
    </w:p>
    <w:p w14:paraId="3EC86D95" w14:textId="70AED3CD" w:rsidR="003A0ECF" w:rsidRDefault="003A0ECF" w:rsidP="003A0ECF">
      <w:pPr>
        <w:pStyle w:val="BodyText"/>
      </w:pPr>
      <w:r>
        <w:t xml:space="preserve">Standards are widely seen as a major formal mechanism for the codification and diffusion of practical knowledge </w:t>
      </w:r>
      <w:r w:rsidRPr="00CA42EF">
        <w:rPr>
          <w:rFonts w:ascii="Arial" w:hAnsi="Arial" w:cs="Arial"/>
          <w:szCs w:val="24"/>
        </w:rPr>
        <w:t>(Blind, Ramel and Rochell 2022; CIE 2006)</w:t>
      </w:r>
      <w:r>
        <w:t xml:space="preserve">. </w:t>
      </w:r>
      <w:r w:rsidR="00AA1757">
        <w:t xml:space="preserve">Standards can </w:t>
      </w:r>
      <w:r w:rsidR="00AC4E37">
        <w:t>enable</w:t>
      </w:r>
      <w:r w:rsidR="00AA1757">
        <w:t xml:space="preserve"> the dissemination </w:t>
      </w:r>
      <w:r w:rsidR="005E226D">
        <w:t xml:space="preserve">and coordination </w:t>
      </w:r>
      <w:r w:rsidR="00AA1757">
        <w:t>of both local and international</w:t>
      </w:r>
      <w:r w:rsidR="005E226D">
        <w:t xml:space="preserve"> practices; for example, </w:t>
      </w:r>
      <w:r w:rsidR="004C3A77">
        <w:t xml:space="preserve">the Australian Mobile Telecommunications Association observed that </w:t>
      </w:r>
      <w:r w:rsidR="00D07416">
        <w:t xml:space="preserve">having consistent standards </w:t>
      </w:r>
      <w:r w:rsidR="007F7914">
        <w:t xml:space="preserve">in areas such as wireless access </w:t>
      </w:r>
      <w:r w:rsidR="00AC4E37">
        <w:t>s</w:t>
      </w:r>
      <w:r w:rsidR="007F7914">
        <w:t>upports investment decisions as they ‘ensure support globally by large and small vendors, global economies of scale are leveraged… [and] harmonised deployments between market participants’ (AMTA, sub. 163, p. 8).</w:t>
      </w:r>
      <w:r w:rsidR="00AA1757">
        <w:t xml:space="preserve"> </w:t>
      </w:r>
      <w:r w:rsidR="007F7914">
        <w:t>Moreover,</w:t>
      </w:r>
      <w:r>
        <w:t xml:space="preserve"> standards are not just relevant to for</w:t>
      </w:r>
      <w:r>
        <w:noBreakHyphen/>
        <w:t>profit businesses, with many relating to government</w:t>
      </w:r>
      <w:r>
        <w:noBreakHyphen/>
        <w:t>owned and funded organisations (like child, disability and aged care, community organisations) and regulation (such as safety and data rights).</w:t>
      </w:r>
    </w:p>
    <w:p w14:paraId="1D04509A" w14:textId="22683BE1" w:rsidR="00AA684D" w:rsidRPr="00F824C1" w:rsidRDefault="003A0ECF" w:rsidP="003A0ECF">
      <w:pPr>
        <w:pStyle w:val="BodyText"/>
        <w:rPr>
          <w:spacing w:val="-4"/>
        </w:rPr>
      </w:pPr>
      <w:r w:rsidRPr="00F824C1">
        <w:rPr>
          <w:spacing w:val="-4"/>
        </w:rPr>
        <w:t>Standards are a perfect example of a non</w:t>
      </w:r>
      <w:r w:rsidRPr="00F824C1">
        <w:rPr>
          <w:spacing w:val="-4"/>
        </w:rPr>
        <w:noBreakHyphen/>
        <w:t>rivalrous good with high public benefits. Recognising this, some standards are open, as in geospatial data. Many other standards are not. For example, IWA 18 016 is a ‘framework for integrated community</w:t>
      </w:r>
      <w:r w:rsidRPr="00F824C1">
        <w:rPr>
          <w:spacing w:val="-4"/>
        </w:rPr>
        <w:noBreakHyphen/>
        <w:t>based life</w:t>
      </w:r>
      <w:r w:rsidRPr="00F824C1">
        <w:rPr>
          <w:spacing w:val="-4"/>
        </w:rPr>
        <w:noBreakHyphen/>
        <w:t xml:space="preserve">long health and care services in aged societies’ and downloading this from the Standards Australia store costs $260.06. </w:t>
      </w:r>
      <w:r w:rsidR="006827D9" w:rsidRPr="00F824C1">
        <w:rPr>
          <w:spacing w:val="-4"/>
        </w:rPr>
        <w:t>A</w:t>
      </w:r>
      <w:r w:rsidR="00AA684D" w:rsidRPr="00F824C1">
        <w:rPr>
          <w:spacing w:val="-4"/>
        </w:rPr>
        <w:t>nd Master Builders Australia</w:t>
      </w:r>
      <w:r w:rsidR="007C63A9" w:rsidRPr="00F824C1">
        <w:rPr>
          <w:spacing w:val="-4"/>
        </w:rPr>
        <w:t xml:space="preserve"> submitted</w:t>
      </w:r>
      <w:r w:rsidR="00AA684D" w:rsidRPr="00F824C1">
        <w:rPr>
          <w:spacing w:val="-4"/>
        </w:rPr>
        <w:t xml:space="preserve"> that:</w:t>
      </w:r>
      <w:r w:rsidRPr="00F824C1">
        <w:rPr>
          <w:spacing w:val="-4"/>
        </w:rPr>
        <w:t xml:space="preserve"> </w:t>
      </w:r>
    </w:p>
    <w:p w14:paraId="7D2F93EC" w14:textId="2BAC4F74" w:rsidR="00AA684D" w:rsidRDefault="007C63A9" w:rsidP="00454B8D">
      <w:pPr>
        <w:pStyle w:val="Quote"/>
      </w:pPr>
      <w:r w:rsidRPr="007C63A9">
        <w:t xml:space="preserve">In the building and construction industry, the prescription of expensive regulatory texts which contain mandatory regulations is made even more frustrating by the practice of referencing a </w:t>
      </w:r>
      <w:r w:rsidRPr="007C63A9">
        <w:lastRenderedPageBreak/>
        <w:t xml:space="preserve">veritable warren of linked standards which may also need to </w:t>
      </w:r>
      <w:r w:rsidR="00D01058">
        <w:t>[be]</w:t>
      </w:r>
      <w:r w:rsidRPr="007C63A9">
        <w:t xml:space="preserve"> consulted – and not for free.</w:t>
      </w:r>
      <w:r>
        <w:t xml:space="preserve"> (Master Builders Australia, sub. 190, p. 5)</w:t>
      </w:r>
    </w:p>
    <w:p w14:paraId="2A20BA4F" w14:textId="28A5D6D6" w:rsidR="003A0ECF" w:rsidRDefault="003A0ECF" w:rsidP="003A0ECF">
      <w:pPr>
        <w:pStyle w:val="BodyText"/>
      </w:pPr>
      <w:r>
        <w:t xml:space="preserve">In Australia development of such standards by </w:t>
      </w:r>
      <w:r w:rsidRPr="00C965A6">
        <w:t>a not</w:t>
      </w:r>
      <w:r>
        <w:noBreakHyphen/>
      </w:r>
      <w:r w:rsidRPr="00C965A6">
        <w:t>for</w:t>
      </w:r>
      <w:r>
        <w:noBreakHyphen/>
      </w:r>
      <w:r w:rsidRPr="00C965A6">
        <w:t>profit entity</w:t>
      </w:r>
      <w:r>
        <w:t>, Standards Australia, relies on the voluntary engagement of technical committees comprising government, business, community, academic and consumer participants.</w:t>
      </w:r>
    </w:p>
    <w:p w14:paraId="44981F9F" w14:textId="13C96F9E" w:rsidR="003A0ECF" w:rsidRDefault="003A0ECF" w:rsidP="003A0ECF">
      <w:pPr>
        <w:pStyle w:val="BodyText"/>
      </w:pPr>
      <w:r>
        <w:t xml:space="preserve">Despite the public benefits of standards, they are not free to many users, or if so, the ways in which free access can be obtained may not be obvious. This can entail significant costs for activities where many and changing standards apply. For example, the </w:t>
      </w:r>
      <w:r w:rsidRPr="009F3226">
        <w:t>Australian Competition and Consumer Commission</w:t>
      </w:r>
      <w:r>
        <w:t xml:space="preserve"> (ACCC) observed that the National Construction Code references over 100 standards that a building and construction business would be required to purchase to understand their legal obligations. It drew a link between the barriers to compliance arising from the costs of access to standards and the major safety incidents that arose from the use of non</w:t>
      </w:r>
      <w:r>
        <w:noBreakHyphen/>
        <w:t xml:space="preserve">conforming combustible aluminium cladding </w:t>
      </w:r>
      <w:r w:rsidRPr="00552CA5">
        <w:rPr>
          <w:rFonts w:ascii="Arial" w:hAnsi="Arial" w:cs="Arial"/>
          <w:szCs w:val="24"/>
        </w:rPr>
        <w:t>(ACCC 2019, p. 3)</w:t>
      </w:r>
      <w:r>
        <w:t>.</w:t>
      </w:r>
    </w:p>
    <w:p w14:paraId="379E1EA3" w14:textId="1A74925B" w:rsidR="00666B0F" w:rsidRDefault="003A0ECF" w:rsidP="003A0ECF">
      <w:pPr>
        <w:pStyle w:val="BodyText"/>
      </w:pPr>
      <w:r>
        <w:t>Some standards are mandated in legislation, and some are voluntary. Pricing for the mandated standards risks non</w:t>
      </w:r>
      <w:r>
        <w:noBreakHyphen/>
        <w:t xml:space="preserve">compliance, while pricing for voluntary </w:t>
      </w:r>
      <w:r w:rsidR="00B2780F">
        <w:t>standards</w:t>
      </w:r>
      <w:r>
        <w:t xml:space="preserve"> limits the efficient diffusion of knowledge. The arrangements for licensing and paying for Australian standards has been controversial for many years. In the main, this reflected the pricing strategies of a private business that was given exclusive distribution rights for the standards by Standard Australia in the early 2000s. That right ceased in late 2018, but many standards are still sold by Standards Australia to meet its costs. </w:t>
      </w:r>
    </w:p>
    <w:p w14:paraId="1B01F613" w14:textId="0404BA6E" w:rsidR="003A0ECF" w:rsidRDefault="003A0ECF" w:rsidP="003A0ECF">
      <w:pPr>
        <w:pStyle w:val="BodyText"/>
      </w:pPr>
      <w:r>
        <w:t xml:space="preserve">The ACCC has put forward the view that standards required by legislation should be available at zero charge, while many organisations formally petitioned Parliament in 2022 to abolish any fees. </w:t>
      </w:r>
      <w:r w:rsidR="00D367C3">
        <w:t>That standards should be free for mandatory standards</w:t>
      </w:r>
      <w:r>
        <w:t xml:space="preserve"> has merit, </w:t>
      </w:r>
      <w:r w:rsidR="001371F4">
        <w:t>given the risks of non</w:t>
      </w:r>
      <w:r w:rsidR="00C31119">
        <w:noBreakHyphen/>
      </w:r>
      <w:r w:rsidR="001371F4">
        <w:t xml:space="preserve">compliance and the fact that </w:t>
      </w:r>
      <w:r w:rsidR="00F3064A">
        <w:t>m</w:t>
      </w:r>
      <w:r w:rsidR="00444899">
        <w:t>any have been developed by government agencies as part of their normal operations.</w:t>
      </w:r>
      <w:r>
        <w:t xml:space="preserve"> </w:t>
      </w:r>
      <w:r w:rsidR="00444899">
        <w:t>B</w:t>
      </w:r>
      <w:r>
        <w:t xml:space="preserve">ut free </w:t>
      </w:r>
      <w:r w:rsidR="00F97C60">
        <w:t>or lower</w:t>
      </w:r>
      <w:r w:rsidR="00F97C60">
        <w:noBreakHyphen/>
        <w:t xml:space="preserve">fee </w:t>
      </w:r>
      <w:r>
        <w:t xml:space="preserve">provision </w:t>
      </w:r>
      <w:r w:rsidR="00CB5D0A">
        <w:t xml:space="preserve">of voluntary standards </w:t>
      </w:r>
      <w:r>
        <w:t>would require funding by the Australian Government (and potentially industry associations)</w:t>
      </w:r>
      <w:r w:rsidR="005958FC">
        <w:t>, and therefore further consideration of optimal funding models</w:t>
      </w:r>
      <w:r>
        <w:t>.</w:t>
      </w:r>
    </w:p>
    <w:p w14:paraId="33D47B03" w14:textId="77777777" w:rsidR="005D237D" w:rsidRDefault="005D237D" w:rsidP="005D237D">
      <w:pPr>
        <w:pStyle w:val="NoSpacing"/>
      </w:pPr>
    </w:p>
    <w:tbl>
      <w:tblPr>
        <w:tblStyle w:val="Texttable-Paleblue"/>
        <w:tblW w:w="5000" w:type="pct"/>
        <w:tblLook w:val="04A0" w:firstRow="1" w:lastRow="0" w:firstColumn="1" w:lastColumn="0" w:noHBand="0" w:noVBand="1"/>
      </w:tblPr>
      <w:tblGrid>
        <w:gridCol w:w="713"/>
        <w:gridCol w:w="8925"/>
      </w:tblGrid>
      <w:tr w:rsidR="00770767" w14:paraId="437F5D2B" w14:textId="77777777">
        <w:trPr>
          <w:tblHeader/>
        </w:trPr>
        <w:tc>
          <w:tcPr>
            <w:tcW w:w="709" w:type="dxa"/>
            <w:tcMar>
              <w:top w:w="0" w:type="dxa"/>
              <w:bottom w:w="0" w:type="dxa"/>
            </w:tcMar>
            <w:vAlign w:val="center"/>
          </w:tcPr>
          <w:p w14:paraId="797FE094" w14:textId="77777777" w:rsidR="005D237D" w:rsidRDefault="005D237D">
            <w:pPr>
              <w:keepLines/>
              <w:jc w:val="center"/>
            </w:pPr>
            <w:r w:rsidRPr="00A51374">
              <w:rPr>
                <w:noProof/>
              </w:rPr>
              <w:drawing>
                <wp:inline distT="0" distB="0" distL="0" distR="0" wp14:anchorId="19BB882A" wp14:editId="4A63623D">
                  <wp:extent cx="288000" cy="288000"/>
                  <wp:effectExtent l="0" t="0" r="0" b="0"/>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9D77A56" w14:textId="0863E3C5" w:rsidR="005D237D" w:rsidRPr="00715040" w:rsidRDefault="005D237D">
            <w:pPr>
              <w:pStyle w:val="TableHeading"/>
              <w:keepLines/>
              <w:spacing w:before="120" w:after="120"/>
              <w:contextualSpacing/>
              <w:rPr>
                <w:sz w:val="20"/>
              </w:rPr>
            </w:pPr>
            <w:r w:rsidRPr="00715040">
              <w:rPr>
                <w:sz w:val="20"/>
              </w:rPr>
              <w:t xml:space="preserve">Recommendation </w:t>
            </w:r>
            <w:r w:rsidR="00A911E8">
              <w:rPr>
                <w:sz w:val="20"/>
              </w:rPr>
              <w:t>5.13</w:t>
            </w:r>
          </w:p>
          <w:p w14:paraId="1A7D16BA" w14:textId="3089C145" w:rsidR="005D237D" w:rsidRPr="00715040" w:rsidRDefault="00B90E29">
            <w:pPr>
              <w:pStyle w:val="TableHeading"/>
              <w:keepLines/>
              <w:spacing w:before="120" w:after="120"/>
              <w:contextualSpacing/>
              <w:rPr>
                <w:sz w:val="20"/>
              </w:rPr>
            </w:pPr>
            <w:r>
              <w:rPr>
                <w:sz w:val="20"/>
              </w:rPr>
              <w:t>No</w:t>
            </w:r>
            <w:r w:rsidR="00A43B86">
              <w:rPr>
                <w:sz w:val="20"/>
              </w:rPr>
              <w:noBreakHyphen/>
            </w:r>
            <w:r w:rsidR="002B0957">
              <w:rPr>
                <w:sz w:val="20"/>
              </w:rPr>
              <w:t>cost</w:t>
            </w:r>
            <w:r>
              <w:rPr>
                <w:sz w:val="20"/>
              </w:rPr>
              <w:t xml:space="preserve"> or low</w:t>
            </w:r>
            <w:r w:rsidR="00A43B86">
              <w:rPr>
                <w:sz w:val="20"/>
              </w:rPr>
              <w:noBreakHyphen/>
            </w:r>
            <w:r>
              <w:rPr>
                <w:sz w:val="20"/>
              </w:rPr>
              <w:t>cost access to ideas that have large public good value</w:t>
            </w:r>
          </w:p>
        </w:tc>
      </w:tr>
      <w:tr w:rsidR="005D237D" w14:paraId="1AB4E17C" w14:textId="77777777">
        <w:tc>
          <w:tcPr>
            <w:tcW w:w="9583" w:type="dxa"/>
            <w:gridSpan w:val="2"/>
            <w:tcMar>
              <w:top w:w="0" w:type="dxa"/>
            </w:tcMar>
          </w:tcPr>
          <w:p w14:paraId="0FE11637" w14:textId="484EA806" w:rsidR="005D237D" w:rsidRDefault="00CA3F43">
            <w:pPr>
              <w:pStyle w:val="BodyText"/>
              <w:keepLines/>
            </w:pPr>
            <w:r>
              <w:t>To</w:t>
            </w:r>
            <w:r w:rsidR="00E67A82">
              <w:t xml:space="preserve"> support the diffusion of</w:t>
            </w:r>
            <w:r w:rsidR="00713452">
              <w:t xml:space="preserve"> best practice and knowledge that has already been generated </w:t>
            </w:r>
            <w:r w:rsidR="0081025F">
              <w:t xml:space="preserve">by </w:t>
            </w:r>
            <w:r w:rsidR="00D942BA">
              <w:t>innovative</w:t>
            </w:r>
            <w:r w:rsidR="0081025F">
              <w:t xml:space="preserve"> businesses, not</w:t>
            </w:r>
            <w:r w:rsidR="00A43B86">
              <w:noBreakHyphen/>
            </w:r>
            <w:r w:rsidR="0081025F">
              <w:t>for</w:t>
            </w:r>
            <w:r w:rsidR="00A43B86">
              <w:noBreakHyphen/>
            </w:r>
            <w:r w:rsidR="0081025F">
              <w:t>profits and government organisations,</w:t>
            </w:r>
            <w:r w:rsidR="00FE004A">
              <w:t xml:space="preserve"> </w:t>
            </w:r>
            <w:r w:rsidR="0081025F">
              <w:t>t</w:t>
            </w:r>
            <w:r w:rsidR="00E618C7">
              <w:t>he Australian Government should:</w:t>
            </w:r>
          </w:p>
          <w:p w14:paraId="4D985479" w14:textId="47B99C9E" w:rsidR="00E618C7" w:rsidRDefault="00463CF9" w:rsidP="00E618C7">
            <w:pPr>
              <w:pStyle w:val="ListBullet"/>
            </w:pPr>
            <w:r>
              <w:t xml:space="preserve">make mandatory standards freely available and </w:t>
            </w:r>
            <w:r w:rsidR="00E618C7">
              <w:t xml:space="preserve">look at new funding models for Standards Australia to reduce or eliminate the pricing of </w:t>
            </w:r>
            <w:r>
              <w:t xml:space="preserve">voluntary </w:t>
            </w:r>
            <w:r w:rsidR="00E618C7">
              <w:t>standards that have high public good value</w:t>
            </w:r>
          </w:p>
          <w:p w14:paraId="67ED911A" w14:textId="75820747" w:rsidR="00E618C7" w:rsidRDefault="00E618C7" w:rsidP="00E618C7">
            <w:pPr>
              <w:pStyle w:val="ListBullet"/>
            </w:pPr>
            <w:r>
              <w:t xml:space="preserve">require open </w:t>
            </w:r>
            <w:r w:rsidR="00AF1F95">
              <w:t>access to</w:t>
            </w:r>
            <w:r>
              <w:t xml:space="preserve"> research principally funded by governments </w:t>
            </w:r>
            <w:r w:rsidR="00AF1F95">
              <w:t xml:space="preserve">(see recommendation </w:t>
            </w:r>
            <w:r w:rsidR="007B765F">
              <w:t>5</w:t>
            </w:r>
            <w:r w:rsidR="00AF1F95">
              <w:t>.</w:t>
            </w:r>
            <w:r w:rsidR="00BD1949">
              <w:t>3</w:t>
            </w:r>
            <w:r w:rsidR="00AF1F95">
              <w:t xml:space="preserve"> of this report for further detail)</w:t>
            </w:r>
          </w:p>
          <w:p w14:paraId="491DE3B1" w14:textId="2C47579B" w:rsidR="005D237D" w:rsidRPr="00F824C1" w:rsidRDefault="00E618C7" w:rsidP="00E618C7">
            <w:pPr>
              <w:pStyle w:val="ListBullet"/>
              <w:rPr>
                <w:spacing w:val="-4"/>
              </w:rPr>
            </w:pPr>
            <w:r w:rsidRPr="00F824C1">
              <w:rPr>
                <w:spacing w:val="-4"/>
              </w:rPr>
              <w:t>reform fair use provisions in intellectual property regulations to adopt a principles</w:t>
            </w:r>
            <w:r w:rsidR="00A43B86">
              <w:rPr>
                <w:spacing w:val="-4"/>
              </w:rPr>
              <w:noBreakHyphen/>
            </w:r>
            <w:r w:rsidRPr="00F824C1">
              <w:rPr>
                <w:spacing w:val="-4"/>
              </w:rPr>
              <w:t>based fair use exception.</w:t>
            </w:r>
          </w:p>
        </w:tc>
      </w:tr>
      <w:tr w:rsidR="005D237D" w14:paraId="7A78210C" w14:textId="77777777">
        <w:tc>
          <w:tcPr>
            <w:tcW w:w="9583" w:type="dxa"/>
            <w:gridSpan w:val="2"/>
            <w:shd w:val="clear" w:color="auto" w:fill="auto"/>
            <w:tcMar>
              <w:top w:w="0" w:type="dxa"/>
              <w:bottom w:w="0" w:type="dxa"/>
            </w:tcMar>
          </w:tcPr>
          <w:p w14:paraId="283AFFE8" w14:textId="77777777" w:rsidR="005D237D" w:rsidRPr="007E0EA8" w:rsidRDefault="005D237D">
            <w:pPr>
              <w:pStyle w:val="NoSpacing"/>
              <w:spacing w:line="200" w:lineRule="exact"/>
            </w:pPr>
          </w:p>
        </w:tc>
      </w:tr>
    </w:tbl>
    <w:p w14:paraId="5A6CEB3A" w14:textId="77777777" w:rsidR="005D237D" w:rsidRDefault="005D237D" w:rsidP="003A0ECF">
      <w:pPr>
        <w:pStyle w:val="BodyText"/>
      </w:pPr>
    </w:p>
    <w:p w14:paraId="7C2CEE9A" w14:textId="77777777" w:rsidR="004E14B3" w:rsidRDefault="004E14B3" w:rsidP="00AF6B4B">
      <w:pPr>
        <w:pStyle w:val="BodyText"/>
        <w:rPr>
          <w:noProof/>
        </w:rPr>
        <w:sectPr w:rsidR="004E14B3" w:rsidSect="00A469A1">
          <w:headerReference w:type="default" r:id="rId72"/>
          <w:type w:val="oddPage"/>
          <w:pgSz w:w="11906" w:h="16838" w:code="9"/>
          <w:pgMar w:top="1134" w:right="1134" w:bottom="1134" w:left="1134" w:header="794" w:footer="510" w:gutter="0"/>
          <w:cols w:space="708"/>
          <w:docGrid w:linePitch="360"/>
        </w:sectPr>
      </w:pPr>
    </w:p>
    <w:p w14:paraId="0275E710" w14:textId="5BC0DBBC" w:rsidR="005548EE" w:rsidRDefault="00F623D8" w:rsidP="00CC7586">
      <w:pPr>
        <w:pStyle w:val="Heading1-Section-fullpage"/>
        <w:framePr w:wrap="around"/>
        <w:rPr>
          <w:noProof/>
        </w:rPr>
      </w:pPr>
      <w:bookmarkStart w:id="122" w:name="_Toc126145996"/>
      <w:bookmarkStart w:id="123" w:name="_Toc126304790"/>
      <w:r>
        <w:rPr>
          <w:noProof/>
        </w:rPr>
        <w:lastRenderedPageBreak/>
        <w:t>Appendix</w:t>
      </w:r>
      <w:bookmarkEnd w:id="122"/>
      <w:bookmarkEnd w:id="123"/>
    </w:p>
    <w:p w14:paraId="7DEF23A3" w14:textId="77777777" w:rsidR="004B143F" w:rsidRDefault="004B143F">
      <w:pPr>
        <w:spacing w:before="0" w:after="160" w:line="259" w:lineRule="auto"/>
        <w:rPr>
          <w:noProof/>
        </w:rPr>
        <w:sectPr w:rsidR="004B143F" w:rsidSect="00A469A1">
          <w:headerReference w:type="default" r:id="rId73"/>
          <w:footerReference w:type="default" r:id="rId74"/>
          <w:type w:val="oddPage"/>
          <w:pgSz w:w="11906" w:h="16838" w:code="9"/>
          <w:pgMar w:top="1134" w:right="1134" w:bottom="1134" w:left="1134" w:header="794" w:footer="510" w:gutter="0"/>
          <w:cols w:space="708"/>
          <w:docGrid w:linePitch="360"/>
        </w:sectPr>
      </w:pPr>
    </w:p>
    <w:p w14:paraId="20CEFF6B" w14:textId="297E20D3" w:rsidR="001C464D" w:rsidRDefault="00E2214D" w:rsidP="00824142">
      <w:pPr>
        <w:pStyle w:val="Heading-Appendix"/>
        <w:rPr>
          <w:noProof/>
        </w:rPr>
      </w:pPr>
      <w:bookmarkStart w:id="124" w:name="_Toc126145997"/>
      <w:bookmarkStart w:id="125" w:name="_Toc126304791"/>
      <w:r w:rsidRPr="00E2214D">
        <w:rPr>
          <w:noProof/>
        </w:rPr>
        <w:lastRenderedPageBreak/>
        <w:t>Stylised simulations of economy</w:t>
      </w:r>
      <w:r w:rsidR="00A43B86">
        <w:rPr>
          <w:noProof/>
        </w:rPr>
        <w:noBreakHyphen/>
      </w:r>
      <w:r w:rsidRPr="00E2214D">
        <w:rPr>
          <w:noProof/>
        </w:rPr>
        <w:t>wide effects</w:t>
      </w:r>
      <w:bookmarkEnd w:id="124"/>
      <w:bookmarkEnd w:id="125"/>
    </w:p>
    <w:p w14:paraId="6D2C0C3F" w14:textId="141B4712" w:rsidR="002F440F" w:rsidRPr="00F82BD9" w:rsidRDefault="002F440F" w:rsidP="002F440F">
      <w:pPr>
        <w:pStyle w:val="Heading4"/>
      </w:pPr>
      <w:r>
        <w:t>Potential productivity benefits of diffusion</w:t>
      </w:r>
      <w:r w:rsidRPr="002E227D">
        <w:rPr>
          <w:rStyle w:val="FootnoteReference"/>
        </w:rPr>
        <w:footnoteReference w:id="30"/>
      </w:r>
    </w:p>
    <w:p w14:paraId="4DDECA9E" w14:textId="31151AAC" w:rsidR="002F440F" w:rsidRDefault="002F440F" w:rsidP="002F440F">
      <w:pPr>
        <w:pStyle w:val="BodyText"/>
      </w:pPr>
      <w:r>
        <w:t xml:space="preserve">The </w:t>
      </w:r>
      <w:r w:rsidR="001A42E9">
        <w:t xml:space="preserve">Productivity </w:t>
      </w:r>
      <w:r>
        <w:t xml:space="preserve">Commission used a </w:t>
      </w:r>
      <w:r w:rsidRPr="004B3553">
        <w:t>whole</w:t>
      </w:r>
      <w:r w:rsidR="00A43B86">
        <w:noBreakHyphen/>
      </w:r>
      <w:r w:rsidRPr="004B3553">
        <w:t>of</w:t>
      </w:r>
      <w:r w:rsidR="00A43B86">
        <w:noBreakHyphen/>
      </w:r>
      <w:r w:rsidRPr="004B3553">
        <w:t xml:space="preserve">economy model to </w:t>
      </w:r>
      <w:r>
        <w:t xml:space="preserve">examine the potential productivity benefits of </w:t>
      </w:r>
      <w:r w:rsidRPr="008561E7">
        <w:t xml:space="preserve">better </w:t>
      </w:r>
      <w:r w:rsidRPr="004B3553">
        <w:t>diffusion</w:t>
      </w:r>
      <w:r w:rsidRPr="008561E7">
        <w:t xml:space="preserve"> of new </w:t>
      </w:r>
      <w:r w:rsidR="006059BC">
        <w:t xml:space="preserve">ideas, knowledge, </w:t>
      </w:r>
      <w:r w:rsidRPr="008561E7">
        <w:t>business models, technologies,</w:t>
      </w:r>
      <w:r>
        <w:t xml:space="preserve"> and</w:t>
      </w:r>
      <w:r w:rsidRPr="008561E7">
        <w:t xml:space="preserve"> management capabilities, </w:t>
      </w:r>
      <w:r>
        <w:t>as well as</w:t>
      </w:r>
      <w:r w:rsidRPr="008561E7">
        <w:t xml:space="preserve"> increased </w:t>
      </w:r>
      <w:r w:rsidRPr="004B3553">
        <w:t xml:space="preserve">data </w:t>
      </w:r>
      <w:r>
        <w:t>use</w:t>
      </w:r>
      <w:r w:rsidRPr="004B3553">
        <w:t>. The potential benefits were demonstrated in a stylised manner by simulating scenarios in which all production inputs (labour, capital and intermediate inputs) could be used more efficiently, such that an industry is able to produce 1</w:t>
      </w:r>
      <w:r w:rsidR="00E94315">
        <w:t>%</w:t>
      </w:r>
      <w:r w:rsidRPr="004B3553">
        <w:t xml:space="preserve"> more output</w:t>
      </w:r>
      <w:r>
        <w:t xml:space="preserve"> using the same inputs</w:t>
      </w:r>
      <w:r w:rsidRPr="004B3553">
        <w:t>. This assumption was applied in 16</w:t>
      </w:r>
      <w:r>
        <w:t> </w:t>
      </w:r>
      <w:r w:rsidRPr="004B3553">
        <w:t>separate simulations across each of 16 broad industries in the model</w:t>
      </w:r>
      <w:r>
        <w:t xml:space="preserve"> (excluding the ‘ownership of dwellings’ industry)</w:t>
      </w:r>
      <w:r w:rsidRPr="004B3553">
        <w:t>.</w:t>
      </w:r>
      <w:r w:rsidRPr="00D27202">
        <w:t xml:space="preserve"> </w:t>
      </w:r>
    </w:p>
    <w:p w14:paraId="770FE171" w14:textId="337D3BAD" w:rsidR="002F440F" w:rsidRPr="004B3553" w:rsidRDefault="002F440F" w:rsidP="002F440F">
      <w:pPr>
        <w:pStyle w:val="BodyText"/>
      </w:pPr>
      <w:r>
        <w:t>There is a high level of uncertainty in the potential size of productivity improvements arising from the recommendations to improve diffusion in the Australian economy proposed in this report, as well as other model assumptions. As such, the 1</w:t>
      </w:r>
      <w:r w:rsidR="00E94315">
        <w:t>%</w:t>
      </w:r>
      <w:r>
        <w:t xml:space="preserve"> productivity improvement has been simulated for illustrative purposes, so that the simulations can provide insight on how potential productivity improvements could flow through the economy’s structure and the differential impacts across the economy. </w:t>
      </w:r>
      <w:r w:rsidRPr="004B3553">
        <w:t>Further details of the model</w:t>
      </w:r>
      <w:r>
        <w:t>, simulations and effects of sensitivity testing</w:t>
      </w:r>
      <w:r w:rsidRPr="004B3553">
        <w:t xml:space="preserve"> are contained in </w:t>
      </w:r>
      <w:r>
        <w:t>this inquiry’s companion volume</w:t>
      </w:r>
      <w:r w:rsidRPr="004B3553">
        <w:t xml:space="preserve"> </w:t>
      </w:r>
      <w:r w:rsidRPr="003605EF">
        <w:rPr>
          <w:i/>
          <w:iCs/>
        </w:rPr>
        <w:t>Whole</w:t>
      </w:r>
      <w:r w:rsidR="002E227D">
        <w:rPr>
          <w:i/>
          <w:iCs/>
        </w:rPr>
        <w:noBreakHyphen/>
      </w:r>
      <w:r w:rsidRPr="003605EF">
        <w:rPr>
          <w:i/>
          <w:iCs/>
        </w:rPr>
        <w:t>of</w:t>
      </w:r>
      <w:r w:rsidR="00A43B86">
        <w:rPr>
          <w:i/>
          <w:iCs/>
        </w:rPr>
        <w:noBreakHyphen/>
      </w:r>
      <w:r w:rsidRPr="003605EF">
        <w:rPr>
          <w:i/>
          <w:iCs/>
        </w:rPr>
        <w:t>economy modelling</w:t>
      </w:r>
      <w:r w:rsidRPr="004B3553">
        <w:t>.</w:t>
      </w:r>
    </w:p>
    <w:p w14:paraId="3748A848" w14:textId="37A82C76" w:rsidR="002F440F" w:rsidRDefault="002F440F" w:rsidP="002F440F">
      <w:pPr>
        <w:pStyle w:val="BodyText"/>
      </w:pPr>
      <w:r w:rsidRPr="004B3553">
        <w:t xml:space="preserve">Under each simulation, the improved productivity of the affected industry </w:t>
      </w:r>
      <w:r>
        <w:t>led</w:t>
      </w:r>
      <w:r w:rsidRPr="004B3553">
        <w:t xml:space="preserve"> to a fall in prices of that industry’s outputs</w:t>
      </w:r>
      <w:r>
        <w:t xml:space="preserve"> relative to the economy</w:t>
      </w:r>
      <w:r w:rsidR="00A43B86">
        <w:noBreakHyphen/>
      </w:r>
      <w:r>
        <w:t>wide consumer price index (CPI)</w:t>
      </w:r>
      <w:r w:rsidRPr="004B3553">
        <w:t xml:space="preserve">, </w:t>
      </w:r>
      <w:r w:rsidRPr="000B3EE2">
        <w:t>as more output c</w:t>
      </w:r>
      <w:r>
        <w:t>ould</w:t>
      </w:r>
      <w:r w:rsidRPr="000B3EE2">
        <w:t xml:space="preserve"> be produced per unit of input</w:t>
      </w:r>
      <w:r>
        <w:t xml:space="preserve">. This, in turn, </w:t>
      </w:r>
      <w:r w:rsidRPr="008440E8">
        <w:t>increase</w:t>
      </w:r>
      <w:r>
        <w:t>d demand for that industry’s goods from households, government and the rest of the world. Economy</w:t>
      </w:r>
      <w:r w:rsidR="00A43B86">
        <w:noBreakHyphen/>
      </w:r>
      <w:r>
        <w:t xml:space="preserve">wide, real GDP </w:t>
      </w:r>
      <w:r w:rsidRPr="008440E8">
        <w:t>increase</w:t>
      </w:r>
      <w:r>
        <w:t>d across all simulations, with the size of the increase varying from about 0.03</w:t>
      </w:r>
      <w:r w:rsidR="00E94315">
        <w:t>%</w:t>
      </w:r>
      <w:r>
        <w:t xml:space="preserve"> when the productivity effect was applied to the ‘t</w:t>
      </w:r>
      <w:r w:rsidRPr="00091E12">
        <w:t>echnical, vocational and tertiary education</w:t>
      </w:r>
      <w:r>
        <w:t>’ industry, to 0.76</w:t>
      </w:r>
      <w:r w:rsidR="00E94315">
        <w:t>%</w:t>
      </w:r>
      <w:r>
        <w:t xml:space="preserve"> when applied to the ‘construction’ industry (figure </w:t>
      </w:r>
      <w:r w:rsidR="00977CFD">
        <w:t>A</w:t>
      </w:r>
      <w:r>
        <w:t>.1).</w:t>
      </w:r>
      <w:r w:rsidRPr="002E227D">
        <w:rPr>
          <w:rStyle w:val="FootnoteReference"/>
        </w:rPr>
        <w:footnoteReference w:id="31"/>
      </w:r>
    </w:p>
    <w:p w14:paraId="796CB249" w14:textId="2321195D" w:rsidR="002F440F" w:rsidRPr="00146382" w:rsidRDefault="002F440F" w:rsidP="002F440F">
      <w:pPr>
        <w:pStyle w:val="FigureTableHeading"/>
      </w:pPr>
      <w:r>
        <w:lastRenderedPageBreak/>
        <w:t xml:space="preserve">Figure </w:t>
      </w:r>
      <w:r w:rsidR="00363025">
        <w:t>A</w:t>
      </w:r>
      <w:r>
        <w:t>.</w:t>
      </w:r>
      <w:r>
        <w:rPr>
          <w:noProof/>
        </w:rPr>
        <w:t xml:space="preserve">1 </w:t>
      </w:r>
      <w:r>
        <w:t xml:space="preserve">– </w:t>
      </w:r>
      <w:r w:rsidR="00974D3B">
        <w:t>Estimated c</w:t>
      </w:r>
      <w:r>
        <w:t xml:space="preserve">hange in real GDP from 16 diffusion </w:t>
      </w:r>
      <w:proofErr w:type="gramStart"/>
      <w:r>
        <w:t>simulations</w:t>
      </w:r>
      <w:r w:rsidRPr="00066CF5">
        <w:rPr>
          <w:vertAlign w:val="superscript"/>
        </w:rPr>
        <w:t>a</w:t>
      </w:r>
      <w:r>
        <w:rPr>
          <w:vertAlign w:val="superscript"/>
        </w:rPr>
        <w:t>,b</w:t>
      </w:r>
      <w:proofErr w:type="gramEnd"/>
    </w:p>
    <w:p w14:paraId="5A009C72" w14:textId="2DA25DAB" w:rsidR="002F440F" w:rsidRDefault="004828A3" w:rsidP="002F440F">
      <w:pPr>
        <w:pStyle w:val="Note"/>
        <w:keepLines/>
      </w:pPr>
      <w:r w:rsidRPr="004828A3">
        <w:rPr>
          <w:noProof/>
        </w:rPr>
        <w:drawing>
          <wp:inline distT="0" distB="0" distL="0" distR="0" wp14:anchorId="4EB21D66" wp14:editId="6F81E199">
            <wp:extent cx="6120130" cy="2874645"/>
            <wp:effectExtent l="0" t="0" r="0" b="0"/>
            <wp:docPr id="24" name="Picture 24" descr="Figure A.1. This column chart shows estimated economy-wide real GDP changes from 16 separate simulations with different industries experiencing productivity improvements. Productivity improvements to the construction industry had the largest real GDP effect, at about 0.75 per cent, followed by the other services industry at about 0.45 per cent. The education industries had the smallest effects, at less than 0.05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A.1. This column chart shows estimated economy-wide real GDP changes from 16 separate simulations with different industries experiencing productivity improvements. Productivity improvements to the construction industry had the largest real GDP effect, at about 0.75 per cent, followed by the other services industry at about 0.45 per cent. The education industries had the smallest effects, at less than 0.05 per cent.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r w:rsidR="002F440F" w:rsidRPr="00180E66">
        <w:rPr>
          <w:b/>
          <w:bCs/>
        </w:rPr>
        <w:t>a.</w:t>
      </w:r>
      <w:r w:rsidR="002F440F">
        <w:t xml:space="preserve"> </w:t>
      </w:r>
      <w:r w:rsidR="00653935">
        <w:t>Each column represents the economy</w:t>
      </w:r>
      <w:r w:rsidR="00A43B86">
        <w:noBreakHyphen/>
      </w:r>
      <w:r w:rsidR="00653935">
        <w:t xml:space="preserve">wide real GDP change from a separate simulation. </w:t>
      </w:r>
      <w:r w:rsidR="00653935">
        <w:rPr>
          <w:b/>
          <w:bCs/>
        </w:rPr>
        <w:t>b.</w:t>
      </w:r>
      <w:r w:rsidR="00653935">
        <w:rPr>
          <w:b/>
        </w:rPr>
        <w:t xml:space="preserve"> </w:t>
      </w:r>
      <w:r w:rsidR="002F440F">
        <w:t xml:space="preserve">Industry abbreviations: AGRICU – agriculture, forestry and fishing; MINING – mining; ADVMAN – advanced manufacturing; OTHMAN – other manufacturing; CONSTR – construction; TRANWH – transport and wholesale; RETAIL – retail trade; HOSPIT – hospitality; TECTEL – technology and telecommunications; FINSVC – financial services; PRFSVC – professional, scientific and technical services; SCHOOL – school education; VETUNI – technical, vocational and tertiary education; HLTHSS – health and social services; PUBADM – public administration; OTHSVC – other services. </w:t>
      </w:r>
    </w:p>
    <w:p w14:paraId="647E9A0D" w14:textId="278487E5" w:rsidR="002F440F" w:rsidRDefault="002F440F" w:rsidP="002F440F">
      <w:pPr>
        <w:pStyle w:val="Source"/>
      </w:pPr>
      <w:r w:rsidRPr="00696447">
        <w:t xml:space="preserve">Source: </w:t>
      </w:r>
      <w:r w:rsidR="00B11A49">
        <w:t xml:space="preserve">Productivity </w:t>
      </w:r>
      <w:r>
        <w:t>Commission estimates.</w:t>
      </w:r>
    </w:p>
    <w:p w14:paraId="67E8E05A" w14:textId="41A5074D" w:rsidR="002F440F" w:rsidRDefault="002F440F" w:rsidP="002F440F">
      <w:pPr>
        <w:pStyle w:val="BodyText"/>
      </w:pPr>
      <w:r>
        <w:t>The different economy</w:t>
      </w:r>
      <w:r w:rsidR="00A43B86">
        <w:noBreakHyphen/>
      </w:r>
      <w:r>
        <w:t>wide real GDP impacts across different simulations varied based on two aspects of the economy’s structure:</w:t>
      </w:r>
    </w:p>
    <w:p w14:paraId="6BF3D1A8" w14:textId="2278D375" w:rsidR="002F440F" w:rsidRPr="000C3449" w:rsidRDefault="002F440F" w:rsidP="002F440F">
      <w:pPr>
        <w:pStyle w:val="ListBullet"/>
        <w:rPr>
          <w:spacing w:val="-4"/>
        </w:rPr>
      </w:pPr>
      <w:r w:rsidRPr="000C3449">
        <w:rPr>
          <w:spacing w:val="-4"/>
        </w:rPr>
        <w:t>the size of the industry experiencing the increased diffusion and resulting 1</w:t>
      </w:r>
      <w:r w:rsidR="00E94315" w:rsidRPr="000C3449">
        <w:rPr>
          <w:spacing w:val="-4"/>
        </w:rPr>
        <w:t>%</w:t>
      </w:r>
      <w:r w:rsidRPr="000C3449">
        <w:rPr>
          <w:spacing w:val="-4"/>
        </w:rPr>
        <w:t xml:space="preserve"> productivity improvement — increasing the productivity of industries that were a larger share of the economy led to larger GDP impacts. </w:t>
      </w:r>
    </w:p>
    <w:p w14:paraId="03BF08A1" w14:textId="5E6BA1FA" w:rsidR="002F440F" w:rsidRDefault="002F440F" w:rsidP="002F440F">
      <w:pPr>
        <w:pStyle w:val="ListBullet2"/>
      </w:pPr>
      <w:r>
        <w:t>For example, the ‘other services’</w:t>
      </w:r>
      <w:r w:rsidRPr="002E227D">
        <w:rPr>
          <w:rStyle w:val="FootnoteReference"/>
        </w:rPr>
        <w:footnoteReference w:id="32"/>
      </w:r>
      <w:r>
        <w:t xml:space="preserve"> and ‘construction’ industries accounted for relatively large shares of economic activity (about 13</w:t>
      </w:r>
      <w:r w:rsidR="00E94315">
        <w:t>%</w:t>
      </w:r>
      <w:r>
        <w:t xml:space="preserve"> and 8</w:t>
      </w:r>
      <w:r w:rsidR="00E94315">
        <w:t>%</w:t>
      </w:r>
      <w:r>
        <w:t xml:space="preserve"> of gross value added, respectively) before the simulation, so simulating a 1</w:t>
      </w:r>
      <w:r w:rsidR="00E94315">
        <w:t>%</w:t>
      </w:r>
      <w:r>
        <w:t xml:space="preserve"> increase in productivity in these industries had larger economy</w:t>
      </w:r>
      <w:r>
        <w:noBreakHyphen/>
        <w:t xml:space="preserve">wide GDP effects in the model. </w:t>
      </w:r>
    </w:p>
    <w:p w14:paraId="52BABFDC" w14:textId="2C2F6AF6" w:rsidR="002F440F" w:rsidRDefault="002F440F" w:rsidP="002F440F">
      <w:pPr>
        <w:pStyle w:val="ListBullet2"/>
      </w:pPr>
      <w:r>
        <w:t>The ‘advanced manufacturing’ industry, while often a focus of government policy attention, accounted for only 1.5</w:t>
      </w:r>
      <w:r w:rsidR="00E94315">
        <w:t>%</w:t>
      </w:r>
      <w:r>
        <w:t xml:space="preserve"> of gross value added, and as such the economy</w:t>
      </w:r>
      <w:r w:rsidR="00A43B86">
        <w:noBreakHyphen/>
      </w:r>
      <w:r>
        <w:t>wide GDP impact was relatively small after simulating a 1</w:t>
      </w:r>
      <w:r w:rsidR="00E94315">
        <w:t>%</w:t>
      </w:r>
      <w:r>
        <w:t xml:space="preserve"> productivity increase.</w:t>
      </w:r>
    </w:p>
    <w:p w14:paraId="615F3DAD" w14:textId="77777777" w:rsidR="002F440F" w:rsidRDefault="002F440F" w:rsidP="002F440F">
      <w:pPr>
        <w:pStyle w:val="ListBullet"/>
      </w:pPr>
      <w:r w:rsidDel="008F6391">
        <w:t>t</w:t>
      </w:r>
      <w:r>
        <w:t xml:space="preserve">he extent to which the industry’s outputs were used in investment — increasing the productivity of industries that were relatively more used in investment supported the growth of the capital stock and led to cheaper rental costs of capital. This, in turn, enabled all industries that use capital to reduce their production costs. </w:t>
      </w:r>
    </w:p>
    <w:p w14:paraId="1DCDFF20" w14:textId="1FCB1F76" w:rsidR="002F440F" w:rsidRDefault="002F440F" w:rsidP="002F440F">
      <w:pPr>
        <w:pStyle w:val="ListBullet2"/>
      </w:pPr>
      <w:r>
        <w:lastRenderedPageBreak/>
        <w:t>The investment sector relied most heavily on ‘construction’ commodities, which constituted close to 60</w:t>
      </w:r>
      <w:r w:rsidR="00E94315">
        <w:t>%</w:t>
      </w:r>
      <w:r>
        <w:t xml:space="preserve"> of the total value of investment before the simulation. Simulating increased productivity in the ‘construction’ industry increased the capital stock by 0.9</w:t>
      </w:r>
      <w:r w:rsidR="00E94315">
        <w:t>%</w:t>
      </w:r>
      <w:r>
        <w:t xml:space="preserve">. </w:t>
      </w:r>
    </w:p>
    <w:p w14:paraId="02C129F9" w14:textId="20B73262" w:rsidR="002F440F" w:rsidRPr="00B84400" w:rsidRDefault="002F440F" w:rsidP="002F440F">
      <w:pPr>
        <w:pStyle w:val="ListBullet2"/>
        <w:rPr>
          <w:spacing w:val="-4"/>
        </w:rPr>
      </w:pPr>
      <w:r w:rsidRPr="00B84400">
        <w:rPr>
          <w:spacing w:val="-4"/>
        </w:rPr>
        <w:t>Non</w:t>
      </w:r>
      <w:r w:rsidR="00A43B86">
        <w:rPr>
          <w:spacing w:val="-4"/>
        </w:rPr>
        <w:noBreakHyphen/>
      </w:r>
      <w:r w:rsidRPr="00B84400">
        <w:rPr>
          <w:spacing w:val="-4"/>
        </w:rPr>
        <w:t>market services, such as education, ‘public administration’ and ‘health and social services’, were least directly relevant to the investment sector, and are also produced with relatively little capital. The capital stock increased by less than 0.1</w:t>
      </w:r>
      <w:r w:rsidR="00E94315">
        <w:rPr>
          <w:spacing w:val="-4"/>
        </w:rPr>
        <w:t>%</w:t>
      </w:r>
      <w:r w:rsidRPr="00B84400">
        <w:rPr>
          <w:spacing w:val="-4"/>
        </w:rPr>
        <w:t xml:space="preserve"> when productivity improvements in these industries are simulated.</w:t>
      </w:r>
    </w:p>
    <w:p w14:paraId="4773E38A" w14:textId="459425FC" w:rsidR="002F440F" w:rsidRPr="00B84400" w:rsidRDefault="002F440F" w:rsidP="002F440F">
      <w:pPr>
        <w:pStyle w:val="BodyText"/>
        <w:rPr>
          <w:spacing w:val="-2"/>
        </w:rPr>
      </w:pPr>
      <w:r w:rsidRPr="00B84400">
        <w:rPr>
          <w:spacing w:val="-2"/>
        </w:rPr>
        <w:t>There were also different effects on labour use in productivity</w:t>
      </w:r>
      <w:r w:rsidR="00A43B86">
        <w:rPr>
          <w:spacing w:val="-2"/>
        </w:rPr>
        <w:noBreakHyphen/>
      </w:r>
      <w:r w:rsidRPr="00B84400">
        <w:rPr>
          <w:spacing w:val="-2"/>
        </w:rPr>
        <w:t>simulated industries. In some industries, increased productivity led to a fall in labour use</w:t>
      </w:r>
      <w:r w:rsidR="00A71895" w:rsidRPr="00B84400">
        <w:rPr>
          <w:spacing w:val="-2"/>
        </w:rPr>
        <w:t>d</w:t>
      </w:r>
      <w:r w:rsidRPr="00B84400">
        <w:rPr>
          <w:spacing w:val="-2"/>
        </w:rPr>
        <w:t xml:space="preserve"> </w:t>
      </w:r>
      <w:r w:rsidR="00A71895" w:rsidRPr="00B84400">
        <w:rPr>
          <w:spacing w:val="-2"/>
        </w:rPr>
        <w:t>by that industry</w:t>
      </w:r>
      <w:r w:rsidRPr="00B84400">
        <w:rPr>
          <w:spacing w:val="-2"/>
        </w:rPr>
        <w:t xml:space="preserve"> because less labour was required to produce each unit of output, which more than offset the need for more labour arising from increased demand for goods and services (due to the </w:t>
      </w:r>
      <w:proofErr w:type="gramStart"/>
      <w:r w:rsidRPr="00B84400">
        <w:rPr>
          <w:spacing w:val="-2"/>
        </w:rPr>
        <w:t>aforementioned relative</w:t>
      </w:r>
      <w:proofErr w:type="gramEnd"/>
      <w:r w:rsidRPr="00B84400">
        <w:rPr>
          <w:spacing w:val="-2"/>
        </w:rPr>
        <w:t xml:space="preserve"> price falls). In other industries, particularly those for which overseas demand was more responsive to price changes (such as ‘mining’, ‘advanced manufacturing’, ‘other manufacturing’ and </w:t>
      </w:r>
      <w:r w:rsidRPr="00B84400">
        <w:rPr>
          <w:rFonts w:ascii="Arial (Body)" w:hAnsi="Arial (Body)"/>
          <w:color w:val="000000"/>
          <w:spacing w:val="-2"/>
        </w:rPr>
        <w:t>‘technical, vocational and tertiary education’</w:t>
      </w:r>
      <w:r w:rsidRPr="00B84400">
        <w:rPr>
          <w:spacing w:val="-2"/>
        </w:rPr>
        <w:t>), the increase in demand for these industries’ commodities was large enough to drive an increase in labour use</w:t>
      </w:r>
      <w:r w:rsidR="00A71895" w:rsidRPr="00B84400">
        <w:rPr>
          <w:spacing w:val="-2"/>
        </w:rPr>
        <w:t>d by that industry</w:t>
      </w:r>
      <w:r w:rsidRPr="00B84400">
        <w:rPr>
          <w:spacing w:val="-2"/>
        </w:rPr>
        <w:t xml:space="preserve">. </w:t>
      </w:r>
    </w:p>
    <w:p w14:paraId="43ECF3CF" w14:textId="1C26B55D" w:rsidR="002F440F" w:rsidRPr="00B84400" w:rsidRDefault="002F440F" w:rsidP="002F440F">
      <w:pPr>
        <w:pStyle w:val="BodyText"/>
        <w:rPr>
          <w:spacing w:val="-4"/>
        </w:rPr>
      </w:pPr>
      <w:r w:rsidRPr="00B84400">
        <w:rPr>
          <w:spacing w:val="-4"/>
        </w:rPr>
        <w:t>The capital stock increased under all simulations. Although some productivity</w:t>
      </w:r>
      <w:r w:rsidR="00A43B86">
        <w:rPr>
          <w:spacing w:val="-4"/>
        </w:rPr>
        <w:noBreakHyphen/>
      </w:r>
      <w:r w:rsidRPr="00B84400">
        <w:rPr>
          <w:spacing w:val="-4"/>
        </w:rPr>
        <w:t>simulated industries used less capital in production after the productivity shock, this was more than offset by increased demand for capital from growth in other industries, as well as lower relative prices of investment and capital rental in some scenarios.</w:t>
      </w:r>
    </w:p>
    <w:p w14:paraId="74523266" w14:textId="21A1E883" w:rsidR="002F440F" w:rsidRDefault="002F440F" w:rsidP="002F440F">
      <w:pPr>
        <w:pStyle w:val="BodyText"/>
      </w:pPr>
      <w:r>
        <w:t>The overall wellbeing of households (as measured by a combination of how much they consume and how much leisure they enjoy) increased across all simulations. This was largely due to real wage</w:t>
      </w:r>
      <w:r w:rsidR="004B61DD">
        <w:t xml:space="preserve"> rate</w:t>
      </w:r>
      <w:r>
        <w:t>s (that is, wages relative to the economy</w:t>
      </w:r>
      <w:r w:rsidR="00A43B86">
        <w:noBreakHyphen/>
      </w:r>
      <w:r>
        <w:t>wide CPI) rising across all age groups, genders and education levels. Other than in the simulations that increased productivity in ‘</w:t>
      </w:r>
      <w:r w:rsidRPr="00E9747F">
        <w:t>school education’ and ‘health and social services’, households chose to spend slightly less time on leisure and increased their hours of work</w:t>
      </w:r>
      <w:r w:rsidR="00281620" w:rsidRPr="00E9747F">
        <w:t xml:space="preserve"> (which facilitated an increase in consumption)</w:t>
      </w:r>
      <w:r w:rsidRPr="00E9747F">
        <w:t>.</w:t>
      </w:r>
      <w:r>
        <w:t xml:space="preserve"> </w:t>
      </w:r>
    </w:p>
    <w:p w14:paraId="106469F8" w14:textId="4F2EB4AB" w:rsidR="002F440F" w:rsidRDefault="002F440F" w:rsidP="002F440F">
      <w:pPr>
        <w:pStyle w:val="BodyText"/>
      </w:pPr>
      <w:r>
        <w:t xml:space="preserve">While household wellbeing increased in all simulations, the effects were not enjoyed equally across different groups. Industries such as ‘retail’ and ‘hospitality’ tended to employ more younger </w:t>
      </w:r>
      <w:r w:rsidRPr="00E9747F">
        <w:t>and lower</w:t>
      </w:r>
      <w:r w:rsidRPr="00E9747F">
        <w:noBreakHyphen/>
        <w:t xml:space="preserve">educated workers who had lower </w:t>
      </w:r>
      <w:r>
        <w:t>wage</w:t>
      </w:r>
      <w:r w:rsidR="004B61DD">
        <w:t xml:space="preserve"> rate</w:t>
      </w:r>
      <w:r>
        <w:t>s.</w:t>
      </w:r>
      <w:r w:rsidRPr="00E9747F">
        <w:t xml:space="preserve"> Productivity improvements in these industries led to </w:t>
      </w:r>
      <w:r w:rsidR="00C60F78" w:rsidRPr="00E9747F">
        <w:t xml:space="preserve">these industries reducing their use of </w:t>
      </w:r>
      <w:r w:rsidRPr="00E9747F">
        <w:t xml:space="preserve">labour. While this labour was absorbed by other industries, overall real wage </w:t>
      </w:r>
      <w:r w:rsidR="004B61DD">
        <w:t xml:space="preserve">rate </w:t>
      </w:r>
      <w:r w:rsidRPr="00E9747F">
        <w:t>rises were still smaller for younger and lower</w:t>
      </w:r>
      <w:r w:rsidRPr="00E9747F">
        <w:noBreakHyphen/>
        <w:t>educated workers compared with older and more educated workers</w:t>
      </w:r>
      <w:r>
        <w:t>, leading to greater consumption inequality. Conversely, productivity improvements in industries such as ‘financial services’ and ‘p</w:t>
      </w:r>
      <w:r w:rsidRPr="000D1D2C">
        <w:t>rofessional, scientific and technical services</w:t>
      </w:r>
      <w:r>
        <w:t>’, which tended to employ higher</w:t>
      </w:r>
      <w:r w:rsidR="00D44AF2">
        <w:noBreakHyphen/>
      </w:r>
      <w:r>
        <w:t>earning more educated workers, led to a fall in consumption inequality because real wage rises were relatively smaller for these workers than for the younger and lower</w:t>
      </w:r>
      <w:r w:rsidR="00A43B86">
        <w:noBreakHyphen/>
      </w:r>
      <w:r>
        <w:t>educated workers who were more likely to be employed in other industries.</w:t>
      </w:r>
    </w:p>
    <w:p w14:paraId="204ECFDE" w14:textId="739E4170" w:rsidR="002D2B93" w:rsidRDefault="002F440F" w:rsidP="002E6744">
      <w:pPr>
        <w:pStyle w:val="BodyText"/>
        <w:sectPr w:rsidR="002D2B93" w:rsidSect="00A469A1">
          <w:headerReference w:type="default" r:id="rId76"/>
          <w:type w:val="oddPage"/>
          <w:pgSz w:w="11906" w:h="16838" w:code="9"/>
          <w:pgMar w:top="1134" w:right="1134" w:bottom="1134" w:left="1134" w:header="794" w:footer="510" w:gutter="0"/>
          <w:cols w:space="708"/>
          <w:docGrid w:linePitch="360"/>
        </w:sectPr>
      </w:pPr>
      <w:r>
        <w:t>I</w:t>
      </w:r>
      <w:r w:rsidRPr="004B3553">
        <w:t xml:space="preserve">n addition to </w:t>
      </w:r>
      <w:r>
        <w:t xml:space="preserve">simulating 16 separate diffusion scenarios across each of the 16 industries in the model, the Commission ran </w:t>
      </w:r>
      <w:r w:rsidRPr="004B3553">
        <w:t xml:space="preserve">an overall simulation that applied the </w:t>
      </w:r>
      <w:r>
        <w:t>1</w:t>
      </w:r>
      <w:r w:rsidR="00E94315">
        <w:t>%</w:t>
      </w:r>
      <w:r>
        <w:t xml:space="preserve"> </w:t>
      </w:r>
      <w:r w:rsidRPr="004B3553">
        <w:t>productivity improvement to all 16</w:t>
      </w:r>
      <w:r>
        <w:t> </w:t>
      </w:r>
      <w:r w:rsidRPr="004B3553">
        <w:t>industries at once</w:t>
      </w:r>
      <w:r>
        <w:t>. Improving productivity in all 16 industries by 1</w:t>
      </w:r>
      <w:r w:rsidR="00E94315">
        <w:t>%</w:t>
      </w:r>
      <w:r>
        <w:t xml:space="preserve"> in a single simulation led to an increase in real GDP of about 3.3</w:t>
      </w:r>
      <w:r w:rsidR="00E94315">
        <w:t>%</w:t>
      </w:r>
      <w:r>
        <w:t xml:space="preserve"> and an increase in real gross national income of about 3.5</w:t>
      </w:r>
      <w:r w:rsidR="00E94315">
        <w:t>%</w:t>
      </w:r>
      <w:r>
        <w:t>. These increases were slightly higher than the combined increases from each separate simulation, due to interaction effects across the economy. Sensitivity testing found that the real GDP increase ranged from about 1.6 to 4.9</w:t>
      </w:r>
      <w:r w:rsidR="00E94315">
        <w:t>%</w:t>
      </w:r>
      <w:r>
        <w:t xml:space="preserve"> across different assumed shock sizes, indicating the uncertainty of effects (</w:t>
      </w:r>
      <w:r w:rsidR="009F5B8B">
        <w:t>chapter</w:t>
      </w:r>
      <w:r>
        <w:t xml:space="preserve"> 4 of this inquiry’s companion volume </w:t>
      </w:r>
      <w:r w:rsidRPr="003605EF">
        <w:rPr>
          <w:i/>
          <w:iCs/>
        </w:rPr>
        <w:t>Whole</w:t>
      </w:r>
      <w:r w:rsidR="00A43B86">
        <w:rPr>
          <w:i/>
          <w:iCs/>
        </w:rPr>
        <w:noBreakHyphen/>
      </w:r>
      <w:r w:rsidRPr="003605EF">
        <w:rPr>
          <w:i/>
          <w:iCs/>
        </w:rPr>
        <w:t>of</w:t>
      </w:r>
      <w:r w:rsidR="00A43B86">
        <w:rPr>
          <w:i/>
          <w:iCs/>
        </w:rPr>
        <w:noBreakHyphen/>
      </w:r>
      <w:r w:rsidRPr="003605EF">
        <w:rPr>
          <w:i/>
          <w:iCs/>
        </w:rPr>
        <w:t>economy modelling</w:t>
      </w:r>
      <w:r>
        <w:t>). The overall improvement in household wellbeing was worth about $1850 per person per year in 2018</w:t>
      </w:r>
      <w:r w:rsidR="00A43B86">
        <w:noBreakHyphen/>
      </w:r>
      <w:r>
        <w:t>19 dollars, and the benefits were more evenly spread across different individual groups, leading to a reduction in consumption inequality.</w:t>
      </w:r>
    </w:p>
    <w:p w14:paraId="5E866F6D" w14:textId="77777777" w:rsidR="00673B18" w:rsidRDefault="00673B18" w:rsidP="00673B18">
      <w:pPr>
        <w:pStyle w:val="Heading1-nobackground"/>
        <w:rPr>
          <w:noProof/>
        </w:rPr>
      </w:pPr>
      <w:bookmarkStart w:id="126" w:name="_Toc126145998"/>
      <w:bookmarkStart w:id="127" w:name="_Toc126304792"/>
      <w:r>
        <w:rPr>
          <w:noProof/>
        </w:rPr>
        <w:lastRenderedPageBreak/>
        <w:t>Abbreviations</w:t>
      </w:r>
      <w:bookmarkEnd w:id="126"/>
      <w:bookmarkEnd w:id="127"/>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3"/>
      </w:tblGrid>
      <w:tr w:rsidR="00DB2B3D" w:rsidRPr="00030C67" w14:paraId="1E311141" w14:textId="77777777" w:rsidTr="001D55EF">
        <w:tc>
          <w:tcPr>
            <w:tcW w:w="1985" w:type="dxa"/>
            <w:tcBorders>
              <w:top w:val="single" w:sz="4" w:space="0" w:color="B3B3B3"/>
              <w:bottom w:val="nil"/>
            </w:tcBorders>
            <w:shd w:val="clear" w:color="000000" w:fill="F2F2F2"/>
          </w:tcPr>
          <w:p w14:paraId="56C191C6" w14:textId="2D754A08" w:rsidR="00DB2B3D" w:rsidRPr="00963CFF" w:rsidRDefault="00B74C42" w:rsidP="00963CFF">
            <w:pPr>
              <w:pStyle w:val="TableHeading"/>
              <w:spacing w:before="45" w:after="45"/>
              <w:ind w:right="108"/>
              <w:rPr>
                <w:rFonts w:ascii="Arial (Body)" w:hAnsi="Arial (Body)"/>
                <w:color w:val="265A9A"/>
              </w:rPr>
            </w:pPr>
            <w:r w:rsidRPr="00963CFF">
              <w:rPr>
                <w:rFonts w:ascii="Arial (Body)" w:hAnsi="Arial (Body)"/>
                <w:color w:val="265A9A"/>
              </w:rPr>
              <w:t>ABARES</w:t>
            </w:r>
          </w:p>
        </w:tc>
        <w:tc>
          <w:tcPr>
            <w:tcW w:w="7653" w:type="dxa"/>
            <w:tcBorders>
              <w:top w:val="single" w:sz="4" w:space="0" w:color="B3B3B3"/>
              <w:bottom w:val="nil"/>
            </w:tcBorders>
            <w:shd w:val="clear" w:color="000000" w:fill="F2F2F2"/>
          </w:tcPr>
          <w:p w14:paraId="7DE6E6CC" w14:textId="54BB9879" w:rsidR="00DB2B3D" w:rsidRPr="00030C67" w:rsidRDefault="00EE7647" w:rsidP="00DB2B3D">
            <w:pPr>
              <w:pStyle w:val="TableBody"/>
              <w:spacing w:before="45" w:after="45"/>
              <w:ind w:right="108"/>
              <w:rPr>
                <w:rFonts w:ascii="Arial (Body)" w:hAnsi="Arial (Body)"/>
                <w:color w:val="000000"/>
              </w:rPr>
            </w:pPr>
            <w:r w:rsidRPr="00EE7647">
              <w:rPr>
                <w:rFonts w:ascii="Arial (Body)" w:hAnsi="Arial (Body)"/>
                <w:color w:val="000000"/>
              </w:rPr>
              <w:t>Australian Bureau of Agricultural and Resource Economics and Sciences</w:t>
            </w:r>
          </w:p>
        </w:tc>
      </w:tr>
      <w:tr w:rsidR="00DB2B3D" w:rsidRPr="00030C67" w14:paraId="0EBF6740" w14:textId="77777777" w:rsidTr="001D55EF">
        <w:tc>
          <w:tcPr>
            <w:tcW w:w="1985" w:type="dxa"/>
            <w:tcBorders>
              <w:top w:val="nil"/>
              <w:bottom w:val="nil"/>
            </w:tcBorders>
            <w:shd w:val="clear" w:color="000000" w:fill="auto"/>
          </w:tcPr>
          <w:p w14:paraId="5B6FA8E1" w14:textId="0C171F54" w:rsidR="00DB2B3D" w:rsidRPr="00963CFF" w:rsidRDefault="00D6217A" w:rsidP="00963CFF">
            <w:pPr>
              <w:pStyle w:val="TableHeading"/>
              <w:spacing w:before="45" w:after="45"/>
              <w:ind w:right="108"/>
              <w:rPr>
                <w:rFonts w:ascii="Arial (Body)" w:hAnsi="Arial (Body)"/>
                <w:color w:val="265A9A"/>
              </w:rPr>
            </w:pPr>
            <w:r w:rsidRPr="00963CFF">
              <w:rPr>
                <w:rFonts w:ascii="Arial (Body)" w:hAnsi="Arial (Body)"/>
                <w:color w:val="265A9A"/>
              </w:rPr>
              <w:t>ABS</w:t>
            </w:r>
          </w:p>
        </w:tc>
        <w:tc>
          <w:tcPr>
            <w:tcW w:w="7653" w:type="dxa"/>
            <w:tcBorders>
              <w:top w:val="nil"/>
              <w:bottom w:val="nil"/>
            </w:tcBorders>
            <w:shd w:val="clear" w:color="000000" w:fill="auto"/>
          </w:tcPr>
          <w:p w14:paraId="75F3382F" w14:textId="71F20375" w:rsidR="00DB2B3D" w:rsidRPr="00030C67" w:rsidRDefault="00126BD5" w:rsidP="00DB2B3D">
            <w:pPr>
              <w:pStyle w:val="TableBody"/>
              <w:spacing w:before="45" w:after="45"/>
              <w:ind w:right="108"/>
              <w:rPr>
                <w:rFonts w:ascii="Arial (Body)" w:hAnsi="Arial (Body)"/>
                <w:color w:val="000000"/>
              </w:rPr>
            </w:pPr>
            <w:r w:rsidRPr="00126BD5">
              <w:rPr>
                <w:rFonts w:ascii="Arial (Body)" w:hAnsi="Arial (Body)"/>
                <w:color w:val="000000"/>
              </w:rPr>
              <w:t>Australian Bureau of Statistics</w:t>
            </w:r>
          </w:p>
        </w:tc>
      </w:tr>
      <w:tr w:rsidR="00DB2B3D" w:rsidRPr="00030C67" w14:paraId="3F32834B" w14:textId="77777777" w:rsidTr="001D55EF">
        <w:tc>
          <w:tcPr>
            <w:tcW w:w="1985" w:type="dxa"/>
            <w:tcBorders>
              <w:bottom w:val="nil"/>
            </w:tcBorders>
            <w:shd w:val="clear" w:color="000000" w:fill="F2F2F2"/>
          </w:tcPr>
          <w:p w14:paraId="5FE8C59C" w14:textId="01ED0D68" w:rsidR="00DB2B3D" w:rsidRPr="00963CFF" w:rsidRDefault="007E6172" w:rsidP="00963CFF">
            <w:pPr>
              <w:pStyle w:val="TableHeading"/>
              <w:spacing w:before="45" w:after="45"/>
              <w:ind w:right="108"/>
              <w:rPr>
                <w:rFonts w:ascii="Arial (Body)" w:hAnsi="Arial (Body)"/>
                <w:color w:val="265A9A"/>
              </w:rPr>
            </w:pPr>
            <w:r w:rsidRPr="00963CFF">
              <w:rPr>
                <w:rFonts w:ascii="Arial (Body)" w:hAnsi="Arial (Body)"/>
                <w:color w:val="265A9A"/>
              </w:rPr>
              <w:t>ABSF</w:t>
            </w:r>
          </w:p>
        </w:tc>
        <w:tc>
          <w:tcPr>
            <w:tcW w:w="7653" w:type="dxa"/>
            <w:tcBorders>
              <w:bottom w:val="nil"/>
            </w:tcBorders>
            <w:shd w:val="clear" w:color="000000" w:fill="F2F2F2"/>
          </w:tcPr>
          <w:p w14:paraId="7BCB3EBB" w14:textId="3BBC9197" w:rsidR="00DB2B3D" w:rsidRPr="00030C67" w:rsidRDefault="007E6172" w:rsidP="00DB2B3D">
            <w:pPr>
              <w:pStyle w:val="TableBody"/>
              <w:spacing w:before="45" w:after="45"/>
              <w:ind w:right="108"/>
              <w:rPr>
                <w:rFonts w:ascii="Arial (Body)" w:hAnsi="Arial (Body)"/>
                <w:color w:val="000000"/>
              </w:rPr>
            </w:pPr>
            <w:r w:rsidRPr="007E6172">
              <w:rPr>
                <w:rFonts w:ascii="Arial (Body)" w:hAnsi="Arial (Body)"/>
                <w:color w:val="000000"/>
              </w:rPr>
              <w:t>Australian Business Securitisation Fund</w:t>
            </w:r>
          </w:p>
        </w:tc>
      </w:tr>
      <w:tr w:rsidR="00EE7647" w:rsidRPr="00030C67" w14:paraId="7E4FD4A3" w14:textId="77777777" w:rsidTr="001D55EF">
        <w:tc>
          <w:tcPr>
            <w:tcW w:w="1985" w:type="dxa"/>
            <w:tcBorders>
              <w:top w:val="nil"/>
              <w:bottom w:val="nil"/>
            </w:tcBorders>
            <w:shd w:val="clear" w:color="000000" w:fill="auto"/>
          </w:tcPr>
          <w:p w14:paraId="62B8F25B" w14:textId="5FCE2730" w:rsidR="00EE7647" w:rsidRPr="00963CFF" w:rsidRDefault="00CD7C7B" w:rsidP="00963CFF">
            <w:pPr>
              <w:pStyle w:val="TableHeading"/>
              <w:spacing w:before="45" w:after="45"/>
              <w:ind w:right="108"/>
              <w:rPr>
                <w:rFonts w:ascii="Arial (Body)" w:hAnsi="Arial (Body)"/>
                <w:color w:val="265A9A"/>
              </w:rPr>
            </w:pPr>
            <w:r w:rsidRPr="00963CFF">
              <w:rPr>
                <w:rFonts w:ascii="Arial (Body)" w:hAnsi="Arial (Body)"/>
                <w:color w:val="265A9A"/>
              </w:rPr>
              <w:t>ACCC</w:t>
            </w:r>
          </w:p>
        </w:tc>
        <w:tc>
          <w:tcPr>
            <w:tcW w:w="7653" w:type="dxa"/>
            <w:tcBorders>
              <w:top w:val="nil"/>
              <w:bottom w:val="nil"/>
            </w:tcBorders>
            <w:shd w:val="clear" w:color="000000" w:fill="auto"/>
          </w:tcPr>
          <w:p w14:paraId="6C366865" w14:textId="6E4F5A2C" w:rsidR="00EE7647" w:rsidRDefault="00CD7C7B" w:rsidP="00DB2B3D">
            <w:pPr>
              <w:pStyle w:val="TableBody"/>
              <w:spacing w:before="45" w:after="45"/>
              <w:ind w:right="108"/>
              <w:rPr>
                <w:rFonts w:ascii="Arial (Body)" w:hAnsi="Arial (Body)"/>
                <w:color w:val="000000"/>
              </w:rPr>
            </w:pPr>
            <w:r w:rsidRPr="00CD7C7B">
              <w:rPr>
                <w:rFonts w:ascii="Arial (Body)" w:hAnsi="Arial (Body)"/>
                <w:color w:val="000000"/>
              </w:rPr>
              <w:t>Australian Competition and Consumer Commission</w:t>
            </w:r>
          </w:p>
        </w:tc>
      </w:tr>
      <w:tr w:rsidR="00EE7647" w:rsidRPr="00030C67" w14:paraId="44EE3CB3" w14:textId="77777777" w:rsidTr="001D55EF">
        <w:tc>
          <w:tcPr>
            <w:tcW w:w="1985" w:type="dxa"/>
            <w:tcBorders>
              <w:bottom w:val="nil"/>
            </w:tcBorders>
            <w:shd w:val="clear" w:color="000000" w:fill="F2F2F2"/>
          </w:tcPr>
          <w:p w14:paraId="316F3E7A" w14:textId="4E92073E" w:rsidR="00EE7647" w:rsidRPr="00963CFF" w:rsidRDefault="0094537E" w:rsidP="00963CFF">
            <w:pPr>
              <w:pStyle w:val="TableHeading"/>
              <w:spacing w:before="45" w:after="45"/>
              <w:ind w:right="108"/>
              <w:rPr>
                <w:rFonts w:ascii="Arial (Body)" w:hAnsi="Arial (Body)"/>
                <w:color w:val="265A9A"/>
              </w:rPr>
            </w:pPr>
            <w:r w:rsidRPr="00963CFF">
              <w:rPr>
                <w:rFonts w:ascii="Arial (Body)" w:hAnsi="Arial (Body)"/>
                <w:color w:val="265A9A"/>
              </w:rPr>
              <w:t>ACSQHC</w:t>
            </w:r>
          </w:p>
        </w:tc>
        <w:tc>
          <w:tcPr>
            <w:tcW w:w="7653" w:type="dxa"/>
            <w:tcBorders>
              <w:bottom w:val="nil"/>
            </w:tcBorders>
            <w:shd w:val="clear" w:color="000000" w:fill="F2F2F2"/>
          </w:tcPr>
          <w:p w14:paraId="13BC96B4" w14:textId="6481750E" w:rsidR="00EE7647" w:rsidRDefault="0094537E" w:rsidP="00DB2B3D">
            <w:pPr>
              <w:pStyle w:val="TableBody"/>
              <w:spacing w:before="45" w:after="45"/>
              <w:ind w:right="108"/>
              <w:rPr>
                <w:rFonts w:ascii="Arial (Body)" w:hAnsi="Arial (Body)"/>
                <w:color w:val="000000"/>
              </w:rPr>
            </w:pPr>
            <w:r w:rsidRPr="0094537E">
              <w:rPr>
                <w:rFonts w:ascii="Arial (Body)" w:hAnsi="Arial (Body)"/>
                <w:color w:val="000000"/>
              </w:rPr>
              <w:t>Australian Commission on Safety and Quality in Health Care</w:t>
            </w:r>
          </w:p>
        </w:tc>
      </w:tr>
      <w:tr w:rsidR="00EE7647" w:rsidRPr="00030C67" w14:paraId="5F01DC1B" w14:textId="77777777" w:rsidTr="001D55EF">
        <w:tc>
          <w:tcPr>
            <w:tcW w:w="1985" w:type="dxa"/>
            <w:tcBorders>
              <w:top w:val="nil"/>
              <w:bottom w:val="nil"/>
            </w:tcBorders>
            <w:shd w:val="clear" w:color="000000" w:fill="auto"/>
          </w:tcPr>
          <w:p w14:paraId="368EC767" w14:textId="4DE7938E" w:rsidR="00EE7647" w:rsidRPr="00963CFF" w:rsidRDefault="002A5BB3" w:rsidP="00963CFF">
            <w:pPr>
              <w:pStyle w:val="TableHeading"/>
              <w:spacing w:before="45" w:after="45"/>
              <w:ind w:right="108"/>
              <w:rPr>
                <w:rFonts w:ascii="Arial (Body)" w:hAnsi="Arial (Body)"/>
                <w:color w:val="265A9A"/>
              </w:rPr>
            </w:pPr>
            <w:r w:rsidRPr="00963CFF">
              <w:rPr>
                <w:rFonts w:ascii="Arial (Body)" w:hAnsi="Arial (Body)"/>
                <w:color w:val="265A9A"/>
              </w:rPr>
              <w:t>AI</w:t>
            </w:r>
          </w:p>
        </w:tc>
        <w:tc>
          <w:tcPr>
            <w:tcW w:w="7653" w:type="dxa"/>
            <w:tcBorders>
              <w:top w:val="nil"/>
              <w:bottom w:val="nil"/>
            </w:tcBorders>
            <w:shd w:val="clear" w:color="000000" w:fill="auto"/>
          </w:tcPr>
          <w:p w14:paraId="1E8492D6" w14:textId="2D29FFBE" w:rsidR="00EE7647" w:rsidRDefault="002A5BB3" w:rsidP="00DB2B3D">
            <w:pPr>
              <w:pStyle w:val="TableBody"/>
              <w:spacing w:before="45" w:after="45"/>
              <w:ind w:right="108"/>
              <w:rPr>
                <w:rFonts w:ascii="Arial (Body)" w:hAnsi="Arial (Body)"/>
                <w:color w:val="000000"/>
              </w:rPr>
            </w:pPr>
            <w:r>
              <w:rPr>
                <w:rFonts w:ascii="Arial (Body)" w:hAnsi="Arial (Body)"/>
                <w:color w:val="000000"/>
              </w:rPr>
              <w:t>Artificial intelligence</w:t>
            </w:r>
          </w:p>
        </w:tc>
      </w:tr>
      <w:tr w:rsidR="00EE7647" w:rsidRPr="00030C67" w14:paraId="3EAD3AB3" w14:textId="77777777" w:rsidTr="001D55EF">
        <w:tc>
          <w:tcPr>
            <w:tcW w:w="1985" w:type="dxa"/>
            <w:tcBorders>
              <w:bottom w:val="nil"/>
            </w:tcBorders>
            <w:shd w:val="clear" w:color="000000" w:fill="F2F2F2"/>
          </w:tcPr>
          <w:p w14:paraId="4DBDEA03" w14:textId="24003F16" w:rsidR="00EE7647" w:rsidRPr="00963CFF" w:rsidRDefault="00D13D85" w:rsidP="00963CFF">
            <w:pPr>
              <w:pStyle w:val="TableHeading"/>
              <w:spacing w:before="45" w:after="45"/>
              <w:ind w:right="108"/>
              <w:rPr>
                <w:rFonts w:ascii="Arial (Body)" w:hAnsi="Arial (Body)"/>
                <w:color w:val="265A9A"/>
              </w:rPr>
            </w:pPr>
            <w:r w:rsidRPr="00963CFF">
              <w:rPr>
                <w:rFonts w:ascii="Arial (Body)" w:hAnsi="Arial (Body)"/>
                <w:color w:val="265A9A"/>
              </w:rPr>
              <w:t>APRA</w:t>
            </w:r>
          </w:p>
        </w:tc>
        <w:tc>
          <w:tcPr>
            <w:tcW w:w="7653" w:type="dxa"/>
            <w:tcBorders>
              <w:bottom w:val="nil"/>
            </w:tcBorders>
            <w:shd w:val="clear" w:color="000000" w:fill="F2F2F2"/>
          </w:tcPr>
          <w:p w14:paraId="09C7524E" w14:textId="68B60BF2" w:rsidR="00EE7647" w:rsidRDefault="00454E52" w:rsidP="00DB2B3D">
            <w:pPr>
              <w:pStyle w:val="TableBody"/>
              <w:spacing w:before="45" w:after="45"/>
              <w:ind w:right="108"/>
              <w:rPr>
                <w:rFonts w:ascii="Arial (Body)" w:hAnsi="Arial (Body)"/>
                <w:color w:val="000000"/>
              </w:rPr>
            </w:pPr>
            <w:r w:rsidRPr="00454E52">
              <w:rPr>
                <w:rFonts w:ascii="Arial (Body)" w:hAnsi="Arial (Body)"/>
                <w:color w:val="000000"/>
              </w:rPr>
              <w:t>Australian Prudential Regulation Authority</w:t>
            </w:r>
          </w:p>
        </w:tc>
      </w:tr>
      <w:tr w:rsidR="00EE7647" w:rsidRPr="00030C67" w14:paraId="76AAAC3F" w14:textId="77777777" w:rsidTr="001D55EF">
        <w:tc>
          <w:tcPr>
            <w:tcW w:w="1985" w:type="dxa"/>
            <w:tcBorders>
              <w:top w:val="nil"/>
              <w:bottom w:val="nil"/>
            </w:tcBorders>
            <w:shd w:val="clear" w:color="000000" w:fill="auto"/>
          </w:tcPr>
          <w:p w14:paraId="0E28D5F3" w14:textId="5EDCFA8A" w:rsidR="00EE7647" w:rsidRPr="00963CFF" w:rsidRDefault="0087168B" w:rsidP="00963CFF">
            <w:pPr>
              <w:pStyle w:val="TableHeading"/>
              <w:spacing w:before="45" w:after="45"/>
              <w:ind w:right="108"/>
              <w:rPr>
                <w:rFonts w:ascii="Arial (Body)" w:hAnsi="Arial (Body)"/>
                <w:color w:val="265A9A"/>
              </w:rPr>
            </w:pPr>
            <w:r w:rsidRPr="00963CFF">
              <w:rPr>
                <w:rFonts w:ascii="Arial (Body)" w:hAnsi="Arial (Body)"/>
                <w:color w:val="265A9A"/>
              </w:rPr>
              <w:t>ASIC</w:t>
            </w:r>
          </w:p>
        </w:tc>
        <w:tc>
          <w:tcPr>
            <w:tcW w:w="7653" w:type="dxa"/>
            <w:tcBorders>
              <w:top w:val="nil"/>
              <w:bottom w:val="nil"/>
            </w:tcBorders>
            <w:shd w:val="clear" w:color="000000" w:fill="auto"/>
          </w:tcPr>
          <w:p w14:paraId="4FA48C64" w14:textId="29741194" w:rsidR="00EE7647" w:rsidRDefault="0087168B" w:rsidP="00DB2B3D">
            <w:pPr>
              <w:pStyle w:val="TableBody"/>
              <w:spacing w:before="45" w:after="45"/>
              <w:ind w:right="108"/>
              <w:rPr>
                <w:rFonts w:ascii="Arial (Body)" w:hAnsi="Arial (Body)"/>
                <w:color w:val="000000"/>
              </w:rPr>
            </w:pPr>
            <w:r w:rsidRPr="0087168B">
              <w:rPr>
                <w:rFonts w:ascii="Arial (Body)" w:hAnsi="Arial (Body)"/>
                <w:color w:val="000000"/>
              </w:rPr>
              <w:t>Australian Securities and Investments Commission</w:t>
            </w:r>
          </w:p>
        </w:tc>
      </w:tr>
      <w:tr w:rsidR="00EE7647" w:rsidRPr="00030C67" w14:paraId="52EC3FF0" w14:textId="77777777" w:rsidTr="001D55EF">
        <w:tc>
          <w:tcPr>
            <w:tcW w:w="1985" w:type="dxa"/>
            <w:tcBorders>
              <w:bottom w:val="nil"/>
            </w:tcBorders>
            <w:shd w:val="clear" w:color="000000" w:fill="F2F2F2"/>
          </w:tcPr>
          <w:p w14:paraId="1F9F0A0D" w14:textId="3FCB903C" w:rsidR="00EE7647" w:rsidRPr="00963CFF" w:rsidRDefault="00BA5151" w:rsidP="00963CFF">
            <w:pPr>
              <w:pStyle w:val="TableHeading"/>
              <w:spacing w:before="45" w:after="45"/>
              <w:ind w:right="108"/>
              <w:rPr>
                <w:rFonts w:ascii="Arial (Body)" w:hAnsi="Arial (Body)"/>
                <w:color w:val="265A9A"/>
              </w:rPr>
            </w:pPr>
            <w:r w:rsidRPr="00963CFF">
              <w:rPr>
                <w:rFonts w:ascii="Arial (Body)" w:hAnsi="Arial (Body)"/>
                <w:color w:val="265A9A"/>
              </w:rPr>
              <w:t>ATO</w:t>
            </w:r>
          </w:p>
        </w:tc>
        <w:tc>
          <w:tcPr>
            <w:tcW w:w="7653" w:type="dxa"/>
            <w:tcBorders>
              <w:bottom w:val="nil"/>
            </w:tcBorders>
            <w:shd w:val="clear" w:color="000000" w:fill="F2F2F2"/>
          </w:tcPr>
          <w:p w14:paraId="335159BC" w14:textId="2D8787DD" w:rsidR="00EE7647" w:rsidRDefault="00BA5151" w:rsidP="00DB2B3D">
            <w:pPr>
              <w:pStyle w:val="TableBody"/>
              <w:spacing w:before="45" w:after="45"/>
              <w:ind w:right="108"/>
              <w:rPr>
                <w:rFonts w:ascii="Arial (Body)" w:hAnsi="Arial (Body)"/>
                <w:color w:val="000000"/>
              </w:rPr>
            </w:pPr>
            <w:r>
              <w:rPr>
                <w:rFonts w:ascii="Arial (Body)" w:hAnsi="Arial (Body)"/>
                <w:color w:val="000000"/>
              </w:rPr>
              <w:t>Australian Taxation Office</w:t>
            </w:r>
          </w:p>
        </w:tc>
      </w:tr>
      <w:tr w:rsidR="00EE7647" w:rsidRPr="00030C67" w14:paraId="5B2A21A2" w14:textId="77777777" w:rsidTr="001D55EF">
        <w:tc>
          <w:tcPr>
            <w:tcW w:w="1985" w:type="dxa"/>
            <w:tcBorders>
              <w:top w:val="nil"/>
              <w:bottom w:val="nil"/>
            </w:tcBorders>
            <w:shd w:val="clear" w:color="000000" w:fill="auto"/>
          </w:tcPr>
          <w:p w14:paraId="6BA01A12" w14:textId="188E7AC7" w:rsidR="00EE7647" w:rsidRPr="00963CFF" w:rsidRDefault="00E3621E" w:rsidP="00963CFF">
            <w:pPr>
              <w:pStyle w:val="TableHeading"/>
              <w:spacing w:before="45" w:after="45"/>
              <w:ind w:right="108"/>
              <w:rPr>
                <w:rFonts w:ascii="Arial (Body)" w:hAnsi="Arial (Body)"/>
                <w:color w:val="265A9A"/>
              </w:rPr>
            </w:pPr>
            <w:r w:rsidRPr="00963CFF">
              <w:rPr>
                <w:rFonts w:ascii="Arial (Body)" w:hAnsi="Arial (Body)"/>
                <w:color w:val="265A9A"/>
              </w:rPr>
              <w:t>CBA</w:t>
            </w:r>
          </w:p>
        </w:tc>
        <w:tc>
          <w:tcPr>
            <w:tcW w:w="7653" w:type="dxa"/>
            <w:tcBorders>
              <w:top w:val="nil"/>
              <w:bottom w:val="nil"/>
            </w:tcBorders>
            <w:shd w:val="clear" w:color="000000" w:fill="auto"/>
          </w:tcPr>
          <w:p w14:paraId="78151095" w14:textId="7DAC6509" w:rsidR="00EE7647" w:rsidRDefault="00E3621E" w:rsidP="00DB2B3D">
            <w:pPr>
              <w:pStyle w:val="TableBody"/>
              <w:spacing w:before="45" w:after="45"/>
              <w:ind w:right="108"/>
              <w:rPr>
                <w:rFonts w:ascii="Arial (Body)" w:hAnsi="Arial (Body)"/>
                <w:color w:val="000000"/>
              </w:rPr>
            </w:pPr>
            <w:r>
              <w:rPr>
                <w:rFonts w:ascii="Arial (Body)" w:hAnsi="Arial (Body)"/>
                <w:color w:val="000000"/>
              </w:rPr>
              <w:t>Cost</w:t>
            </w:r>
            <w:r w:rsidR="00A43B86">
              <w:rPr>
                <w:rFonts w:ascii="Arial (Body)" w:hAnsi="Arial (Body)"/>
                <w:color w:val="000000"/>
              </w:rPr>
              <w:noBreakHyphen/>
            </w:r>
            <w:r>
              <w:rPr>
                <w:rFonts w:ascii="Arial (Body)" w:hAnsi="Arial (Body)"/>
                <w:color w:val="000000"/>
              </w:rPr>
              <w:t>benefit analysis</w:t>
            </w:r>
          </w:p>
        </w:tc>
      </w:tr>
      <w:tr w:rsidR="00EE7647" w:rsidRPr="00030C67" w14:paraId="5F8E3605" w14:textId="77777777" w:rsidTr="001D55EF">
        <w:tc>
          <w:tcPr>
            <w:tcW w:w="1985" w:type="dxa"/>
            <w:tcBorders>
              <w:bottom w:val="nil"/>
            </w:tcBorders>
            <w:shd w:val="clear" w:color="000000" w:fill="F2F2F2"/>
          </w:tcPr>
          <w:p w14:paraId="78B7D5F9" w14:textId="7D0F20DE" w:rsidR="00EE7647" w:rsidRPr="00963CFF" w:rsidRDefault="005212A5" w:rsidP="00963CFF">
            <w:pPr>
              <w:pStyle w:val="TableHeading"/>
              <w:spacing w:before="45" w:after="45"/>
              <w:ind w:right="108"/>
              <w:rPr>
                <w:rFonts w:ascii="Arial (Body)" w:hAnsi="Arial (Body)"/>
                <w:color w:val="265A9A"/>
              </w:rPr>
            </w:pPr>
            <w:r w:rsidRPr="00963CFF">
              <w:rPr>
                <w:rFonts w:ascii="Arial (Body)" w:hAnsi="Arial (Body)"/>
                <w:color w:val="265A9A"/>
              </w:rPr>
              <w:t>CPI</w:t>
            </w:r>
          </w:p>
        </w:tc>
        <w:tc>
          <w:tcPr>
            <w:tcW w:w="7653" w:type="dxa"/>
            <w:tcBorders>
              <w:bottom w:val="nil"/>
            </w:tcBorders>
            <w:shd w:val="clear" w:color="000000" w:fill="F2F2F2"/>
          </w:tcPr>
          <w:p w14:paraId="3F98AF69" w14:textId="1D4BFBBA" w:rsidR="00EE7647" w:rsidRDefault="005212A5" w:rsidP="00DB2B3D">
            <w:pPr>
              <w:pStyle w:val="TableBody"/>
              <w:spacing w:before="45" w:after="45"/>
              <w:ind w:right="108"/>
              <w:rPr>
                <w:rFonts w:ascii="Arial (Body)" w:hAnsi="Arial (Body)"/>
                <w:color w:val="000000"/>
              </w:rPr>
            </w:pPr>
            <w:r>
              <w:rPr>
                <w:rFonts w:ascii="Arial (Body)" w:hAnsi="Arial (Body)"/>
                <w:color w:val="000000"/>
              </w:rPr>
              <w:t>Consumer price index</w:t>
            </w:r>
          </w:p>
        </w:tc>
      </w:tr>
      <w:tr w:rsidR="00E3621E" w:rsidRPr="00030C67" w14:paraId="49A1A5EF" w14:textId="77777777" w:rsidTr="001D55EF">
        <w:tc>
          <w:tcPr>
            <w:tcW w:w="1985" w:type="dxa"/>
            <w:tcBorders>
              <w:top w:val="nil"/>
              <w:bottom w:val="nil"/>
            </w:tcBorders>
            <w:shd w:val="clear" w:color="000000" w:fill="auto"/>
          </w:tcPr>
          <w:p w14:paraId="58829875" w14:textId="7829AC6F" w:rsidR="00E3621E" w:rsidRPr="00963CFF" w:rsidRDefault="00423239" w:rsidP="00963CFF">
            <w:pPr>
              <w:pStyle w:val="TableHeading"/>
              <w:spacing w:before="45" w:after="45"/>
              <w:ind w:right="108"/>
              <w:rPr>
                <w:rFonts w:ascii="Arial (Body)" w:hAnsi="Arial (Body)"/>
                <w:color w:val="265A9A"/>
              </w:rPr>
            </w:pPr>
            <w:r w:rsidRPr="00963CFF">
              <w:rPr>
                <w:rFonts w:ascii="Arial (Body)" w:hAnsi="Arial (Body)"/>
                <w:color w:val="265A9A"/>
              </w:rPr>
              <w:t>CSIRO</w:t>
            </w:r>
          </w:p>
        </w:tc>
        <w:tc>
          <w:tcPr>
            <w:tcW w:w="7653" w:type="dxa"/>
            <w:tcBorders>
              <w:top w:val="nil"/>
              <w:bottom w:val="nil"/>
            </w:tcBorders>
            <w:shd w:val="clear" w:color="000000" w:fill="auto"/>
          </w:tcPr>
          <w:p w14:paraId="251FA24A" w14:textId="2F4AFC96" w:rsidR="00E3621E" w:rsidRDefault="00423239" w:rsidP="00DB2B3D">
            <w:pPr>
              <w:pStyle w:val="TableBody"/>
              <w:spacing w:before="45" w:after="45"/>
              <w:ind w:right="108"/>
              <w:rPr>
                <w:rFonts w:ascii="Arial (Body)" w:hAnsi="Arial (Body)"/>
                <w:color w:val="000000"/>
              </w:rPr>
            </w:pPr>
            <w:r w:rsidRPr="00423239">
              <w:rPr>
                <w:rFonts w:ascii="Arial (Body)" w:hAnsi="Arial (Body)"/>
                <w:color w:val="000000"/>
              </w:rPr>
              <w:t>Commonwealth Scientific and Industrial Research Organisation</w:t>
            </w:r>
          </w:p>
        </w:tc>
      </w:tr>
      <w:tr w:rsidR="00E3621E" w:rsidRPr="00030C67" w14:paraId="3FA30B15" w14:textId="77777777" w:rsidTr="001D55EF">
        <w:tc>
          <w:tcPr>
            <w:tcW w:w="1985" w:type="dxa"/>
            <w:tcBorders>
              <w:bottom w:val="nil"/>
            </w:tcBorders>
            <w:shd w:val="clear" w:color="000000" w:fill="F2F2F2"/>
          </w:tcPr>
          <w:p w14:paraId="1BD3E5A8" w14:textId="00AD7CF6" w:rsidR="00E3621E" w:rsidRPr="00963CFF" w:rsidRDefault="00BD343D" w:rsidP="00963CFF">
            <w:pPr>
              <w:pStyle w:val="TableHeading"/>
              <w:spacing w:before="45" w:after="45"/>
              <w:ind w:right="108"/>
              <w:rPr>
                <w:rFonts w:ascii="Arial (Body)" w:hAnsi="Arial (Body)"/>
                <w:color w:val="265A9A"/>
              </w:rPr>
            </w:pPr>
            <w:r w:rsidRPr="00963CFF">
              <w:rPr>
                <w:rFonts w:ascii="Arial (Body)" w:hAnsi="Arial (Body)"/>
                <w:color w:val="265A9A"/>
              </w:rPr>
              <w:t>FDI</w:t>
            </w:r>
          </w:p>
        </w:tc>
        <w:tc>
          <w:tcPr>
            <w:tcW w:w="7653" w:type="dxa"/>
            <w:tcBorders>
              <w:bottom w:val="nil"/>
            </w:tcBorders>
            <w:shd w:val="clear" w:color="000000" w:fill="F2F2F2"/>
          </w:tcPr>
          <w:p w14:paraId="2B1E2CA2" w14:textId="0C34D02A" w:rsidR="00E3621E" w:rsidRDefault="00BD343D" w:rsidP="00DB2B3D">
            <w:pPr>
              <w:pStyle w:val="TableBody"/>
              <w:spacing w:before="45" w:after="45"/>
              <w:ind w:right="108"/>
              <w:rPr>
                <w:rFonts w:ascii="Arial (Body)" w:hAnsi="Arial (Body)"/>
                <w:color w:val="000000"/>
              </w:rPr>
            </w:pPr>
            <w:r>
              <w:rPr>
                <w:rFonts w:ascii="Arial (Body)" w:hAnsi="Arial (Body)"/>
                <w:color w:val="000000"/>
              </w:rPr>
              <w:t>Foreign direct investment</w:t>
            </w:r>
          </w:p>
        </w:tc>
      </w:tr>
      <w:tr w:rsidR="00E3621E" w:rsidRPr="00030C67" w14:paraId="5F303643" w14:textId="77777777" w:rsidTr="001D55EF">
        <w:tc>
          <w:tcPr>
            <w:tcW w:w="1985" w:type="dxa"/>
            <w:tcBorders>
              <w:top w:val="nil"/>
              <w:bottom w:val="nil"/>
            </w:tcBorders>
            <w:shd w:val="clear" w:color="000000" w:fill="auto"/>
          </w:tcPr>
          <w:p w14:paraId="04B27351" w14:textId="5D510B5E" w:rsidR="00E3621E" w:rsidRPr="00963CFF" w:rsidRDefault="00414A0F" w:rsidP="00963CFF">
            <w:pPr>
              <w:pStyle w:val="TableHeading"/>
              <w:spacing w:before="45" w:after="45"/>
              <w:ind w:right="108"/>
              <w:rPr>
                <w:rFonts w:ascii="Arial (Body)" w:hAnsi="Arial (Body)"/>
                <w:color w:val="265A9A"/>
              </w:rPr>
            </w:pPr>
            <w:r w:rsidRPr="00963CFF">
              <w:rPr>
                <w:rFonts w:ascii="Arial (Body)" w:hAnsi="Arial (Body)"/>
                <w:color w:val="265A9A"/>
              </w:rPr>
              <w:t>GDP</w:t>
            </w:r>
          </w:p>
        </w:tc>
        <w:tc>
          <w:tcPr>
            <w:tcW w:w="7653" w:type="dxa"/>
            <w:tcBorders>
              <w:top w:val="nil"/>
              <w:bottom w:val="nil"/>
            </w:tcBorders>
            <w:shd w:val="clear" w:color="000000" w:fill="auto"/>
          </w:tcPr>
          <w:p w14:paraId="4CFE9F40" w14:textId="49F7923A" w:rsidR="00E3621E" w:rsidRDefault="00414A0F" w:rsidP="00DB2B3D">
            <w:pPr>
              <w:pStyle w:val="TableBody"/>
              <w:spacing w:before="45" w:after="45"/>
              <w:ind w:right="108"/>
              <w:rPr>
                <w:rFonts w:ascii="Arial (Body)" w:hAnsi="Arial (Body)"/>
                <w:color w:val="000000"/>
              </w:rPr>
            </w:pPr>
            <w:r>
              <w:rPr>
                <w:rFonts w:ascii="Arial (Body)" w:hAnsi="Arial (Body)"/>
                <w:color w:val="000000"/>
              </w:rPr>
              <w:t>Gross domestic product</w:t>
            </w:r>
          </w:p>
        </w:tc>
      </w:tr>
      <w:tr w:rsidR="00E3621E" w:rsidRPr="00030C67" w14:paraId="0D1ED89A" w14:textId="77777777" w:rsidTr="001D55EF">
        <w:tc>
          <w:tcPr>
            <w:tcW w:w="1985" w:type="dxa"/>
            <w:tcBorders>
              <w:bottom w:val="nil"/>
            </w:tcBorders>
            <w:shd w:val="clear" w:color="000000" w:fill="F2F2F2"/>
          </w:tcPr>
          <w:p w14:paraId="478A7344" w14:textId="2CE53E46" w:rsidR="00E3621E" w:rsidRPr="00963CFF" w:rsidRDefault="00FC0F3B" w:rsidP="00963CFF">
            <w:pPr>
              <w:pStyle w:val="TableHeading"/>
              <w:spacing w:before="45" w:after="45"/>
              <w:ind w:right="108"/>
              <w:rPr>
                <w:rFonts w:ascii="Arial (Body)" w:hAnsi="Arial (Body)"/>
                <w:color w:val="265A9A"/>
              </w:rPr>
            </w:pPr>
            <w:r w:rsidRPr="00963CFF">
              <w:rPr>
                <w:rFonts w:ascii="Arial (Body)" w:hAnsi="Arial (Body)"/>
                <w:color w:val="265A9A"/>
              </w:rPr>
              <w:t>IHACPA</w:t>
            </w:r>
          </w:p>
        </w:tc>
        <w:tc>
          <w:tcPr>
            <w:tcW w:w="7653" w:type="dxa"/>
            <w:tcBorders>
              <w:bottom w:val="nil"/>
            </w:tcBorders>
            <w:shd w:val="clear" w:color="000000" w:fill="F2F2F2"/>
          </w:tcPr>
          <w:p w14:paraId="2574CE66" w14:textId="5079A8B5" w:rsidR="00E3621E" w:rsidRDefault="00FC0F3B" w:rsidP="00DB2B3D">
            <w:pPr>
              <w:pStyle w:val="TableBody"/>
              <w:spacing w:before="45" w:after="45"/>
              <w:ind w:right="108"/>
              <w:rPr>
                <w:rFonts w:ascii="Arial (Body)" w:hAnsi="Arial (Body)"/>
                <w:color w:val="000000"/>
              </w:rPr>
            </w:pPr>
            <w:r w:rsidRPr="00FC0F3B">
              <w:rPr>
                <w:rFonts w:ascii="Arial (Body)" w:hAnsi="Arial (Body)"/>
                <w:color w:val="000000"/>
              </w:rPr>
              <w:t>Independent Hospital and Aged Care Pricing Authority</w:t>
            </w:r>
          </w:p>
        </w:tc>
      </w:tr>
      <w:tr w:rsidR="00FC0F3B" w:rsidRPr="00030C67" w14:paraId="182F6D3C" w14:textId="77777777" w:rsidTr="001D55EF">
        <w:tc>
          <w:tcPr>
            <w:tcW w:w="1985" w:type="dxa"/>
            <w:tcBorders>
              <w:top w:val="nil"/>
              <w:bottom w:val="nil"/>
            </w:tcBorders>
            <w:shd w:val="clear" w:color="000000" w:fill="auto"/>
          </w:tcPr>
          <w:p w14:paraId="2B3029E8" w14:textId="573B5524" w:rsidR="00FC0F3B" w:rsidRPr="00963CFF" w:rsidRDefault="006E5FF6" w:rsidP="00963CFF">
            <w:pPr>
              <w:pStyle w:val="TableHeading"/>
              <w:spacing w:before="45" w:after="45"/>
              <w:ind w:right="108"/>
              <w:rPr>
                <w:rFonts w:ascii="Arial (Body)" w:hAnsi="Arial (Body)"/>
                <w:color w:val="265A9A"/>
              </w:rPr>
            </w:pPr>
            <w:r w:rsidRPr="00963CFF">
              <w:rPr>
                <w:rFonts w:ascii="Arial (Body)" w:hAnsi="Arial (Body)"/>
                <w:color w:val="265A9A"/>
              </w:rPr>
              <w:t>MBS</w:t>
            </w:r>
          </w:p>
        </w:tc>
        <w:tc>
          <w:tcPr>
            <w:tcW w:w="7653" w:type="dxa"/>
            <w:tcBorders>
              <w:top w:val="nil"/>
              <w:bottom w:val="nil"/>
            </w:tcBorders>
            <w:shd w:val="clear" w:color="000000" w:fill="auto"/>
          </w:tcPr>
          <w:p w14:paraId="71C470FC" w14:textId="06FE8220" w:rsidR="00FC0F3B" w:rsidRPr="00FC0F3B" w:rsidRDefault="00C40FB8" w:rsidP="00DB2B3D">
            <w:pPr>
              <w:pStyle w:val="TableBody"/>
              <w:spacing w:before="45" w:after="45"/>
              <w:ind w:right="108"/>
              <w:rPr>
                <w:rFonts w:ascii="Arial (Body)" w:hAnsi="Arial (Body)"/>
                <w:color w:val="000000"/>
              </w:rPr>
            </w:pPr>
            <w:r w:rsidRPr="00C40FB8">
              <w:rPr>
                <w:rFonts w:ascii="Arial (Body)" w:hAnsi="Arial (Body)"/>
                <w:color w:val="000000"/>
              </w:rPr>
              <w:t>Medicare Benefits Schedule</w:t>
            </w:r>
          </w:p>
        </w:tc>
      </w:tr>
      <w:tr w:rsidR="00FC0F3B" w:rsidRPr="00030C67" w14:paraId="489A148C" w14:textId="77777777" w:rsidTr="001D55EF">
        <w:tc>
          <w:tcPr>
            <w:tcW w:w="1985" w:type="dxa"/>
            <w:tcBorders>
              <w:bottom w:val="nil"/>
            </w:tcBorders>
            <w:shd w:val="clear" w:color="000000" w:fill="F2F2F2"/>
          </w:tcPr>
          <w:p w14:paraId="29D93CDC" w14:textId="076A6A6A" w:rsidR="00FC0F3B" w:rsidRPr="00963CFF" w:rsidRDefault="006E5FF6" w:rsidP="00963CFF">
            <w:pPr>
              <w:pStyle w:val="TableHeading"/>
              <w:spacing w:before="45" w:after="45"/>
              <w:ind w:right="108"/>
              <w:rPr>
                <w:rFonts w:ascii="Arial (Body)" w:hAnsi="Arial (Body)"/>
                <w:color w:val="265A9A"/>
              </w:rPr>
            </w:pPr>
            <w:r w:rsidRPr="00963CFF">
              <w:rPr>
                <w:rFonts w:ascii="Arial (Body)" w:hAnsi="Arial (Body)"/>
                <w:color w:val="265A9A"/>
              </w:rPr>
              <w:t>MSAC</w:t>
            </w:r>
          </w:p>
        </w:tc>
        <w:tc>
          <w:tcPr>
            <w:tcW w:w="7653" w:type="dxa"/>
            <w:tcBorders>
              <w:bottom w:val="nil"/>
            </w:tcBorders>
            <w:shd w:val="clear" w:color="000000" w:fill="F2F2F2"/>
          </w:tcPr>
          <w:p w14:paraId="0E009D2A" w14:textId="5E898528" w:rsidR="00FC0F3B" w:rsidRPr="00FC0F3B" w:rsidRDefault="006E5FF6" w:rsidP="00DB2B3D">
            <w:pPr>
              <w:pStyle w:val="TableBody"/>
              <w:spacing w:before="45" w:after="45"/>
              <w:ind w:right="108"/>
              <w:rPr>
                <w:rFonts w:ascii="Arial (Body)" w:hAnsi="Arial (Body)"/>
                <w:color w:val="000000"/>
              </w:rPr>
            </w:pPr>
            <w:r w:rsidRPr="006E5FF6">
              <w:rPr>
                <w:rFonts w:ascii="Arial (Body)" w:hAnsi="Arial (Body)"/>
                <w:color w:val="000000"/>
              </w:rPr>
              <w:t>Medical Services Advisory Committee</w:t>
            </w:r>
          </w:p>
        </w:tc>
      </w:tr>
      <w:tr w:rsidR="00FC0F3B" w:rsidRPr="00030C67" w14:paraId="0BB9DF35" w14:textId="77777777" w:rsidTr="001D55EF">
        <w:tc>
          <w:tcPr>
            <w:tcW w:w="1985" w:type="dxa"/>
            <w:tcBorders>
              <w:top w:val="nil"/>
              <w:bottom w:val="nil"/>
            </w:tcBorders>
            <w:shd w:val="clear" w:color="000000" w:fill="auto"/>
          </w:tcPr>
          <w:p w14:paraId="7B27D4F1" w14:textId="5F91104F" w:rsidR="00FC0F3B" w:rsidRPr="00963CFF" w:rsidRDefault="0090558A" w:rsidP="00963CFF">
            <w:pPr>
              <w:pStyle w:val="TableHeading"/>
              <w:spacing w:before="45" w:after="45"/>
              <w:ind w:right="108"/>
              <w:rPr>
                <w:rFonts w:ascii="Arial (Body)" w:hAnsi="Arial (Body)"/>
                <w:color w:val="265A9A"/>
              </w:rPr>
            </w:pPr>
            <w:r w:rsidRPr="00963CFF">
              <w:rPr>
                <w:rFonts w:ascii="Arial (Body)" w:hAnsi="Arial (Body)"/>
                <w:color w:val="265A9A"/>
              </w:rPr>
              <w:t>NAPLAN</w:t>
            </w:r>
          </w:p>
        </w:tc>
        <w:tc>
          <w:tcPr>
            <w:tcW w:w="7653" w:type="dxa"/>
            <w:tcBorders>
              <w:top w:val="nil"/>
              <w:bottom w:val="nil"/>
            </w:tcBorders>
            <w:shd w:val="clear" w:color="000000" w:fill="auto"/>
          </w:tcPr>
          <w:p w14:paraId="42211F48" w14:textId="4277DEF6" w:rsidR="00FC0F3B" w:rsidRPr="00FC0F3B" w:rsidRDefault="0090558A" w:rsidP="00DB2B3D">
            <w:pPr>
              <w:pStyle w:val="TableBody"/>
              <w:spacing w:before="45" w:after="45"/>
              <w:ind w:right="108"/>
              <w:rPr>
                <w:rFonts w:ascii="Arial (Body)" w:hAnsi="Arial (Body)"/>
                <w:color w:val="000000"/>
              </w:rPr>
            </w:pPr>
            <w:r w:rsidRPr="0090558A">
              <w:rPr>
                <w:rFonts w:ascii="Arial (Body)" w:hAnsi="Arial (Body)"/>
                <w:color w:val="000000"/>
              </w:rPr>
              <w:t>National Assessment Program – Literacy and Numeracy</w:t>
            </w:r>
          </w:p>
        </w:tc>
      </w:tr>
      <w:tr w:rsidR="00FC0F3B" w:rsidRPr="00030C67" w14:paraId="03274EB4" w14:textId="77777777" w:rsidTr="001D55EF">
        <w:tc>
          <w:tcPr>
            <w:tcW w:w="1985" w:type="dxa"/>
            <w:tcBorders>
              <w:bottom w:val="nil"/>
            </w:tcBorders>
            <w:shd w:val="clear" w:color="000000" w:fill="F2F2F2"/>
          </w:tcPr>
          <w:p w14:paraId="4E726191" w14:textId="4C177B64" w:rsidR="00FC0F3B" w:rsidRPr="00963CFF" w:rsidRDefault="00AE5211" w:rsidP="00963CFF">
            <w:pPr>
              <w:pStyle w:val="TableHeading"/>
              <w:spacing w:before="45" w:after="45"/>
              <w:ind w:right="108"/>
              <w:rPr>
                <w:rFonts w:ascii="Arial (Body)" w:hAnsi="Arial (Body)"/>
                <w:color w:val="265A9A"/>
              </w:rPr>
            </w:pPr>
            <w:r w:rsidRPr="00963CFF">
              <w:rPr>
                <w:rFonts w:ascii="Arial (Body)" w:hAnsi="Arial (Body)"/>
                <w:color w:val="265A9A"/>
              </w:rPr>
              <w:t>OECD</w:t>
            </w:r>
          </w:p>
        </w:tc>
        <w:tc>
          <w:tcPr>
            <w:tcW w:w="7653" w:type="dxa"/>
            <w:tcBorders>
              <w:bottom w:val="nil"/>
            </w:tcBorders>
            <w:shd w:val="clear" w:color="000000" w:fill="F2F2F2"/>
          </w:tcPr>
          <w:p w14:paraId="1515DF61" w14:textId="5EED7053" w:rsidR="00FC0F3B" w:rsidRPr="00FC0F3B" w:rsidRDefault="00AE5211" w:rsidP="00DB2B3D">
            <w:pPr>
              <w:pStyle w:val="TableBody"/>
              <w:spacing w:before="45" w:after="45"/>
              <w:ind w:right="108"/>
              <w:rPr>
                <w:rFonts w:ascii="Arial (Body)" w:hAnsi="Arial (Body)"/>
                <w:color w:val="000000"/>
              </w:rPr>
            </w:pPr>
            <w:r w:rsidRPr="00AE5211">
              <w:rPr>
                <w:rFonts w:ascii="Arial (Body)" w:hAnsi="Arial (Body)"/>
                <w:color w:val="000000"/>
              </w:rPr>
              <w:t>Organisation for Economic Co</w:t>
            </w:r>
            <w:r w:rsidR="00A43B86">
              <w:rPr>
                <w:rFonts w:ascii="Arial (Body)" w:hAnsi="Arial (Body)"/>
                <w:color w:val="000000"/>
              </w:rPr>
              <w:noBreakHyphen/>
            </w:r>
            <w:r w:rsidRPr="00AE5211">
              <w:rPr>
                <w:rFonts w:ascii="Arial (Body)" w:hAnsi="Arial (Body)"/>
                <w:color w:val="000000"/>
              </w:rPr>
              <w:t>operation and Development</w:t>
            </w:r>
          </w:p>
        </w:tc>
      </w:tr>
      <w:tr w:rsidR="00FC0F3B" w:rsidRPr="00030C67" w14:paraId="2F339725" w14:textId="77777777" w:rsidTr="001D55EF">
        <w:tc>
          <w:tcPr>
            <w:tcW w:w="1985" w:type="dxa"/>
            <w:tcBorders>
              <w:top w:val="nil"/>
              <w:bottom w:val="nil"/>
            </w:tcBorders>
            <w:shd w:val="clear" w:color="000000" w:fill="auto"/>
          </w:tcPr>
          <w:p w14:paraId="3B2C31BB" w14:textId="28C6C733" w:rsidR="00FC0F3B" w:rsidRPr="00963CFF" w:rsidRDefault="00F9468C" w:rsidP="00963CFF">
            <w:pPr>
              <w:pStyle w:val="TableHeading"/>
              <w:spacing w:before="45" w:after="45"/>
              <w:ind w:right="108"/>
              <w:rPr>
                <w:rFonts w:ascii="Arial (Body)" w:hAnsi="Arial (Body)"/>
                <w:color w:val="265A9A"/>
              </w:rPr>
            </w:pPr>
            <w:r w:rsidRPr="00963CFF">
              <w:rPr>
                <w:rFonts w:ascii="Arial (Body)" w:hAnsi="Arial (Body)"/>
                <w:color w:val="265A9A"/>
              </w:rPr>
              <w:t>PC</w:t>
            </w:r>
          </w:p>
        </w:tc>
        <w:tc>
          <w:tcPr>
            <w:tcW w:w="7653" w:type="dxa"/>
            <w:tcBorders>
              <w:top w:val="nil"/>
              <w:bottom w:val="nil"/>
            </w:tcBorders>
            <w:shd w:val="clear" w:color="000000" w:fill="auto"/>
          </w:tcPr>
          <w:p w14:paraId="297CAE33" w14:textId="6D6E2A0E" w:rsidR="00FC0F3B" w:rsidRPr="00FC0F3B" w:rsidRDefault="00F9468C" w:rsidP="00DB2B3D">
            <w:pPr>
              <w:pStyle w:val="TableBody"/>
              <w:spacing w:before="45" w:after="45"/>
              <w:ind w:right="108"/>
              <w:rPr>
                <w:rFonts w:ascii="Arial (Body)" w:hAnsi="Arial (Body)"/>
                <w:color w:val="000000"/>
              </w:rPr>
            </w:pPr>
            <w:r>
              <w:rPr>
                <w:rFonts w:ascii="Arial (Body)" w:hAnsi="Arial (Body)"/>
                <w:color w:val="000000"/>
              </w:rPr>
              <w:t>Productivity Commission</w:t>
            </w:r>
          </w:p>
        </w:tc>
      </w:tr>
      <w:tr w:rsidR="00FC0F3B" w:rsidRPr="00030C67" w14:paraId="32CECA42" w14:textId="77777777" w:rsidTr="001D55EF">
        <w:tc>
          <w:tcPr>
            <w:tcW w:w="1985" w:type="dxa"/>
            <w:tcBorders>
              <w:bottom w:val="nil"/>
            </w:tcBorders>
            <w:shd w:val="clear" w:color="000000" w:fill="F2F2F2"/>
          </w:tcPr>
          <w:p w14:paraId="3251025C" w14:textId="46512B4C" w:rsidR="00FC0F3B" w:rsidRPr="00963CFF" w:rsidRDefault="00351DC9" w:rsidP="00963CFF">
            <w:pPr>
              <w:pStyle w:val="TableHeading"/>
              <w:spacing w:before="45" w:after="45"/>
              <w:ind w:right="108"/>
              <w:rPr>
                <w:rFonts w:ascii="Arial (Body)" w:hAnsi="Arial (Body)"/>
                <w:color w:val="265A9A"/>
              </w:rPr>
            </w:pPr>
            <w:r w:rsidRPr="00963CFF">
              <w:rPr>
                <w:rFonts w:ascii="Arial (Body)" w:hAnsi="Arial (Body)"/>
                <w:color w:val="265A9A"/>
              </w:rPr>
              <w:t>RTO</w:t>
            </w:r>
          </w:p>
        </w:tc>
        <w:tc>
          <w:tcPr>
            <w:tcW w:w="7653" w:type="dxa"/>
            <w:tcBorders>
              <w:bottom w:val="nil"/>
            </w:tcBorders>
            <w:shd w:val="clear" w:color="000000" w:fill="F2F2F2"/>
          </w:tcPr>
          <w:p w14:paraId="68D447AE" w14:textId="24C23644" w:rsidR="00FC0F3B" w:rsidRPr="00FC0F3B" w:rsidRDefault="00351DC9" w:rsidP="00DB2B3D">
            <w:pPr>
              <w:pStyle w:val="TableBody"/>
              <w:spacing w:before="45" w:after="45"/>
              <w:ind w:right="108"/>
              <w:rPr>
                <w:rFonts w:ascii="Arial (Body)" w:hAnsi="Arial (Body)"/>
                <w:color w:val="000000"/>
              </w:rPr>
            </w:pPr>
            <w:r>
              <w:rPr>
                <w:rFonts w:ascii="Arial (Body)" w:hAnsi="Arial (Body)"/>
                <w:color w:val="000000"/>
              </w:rPr>
              <w:t>R</w:t>
            </w:r>
            <w:r w:rsidRPr="00351DC9">
              <w:rPr>
                <w:rFonts w:ascii="Arial (Body)" w:hAnsi="Arial (Body)"/>
                <w:color w:val="000000"/>
              </w:rPr>
              <w:t>egistered training organisation</w:t>
            </w:r>
          </w:p>
        </w:tc>
      </w:tr>
      <w:tr w:rsidR="00EE7647" w:rsidRPr="00030C67" w14:paraId="5A01D35F" w14:textId="77777777" w:rsidTr="001D55EF">
        <w:tc>
          <w:tcPr>
            <w:tcW w:w="1985" w:type="dxa"/>
            <w:tcBorders>
              <w:top w:val="nil"/>
              <w:bottom w:val="nil"/>
            </w:tcBorders>
            <w:shd w:val="clear" w:color="000000" w:fill="auto"/>
          </w:tcPr>
          <w:p w14:paraId="5E8F4D01" w14:textId="2A20B0E6" w:rsidR="00EE7647" w:rsidRPr="00963CFF" w:rsidRDefault="00A232A7" w:rsidP="00963CFF">
            <w:pPr>
              <w:pStyle w:val="TableHeading"/>
              <w:spacing w:before="45" w:after="45"/>
              <w:ind w:right="108"/>
              <w:rPr>
                <w:rFonts w:ascii="Arial (Body)" w:hAnsi="Arial (Body)"/>
                <w:color w:val="265A9A"/>
              </w:rPr>
            </w:pPr>
            <w:r w:rsidRPr="00963CFF">
              <w:rPr>
                <w:rFonts w:ascii="Arial (Body)" w:hAnsi="Arial (Body)"/>
                <w:color w:val="265A9A"/>
              </w:rPr>
              <w:t>SME</w:t>
            </w:r>
          </w:p>
        </w:tc>
        <w:tc>
          <w:tcPr>
            <w:tcW w:w="7653" w:type="dxa"/>
            <w:tcBorders>
              <w:top w:val="nil"/>
              <w:bottom w:val="nil"/>
            </w:tcBorders>
            <w:shd w:val="clear" w:color="000000" w:fill="auto"/>
          </w:tcPr>
          <w:p w14:paraId="3A89F827" w14:textId="4E960D06" w:rsidR="00EE7647" w:rsidRDefault="00A232A7" w:rsidP="00DB2B3D">
            <w:pPr>
              <w:pStyle w:val="TableBody"/>
              <w:spacing w:before="45" w:after="45"/>
              <w:ind w:right="108"/>
              <w:rPr>
                <w:rFonts w:ascii="Arial (Body)" w:hAnsi="Arial (Body)"/>
                <w:color w:val="000000"/>
              </w:rPr>
            </w:pPr>
            <w:r>
              <w:rPr>
                <w:rFonts w:ascii="Arial (Body)" w:hAnsi="Arial (Body)"/>
                <w:color w:val="000000"/>
              </w:rPr>
              <w:t>S</w:t>
            </w:r>
            <w:r w:rsidRPr="00A232A7">
              <w:rPr>
                <w:rFonts w:ascii="Arial (Body)" w:hAnsi="Arial (Body)"/>
                <w:color w:val="000000"/>
              </w:rPr>
              <w:t>mall and medium enterprise</w:t>
            </w:r>
          </w:p>
        </w:tc>
      </w:tr>
      <w:tr w:rsidR="00EE7647" w:rsidRPr="00030C67" w14:paraId="2550FBE8" w14:textId="77777777" w:rsidTr="001D55EF">
        <w:tc>
          <w:tcPr>
            <w:tcW w:w="1985" w:type="dxa"/>
            <w:tcBorders>
              <w:bottom w:val="nil"/>
            </w:tcBorders>
            <w:shd w:val="clear" w:color="000000" w:fill="F2F2F2"/>
          </w:tcPr>
          <w:p w14:paraId="094340FC" w14:textId="29920C17" w:rsidR="00EE7647" w:rsidRPr="00963CFF" w:rsidRDefault="008A1A33" w:rsidP="00963CFF">
            <w:pPr>
              <w:pStyle w:val="TableHeading"/>
              <w:spacing w:before="45" w:after="45"/>
              <w:ind w:right="108"/>
              <w:rPr>
                <w:rFonts w:ascii="Arial (Body)" w:hAnsi="Arial (Body)"/>
                <w:color w:val="265A9A"/>
              </w:rPr>
            </w:pPr>
            <w:r w:rsidRPr="00963CFF">
              <w:rPr>
                <w:rFonts w:ascii="Arial (Body)" w:hAnsi="Arial (Body)"/>
                <w:color w:val="265A9A"/>
              </w:rPr>
              <w:t>STP</w:t>
            </w:r>
          </w:p>
        </w:tc>
        <w:tc>
          <w:tcPr>
            <w:tcW w:w="7653" w:type="dxa"/>
            <w:tcBorders>
              <w:bottom w:val="nil"/>
            </w:tcBorders>
            <w:shd w:val="clear" w:color="000000" w:fill="F2F2F2"/>
          </w:tcPr>
          <w:p w14:paraId="7420B1C6" w14:textId="22741AE3" w:rsidR="00EE7647" w:rsidRDefault="008A1A33" w:rsidP="00DB2B3D">
            <w:pPr>
              <w:pStyle w:val="TableBody"/>
              <w:spacing w:before="45" w:after="45"/>
              <w:ind w:right="108"/>
              <w:rPr>
                <w:rFonts w:ascii="Arial (Body)" w:hAnsi="Arial (Body)"/>
                <w:color w:val="000000"/>
              </w:rPr>
            </w:pPr>
            <w:r>
              <w:rPr>
                <w:rFonts w:ascii="Arial (Body)" w:hAnsi="Arial (Body)"/>
                <w:color w:val="000000"/>
              </w:rPr>
              <w:t>Single Touch Payroll</w:t>
            </w:r>
          </w:p>
        </w:tc>
      </w:tr>
      <w:tr w:rsidR="00EE7647" w:rsidRPr="00030C67" w14:paraId="4AB483BB" w14:textId="77777777" w:rsidTr="001D55EF">
        <w:tc>
          <w:tcPr>
            <w:tcW w:w="1985" w:type="dxa"/>
            <w:tcBorders>
              <w:top w:val="nil"/>
            </w:tcBorders>
            <w:shd w:val="clear" w:color="000000" w:fill="auto"/>
          </w:tcPr>
          <w:p w14:paraId="7B907958" w14:textId="1A1B8CAC" w:rsidR="00EE7647" w:rsidRPr="00963CFF" w:rsidRDefault="003B5E61" w:rsidP="00963CFF">
            <w:pPr>
              <w:pStyle w:val="TableHeading"/>
              <w:spacing w:before="45" w:after="45"/>
              <w:ind w:right="108"/>
              <w:rPr>
                <w:rFonts w:ascii="Arial (Body)" w:hAnsi="Arial (Body)"/>
                <w:color w:val="265A9A"/>
              </w:rPr>
            </w:pPr>
            <w:r w:rsidRPr="00963CFF">
              <w:rPr>
                <w:rFonts w:ascii="Arial (Body)" w:hAnsi="Arial (Body)"/>
                <w:color w:val="265A9A"/>
              </w:rPr>
              <w:t>VET</w:t>
            </w:r>
          </w:p>
        </w:tc>
        <w:tc>
          <w:tcPr>
            <w:tcW w:w="7653" w:type="dxa"/>
            <w:tcBorders>
              <w:top w:val="nil"/>
            </w:tcBorders>
            <w:shd w:val="clear" w:color="000000" w:fill="auto"/>
          </w:tcPr>
          <w:p w14:paraId="708C2000" w14:textId="227C7447" w:rsidR="00EE7647" w:rsidRDefault="003B5E61" w:rsidP="00DB2B3D">
            <w:pPr>
              <w:pStyle w:val="TableBody"/>
              <w:spacing w:before="45" w:after="45"/>
              <w:ind w:right="108"/>
              <w:rPr>
                <w:rFonts w:ascii="Arial (Body)" w:hAnsi="Arial (Body)"/>
                <w:color w:val="000000"/>
              </w:rPr>
            </w:pPr>
            <w:r>
              <w:rPr>
                <w:rFonts w:ascii="Arial (Body)" w:hAnsi="Arial (Body)"/>
                <w:color w:val="000000"/>
              </w:rPr>
              <w:t>V</w:t>
            </w:r>
            <w:r w:rsidRPr="003B5E61">
              <w:rPr>
                <w:rFonts w:ascii="Arial (Body)" w:hAnsi="Arial (Body)"/>
                <w:color w:val="000000"/>
              </w:rPr>
              <w:t>ocational education and training</w:t>
            </w:r>
          </w:p>
        </w:tc>
      </w:tr>
    </w:tbl>
    <w:p w14:paraId="085422E0" w14:textId="77777777" w:rsidR="00DD2493" w:rsidRDefault="00DD2493">
      <w:pPr>
        <w:spacing w:before="0" w:after="160" w:line="259" w:lineRule="auto"/>
        <w:rPr>
          <w:noProof/>
        </w:rPr>
        <w:sectPr w:rsidR="00DD2493" w:rsidSect="00A469A1">
          <w:headerReference w:type="default" r:id="rId77"/>
          <w:type w:val="oddPage"/>
          <w:pgSz w:w="11906" w:h="16838" w:code="9"/>
          <w:pgMar w:top="1134" w:right="1134" w:bottom="1134" w:left="1134" w:header="794" w:footer="510" w:gutter="0"/>
          <w:cols w:space="708"/>
          <w:docGrid w:linePitch="360"/>
        </w:sectPr>
      </w:pPr>
    </w:p>
    <w:p w14:paraId="6944A586" w14:textId="77777777" w:rsidR="00DD2493" w:rsidRDefault="004E14B3" w:rsidP="00AF6CAC">
      <w:pPr>
        <w:pStyle w:val="Heading1-nobackground"/>
        <w:rPr>
          <w:noProof/>
        </w:rPr>
        <w:sectPr w:rsidR="00DD2493" w:rsidSect="00A469A1">
          <w:headerReference w:type="default" r:id="rId78"/>
          <w:type w:val="oddPage"/>
          <w:pgSz w:w="11906" w:h="16838" w:code="9"/>
          <w:pgMar w:top="1134" w:right="1134" w:bottom="1134" w:left="1134" w:header="794" w:footer="510" w:gutter="0"/>
          <w:cols w:space="708"/>
          <w:docGrid w:linePitch="360"/>
        </w:sectPr>
      </w:pPr>
      <w:bookmarkStart w:id="128" w:name="_Toc126145999"/>
      <w:bookmarkStart w:id="129" w:name="_Toc126304793"/>
      <w:r>
        <w:rPr>
          <w:noProof/>
        </w:rPr>
        <w:lastRenderedPageBreak/>
        <w:t>References</w:t>
      </w:r>
      <w:bookmarkEnd w:id="128"/>
      <w:bookmarkEnd w:id="129"/>
    </w:p>
    <w:p w14:paraId="0FE4CE79" w14:textId="35207DA1" w:rsidR="006033EA" w:rsidRPr="00477FBF" w:rsidRDefault="006033EA" w:rsidP="00DD2493">
      <w:pPr>
        <w:pStyle w:val="Reference"/>
        <w:rPr>
          <w:spacing w:val="-4"/>
        </w:rPr>
      </w:pPr>
      <w:r w:rsidRPr="00477FBF">
        <w:rPr>
          <w:spacing w:val="-4"/>
        </w:rPr>
        <w:t xml:space="preserve">ABARES 2022, </w:t>
      </w:r>
      <w:r w:rsidRPr="00477FBF">
        <w:rPr>
          <w:i/>
          <w:spacing w:val="-4"/>
        </w:rPr>
        <w:t>Farm Data Portal</w:t>
      </w:r>
      <w:r w:rsidRPr="00477FBF">
        <w:rPr>
          <w:spacing w:val="-4"/>
        </w:rPr>
        <w:t>, https://www.agriculture.gov.au/</w:t>
      </w:r>
      <w:r w:rsidR="00477FBF">
        <w:rPr>
          <w:spacing w:val="-4"/>
        </w:rPr>
        <w:br/>
      </w:r>
      <w:r w:rsidRPr="00477FBF">
        <w:rPr>
          <w:spacing w:val="-4"/>
        </w:rPr>
        <w:t>abares/data/farm</w:t>
      </w:r>
      <w:r w:rsidR="00A43B86">
        <w:rPr>
          <w:spacing w:val="-4"/>
        </w:rPr>
        <w:noBreakHyphen/>
      </w:r>
      <w:r w:rsidRPr="00477FBF">
        <w:rPr>
          <w:spacing w:val="-4"/>
        </w:rPr>
        <w:t>data</w:t>
      </w:r>
      <w:r w:rsidR="00A43B86">
        <w:rPr>
          <w:spacing w:val="-4"/>
        </w:rPr>
        <w:noBreakHyphen/>
      </w:r>
      <w:r w:rsidRPr="00477FBF">
        <w:rPr>
          <w:spacing w:val="-4"/>
        </w:rPr>
        <w:t>portal (accessed 23</w:t>
      </w:r>
      <w:r w:rsidR="00A43B86">
        <w:rPr>
          <w:spacing w:val="-4"/>
        </w:rPr>
        <w:t> </w:t>
      </w:r>
      <w:r w:rsidRPr="00477FBF">
        <w:rPr>
          <w:spacing w:val="-4"/>
        </w:rPr>
        <w:t>August 2022).</w:t>
      </w:r>
    </w:p>
    <w:p w14:paraId="57D1B4F3" w14:textId="6994E904" w:rsidR="006033EA" w:rsidRPr="00F76870" w:rsidRDefault="006033EA" w:rsidP="00DD2493">
      <w:pPr>
        <w:pStyle w:val="Reference"/>
        <w:rPr>
          <w:spacing w:val="-4"/>
        </w:rPr>
      </w:pPr>
      <w:r w:rsidRPr="00F76870">
        <w:rPr>
          <w:spacing w:val="-4"/>
        </w:rPr>
        <w:t xml:space="preserve">ABS (Australian Bureau of Statistics) 2017, </w:t>
      </w:r>
      <w:r w:rsidRPr="00F76870">
        <w:rPr>
          <w:i/>
          <w:spacing w:val="-4"/>
        </w:rPr>
        <w:t>Management and Organisational Capabilities of Australian Business, 2015</w:t>
      </w:r>
      <w:r w:rsidR="00A43B86" w:rsidRPr="00F76870">
        <w:rPr>
          <w:i/>
          <w:spacing w:val="-4"/>
        </w:rPr>
        <w:noBreakHyphen/>
      </w:r>
      <w:r w:rsidRPr="00F76870">
        <w:rPr>
          <w:i/>
          <w:spacing w:val="-4"/>
        </w:rPr>
        <w:t>16 financial year</w:t>
      </w:r>
      <w:r w:rsidRPr="00F76870">
        <w:rPr>
          <w:spacing w:val="-4"/>
        </w:rPr>
        <w:t>, https://www.abs.gov.au/statistics/economy/</w:t>
      </w:r>
      <w:r w:rsidR="00477FBF" w:rsidRPr="00F76870">
        <w:rPr>
          <w:spacing w:val="-4"/>
        </w:rPr>
        <w:br/>
      </w:r>
      <w:r w:rsidRPr="00F76870">
        <w:rPr>
          <w:spacing w:val="-4"/>
        </w:rPr>
        <w:t>business</w:t>
      </w:r>
      <w:r w:rsidR="00A43B86" w:rsidRPr="00F76870">
        <w:rPr>
          <w:spacing w:val="-4"/>
        </w:rPr>
        <w:noBreakHyphen/>
      </w:r>
      <w:r w:rsidRPr="00F76870">
        <w:rPr>
          <w:spacing w:val="-4"/>
        </w:rPr>
        <w:t>indicators/management</w:t>
      </w:r>
      <w:r w:rsidR="00A43B86" w:rsidRPr="00F76870">
        <w:rPr>
          <w:spacing w:val="-4"/>
        </w:rPr>
        <w:noBreakHyphen/>
      </w:r>
      <w:r w:rsidRPr="00F76870">
        <w:rPr>
          <w:spacing w:val="-4"/>
        </w:rPr>
        <w:t>and</w:t>
      </w:r>
      <w:r w:rsidR="00A43B86" w:rsidRPr="00F76870">
        <w:rPr>
          <w:spacing w:val="-4"/>
        </w:rPr>
        <w:noBreakHyphen/>
      </w:r>
      <w:r w:rsidRPr="00F76870">
        <w:rPr>
          <w:spacing w:val="-4"/>
        </w:rPr>
        <w:t>organisational</w:t>
      </w:r>
      <w:r w:rsidR="00A43B86" w:rsidRPr="00F76870">
        <w:rPr>
          <w:spacing w:val="-4"/>
        </w:rPr>
        <w:noBreakHyphen/>
      </w:r>
      <w:r w:rsidRPr="00F76870">
        <w:rPr>
          <w:spacing w:val="-4"/>
        </w:rPr>
        <w:t>capabilities</w:t>
      </w:r>
      <w:r w:rsidR="00A43B86" w:rsidRPr="00F76870">
        <w:rPr>
          <w:spacing w:val="-4"/>
        </w:rPr>
        <w:noBreakHyphen/>
      </w:r>
      <w:r w:rsidRPr="00F76870">
        <w:rPr>
          <w:spacing w:val="-4"/>
        </w:rPr>
        <w:t>australian</w:t>
      </w:r>
      <w:r w:rsidR="00A43B86" w:rsidRPr="00F76870">
        <w:rPr>
          <w:spacing w:val="-4"/>
        </w:rPr>
        <w:noBreakHyphen/>
      </w:r>
      <w:r w:rsidRPr="00F76870">
        <w:rPr>
          <w:spacing w:val="-4"/>
        </w:rPr>
        <w:t>business/</w:t>
      </w:r>
      <w:proofErr w:type="gramStart"/>
      <w:r w:rsidRPr="00F76870">
        <w:rPr>
          <w:spacing w:val="-4"/>
        </w:rPr>
        <w:t>latest-release</w:t>
      </w:r>
      <w:proofErr w:type="gramEnd"/>
      <w:r w:rsidRPr="00F76870">
        <w:rPr>
          <w:spacing w:val="-4"/>
        </w:rPr>
        <w:t xml:space="preserve"> (accessed 4</w:t>
      </w:r>
      <w:r w:rsidR="00A43B86" w:rsidRPr="00F76870">
        <w:rPr>
          <w:spacing w:val="-4"/>
        </w:rPr>
        <w:t> </w:t>
      </w:r>
      <w:r w:rsidRPr="00F76870">
        <w:rPr>
          <w:spacing w:val="-4"/>
        </w:rPr>
        <w:t>August 2022).</w:t>
      </w:r>
    </w:p>
    <w:p w14:paraId="2317A293" w14:textId="707592D2" w:rsidR="006033EA" w:rsidRPr="00172D87" w:rsidRDefault="006033EA" w:rsidP="00DD2493">
      <w:pPr>
        <w:pStyle w:val="Reference"/>
      </w:pPr>
      <w:r w:rsidRPr="00172D87">
        <w:t>——</w:t>
      </w:r>
      <w:r w:rsidR="00EF7F65">
        <w:t> </w:t>
      </w:r>
      <w:r w:rsidRPr="00172D87">
        <w:t xml:space="preserve">2021a, </w:t>
      </w:r>
      <w:r w:rsidRPr="00172D87">
        <w:rPr>
          <w:i/>
        </w:rPr>
        <w:t>Australian System of National Accounts, 2020</w:t>
      </w:r>
      <w:r w:rsidR="00A43B86">
        <w:rPr>
          <w:i/>
        </w:rPr>
        <w:noBreakHyphen/>
      </w:r>
      <w:r w:rsidRPr="00172D87">
        <w:rPr>
          <w:i/>
        </w:rPr>
        <w:t>21 financial year</w:t>
      </w:r>
      <w:r w:rsidRPr="00172D87">
        <w:t>, Cat. no. 5204.0.</w:t>
      </w:r>
    </w:p>
    <w:p w14:paraId="5CC4A224" w14:textId="1B30ED86" w:rsidR="006033EA" w:rsidRPr="00172D87" w:rsidRDefault="006033EA" w:rsidP="00DD2493">
      <w:pPr>
        <w:pStyle w:val="Reference"/>
      </w:pPr>
      <w:r w:rsidRPr="00172D87">
        <w:t>——</w:t>
      </w:r>
      <w:r w:rsidR="00EF7F65">
        <w:t> </w:t>
      </w:r>
      <w:r w:rsidRPr="00172D87">
        <w:t xml:space="preserve">2021b, </w:t>
      </w:r>
      <w:r w:rsidRPr="00172D87">
        <w:rPr>
          <w:i/>
        </w:rPr>
        <w:t>Employment and Earnings, Public Sector, Australia, 2020</w:t>
      </w:r>
      <w:r w:rsidR="00A43B86">
        <w:rPr>
          <w:i/>
        </w:rPr>
        <w:noBreakHyphen/>
      </w:r>
      <w:r w:rsidRPr="00172D87">
        <w:rPr>
          <w:i/>
        </w:rPr>
        <w:t>21</w:t>
      </w:r>
      <w:r w:rsidRPr="00172D87">
        <w:t>, Cat. no. 6248.0.</w:t>
      </w:r>
    </w:p>
    <w:p w14:paraId="7E8D1684" w14:textId="2008A1F4" w:rsidR="006033EA" w:rsidRPr="00172D87" w:rsidRDefault="006033EA" w:rsidP="00DD2493">
      <w:pPr>
        <w:pStyle w:val="Reference"/>
      </w:pPr>
      <w:r w:rsidRPr="00172D87">
        <w:t>——</w:t>
      </w:r>
      <w:r w:rsidR="00EF7F65">
        <w:t> </w:t>
      </w:r>
      <w:r w:rsidRPr="00172D87">
        <w:t xml:space="preserve">2021c, </w:t>
      </w:r>
      <w:r w:rsidRPr="00172D87">
        <w:rPr>
          <w:i/>
        </w:rPr>
        <w:t>Research and Experimental Development, Businesses, Australia, 2019</w:t>
      </w:r>
      <w:r w:rsidR="00A43B86">
        <w:rPr>
          <w:i/>
        </w:rPr>
        <w:noBreakHyphen/>
      </w:r>
      <w:r w:rsidRPr="00172D87">
        <w:rPr>
          <w:i/>
        </w:rPr>
        <w:t>20</w:t>
      </w:r>
      <w:r w:rsidRPr="00172D87">
        <w:t>, Cat. no. 8104.0.</w:t>
      </w:r>
    </w:p>
    <w:p w14:paraId="05A5C52F" w14:textId="74642305" w:rsidR="006033EA" w:rsidRPr="00172D87" w:rsidRDefault="006033EA" w:rsidP="00DD2493">
      <w:pPr>
        <w:pStyle w:val="Reference"/>
      </w:pPr>
      <w:r w:rsidRPr="00172D87">
        <w:t>——</w:t>
      </w:r>
      <w:r w:rsidR="00EF7F65">
        <w:t> </w:t>
      </w:r>
      <w:r w:rsidRPr="00172D87">
        <w:t xml:space="preserve">2022a, </w:t>
      </w:r>
      <w:r w:rsidRPr="00172D87">
        <w:rPr>
          <w:i/>
        </w:rPr>
        <w:t>Characteristics of Australian Business, 2020</w:t>
      </w:r>
      <w:r w:rsidR="00A43B86">
        <w:rPr>
          <w:i/>
        </w:rPr>
        <w:noBreakHyphen/>
      </w:r>
      <w:r w:rsidRPr="00172D87">
        <w:rPr>
          <w:i/>
        </w:rPr>
        <w:t>21</w:t>
      </w:r>
      <w:r w:rsidRPr="00172D87">
        <w:t>, Cat. no. 8158.</w:t>
      </w:r>
    </w:p>
    <w:p w14:paraId="438A6009" w14:textId="64FA840B" w:rsidR="006033EA" w:rsidRPr="00172D87" w:rsidRDefault="006033EA" w:rsidP="00DD2493">
      <w:pPr>
        <w:pStyle w:val="Reference"/>
      </w:pPr>
      <w:r w:rsidRPr="00172D87">
        <w:t>——</w:t>
      </w:r>
      <w:r w:rsidR="00EF7F65">
        <w:t> </w:t>
      </w:r>
      <w:r w:rsidRPr="00172D87">
        <w:t xml:space="preserve">2022b, </w:t>
      </w:r>
      <w:r w:rsidRPr="00172D87">
        <w:rPr>
          <w:i/>
        </w:rPr>
        <w:t>Government Finance Statistics, Australia, 2020</w:t>
      </w:r>
      <w:r w:rsidR="00A43B86">
        <w:rPr>
          <w:i/>
        </w:rPr>
        <w:noBreakHyphen/>
      </w:r>
      <w:r w:rsidRPr="00172D87">
        <w:rPr>
          <w:i/>
        </w:rPr>
        <w:t>21</w:t>
      </w:r>
      <w:r w:rsidRPr="00172D87">
        <w:t>, Cat. no. 5512.</w:t>
      </w:r>
    </w:p>
    <w:p w14:paraId="2E930972" w14:textId="1BDCFCD5" w:rsidR="006033EA" w:rsidRPr="00172D87" w:rsidRDefault="006033EA" w:rsidP="00DD2493">
      <w:pPr>
        <w:pStyle w:val="Reference"/>
      </w:pPr>
      <w:r w:rsidRPr="00172D87">
        <w:t>——</w:t>
      </w:r>
      <w:r w:rsidR="00EF7F65">
        <w:t> </w:t>
      </w:r>
      <w:r w:rsidRPr="00172D87">
        <w:t xml:space="preserve">2022c, </w:t>
      </w:r>
      <w:r w:rsidRPr="00172D87">
        <w:rPr>
          <w:i/>
        </w:rPr>
        <w:t>Innovation in Australian Business, 2020</w:t>
      </w:r>
      <w:r w:rsidR="00A43B86">
        <w:rPr>
          <w:i/>
        </w:rPr>
        <w:noBreakHyphen/>
      </w:r>
      <w:r w:rsidRPr="00172D87">
        <w:rPr>
          <w:i/>
        </w:rPr>
        <w:t>21 financial year</w:t>
      </w:r>
      <w:r w:rsidRPr="00172D87">
        <w:t>, https://www.abs.gov.au/statistics/industry/</w:t>
      </w:r>
      <w:r w:rsidR="00782EA5">
        <w:br/>
      </w:r>
      <w:r w:rsidRPr="00172D87">
        <w:t>technology-and-innovation/innovation-australian-business/latest-release (accessed 5</w:t>
      </w:r>
      <w:r w:rsidR="00A43B86">
        <w:t> </w:t>
      </w:r>
      <w:r w:rsidRPr="00172D87">
        <w:t>August 2022).</w:t>
      </w:r>
    </w:p>
    <w:p w14:paraId="59DE1B87" w14:textId="10AF112E" w:rsidR="006033EA" w:rsidRPr="00172D87" w:rsidRDefault="006033EA" w:rsidP="00DD2493">
      <w:pPr>
        <w:pStyle w:val="Reference"/>
      </w:pPr>
      <w:r w:rsidRPr="00172D87">
        <w:t>——</w:t>
      </w:r>
      <w:r w:rsidR="00EF7F65">
        <w:t> </w:t>
      </w:r>
      <w:r w:rsidRPr="00172D87">
        <w:t xml:space="preserve">2022d, </w:t>
      </w:r>
      <w:r w:rsidRPr="00172D87">
        <w:rPr>
          <w:i/>
        </w:rPr>
        <w:t>Research and Experimental Development, Government and Private Non-Profit Organisations, Australia, 2020</w:t>
      </w:r>
      <w:r w:rsidR="00A43B86">
        <w:rPr>
          <w:i/>
        </w:rPr>
        <w:noBreakHyphen/>
      </w:r>
      <w:r w:rsidRPr="00172D87">
        <w:rPr>
          <w:i/>
        </w:rPr>
        <w:t>21</w:t>
      </w:r>
      <w:r w:rsidRPr="00172D87">
        <w:t>, Cat. no. 8109.0.</w:t>
      </w:r>
    </w:p>
    <w:p w14:paraId="38D2DDF7" w14:textId="62B5093F" w:rsidR="006033EA" w:rsidRPr="00172D87" w:rsidRDefault="006033EA" w:rsidP="00DD2493">
      <w:pPr>
        <w:pStyle w:val="Reference"/>
      </w:pPr>
      <w:r w:rsidRPr="00172D87">
        <w:t>——</w:t>
      </w:r>
      <w:r w:rsidR="00EF7F65">
        <w:t> </w:t>
      </w:r>
      <w:r w:rsidRPr="00172D87">
        <w:t xml:space="preserve">2022e, </w:t>
      </w:r>
      <w:r w:rsidRPr="00172D87">
        <w:rPr>
          <w:i/>
        </w:rPr>
        <w:t>Work-Related Training and Adult Learning, Australia, 2020</w:t>
      </w:r>
      <w:r w:rsidR="00A43B86">
        <w:rPr>
          <w:i/>
        </w:rPr>
        <w:noBreakHyphen/>
      </w:r>
      <w:r w:rsidRPr="00172D87">
        <w:rPr>
          <w:i/>
        </w:rPr>
        <w:t>21 financial year</w:t>
      </w:r>
      <w:r w:rsidRPr="00172D87">
        <w:t>, Cat. no 4234.0.</w:t>
      </w:r>
    </w:p>
    <w:p w14:paraId="0C9A10FE" w14:textId="77777777" w:rsidR="006033EA" w:rsidRPr="00782EA5" w:rsidRDefault="006033EA" w:rsidP="00DD2493">
      <w:pPr>
        <w:pStyle w:val="Reference"/>
        <w:rPr>
          <w:spacing w:val="-4"/>
        </w:rPr>
      </w:pPr>
      <w:r w:rsidRPr="00782EA5">
        <w:rPr>
          <w:spacing w:val="-4"/>
        </w:rPr>
        <w:t xml:space="preserve">ACCC (Australian Competition and Consumer Commission) 2019, </w:t>
      </w:r>
      <w:r w:rsidRPr="00782EA5">
        <w:rPr>
          <w:i/>
          <w:spacing w:val="-4"/>
        </w:rPr>
        <w:t>ACCC submission to Standards Australia’s Discussion paper on the Distribution and Licensing Policy Framework</w:t>
      </w:r>
      <w:r w:rsidRPr="00782EA5">
        <w:rPr>
          <w:spacing w:val="-4"/>
        </w:rPr>
        <w:t>, 21 August.</w:t>
      </w:r>
    </w:p>
    <w:p w14:paraId="0D8AA5F6" w14:textId="27E5BCE2" w:rsidR="006033EA" w:rsidRPr="00172D87" w:rsidRDefault="006033EA" w:rsidP="00DD2493">
      <w:pPr>
        <w:pStyle w:val="Reference"/>
      </w:pPr>
      <w:r w:rsidRPr="00172D87">
        <w:t xml:space="preserve">ACIL Allen 2020, </w:t>
      </w:r>
      <w:r w:rsidRPr="00172D87">
        <w:rPr>
          <w:i/>
        </w:rPr>
        <w:t>Industry Growth Centres Initiative: Initial Impact Evaluation</w:t>
      </w:r>
      <w:r w:rsidRPr="00172D87">
        <w:t>, https://www.industry.gov.au/sites/default/files/2022</w:t>
      </w:r>
      <w:r w:rsidR="00A43B86">
        <w:t>–</w:t>
      </w:r>
      <w:r w:rsidRPr="00172D87">
        <w:t>11/industry-growth-centres-initiative-initial-impact-evaluation.pdf (accessed 24</w:t>
      </w:r>
      <w:r w:rsidR="00A43B86">
        <w:t> </w:t>
      </w:r>
      <w:r w:rsidRPr="00172D87">
        <w:t>November 2022).</w:t>
      </w:r>
    </w:p>
    <w:p w14:paraId="1B0D7F00" w14:textId="77777777" w:rsidR="006033EA" w:rsidRPr="00782EA5" w:rsidRDefault="006033EA" w:rsidP="00DD2493">
      <w:pPr>
        <w:pStyle w:val="Reference"/>
        <w:rPr>
          <w:spacing w:val="-4"/>
        </w:rPr>
      </w:pPr>
      <w:r w:rsidRPr="00782EA5">
        <w:rPr>
          <w:spacing w:val="-4"/>
        </w:rPr>
        <w:t xml:space="preserve">ACMA (Australian Communications and Media Authority) 2021, </w:t>
      </w:r>
      <w:r w:rsidRPr="00782EA5">
        <w:rPr>
          <w:i/>
          <w:spacing w:val="-4"/>
        </w:rPr>
        <w:t>New tech applications for regulatory outcomes: Occasional paper</w:t>
      </w:r>
      <w:r w:rsidRPr="00782EA5">
        <w:rPr>
          <w:spacing w:val="-4"/>
        </w:rPr>
        <w:t>, 30 March, Commonwealth of Australia, Canberra.</w:t>
      </w:r>
    </w:p>
    <w:p w14:paraId="6FCDD20D" w14:textId="77777777" w:rsidR="006033EA" w:rsidRPr="00172D87" w:rsidRDefault="006033EA" w:rsidP="00DD2493">
      <w:pPr>
        <w:pStyle w:val="Reference"/>
      </w:pPr>
      <w:r w:rsidRPr="00172D87">
        <w:t xml:space="preserve">ACSQHC (Australian Commission on Safety and Quality in Healthcare) 2019, </w:t>
      </w:r>
      <w:r w:rsidRPr="00172D87">
        <w:rPr>
          <w:i/>
        </w:rPr>
        <w:t>The state of patient safety and quality in Australian hospitals 2019</w:t>
      </w:r>
      <w:r w:rsidRPr="00172D87">
        <w:t>.</w:t>
      </w:r>
    </w:p>
    <w:p w14:paraId="46003F9F" w14:textId="4AAC0882" w:rsidR="006033EA" w:rsidRPr="00172D87" w:rsidRDefault="006033EA" w:rsidP="00DD2493">
      <w:pPr>
        <w:pStyle w:val="Reference"/>
      </w:pPr>
      <w:r w:rsidRPr="00172D87">
        <w:t>——</w:t>
      </w:r>
      <w:r w:rsidR="00EF7F65">
        <w:t> </w:t>
      </w:r>
      <w:r w:rsidRPr="00172D87">
        <w:t xml:space="preserve">2021a, </w:t>
      </w:r>
      <w:r w:rsidRPr="00172D87">
        <w:rPr>
          <w:i/>
        </w:rPr>
        <w:t>AURA 2021: Fourth Australian report on antimicrobial use and resistance in human health</w:t>
      </w:r>
      <w:r w:rsidRPr="00172D87">
        <w:t>.</w:t>
      </w:r>
    </w:p>
    <w:p w14:paraId="12959D31" w14:textId="7AC7038D" w:rsidR="006033EA" w:rsidRPr="00172D87" w:rsidRDefault="006033EA" w:rsidP="00DD2493">
      <w:pPr>
        <w:pStyle w:val="Reference"/>
      </w:pPr>
      <w:r w:rsidRPr="00172D87">
        <w:t>——</w:t>
      </w:r>
      <w:r w:rsidR="00EF7F65">
        <w:t> </w:t>
      </w:r>
      <w:r w:rsidRPr="00172D87">
        <w:t xml:space="preserve">2021b, </w:t>
      </w:r>
      <w:r w:rsidRPr="00172D87">
        <w:rPr>
          <w:i/>
        </w:rPr>
        <w:t>The fourth atlas of healthcare variation 2021 - National summary</w:t>
      </w:r>
      <w:r w:rsidRPr="00172D87">
        <w:t>.</w:t>
      </w:r>
    </w:p>
    <w:p w14:paraId="10BC1FE5" w14:textId="1A77E925" w:rsidR="006033EA" w:rsidRPr="00172D87" w:rsidRDefault="006033EA" w:rsidP="00DD2493">
      <w:pPr>
        <w:pStyle w:val="Reference"/>
      </w:pPr>
      <w:r w:rsidRPr="00172D87">
        <w:t>——</w:t>
      </w:r>
      <w:r w:rsidR="00EF7F65">
        <w:t> </w:t>
      </w:r>
      <w:r w:rsidRPr="00172D87">
        <w:t xml:space="preserve">2022, </w:t>
      </w:r>
      <w:r w:rsidRPr="00172D87">
        <w:rPr>
          <w:i/>
        </w:rPr>
        <w:t>Condition specific PROMs</w:t>
      </w:r>
      <w:r w:rsidRPr="00172D87">
        <w:t>, https://www.safetyandquality.gov.au/our-work/indicators-measurement-and-reporting/patient-reported-outcomes/proms-lists/condition-specific-proms (accessed 8</w:t>
      </w:r>
      <w:r w:rsidR="00A43B86">
        <w:t> </w:t>
      </w:r>
      <w:r w:rsidRPr="00172D87">
        <w:t>September 2022).</w:t>
      </w:r>
    </w:p>
    <w:p w14:paraId="1C20456C" w14:textId="77777777" w:rsidR="006033EA" w:rsidRPr="00172D87" w:rsidRDefault="006033EA" w:rsidP="00DD2493">
      <w:pPr>
        <w:pStyle w:val="Reference"/>
      </w:pPr>
      <w:r w:rsidRPr="00172D87">
        <w:t xml:space="preserve">ACTAO (ACT Auditor-General’s Office) 2012, </w:t>
      </w:r>
      <w:r w:rsidRPr="00172D87">
        <w:rPr>
          <w:i/>
        </w:rPr>
        <w:t>Emergency Department Performance Information</w:t>
      </w:r>
      <w:r w:rsidRPr="00172D87">
        <w:t>, Performance Audit Report, Report No. 6 / 2012, Canberra.</w:t>
      </w:r>
    </w:p>
    <w:p w14:paraId="1D1400AD" w14:textId="4C24008F" w:rsidR="006033EA" w:rsidRPr="00172D87" w:rsidRDefault="006033EA" w:rsidP="00DD2493">
      <w:pPr>
        <w:pStyle w:val="Reference"/>
      </w:pPr>
      <w:r w:rsidRPr="00172D87">
        <w:t xml:space="preserve">AFSA (Australian Financial Security Authority) 2022, </w:t>
      </w:r>
      <w:r w:rsidRPr="00172D87">
        <w:rPr>
          <w:i/>
        </w:rPr>
        <w:t>Quarterly Personal Insolvency Statistics, Time Series</w:t>
      </w:r>
      <w:r w:rsidRPr="00172D87">
        <w:t xml:space="preserve">, </w:t>
      </w:r>
      <w:r w:rsidRPr="00172D87">
        <w:t>https://www.afsa.gov.au/statistics/quarterly-personal-insolvency-time-series (accessed 8</w:t>
      </w:r>
      <w:r w:rsidR="00A43B86">
        <w:t> </w:t>
      </w:r>
      <w:r w:rsidRPr="00172D87">
        <w:t>August 2022).</w:t>
      </w:r>
    </w:p>
    <w:p w14:paraId="236AA86B" w14:textId="77777777" w:rsidR="006033EA" w:rsidRPr="00172D87" w:rsidRDefault="006033EA" w:rsidP="00DD2493">
      <w:pPr>
        <w:pStyle w:val="Reference"/>
      </w:pPr>
      <w:r w:rsidRPr="00172D87">
        <w:t xml:space="preserve">Agarwal, R., Bajada, C., Brown, P., Moran, I. and Balaguer, A. 2019, </w:t>
      </w:r>
      <w:r w:rsidRPr="00172D87">
        <w:rPr>
          <w:i/>
        </w:rPr>
        <w:t>Development of Management Capability Scores</w:t>
      </w:r>
      <w:r w:rsidRPr="00172D87">
        <w:t>, Research Paper 10/2019, Department of Industry, Innovation and Science, p. 67.</w:t>
      </w:r>
    </w:p>
    <w:p w14:paraId="4DCBD3DB" w14:textId="77777777" w:rsidR="006033EA" w:rsidRPr="00172D87" w:rsidRDefault="006033EA" w:rsidP="00DD2493">
      <w:pPr>
        <w:pStyle w:val="Reference"/>
      </w:pPr>
      <w:r w:rsidRPr="00172D87">
        <w:t xml:space="preserve">——, Brown, P.J., Green, R., Randhawa, K. and Tan, H. 2014, ‘Management practices of Australian manufacturing firms: why are some firms more innovative?’, </w:t>
      </w:r>
      <w:r w:rsidRPr="00172D87">
        <w:rPr>
          <w:i/>
        </w:rPr>
        <w:t>International Journal of Production Research</w:t>
      </w:r>
      <w:r w:rsidRPr="00172D87">
        <w:t>, vol. 52, no. 21, pp. 6496–6517.</w:t>
      </w:r>
    </w:p>
    <w:p w14:paraId="1F8B613C" w14:textId="77777777" w:rsidR="006033EA" w:rsidRPr="00172D87" w:rsidRDefault="006033EA" w:rsidP="00DD2493">
      <w:pPr>
        <w:pStyle w:val="Reference"/>
      </w:pPr>
      <w:r w:rsidRPr="00172D87">
        <w:t xml:space="preserve">Aghion, P., Bloom, N., Blundell, R., Griffith, R. and Howitt, P. 2005, </w:t>
      </w:r>
      <w:r w:rsidRPr="00172D87">
        <w:rPr>
          <w:i/>
        </w:rPr>
        <w:t>Competition and Innovation: An Inverted-U Relationship</w:t>
      </w:r>
      <w:r w:rsidRPr="00172D87">
        <w:t>, NBER Working Papers (9269)., 1 May, National Bureau of Economic Research.</w:t>
      </w:r>
    </w:p>
    <w:p w14:paraId="411E0B1F" w14:textId="77777777" w:rsidR="006033EA" w:rsidRPr="00172D87" w:rsidRDefault="006033EA" w:rsidP="00DD2493">
      <w:pPr>
        <w:pStyle w:val="Reference"/>
      </w:pPr>
      <w:r w:rsidRPr="00172D87">
        <w:t xml:space="preserve">Albury, D. 2005, ‘Fostering Innovation in Public Services’, </w:t>
      </w:r>
      <w:r w:rsidRPr="00172D87">
        <w:rPr>
          <w:i/>
        </w:rPr>
        <w:t>Public Money &amp; Management</w:t>
      </w:r>
      <w:r w:rsidRPr="00172D87">
        <w:t>, vol. 25, no. 1, pp. 51–56.</w:t>
      </w:r>
    </w:p>
    <w:p w14:paraId="389D7350" w14:textId="77777777" w:rsidR="006033EA" w:rsidRPr="00172D87" w:rsidRDefault="006033EA" w:rsidP="00DD2493">
      <w:pPr>
        <w:pStyle w:val="Reference"/>
      </w:pPr>
      <w:r w:rsidRPr="00172D87">
        <w:t xml:space="preserve">Alesina, A., Harnoss, J. and Rapoport, H. 2013, </w:t>
      </w:r>
      <w:r w:rsidRPr="00172D87">
        <w:rPr>
          <w:i/>
        </w:rPr>
        <w:t>Birthplace Diversity and Economic Prosperity</w:t>
      </w:r>
      <w:r w:rsidRPr="00172D87">
        <w:t>, NBER Working Paper 18699, National Bureau of Economic Research.</w:t>
      </w:r>
    </w:p>
    <w:p w14:paraId="0B5D8FBE" w14:textId="77777777" w:rsidR="006033EA" w:rsidRPr="00172D87" w:rsidRDefault="006033EA" w:rsidP="00DD2493">
      <w:pPr>
        <w:pStyle w:val="Reference"/>
      </w:pPr>
      <w:r w:rsidRPr="00172D87">
        <w:t>Alston, J.M., Marra, M.C., Pardey, P.G. and Wyatt, T.J. 2000, ‘Research returns redux: a meta</w:t>
      </w:r>
      <w:r w:rsidRPr="00172D87">
        <w:rPr>
          <w:rFonts w:ascii="Cambria Math" w:hAnsi="Cambria Math" w:cs="Cambria Math"/>
        </w:rPr>
        <w:t>‐</w:t>
      </w:r>
      <w:r w:rsidRPr="00172D87">
        <w:t xml:space="preserve">analysis of the returns to agricultural R&amp;D’, </w:t>
      </w:r>
      <w:r w:rsidRPr="00172D87">
        <w:rPr>
          <w:i/>
        </w:rPr>
        <w:t>Australian Journal of Agricultural and Resource Economics</w:t>
      </w:r>
      <w:r w:rsidRPr="00172D87">
        <w:t>, vol. 44, no. 2, pp. 185–215.</w:t>
      </w:r>
    </w:p>
    <w:p w14:paraId="1F603109" w14:textId="1FD2E693" w:rsidR="006033EA" w:rsidRPr="00172D87" w:rsidRDefault="006033EA" w:rsidP="00DD2493">
      <w:pPr>
        <w:pStyle w:val="Reference"/>
      </w:pPr>
      <w:r w:rsidRPr="00172D87">
        <w:t xml:space="preserve">AMGC (Advanced Manufacturing Growth Centre Limited) 2021, </w:t>
      </w:r>
      <w:r w:rsidRPr="00172D87">
        <w:rPr>
          <w:i/>
        </w:rPr>
        <w:t>Annual Report 2020</w:t>
      </w:r>
      <w:r w:rsidR="00A43B86">
        <w:rPr>
          <w:i/>
        </w:rPr>
        <w:noBreakHyphen/>
      </w:r>
      <w:r w:rsidRPr="00172D87">
        <w:rPr>
          <w:i/>
        </w:rPr>
        <w:t>21</w:t>
      </w:r>
      <w:r w:rsidRPr="00172D87">
        <w:t>.</w:t>
      </w:r>
    </w:p>
    <w:p w14:paraId="4845E4E9" w14:textId="77777777" w:rsidR="006033EA" w:rsidRPr="00172D87" w:rsidRDefault="006033EA" w:rsidP="00DD2493">
      <w:pPr>
        <w:pStyle w:val="Reference"/>
      </w:pPr>
      <w:r w:rsidRPr="00172D87">
        <w:t xml:space="preserve">Andrews, D., Criscuolo, C. and Hansell, D. 2019, </w:t>
      </w:r>
      <w:r w:rsidRPr="00172D87">
        <w:rPr>
          <w:i/>
        </w:rPr>
        <w:t>The Best versus the Rest: Divergence across Firms during the Global Productivity Slowdown</w:t>
      </w:r>
      <w:r w:rsidRPr="00172D87">
        <w:t>, CEP Discussion Paper 1645, Centre for Economic Performance, LSE.</w:t>
      </w:r>
    </w:p>
    <w:p w14:paraId="3C6B92CA" w14:textId="77777777" w:rsidR="006033EA" w:rsidRPr="00782EA5" w:rsidRDefault="006033EA" w:rsidP="00DD2493">
      <w:pPr>
        <w:pStyle w:val="Reference"/>
        <w:rPr>
          <w:spacing w:val="-4"/>
        </w:rPr>
      </w:pPr>
      <w:r w:rsidRPr="00782EA5">
        <w:rPr>
          <w:spacing w:val="-4"/>
        </w:rPr>
        <w:t xml:space="preserve">——, Hambur, J. and Bahar, E. 2021, </w:t>
      </w:r>
      <w:r w:rsidRPr="00782EA5">
        <w:rPr>
          <w:i/>
          <w:spacing w:val="-4"/>
        </w:rPr>
        <w:t>The COVID-19 shock and productivity-enhancing reallocation in Australia: Real-time evidence from Single Touch Payroll</w:t>
      </w:r>
      <w:r w:rsidRPr="00782EA5">
        <w:rPr>
          <w:spacing w:val="-4"/>
        </w:rPr>
        <w:t>, OECD Economics Department Working Papers, No. 1677, OECD Publishing, Paris.</w:t>
      </w:r>
    </w:p>
    <w:p w14:paraId="05EB288D" w14:textId="5546F7D4" w:rsidR="006033EA" w:rsidRPr="00172D87" w:rsidRDefault="006033EA" w:rsidP="00DD2493">
      <w:pPr>
        <w:pStyle w:val="Reference"/>
      </w:pPr>
      <w:r w:rsidRPr="00172D87">
        <w:t xml:space="preserve">——, ——, Hansell, D. and Wheeler, A. 2022, </w:t>
      </w:r>
      <w:r w:rsidRPr="00172D87">
        <w:rPr>
          <w:i/>
        </w:rPr>
        <w:t>Reaching for the stars: Australian firms and the global productivity frontier</w:t>
      </w:r>
      <w:r w:rsidRPr="00172D87">
        <w:t>, Treasury Working Paper 2022</w:t>
      </w:r>
      <w:r w:rsidR="00A43B86">
        <w:t>–</w:t>
      </w:r>
      <w:r w:rsidRPr="00172D87">
        <w:t>01.</w:t>
      </w:r>
    </w:p>
    <w:p w14:paraId="297F628B" w14:textId="77777777" w:rsidR="006033EA" w:rsidRPr="00172D87" w:rsidRDefault="006033EA" w:rsidP="00DD2493">
      <w:pPr>
        <w:pStyle w:val="Reference"/>
      </w:pPr>
      <w:r w:rsidRPr="00172D87">
        <w:t xml:space="preserve">——, Nicoletti, G. and von Rueden, C. 2020, ‘Digital technology diffusion: A matter of capabilities, incentives or both?’, </w:t>
      </w:r>
      <w:r w:rsidRPr="00172D87">
        <w:rPr>
          <w:i/>
        </w:rPr>
        <w:t>European Economic Review</w:t>
      </w:r>
      <w:r w:rsidRPr="00172D87">
        <w:t>, vol. 128, p. 103513.</w:t>
      </w:r>
    </w:p>
    <w:p w14:paraId="16F4469D" w14:textId="77777777" w:rsidR="006033EA" w:rsidRPr="00782EA5" w:rsidRDefault="006033EA" w:rsidP="00DD2493">
      <w:pPr>
        <w:pStyle w:val="Reference"/>
        <w:rPr>
          <w:spacing w:val="-4"/>
        </w:rPr>
      </w:pPr>
      <w:r w:rsidRPr="00782EA5">
        <w:rPr>
          <w:spacing w:val="-4"/>
        </w:rPr>
        <w:t xml:space="preserve">Andrews, M., Chatterji, A. and Stern, S. 2022, ‘Beyond 14 Characters’, </w:t>
      </w:r>
      <w:r w:rsidRPr="00782EA5">
        <w:rPr>
          <w:i/>
          <w:spacing w:val="-4"/>
        </w:rPr>
        <w:t>The Role of Innovation and Entrepreneurship in Economic Growth</w:t>
      </w:r>
      <w:r w:rsidRPr="00782EA5">
        <w:rPr>
          <w:spacing w:val="-4"/>
        </w:rPr>
        <w:t>, University of Chicago Press, Massachusetts.</w:t>
      </w:r>
    </w:p>
    <w:p w14:paraId="3445BFE4" w14:textId="77777777" w:rsidR="006033EA" w:rsidRPr="00172D87" w:rsidRDefault="006033EA" w:rsidP="00DD2493">
      <w:pPr>
        <w:pStyle w:val="Reference"/>
      </w:pPr>
      <w:r w:rsidRPr="00172D87">
        <w:t xml:space="preserve">ANZSOG (Australia and New Zealand School of Government) 2019, </w:t>
      </w:r>
      <w:r w:rsidRPr="00172D87">
        <w:rPr>
          <w:i/>
        </w:rPr>
        <w:t>Today’s Problems, Yesterday’s Toolkit</w:t>
      </w:r>
      <w:r w:rsidRPr="00172D87">
        <w:t>, Melbourne.</w:t>
      </w:r>
    </w:p>
    <w:p w14:paraId="72DF52E9" w14:textId="6BD40660" w:rsidR="006033EA" w:rsidRPr="00782EA5" w:rsidRDefault="006033EA" w:rsidP="00DD2493">
      <w:pPr>
        <w:pStyle w:val="Reference"/>
        <w:rPr>
          <w:spacing w:val="-4"/>
        </w:rPr>
      </w:pPr>
      <w:r w:rsidRPr="00782EA5">
        <w:rPr>
          <w:spacing w:val="-4"/>
        </w:rPr>
        <w:t xml:space="preserve">Apple 2022, </w:t>
      </w:r>
      <w:r w:rsidRPr="00782EA5">
        <w:rPr>
          <w:i/>
          <w:spacing w:val="-4"/>
        </w:rPr>
        <w:t>Apple marks 40 years in Australia with new commitments to protect the planet</w:t>
      </w:r>
      <w:r w:rsidRPr="00782EA5">
        <w:rPr>
          <w:spacing w:val="-4"/>
        </w:rPr>
        <w:t>, Apple Newsroom (Australia), https://www.apple.com/au/newsroom/2022</w:t>
      </w:r>
      <w:r w:rsidR="00A43B86">
        <w:rPr>
          <w:spacing w:val="-4"/>
        </w:rPr>
        <w:t>–</w:t>
      </w:r>
      <w:r w:rsidRPr="00782EA5">
        <w:rPr>
          <w:spacing w:val="-4"/>
        </w:rPr>
        <w:t>08/apple-marks-40-years-in-australia-with-new-commitments-to-protect-the-planet/ (accessed 11</w:t>
      </w:r>
      <w:r w:rsidR="00A43B86">
        <w:rPr>
          <w:spacing w:val="-4"/>
        </w:rPr>
        <w:t> </w:t>
      </w:r>
      <w:r w:rsidRPr="00782EA5">
        <w:rPr>
          <w:spacing w:val="-4"/>
        </w:rPr>
        <w:t>January 2023).</w:t>
      </w:r>
    </w:p>
    <w:p w14:paraId="7C7CA09D" w14:textId="309B7E03" w:rsidR="006033EA" w:rsidRPr="00172D87" w:rsidRDefault="006033EA" w:rsidP="00DD2493">
      <w:pPr>
        <w:pStyle w:val="Reference"/>
      </w:pPr>
      <w:r w:rsidRPr="00172D87">
        <w:t xml:space="preserve">APRA (Australian Prudential Regulation Authority) 2021, </w:t>
      </w:r>
      <w:r w:rsidRPr="00172D87">
        <w:rPr>
          <w:i/>
        </w:rPr>
        <w:t>Response to Submissions: Finalising the Bank Capital Reforms</w:t>
      </w:r>
      <w:r w:rsidRPr="00172D87">
        <w:t>, November, https://www.apra.gov.au/sites/</w:t>
      </w:r>
      <w:r w:rsidR="005630AD">
        <w:br/>
      </w:r>
      <w:r w:rsidRPr="00172D87">
        <w:t>default/files/2021</w:t>
      </w:r>
      <w:r w:rsidR="00A43B86">
        <w:t>–</w:t>
      </w:r>
      <w:r w:rsidRPr="00172D87">
        <w:t>11/Response%20to%20submissions%20-</w:t>
      </w:r>
      <w:r w:rsidRPr="00172D87">
        <w:lastRenderedPageBreak/>
        <w:t>%20Finalising%20bank%20capital%20reforms.pdf (accessed 24</w:t>
      </w:r>
      <w:r w:rsidR="00A43B86">
        <w:t> </w:t>
      </w:r>
      <w:r w:rsidRPr="00172D87">
        <w:t>January 2023).</w:t>
      </w:r>
    </w:p>
    <w:p w14:paraId="542A9D7F" w14:textId="61631AE1" w:rsidR="006033EA" w:rsidRPr="00172D87" w:rsidRDefault="006033EA" w:rsidP="00DD2493">
      <w:pPr>
        <w:pStyle w:val="Reference"/>
      </w:pPr>
      <w:r w:rsidRPr="00172D87">
        <w:t>——</w:t>
      </w:r>
      <w:r w:rsidR="00EF7F65">
        <w:t> </w:t>
      </w:r>
      <w:r w:rsidRPr="00172D87">
        <w:t xml:space="preserve">2022, </w:t>
      </w:r>
      <w:r w:rsidRPr="00172D87">
        <w:rPr>
          <w:i/>
        </w:rPr>
        <w:t>Revisions to the capital framework for authorised deposit-taking institutions</w:t>
      </w:r>
      <w:r w:rsidRPr="00172D87">
        <w:t>, https://www.apra.gov.au/revisions-to-capital-framework-for-authorised-deposit-taking-institutions (accessed 24</w:t>
      </w:r>
      <w:r w:rsidR="00A43B86">
        <w:t> </w:t>
      </w:r>
      <w:r w:rsidRPr="00172D87">
        <w:t>August 2022).</w:t>
      </w:r>
    </w:p>
    <w:p w14:paraId="01E8F1B9" w14:textId="6859B695" w:rsidR="00172D87" w:rsidRPr="00172D87" w:rsidRDefault="006033EA" w:rsidP="00DD2493">
      <w:pPr>
        <w:pStyle w:val="Reference"/>
      </w:pPr>
      <w:r w:rsidRPr="00172D87">
        <w:t xml:space="preserve">APSC (Australian Public Service Commission) </w:t>
      </w:r>
      <w:r w:rsidR="00172D87" w:rsidRPr="00172D87">
        <w:t xml:space="preserve">2021a, </w:t>
      </w:r>
      <w:r w:rsidR="00172D87" w:rsidRPr="00172D87">
        <w:rPr>
          <w:i/>
          <w:iCs/>
        </w:rPr>
        <w:t>Australian Public Service Commission Census Results 2020</w:t>
      </w:r>
      <w:r w:rsidR="00A43B86">
        <w:rPr>
          <w:i/>
          <w:iCs/>
        </w:rPr>
        <w:noBreakHyphen/>
      </w:r>
      <w:r w:rsidR="00172D87" w:rsidRPr="00172D87">
        <w:rPr>
          <w:i/>
          <w:iCs/>
        </w:rPr>
        <w:t>21</w:t>
      </w:r>
      <w:r w:rsidR="00172D87" w:rsidRPr="00172D87">
        <w:t>, 30 November.</w:t>
      </w:r>
    </w:p>
    <w:p w14:paraId="608DFEDA" w14:textId="6F46CBE3" w:rsidR="006033EA" w:rsidRPr="00172D87" w:rsidRDefault="00172D87" w:rsidP="00DD2493">
      <w:pPr>
        <w:pStyle w:val="Reference"/>
      </w:pPr>
      <w:r w:rsidRPr="00172D87">
        <w:t>——</w:t>
      </w:r>
      <w:r w:rsidR="00EF7F65">
        <w:t> </w:t>
      </w:r>
      <w:r w:rsidRPr="00172D87">
        <w:t>2021b</w:t>
      </w:r>
      <w:r w:rsidR="006033EA" w:rsidRPr="00172D87">
        <w:t xml:space="preserve">, </w:t>
      </w:r>
      <w:r w:rsidR="006033EA" w:rsidRPr="00172D87">
        <w:rPr>
          <w:i/>
        </w:rPr>
        <w:t>Mobility fundamentals</w:t>
      </w:r>
      <w:r w:rsidR="006033EA" w:rsidRPr="00172D87">
        <w:t>, https://www.apsc.gov.au/initiatives-and-programs/aps-mobility-framework/mobility-fundamentals (accessed 12</w:t>
      </w:r>
      <w:r w:rsidR="00A43B86">
        <w:t> </w:t>
      </w:r>
      <w:r w:rsidR="006033EA" w:rsidRPr="00172D87">
        <w:t>January 2023).</w:t>
      </w:r>
    </w:p>
    <w:p w14:paraId="4276D753" w14:textId="0B3F005B" w:rsidR="006033EA" w:rsidRPr="005630AD" w:rsidRDefault="006033EA" w:rsidP="00DD2493">
      <w:pPr>
        <w:pStyle w:val="Reference"/>
        <w:rPr>
          <w:spacing w:val="-4"/>
        </w:rPr>
      </w:pPr>
      <w:r w:rsidRPr="005630AD">
        <w:rPr>
          <w:spacing w:val="-4"/>
        </w:rPr>
        <w:t xml:space="preserve">ARC (Australian Research Council) 2018, </w:t>
      </w:r>
      <w:r w:rsidRPr="005630AD">
        <w:rPr>
          <w:i/>
          <w:spacing w:val="-4"/>
        </w:rPr>
        <w:t>Linkage Program</w:t>
      </w:r>
      <w:r w:rsidR="00A43B86">
        <w:rPr>
          <w:i/>
          <w:spacing w:val="-4"/>
        </w:rPr>
        <w:t xml:space="preserve"> </w:t>
      </w:r>
      <w:r w:rsidRPr="005630AD">
        <w:rPr>
          <w:i/>
          <w:spacing w:val="-4"/>
        </w:rPr>
        <w:t>—</w:t>
      </w:r>
      <w:r w:rsidR="00A43B86">
        <w:rPr>
          <w:i/>
          <w:spacing w:val="-4"/>
        </w:rPr>
        <w:t xml:space="preserve"> </w:t>
      </w:r>
      <w:r w:rsidRPr="005630AD">
        <w:rPr>
          <w:i/>
          <w:spacing w:val="-4"/>
        </w:rPr>
        <w:t>supporting industry-research collaboration</w:t>
      </w:r>
      <w:r w:rsidRPr="005630AD">
        <w:rPr>
          <w:spacing w:val="-4"/>
        </w:rPr>
        <w:t>, https://www.arc.gov.au/</w:t>
      </w:r>
      <w:r w:rsidR="005630AD" w:rsidRPr="005630AD">
        <w:rPr>
          <w:spacing w:val="-4"/>
        </w:rPr>
        <w:br/>
      </w:r>
      <w:r w:rsidRPr="005630AD">
        <w:rPr>
          <w:spacing w:val="-4"/>
        </w:rPr>
        <w:t>overview-arc-grant-opportunities/linkage-program-supporting-industry-research-collaboration (accessed 25</w:t>
      </w:r>
      <w:r w:rsidR="00A43B86">
        <w:rPr>
          <w:spacing w:val="-4"/>
        </w:rPr>
        <w:t> </w:t>
      </w:r>
      <w:r w:rsidRPr="005630AD">
        <w:rPr>
          <w:spacing w:val="-4"/>
        </w:rPr>
        <w:t>May 2022).</w:t>
      </w:r>
    </w:p>
    <w:p w14:paraId="642F6BBC" w14:textId="77777777" w:rsidR="006033EA" w:rsidRPr="00172D87" w:rsidRDefault="006033EA" w:rsidP="00DD2493">
      <w:pPr>
        <w:pStyle w:val="Reference"/>
      </w:pPr>
      <w:r w:rsidRPr="00172D87">
        <w:t xml:space="preserve">van Ark, B., O’Mahony, M. and Timmer, M.P. 2008, ‘The Productivity Gap between Europe and the United States: Trends and Causes’, </w:t>
      </w:r>
      <w:r w:rsidRPr="00172D87">
        <w:rPr>
          <w:i/>
        </w:rPr>
        <w:t>Journal of Economic Perspectives</w:t>
      </w:r>
      <w:r w:rsidRPr="00172D87">
        <w:t>, vol. 22, no. 1, pp. 25–44.</w:t>
      </w:r>
    </w:p>
    <w:p w14:paraId="0A44EA4F" w14:textId="77777777" w:rsidR="006033EA" w:rsidRPr="00172D87" w:rsidRDefault="006033EA" w:rsidP="00DD2493">
      <w:pPr>
        <w:pStyle w:val="Reference"/>
      </w:pPr>
      <w:r w:rsidRPr="00172D87">
        <w:t xml:space="preserve">ASBFEO (Australian Small Business and Family Enterprise Ombudsman) 2019, </w:t>
      </w:r>
      <w:r w:rsidRPr="00172D87">
        <w:rPr>
          <w:i/>
        </w:rPr>
        <w:t>Review of the R&amp;D Tax Incentive</w:t>
      </w:r>
      <w:r w:rsidRPr="00172D87">
        <w:t>.</w:t>
      </w:r>
    </w:p>
    <w:p w14:paraId="10DD9877" w14:textId="77777777" w:rsidR="006033EA" w:rsidRPr="00172D87" w:rsidRDefault="006033EA" w:rsidP="00DD2493">
      <w:pPr>
        <w:pStyle w:val="Reference"/>
      </w:pPr>
      <w:r w:rsidRPr="00172D87">
        <w:t xml:space="preserve">ASIC (Australian Securities and Investments Commission) 2022, </w:t>
      </w:r>
      <w:r w:rsidRPr="00172D87">
        <w:rPr>
          <w:i/>
        </w:rPr>
        <w:t>Insolvency statistics - Series 1 Companies entering external administration and controller appointments</w:t>
      </w:r>
      <w:r w:rsidRPr="00172D87">
        <w:t>.</w:t>
      </w:r>
    </w:p>
    <w:p w14:paraId="202ED6D0" w14:textId="32BFC506" w:rsidR="006033EA" w:rsidRPr="00172D87" w:rsidRDefault="006033EA" w:rsidP="00DD2493">
      <w:pPr>
        <w:pStyle w:val="Reference"/>
      </w:pPr>
      <w:r w:rsidRPr="00172D87">
        <w:t xml:space="preserve">ATAP (Australian Transport Assessment and Planning) 2018, </w:t>
      </w:r>
      <w:r w:rsidRPr="00172D87">
        <w:rPr>
          <w:i/>
        </w:rPr>
        <w:t>Australian Transport Assessment and Planning Guidelines: T2 Cost Benefit Analysis</w:t>
      </w:r>
      <w:r w:rsidRPr="00172D87">
        <w:t>, May, https://www.atap.gov.au/sites/default/files/t2_cost_benefit_analysis.pdf (accessed 25</w:t>
      </w:r>
      <w:r w:rsidR="00A43B86">
        <w:t> </w:t>
      </w:r>
      <w:r w:rsidRPr="00172D87">
        <w:t>November 2022).</w:t>
      </w:r>
    </w:p>
    <w:p w14:paraId="3FF3AB46" w14:textId="5D590EFC" w:rsidR="006033EA" w:rsidRPr="00172D87" w:rsidRDefault="006033EA" w:rsidP="00DD2493">
      <w:pPr>
        <w:pStyle w:val="Reference"/>
      </w:pPr>
      <w:r w:rsidRPr="00172D87">
        <w:t xml:space="preserve">ATO (Australian Tax Office) 2019, </w:t>
      </w:r>
      <w:r w:rsidRPr="00172D87">
        <w:rPr>
          <w:i/>
        </w:rPr>
        <w:t>Digital service providers: the big picture</w:t>
      </w:r>
      <w:r w:rsidRPr="00172D87">
        <w:t>, March, https://www.ato.gov.au/misc/downloads/</w:t>
      </w:r>
      <w:r w:rsidR="000A72B7">
        <w:br/>
      </w:r>
      <w:r w:rsidRPr="00172D87">
        <w:t>pdf/qc57215.pdf (accessed 29</w:t>
      </w:r>
      <w:r w:rsidR="00A43B86">
        <w:t> </w:t>
      </w:r>
      <w:r w:rsidRPr="00172D87">
        <w:t>November 2022).</w:t>
      </w:r>
    </w:p>
    <w:p w14:paraId="01FE81BD" w14:textId="7D9E53A9" w:rsidR="006033EA" w:rsidRPr="00172D87" w:rsidRDefault="006033EA" w:rsidP="00DD2493">
      <w:pPr>
        <w:pStyle w:val="Reference"/>
      </w:pPr>
      <w:r w:rsidRPr="00172D87">
        <w:t>——</w:t>
      </w:r>
      <w:r w:rsidR="00EF7F65">
        <w:t> </w:t>
      </w:r>
      <w:r w:rsidRPr="00172D87">
        <w:t xml:space="preserve">2022, </w:t>
      </w:r>
      <w:r w:rsidRPr="00172D87">
        <w:rPr>
          <w:i/>
        </w:rPr>
        <w:t>Small business benchmarks</w:t>
      </w:r>
      <w:r w:rsidRPr="00172D87">
        <w:t>, https://www.ato.gov.au/Business/Small-business-benchmarks/ (accessed 23</w:t>
      </w:r>
      <w:r w:rsidR="00A43B86">
        <w:t> </w:t>
      </w:r>
      <w:r w:rsidRPr="00172D87">
        <w:t>August 2022).</w:t>
      </w:r>
    </w:p>
    <w:p w14:paraId="1BC3D2F4" w14:textId="77777777" w:rsidR="006033EA" w:rsidRPr="00172D87" w:rsidRDefault="006033EA" w:rsidP="00DD2493">
      <w:pPr>
        <w:pStyle w:val="Reference"/>
      </w:pPr>
      <w:r w:rsidRPr="00172D87">
        <w:t xml:space="preserve">Attrey, A., Lesher, M. and Lomax, C. 2020, </w:t>
      </w:r>
      <w:r w:rsidRPr="00172D87">
        <w:rPr>
          <w:i/>
        </w:rPr>
        <w:t>The role of sandboxes in promoting flexibility and innovation in the digital age</w:t>
      </w:r>
      <w:r w:rsidRPr="00172D87">
        <w:t>, OECD Going Digital Toolkit Notes, No. 2, OECD Publishing, Paris.</w:t>
      </w:r>
    </w:p>
    <w:p w14:paraId="4280A353" w14:textId="18EF9D3B" w:rsidR="006033EA" w:rsidRPr="00172D87" w:rsidRDefault="006033EA" w:rsidP="00DD2493">
      <w:pPr>
        <w:pStyle w:val="Reference"/>
      </w:pPr>
      <w:r w:rsidRPr="00172D87">
        <w:t xml:space="preserve">Austrade (Australian Trade and Investment Commission) 2021a, </w:t>
      </w:r>
      <w:r w:rsidRPr="00172D87">
        <w:rPr>
          <w:i/>
        </w:rPr>
        <w:t>IP Group invests in Australian electrolyser company Hysata</w:t>
      </w:r>
      <w:r w:rsidRPr="00172D87">
        <w:t>, https://www.austrade.gov.au/international/</w:t>
      </w:r>
      <w:r w:rsidR="000A72B7">
        <w:br/>
      </w:r>
      <w:r w:rsidRPr="00172D87">
        <w:t>invest/investor-updates/2021/ip-group-invests-in-australian-electrolyser-company-hysata (accessed 5</w:t>
      </w:r>
      <w:r w:rsidR="00A43B86">
        <w:t> </w:t>
      </w:r>
      <w:r w:rsidRPr="00172D87">
        <w:t>August 2022).</w:t>
      </w:r>
    </w:p>
    <w:p w14:paraId="5C0678F9" w14:textId="42D7BFD3" w:rsidR="006033EA" w:rsidRPr="000A72B7" w:rsidRDefault="006033EA" w:rsidP="00DD2493">
      <w:pPr>
        <w:pStyle w:val="Reference"/>
        <w:rPr>
          <w:spacing w:val="-4"/>
        </w:rPr>
      </w:pPr>
      <w:r w:rsidRPr="000A72B7">
        <w:rPr>
          <w:spacing w:val="-4"/>
        </w:rPr>
        <w:t>——</w:t>
      </w:r>
      <w:r w:rsidR="00EF7F65" w:rsidRPr="000A72B7">
        <w:rPr>
          <w:spacing w:val="-4"/>
        </w:rPr>
        <w:t> </w:t>
      </w:r>
      <w:r w:rsidRPr="000A72B7">
        <w:rPr>
          <w:spacing w:val="-4"/>
        </w:rPr>
        <w:t xml:space="preserve">2021b, </w:t>
      </w:r>
      <w:r w:rsidRPr="000A72B7">
        <w:rPr>
          <w:i/>
          <w:spacing w:val="-4"/>
        </w:rPr>
        <w:t>Neoen sees a clean, bright future in Australia</w:t>
      </w:r>
      <w:r w:rsidRPr="000A72B7">
        <w:rPr>
          <w:spacing w:val="-4"/>
        </w:rPr>
        <w:t>, https://www.austrade.gov.au/news/success-stories/neoen-sees-a-clean-bright-future-in-australia (accessed 5</w:t>
      </w:r>
      <w:r w:rsidR="00A43B86">
        <w:rPr>
          <w:spacing w:val="-4"/>
        </w:rPr>
        <w:t> </w:t>
      </w:r>
      <w:r w:rsidRPr="000A72B7">
        <w:rPr>
          <w:spacing w:val="-4"/>
        </w:rPr>
        <w:t>August 2022).</w:t>
      </w:r>
    </w:p>
    <w:p w14:paraId="7F5BCFC8" w14:textId="59009CA0" w:rsidR="006033EA" w:rsidRPr="00172D87" w:rsidRDefault="006033EA" w:rsidP="00DD2493">
      <w:pPr>
        <w:pStyle w:val="Reference"/>
      </w:pPr>
      <w:r w:rsidRPr="00172D87">
        <w:t>——</w:t>
      </w:r>
      <w:r w:rsidR="00EF7F65">
        <w:t> </w:t>
      </w:r>
      <w:r w:rsidRPr="00172D87">
        <w:t xml:space="preserve">2021c, </w:t>
      </w:r>
      <w:proofErr w:type="gramStart"/>
      <w:r w:rsidRPr="00172D87">
        <w:rPr>
          <w:i/>
        </w:rPr>
        <w:t>Who</w:t>
      </w:r>
      <w:proofErr w:type="gramEnd"/>
      <w:r w:rsidRPr="00172D87">
        <w:rPr>
          <w:i/>
        </w:rPr>
        <w:t xml:space="preserve"> invests in Australia? Analysing 2020’s $4 trillion record for foreign investment</w:t>
      </w:r>
      <w:r w:rsidRPr="00172D87">
        <w:t>, https://www.austrade.gov.au/news/economic-analysis/who-invests-in-australia-analysing-2020-s-4-trillion-record-for-foreign-investment (accessed 9</w:t>
      </w:r>
      <w:r w:rsidR="00A43B86">
        <w:t> </w:t>
      </w:r>
      <w:r w:rsidRPr="00172D87">
        <w:t>August 2022).</w:t>
      </w:r>
    </w:p>
    <w:p w14:paraId="003F1802" w14:textId="77777777" w:rsidR="006033EA" w:rsidRPr="0004452A" w:rsidRDefault="006033EA" w:rsidP="00DD2493">
      <w:pPr>
        <w:pStyle w:val="Reference"/>
        <w:rPr>
          <w:spacing w:val="-4"/>
        </w:rPr>
      </w:pPr>
      <w:r w:rsidRPr="0004452A">
        <w:rPr>
          <w:spacing w:val="-4"/>
        </w:rPr>
        <w:t xml:space="preserve">Australian Centre for Business Growth 2018, </w:t>
      </w:r>
      <w:r w:rsidRPr="0004452A">
        <w:rPr>
          <w:i/>
          <w:spacing w:val="-4"/>
        </w:rPr>
        <w:t>Lack of leadership &amp; planning leading cause of small business failure</w:t>
      </w:r>
      <w:r w:rsidRPr="0004452A">
        <w:rPr>
          <w:spacing w:val="-4"/>
        </w:rPr>
        <w:t>, 20 November.</w:t>
      </w:r>
    </w:p>
    <w:p w14:paraId="0F88AB05" w14:textId="286E0E30" w:rsidR="006033EA" w:rsidRPr="00172D87" w:rsidRDefault="006033EA" w:rsidP="00DD2493">
      <w:pPr>
        <w:pStyle w:val="Reference"/>
      </w:pPr>
      <w:r w:rsidRPr="00172D87">
        <w:t xml:space="preserve">Australian Government 2022a, </w:t>
      </w:r>
      <w:r w:rsidRPr="00172D87">
        <w:rPr>
          <w:i/>
        </w:rPr>
        <w:t>Defence Strategic Review: Terms of Reference for the Independent Leads of the Review</w:t>
      </w:r>
      <w:r w:rsidRPr="00172D87">
        <w:t>, https://www.defence.gov.au/sites/default/files/2022</w:t>
      </w:r>
      <w:r w:rsidR="00A43B86">
        <w:t>–</w:t>
      </w:r>
      <w:r w:rsidRPr="00172D87">
        <w:t>08/</w:t>
      </w:r>
      <w:r w:rsidR="000A72B7">
        <w:br/>
      </w:r>
      <w:r w:rsidRPr="00172D87">
        <w:t>defencestrategicreivew-termsreference.pdf (accessed 21</w:t>
      </w:r>
      <w:r w:rsidR="00A43B86">
        <w:t> </w:t>
      </w:r>
      <w:r w:rsidRPr="00172D87">
        <w:t>November 2022).</w:t>
      </w:r>
    </w:p>
    <w:p w14:paraId="09158B54" w14:textId="58E37371" w:rsidR="006033EA" w:rsidRPr="00172D87" w:rsidRDefault="006033EA" w:rsidP="00DD2493">
      <w:pPr>
        <w:pStyle w:val="Reference"/>
      </w:pPr>
      <w:r w:rsidRPr="00172D87">
        <w:t>——</w:t>
      </w:r>
      <w:r w:rsidR="00EF7F65">
        <w:t> </w:t>
      </w:r>
      <w:r w:rsidRPr="00172D87">
        <w:t xml:space="preserve">2022b, </w:t>
      </w:r>
      <w:r w:rsidRPr="00172D87">
        <w:rPr>
          <w:i/>
        </w:rPr>
        <w:t>Policy Hub: Public Sector Innovation Network</w:t>
      </w:r>
      <w:r w:rsidRPr="00172D87">
        <w:t>, https://www.policyhub.gov.au/resources/public-sector-innovation-network (accessed 26</w:t>
      </w:r>
      <w:r w:rsidR="00A43B86">
        <w:t> </w:t>
      </w:r>
      <w:r w:rsidRPr="00172D87">
        <w:t>August 2022).</w:t>
      </w:r>
    </w:p>
    <w:p w14:paraId="1A8ED351" w14:textId="77777777" w:rsidR="006033EA" w:rsidRPr="00172D87" w:rsidRDefault="006033EA" w:rsidP="00DD2493">
      <w:pPr>
        <w:pStyle w:val="Reference"/>
      </w:pPr>
      <w:r w:rsidRPr="00172D87">
        <w:t xml:space="preserve">Bakhtiari, S. 2020, </w:t>
      </w:r>
      <w:r w:rsidRPr="00172D87">
        <w:rPr>
          <w:i/>
        </w:rPr>
        <w:t xml:space="preserve">Market Power and Entrepreneurship Change: </w:t>
      </w:r>
      <w:proofErr w:type="gramStart"/>
      <w:r w:rsidRPr="00172D87">
        <w:rPr>
          <w:i/>
        </w:rPr>
        <w:t>the</w:t>
      </w:r>
      <w:proofErr w:type="gramEnd"/>
      <w:r w:rsidRPr="00172D87">
        <w:rPr>
          <w:i/>
        </w:rPr>
        <w:t xml:space="preserve"> Case for Australia</w:t>
      </w:r>
      <w:r w:rsidRPr="00172D87">
        <w:t>, Research Paper 2/2020, Department of Industry, Science, Energy and Resources, Commonwealth of Australia.</w:t>
      </w:r>
    </w:p>
    <w:p w14:paraId="744D8021" w14:textId="77777777" w:rsidR="006033EA" w:rsidRPr="0004452A" w:rsidRDefault="006033EA" w:rsidP="00DD2493">
      <w:pPr>
        <w:pStyle w:val="Reference"/>
        <w:rPr>
          <w:spacing w:val="-4"/>
        </w:rPr>
      </w:pPr>
      <w:r w:rsidRPr="0004452A">
        <w:rPr>
          <w:spacing w:val="-4"/>
        </w:rPr>
        <w:t xml:space="preserve">—— and Breunig, R. 2018, ‘The role of spillovers in research and development expenditure in Australian industries’, </w:t>
      </w:r>
      <w:r w:rsidRPr="0004452A">
        <w:rPr>
          <w:i/>
          <w:spacing w:val="-4"/>
        </w:rPr>
        <w:t>Economics of Innovation and New Technology</w:t>
      </w:r>
      <w:r w:rsidRPr="0004452A">
        <w:rPr>
          <w:spacing w:val="-4"/>
        </w:rPr>
        <w:t>, vol. 27, no. 1, pp. 14–38.</w:t>
      </w:r>
    </w:p>
    <w:p w14:paraId="5C395CBE" w14:textId="77777777" w:rsidR="006033EA" w:rsidRPr="0004452A" w:rsidRDefault="006033EA" w:rsidP="00DD2493">
      <w:pPr>
        <w:pStyle w:val="Reference"/>
        <w:rPr>
          <w:spacing w:val="-4"/>
        </w:rPr>
      </w:pPr>
      <w:r w:rsidRPr="0004452A">
        <w:rPr>
          <w:spacing w:val="-4"/>
        </w:rPr>
        <w:t xml:space="preserve">BCA (Business Council of Australia) 2010, </w:t>
      </w:r>
      <w:r w:rsidRPr="0004452A">
        <w:rPr>
          <w:i/>
          <w:spacing w:val="-4"/>
        </w:rPr>
        <w:t>Foreign Attraction: Building on Our Advantages through Foreign Investment</w:t>
      </w:r>
      <w:r w:rsidRPr="0004452A">
        <w:rPr>
          <w:spacing w:val="-4"/>
        </w:rPr>
        <w:t>, 20 April.</w:t>
      </w:r>
    </w:p>
    <w:p w14:paraId="1FA7C083" w14:textId="665D7648" w:rsidR="006033EA" w:rsidRPr="00172D87" w:rsidRDefault="006033EA" w:rsidP="00DD2493">
      <w:pPr>
        <w:pStyle w:val="Reference"/>
      </w:pPr>
      <w:r w:rsidRPr="00172D87">
        <w:t xml:space="preserve">Benchmarking.com.au 2021, </w:t>
      </w:r>
      <w:r w:rsidRPr="00172D87">
        <w:rPr>
          <w:i/>
        </w:rPr>
        <w:t xml:space="preserve">Benchmarking Tools </w:t>
      </w:r>
      <w:proofErr w:type="gramStart"/>
      <w:r w:rsidRPr="00172D87">
        <w:rPr>
          <w:i/>
        </w:rPr>
        <w:t>For</w:t>
      </w:r>
      <w:proofErr w:type="gramEnd"/>
      <w:r w:rsidRPr="00172D87">
        <w:rPr>
          <w:i/>
        </w:rPr>
        <w:t xml:space="preserve"> Australian Businesses</w:t>
      </w:r>
      <w:r w:rsidRPr="00172D87">
        <w:t>, https://benchmarking.com.au/ (accessed 23</w:t>
      </w:r>
      <w:r w:rsidR="00A43B86">
        <w:t> </w:t>
      </w:r>
      <w:r w:rsidRPr="00172D87">
        <w:t>August 2022).</w:t>
      </w:r>
    </w:p>
    <w:p w14:paraId="0191331E" w14:textId="77777777" w:rsidR="006033EA" w:rsidRPr="00172D87" w:rsidRDefault="006033EA" w:rsidP="00DD2493">
      <w:pPr>
        <w:pStyle w:val="Reference"/>
      </w:pPr>
      <w:r w:rsidRPr="00172D87">
        <w:t xml:space="preserve">Bergek, A. 2020, ‘Diffusion intermediaries: A taxonomy based on renewable electricity technology in Sweden’, </w:t>
      </w:r>
      <w:r w:rsidRPr="00172D87">
        <w:rPr>
          <w:i/>
        </w:rPr>
        <w:t>Environmental Innovation and Societal Transitions</w:t>
      </w:r>
      <w:r w:rsidRPr="00172D87">
        <w:t>, vol. 36, pp. 378–392.</w:t>
      </w:r>
    </w:p>
    <w:p w14:paraId="3A62AAFD" w14:textId="77777777" w:rsidR="006033EA" w:rsidRPr="00172D87" w:rsidRDefault="006033EA" w:rsidP="00DD2493">
      <w:pPr>
        <w:pStyle w:val="Reference"/>
      </w:pPr>
      <w:r w:rsidRPr="00172D87">
        <w:t xml:space="preserve">Berlingieri, G., Calligaris, S., Criscuolo, C. and Verlhac, R. 2020, </w:t>
      </w:r>
      <w:r w:rsidRPr="00172D87">
        <w:rPr>
          <w:i/>
        </w:rPr>
        <w:t>Laggard firms, technology diffusion and its structural and policy determinants</w:t>
      </w:r>
      <w:r w:rsidRPr="00172D87">
        <w:t>, OECD Science, Technology and Industry Policy Papers, No. 86, OECD Publishing, Paris.</w:t>
      </w:r>
    </w:p>
    <w:p w14:paraId="76468260" w14:textId="77777777" w:rsidR="006033EA" w:rsidRPr="00172D87" w:rsidRDefault="006033EA" w:rsidP="00DD2493">
      <w:pPr>
        <w:pStyle w:val="Reference"/>
      </w:pPr>
      <w:r w:rsidRPr="00172D87">
        <w:t xml:space="preserve">Blind, K., Ramel, F. and Rochell, C. 2022, ‘The influence of standards and patents on long-term economic growth’, </w:t>
      </w:r>
      <w:r w:rsidRPr="00172D87">
        <w:rPr>
          <w:i/>
        </w:rPr>
        <w:t>Journal of Technology Transfer</w:t>
      </w:r>
      <w:r w:rsidRPr="00172D87">
        <w:t>, vol. 47, no. 4, pp. 979–999.</w:t>
      </w:r>
    </w:p>
    <w:p w14:paraId="0A0499B6" w14:textId="77777777" w:rsidR="006033EA" w:rsidRPr="00172D87" w:rsidRDefault="006033EA" w:rsidP="00DD2493">
      <w:pPr>
        <w:pStyle w:val="Reference"/>
      </w:pPr>
      <w:r w:rsidRPr="00172D87">
        <w:t xml:space="preserve">Bloch, H. and McDonald, J.T. 2001, ‘Import competition and labor productivity’, Springer, </w:t>
      </w:r>
      <w:r w:rsidRPr="00172D87">
        <w:rPr>
          <w:i/>
        </w:rPr>
        <w:t>Journal of Industry, Competition and Trade</w:t>
      </w:r>
      <w:r w:rsidRPr="00172D87">
        <w:t>, vol. 1, no. 3, pp. 301–319.</w:t>
      </w:r>
    </w:p>
    <w:p w14:paraId="6D897FE8" w14:textId="77777777" w:rsidR="006033EA" w:rsidRPr="00172D87" w:rsidRDefault="006033EA" w:rsidP="00DD2493">
      <w:pPr>
        <w:pStyle w:val="Reference"/>
      </w:pPr>
      <w:r w:rsidRPr="00172D87">
        <w:t xml:space="preserve">Bloom, N., Lemos, R., Sadun, R., Scur, D. and Van Reenen, J. 2014, </w:t>
      </w:r>
      <w:r w:rsidRPr="00172D87">
        <w:rPr>
          <w:i/>
        </w:rPr>
        <w:t>The New Empirical Economics of Management</w:t>
      </w:r>
      <w:r w:rsidRPr="00172D87">
        <w:t>, NBER Working Paper 20102, National Bureau of Economic Research, Cambridge, MA.</w:t>
      </w:r>
    </w:p>
    <w:p w14:paraId="4EFCC83D" w14:textId="5EB74297" w:rsidR="006033EA" w:rsidRPr="00172D87" w:rsidRDefault="006033EA" w:rsidP="00DD2493">
      <w:pPr>
        <w:pStyle w:val="Reference"/>
      </w:pPr>
      <w:r w:rsidRPr="00172D87">
        <w:t>——, ——, ——, —— and ——</w:t>
      </w:r>
      <w:r w:rsidR="00EF7F65">
        <w:t> </w:t>
      </w:r>
      <w:r w:rsidRPr="00172D87">
        <w:t xml:space="preserve">2021, </w:t>
      </w:r>
      <w:r w:rsidRPr="00172D87">
        <w:rPr>
          <w:i/>
        </w:rPr>
        <w:t>World Management Survey - Manufacturing</w:t>
      </w:r>
      <w:r w:rsidRPr="00172D87">
        <w:t>, Harvard Dataverse, https://dataverse.harvard.edu/dataset.xhtml?persistentId=doi:10.7910/DVN/OY6CBK (accessed 8</w:t>
      </w:r>
      <w:r w:rsidR="00A43B86">
        <w:t> </w:t>
      </w:r>
      <w:r w:rsidRPr="00172D87">
        <w:t>September 2022).</w:t>
      </w:r>
    </w:p>
    <w:p w14:paraId="529AA7CC" w14:textId="77777777" w:rsidR="006033EA" w:rsidRPr="00172D87" w:rsidRDefault="006033EA" w:rsidP="00DD2493">
      <w:pPr>
        <w:pStyle w:val="Reference"/>
      </w:pPr>
      <w:r w:rsidRPr="00172D87">
        <w:t xml:space="preserve">——, Sadun, R. and Reenen, J.V. 2012, ‘Americans do it better: US multinationals and the productivity miracle’, </w:t>
      </w:r>
      <w:r w:rsidRPr="00172D87">
        <w:rPr>
          <w:i/>
        </w:rPr>
        <w:t>American Economic Review</w:t>
      </w:r>
      <w:r w:rsidRPr="00172D87">
        <w:t>, vol. 102, no. 1, pp. 167–201.</w:t>
      </w:r>
    </w:p>
    <w:p w14:paraId="12241C92" w14:textId="77777777" w:rsidR="006033EA" w:rsidRPr="00172D87" w:rsidRDefault="006033EA" w:rsidP="00DD2493">
      <w:pPr>
        <w:pStyle w:val="Reference"/>
      </w:pPr>
      <w:r w:rsidRPr="00172D87">
        <w:t xml:space="preserve">——, —— and Van Reenen, J. 2017, </w:t>
      </w:r>
      <w:r w:rsidRPr="00172D87">
        <w:rPr>
          <w:i/>
        </w:rPr>
        <w:t xml:space="preserve">Management as a </w:t>
      </w:r>
      <w:proofErr w:type="gramStart"/>
      <w:r w:rsidRPr="00172D87">
        <w:rPr>
          <w:i/>
        </w:rPr>
        <w:t>Technology?</w:t>
      </w:r>
      <w:r w:rsidRPr="00172D87">
        <w:t>,</w:t>
      </w:r>
      <w:proofErr w:type="gramEnd"/>
      <w:r w:rsidRPr="00172D87">
        <w:t xml:space="preserve"> NBER Working Paper 22327, National Bureau of Economic Research, Cambridge, MA.</w:t>
      </w:r>
    </w:p>
    <w:p w14:paraId="0E68D041" w14:textId="77777777" w:rsidR="006033EA" w:rsidRPr="000A72B7" w:rsidRDefault="006033EA" w:rsidP="00DD2493">
      <w:pPr>
        <w:pStyle w:val="Reference"/>
        <w:rPr>
          <w:spacing w:val="-4"/>
        </w:rPr>
      </w:pPr>
      <w:r w:rsidRPr="000A72B7">
        <w:rPr>
          <w:spacing w:val="-4"/>
        </w:rPr>
        <w:t xml:space="preserve">Bloom, N. and Van Reenen, J. 2007, ‘Measuring and explaining management practices across firms and countries’, </w:t>
      </w:r>
      <w:r w:rsidRPr="000A72B7">
        <w:rPr>
          <w:i/>
          <w:spacing w:val="-4"/>
        </w:rPr>
        <w:t>Quarterly Journal of Economics</w:t>
      </w:r>
      <w:r w:rsidRPr="000A72B7">
        <w:rPr>
          <w:spacing w:val="-4"/>
        </w:rPr>
        <w:t>, vol. 122, no. 4, pp. 1351–1408.</w:t>
      </w:r>
    </w:p>
    <w:p w14:paraId="6609FE77" w14:textId="1BE8CF71" w:rsidR="006033EA" w:rsidRPr="00172D87" w:rsidRDefault="006033EA" w:rsidP="00DD2493">
      <w:pPr>
        <w:pStyle w:val="Reference"/>
      </w:pPr>
      <w:r w:rsidRPr="00172D87">
        <w:t>Bloom, N., Van Reenen, J. and Williams, H. 2019, ‘A toolkit of policies to promote</w:t>
      </w:r>
      <w:r w:rsidR="00A43B86">
        <w:t xml:space="preserve"> </w:t>
      </w:r>
      <w:r w:rsidRPr="00172D87">
        <w:t xml:space="preserve">innovation’, </w:t>
      </w:r>
      <w:r w:rsidRPr="00172D87">
        <w:rPr>
          <w:i/>
        </w:rPr>
        <w:t>Journal of Economic Perspectives</w:t>
      </w:r>
      <w:r w:rsidRPr="00172D87">
        <w:t>, vol. 33, no. 3, pp. 163–184.</w:t>
      </w:r>
    </w:p>
    <w:p w14:paraId="2874058E" w14:textId="77777777" w:rsidR="006033EA" w:rsidRPr="000A72B7" w:rsidRDefault="006033EA" w:rsidP="00DD2493">
      <w:pPr>
        <w:pStyle w:val="Reference"/>
        <w:rPr>
          <w:spacing w:val="-4"/>
        </w:rPr>
      </w:pPr>
      <w:r w:rsidRPr="000A72B7">
        <w:rPr>
          <w:spacing w:val="-4"/>
        </w:rPr>
        <w:t xml:space="preserve">Bournakis, I., Christopoulos, D. and Mallick, S. 2018, ‘Knowledge spillovers and output per worker: An industry-level analysis for OECD countries’, </w:t>
      </w:r>
      <w:r w:rsidRPr="000A72B7">
        <w:rPr>
          <w:i/>
          <w:spacing w:val="-4"/>
        </w:rPr>
        <w:t>Economic Inquiry</w:t>
      </w:r>
      <w:r w:rsidRPr="000A72B7">
        <w:rPr>
          <w:spacing w:val="-4"/>
        </w:rPr>
        <w:t>, vol. 56, no. 2, pp. 1028–1046.</w:t>
      </w:r>
    </w:p>
    <w:p w14:paraId="0605E8C3" w14:textId="77777777" w:rsidR="006033EA" w:rsidRPr="00172D87" w:rsidRDefault="006033EA" w:rsidP="00DD2493">
      <w:pPr>
        <w:pStyle w:val="Reference"/>
      </w:pPr>
      <w:r w:rsidRPr="00172D87">
        <w:t xml:space="preserve">Bowman, J. 2022, </w:t>
      </w:r>
      <w:r w:rsidRPr="00172D87">
        <w:rPr>
          <w:i/>
        </w:rPr>
        <w:t>Consequences of zombie businesses: Australia’s experience</w:t>
      </w:r>
      <w:r w:rsidRPr="00172D87">
        <w:t>, SSRN Scholarly Paper, 6 April, Australian National University, Canberra.</w:t>
      </w:r>
    </w:p>
    <w:p w14:paraId="2BBF41F4" w14:textId="77777777" w:rsidR="006033EA" w:rsidRPr="0004452A" w:rsidRDefault="006033EA" w:rsidP="00DD2493">
      <w:pPr>
        <w:pStyle w:val="Reference"/>
        <w:rPr>
          <w:spacing w:val="-4"/>
        </w:rPr>
      </w:pPr>
      <w:r w:rsidRPr="0004452A">
        <w:rPr>
          <w:spacing w:val="-4"/>
        </w:rPr>
        <w:t xml:space="preserve">Breadon, P. 2022, ‘Hospital funding deal sets a tight deadline for real reform, and the clock’s ticking’, </w:t>
      </w:r>
      <w:r w:rsidRPr="0004452A">
        <w:rPr>
          <w:i/>
          <w:spacing w:val="-4"/>
        </w:rPr>
        <w:t>The Conversation</w:t>
      </w:r>
      <w:r w:rsidRPr="0004452A">
        <w:rPr>
          <w:spacing w:val="-4"/>
        </w:rPr>
        <w:t>, 17 June.</w:t>
      </w:r>
    </w:p>
    <w:p w14:paraId="6352018F" w14:textId="26F991D7" w:rsidR="006033EA" w:rsidRPr="00172D87" w:rsidRDefault="006033EA" w:rsidP="00DD2493">
      <w:pPr>
        <w:pStyle w:val="Reference"/>
      </w:pPr>
      <w:r w:rsidRPr="00172D87">
        <w:t xml:space="preserve">Brookes, J. 2022, </w:t>
      </w:r>
      <w:r w:rsidRPr="00172D87">
        <w:rPr>
          <w:i/>
        </w:rPr>
        <w:t>Chief Scientist plan for free research access for all</w:t>
      </w:r>
      <w:r w:rsidRPr="00172D87">
        <w:t>, https://www.innovationaus.com/chief-scientist-plan-for-free-research-access-for-all/ (accessed 15</w:t>
      </w:r>
      <w:r w:rsidR="00A43B86">
        <w:t> </w:t>
      </w:r>
      <w:r w:rsidRPr="00172D87">
        <w:t>November 2022).</w:t>
      </w:r>
    </w:p>
    <w:p w14:paraId="5C12B592" w14:textId="77777777" w:rsidR="006033EA" w:rsidRPr="00172D87" w:rsidRDefault="006033EA" w:rsidP="00DD2493">
      <w:pPr>
        <w:pStyle w:val="Reference"/>
      </w:pPr>
      <w:r w:rsidRPr="00172D87">
        <w:lastRenderedPageBreak/>
        <w:t xml:space="preserve">Bruno, A. 2020, </w:t>
      </w:r>
      <w:r w:rsidRPr="00172D87">
        <w:rPr>
          <w:i/>
        </w:rPr>
        <w:t>Business performance of Enterprise Connect participants</w:t>
      </w:r>
      <w:r w:rsidRPr="00172D87">
        <w:t>, Staff Research Paper 1/2019, Department of Industry, Science and Resources.</w:t>
      </w:r>
    </w:p>
    <w:p w14:paraId="54CC8E16" w14:textId="77777777" w:rsidR="006033EA" w:rsidRPr="00172D87" w:rsidRDefault="006033EA" w:rsidP="00DD2493">
      <w:pPr>
        <w:pStyle w:val="Reference"/>
      </w:pPr>
      <w:r w:rsidRPr="00172D87">
        <w:t xml:space="preserve">Business Tax Working Group 2011, </w:t>
      </w:r>
      <w:r w:rsidRPr="00172D87">
        <w:rPr>
          <w:i/>
        </w:rPr>
        <w:t>Interim report on the tax treatment of losses</w:t>
      </w:r>
      <w:r w:rsidRPr="00172D87">
        <w:t>, Commonwealth of Australia, Parkes, ACT.</w:t>
      </w:r>
    </w:p>
    <w:p w14:paraId="4673B8FC" w14:textId="32640F1E" w:rsidR="006033EA" w:rsidRPr="00172D87" w:rsidRDefault="006033EA" w:rsidP="00DD2493">
      <w:pPr>
        <w:pStyle w:val="Reference"/>
      </w:pPr>
      <w:r w:rsidRPr="00172D87">
        <w:t xml:space="preserve">Business.gov 2022, </w:t>
      </w:r>
      <w:r w:rsidRPr="00172D87">
        <w:rPr>
          <w:i/>
        </w:rPr>
        <w:t>Entrepreneurs’ Programme</w:t>
      </w:r>
      <w:r w:rsidRPr="00172D87">
        <w:t>, https://business.gov.au/grants-and-programs/entrepreneurs-programme (accessed 2</w:t>
      </w:r>
      <w:r w:rsidR="00A43B86">
        <w:t> </w:t>
      </w:r>
      <w:r w:rsidRPr="00172D87">
        <w:t>September 2022).</w:t>
      </w:r>
    </w:p>
    <w:p w14:paraId="608C70F7" w14:textId="1F9CB7B6" w:rsidR="006033EA" w:rsidRPr="00172D87" w:rsidRDefault="006033EA" w:rsidP="00DD2493">
      <w:pPr>
        <w:pStyle w:val="Reference"/>
      </w:pPr>
      <w:r w:rsidRPr="00172D87">
        <w:t xml:space="preserve">CAANZ (Chartered Accountants Australian and New Zealand) 2021, </w:t>
      </w:r>
      <w:r w:rsidRPr="00172D87">
        <w:rPr>
          <w:i/>
        </w:rPr>
        <w:t>CA Catalyst Capability streams</w:t>
      </w:r>
      <w:r w:rsidRPr="00172D87">
        <w:t>, Text, CAANZ, http://www.charteredaccountantsanz.com/tools-and-resources/practice-innovation/ca-catalyst-capability-streams (accessed 2</w:t>
      </w:r>
      <w:r w:rsidR="00A43B86">
        <w:t> </w:t>
      </w:r>
      <w:r w:rsidRPr="00172D87">
        <w:t>December 2022).</w:t>
      </w:r>
    </w:p>
    <w:p w14:paraId="06D69045" w14:textId="77777777" w:rsidR="006033EA" w:rsidRPr="00086DF7" w:rsidRDefault="006033EA" w:rsidP="00DD2493">
      <w:pPr>
        <w:pStyle w:val="Reference"/>
        <w:rPr>
          <w:spacing w:val="-4"/>
        </w:rPr>
      </w:pPr>
      <w:r w:rsidRPr="00086DF7">
        <w:rPr>
          <w:spacing w:val="-4"/>
        </w:rPr>
        <w:t xml:space="preserve">Cale, J., Zmudzki, F., Hilferty, F., Lafferty, L., Whitten, T., Doyle, M. and Valentine, K. 2019, </w:t>
      </w:r>
      <w:r w:rsidRPr="00086DF7">
        <w:rPr>
          <w:i/>
          <w:spacing w:val="-4"/>
        </w:rPr>
        <w:t>Evaluation of home detention in South Australia: Final report</w:t>
      </w:r>
      <w:r w:rsidRPr="00086DF7">
        <w:rPr>
          <w:spacing w:val="-4"/>
        </w:rPr>
        <w:t>, UNSW, Sydney, NSW.</w:t>
      </w:r>
    </w:p>
    <w:p w14:paraId="7069670D" w14:textId="77777777" w:rsidR="006033EA" w:rsidRPr="00172D87" w:rsidRDefault="006033EA" w:rsidP="00DD2493">
      <w:pPr>
        <w:pStyle w:val="Reference"/>
      </w:pPr>
      <w:r w:rsidRPr="00172D87">
        <w:t xml:space="preserve">Campbell, S., Nguyen, T., Sibelle, A. and Soriano, F. 2019, </w:t>
      </w:r>
      <w:r w:rsidRPr="00172D87">
        <w:rPr>
          <w:i/>
        </w:rPr>
        <w:t>Measuring Productivity Dispersion in Selected Australian Industries</w:t>
      </w:r>
      <w:r w:rsidRPr="00172D87">
        <w:t>, Treasury–ABS Working Paper 2019-2, Australian Government.</w:t>
      </w:r>
    </w:p>
    <w:p w14:paraId="16A36293" w14:textId="77777777" w:rsidR="006033EA" w:rsidRPr="00172D87" w:rsidRDefault="006033EA" w:rsidP="00DD2493">
      <w:pPr>
        <w:pStyle w:val="Reference"/>
      </w:pPr>
      <w:r w:rsidRPr="00172D87">
        <w:t xml:space="preserve">CHF (Consumers Health Forum of Australia) 2020, </w:t>
      </w:r>
      <w:r w:rsidRPr="00172D87">
        <w:rPr>
          <w:i/>
        </w:rPr>
        <w:t>Consumer Commission Report: Making Health Better Together</w:t>
      </w:r>
      <w:r w:rsidRPr="00172D87">
        <w:t>.</w:t>
      </w:r>
    </w:p>
    <w:p w14:paraId="150956D4" w14:textId="77777777" w:rsidR="006033EA" w:rsidRPr="00172D87" w:rsidRDefault="006033EA" w:rsidP="00DD2493">
      <w:pPr>
        <w:pStyle w:val="Reference"/>
      </w:pPr>
      <w:r w:rsidRPr="00172D87">
        <w:t xml:space="preserve">CIE (Centre for Interantional Economics) 2006, </w:t>
      </w:r>
      <w:r w:rsidRPr="00172D87">
        <w:rPr>
          <w:i/>
        </w:rPr>
        <w:t>Standards and the Economy</w:t>
      </w:r>
      <w:r w:rsidRPr="00172D87">
        <w:t>, Report prepared for Standards Australia, July, Canberra.</w:t>
      </w:r>
    </w:p>
    <w:p w14:paraId="2254CA0D" w14:textId="77777777" w:rsidR="006033EA" w:rsidRPr="00172D87" w:rsidRDefault="006033EA" w:rsidP="00DD2493">
      <w:pPr>
        <w:pStyle w:val="Reference"/>
      </w:pPr>
      <w:r w:rsidRPr="00172D87">
        <w:t xml:space="preserve">Ciuriak, D. 2013, </w:t>
      </w:r>
      <w:r w:rsidRPr="00172D87">
        <w:rPr>
          <w:i/>
        </w:rPr>
        <w:t>Policy implications of heterogeneous firms trade theory</w:t>
      </w:r>
      <w:r w:rsidRPr="00172D87">
        <w:t>, CC Working Paper, Ciuriak Consulting.</w:t>
      </w:r>
    </w:p>
    <w:p w14:paraId="29D80FB1" w14:textId="77777777" w:rsidR="006033EA" w:rsidRPr="00172D87" w:rsidRDefault="006033EA" w:rsidP="00DD2493">
      <w:pPr>
        <w:pStyle w:val="Reference"/>
      </w:pPr>
      <w:r w:rsidRPr="00172D87">
        <w:t xml:space="preserve">Cohen, W.M. and Levinthal, D.A. 1989, ‘Innovation and learning: the two faces of R&amp;D’, </w:t>
      </w:r>
      <w:r w:rsidRPr="00172D87">
        <w:rPr>
          <w:i/>
        </w:rPr>
        <w:t>Economic Journal</w:t>
      </w:r>
      <w:r w:rsidRPr="00172D87">
        <w:t>, vol. 99, no. 397, pp. 569–596.</w:t>
      </w:r>
    </w:p>
    <w:p w14:paraId="60DED144" w14:textId="37DC6BA0" w:rsidR="006033EA" w:rsidRPr="00172D87" w:rsidRDefault="006033EA" w:rsidP="00DD2493">
      <w:pPr>
        <w:pStyle w:val="Reference"/>
      </w:pPr>
      <w:r w:rsidRPr="00172D87">
        <w:t>—— and ——</w:t>
      </w:r>
      <w:r w:rsidR="00EF7F65">
        <w:t> </w:t>
      </w:r>
      <w:r w:rsidRPr="00172D87">
        <w:t xml:space="preserve">1990, ‘Absorptive capacity: a new perspective on learning and innovation’, </w:t>
      </w:r>
      <w:r w:rsidRPr="00172D87">
        <w:rPr>
          <w:i/>
        </w:rPr>
        <w:t>Administrative Science Quarterly</w:t>
      </w:r>
      <w:r w:rsidRPr="00172D87">
        <w:t>, vol. 35, no. 1, pp. 128–152.</w:t>
      </w:r>
    </w:p>
    <w:p w14:paraId="5F0F00FB" w14:textId="77777777" w:rsidR="006033EA" w:rsidRPr="00172D87" w:rsidRDefault="006033EA" w:rsidP="00DD2493">
      <w:pPr>
        <w:pStyle w:val="Reference"/>
      </w:pPr>
      <w:r w:rsidRPr="00172D87">
        <w:t xml:space="preserve">Commonwealth of Australia 2021, </w:t>
      </w:r>
      <w:r w:rsidRPr="00172D87">
        <w:rPr>
          <w:i/>
        </w:rPr>
        <w:t>2021 Intergenerational Report: Australia over the next 40 years</w:t>
      </w:r>
      <w:r w:rsidRPr="00172D87">
        <w:t>.</w:t>
      </w:r>
    </w:p>
    <w:p w14:paraId="5DA590DF" w14:textId="77777777" w:rsidR="006033EA" w:rsidRPr="00086DF7" w:rsidRDefault="006033EA" w:rsidP="00DD2493">
      <w:pPr>
        <w:pStyle w:val="Reference"/>
        <w:rPr>
          <w:spacing w:val="-4"/>
        </w:rPr>
      </w:pPr>
      <w:r w:rsidRPr="00086DF7">
        <w:rPr>
          <w:spacing w:val="-4"/>
        </w:rPr>
        <w:t xml:space="preserve">Connolly, E. and Bank, J. 2018, ‘Access to small business finance’, </w:t>
      </w:r>
      <w:r w:rsidRPr="00086DF7">
        <w:rPr>
          <w:i/>
          <w:spacing w:val="-4"/>
        </w:rPr>
        <w:t>Reserve Bank of Australia Bulletin</w:t>
      </w:r>
      <w:r w:rsidRPr="00086DF7">
        <w:rPr>
          <w:spacing w:val="-4"/>
        </w:rPr>
        <w:t>, September, pp. 1–14.</w:t>
      </w:r>
    </w:p>
    <w:p w14:paraId="33B3A63C" w14:textId="77777777" w:rsidR="006033EA" w:rsidRPr="00172D87" w:rsidRDefault="006033EA" w:rsidP="00DD2493">
      <w:pPr>
        <w:pStyle w:val="Reference"/>
      </w:pPr>
      <w:r w:rsidRPr="00172D87">
        <w:t xml:space="preserve">Consult Australia 2018, </w:t>
      </w:r>
      <w:r w:rsidRPr="00172D87">
        <w:rPr>
          <w:i/>
        </w:rPr>
        <w:t>Model Client Policy: proposal for all government jurisdictions</w:t>
      </w:r>
      <w:r w:rsidRPr="00172D87">
        <w:t>.</w:t>
      </w:r>
    </w:p>
    <w:p w14:paraId="0DFD22DE" w14:textId="77777777" w:rsidR="006033EA" w:rsidRPr="005630AD" w:rsidRDefault="006033EA" w:rsidP="00DD2493">
      <w:pPr>
        <w:pStyle w:val="Reference"/>
        <w:rPr>
          <w:spacing w:val="-4"/>
        </w:rPr>
      </w:pPr>
      <w:r w:rsidRPr="005630AD">
        <w:rPr>
          <w:spacing w:val="-4"/>
        </w:rPr>
        <w:t xml:space="preserve">Crepon, B., Duguet, E. and Mairesse, J. 1998, </w:t>
      </w:r>
      <w:r w:rsidRPr="005630AD">
        <w:rPr>
          <w:i/>
          <w:spacing w:val="-4"/>
        </w:rPr>
        <w:t>Research, Innovation, and Productivity: An Econometric Analysis at the Firm Level</w:t>
      </w:r>
      <w:r w:rsidRPr="005630AD">
        <w:rPr>
          <w:spacing w:val="-4"/>
        </w:rPr>
        <w:t>, Working Paper, National Bureau of Economic Research.</w:t>
      </w:r>
    </w:p>
    <w:p w14:paraId="432F54AC" w14:textId="77777777" w:rsidR="006033EA" w:rsidRPr="00172D87" w:rsidRDefault="006033EA" w:rsidP="00DD2493">
      <w:pPr>
        <w:pStyle w:val="Reference"/>
      </w:pPr>
      <w:r w:rsidRPr="00172D87">
        <w:t xml:space="preserve">Criscuolo, C., Gal, P., Leidecker, T. and Nicoletti, G. 2021, </w:t>
      </w:r>
      <w:r w:rsidRPr="00172D87">
        <w:rPr>
          <w:i/>
        </w:rPr>
        <w:t>The human side of productivity: Uncovering the role of skills and diversity for firm productivity</w:t>
      </w:r>
      <w:r w:rsidRPr="00172D87">
        <w:t>, OECD Productivity Working Papers, No. 29, OECD Publishing, Paris.</w:t>
      </w:r>
    </w:p>
    <w:p w14:paraId="09D022E7" w14:textId="77777777" w:rsidR="006033EA" w:rsidRPr="00172D87" w:rsidRDefault="006033EA" w:rsidP="00DD2493">
      <w:pPr>
        <w:pStyle w:val="Reference"/>
      </w:pPr>
      <w:r w:rsidRPr="00172D87">
        <w:t xml:space="preserve">—— and Timmis, J. 2017, ‘The relationship between global value chains and productivity’, </w:t>
      </w:r>
      <w:r w:rsidRPr="00172D87">
        <w:rPr>
          <w:i/>
        </w:rPr>
        <w:t>International Productivity Monitor</w:t>
      </w:r>
      <w:r w:rsidRPr="00172D87">
        <w:t>, vol. 32, pp. 61–83.</w:t>
      </w:r>
    </w:p>
    <w:p w14:paraId="10D7B849" w14:textId="789CFC2B" w:rsidR="006033EA" w:rsidRPr="00172D87" w:rsidRDefault="006033EA" w:rsidP="00DD2493">
      <w:pPr>
        <w:pStyle w:val="Reference"/>
      </w:pPr>
      <w:r w:rsidRPr="00172D87">
        <w:t xml:space="preserve">CSIRO 2019, </w:t>
      </w:r>
      <w:r w:rsidRPr="00172D87">
        <w:rPr>
          <w:i/>
        </w:rPr>
        <w:t>CSIRO’s ON program</w:t>
      </w:r>
      <w:r w:rsidRPr="00172D87">
        <w:t>, https://www.csiro.au/en/news/news-releases/2019/csiros-on-accelerator (accessed 2</w:t>
      </w:r>
      <w:r w:rsidR="00A43B86">
        <w:t> </w:t>
      </w:r>
      <w:r w:rsidRPr="00172D87">
        <w:t>September 2022).</w:t>
      </w:r>
    </w:p>
    <w:p w14:paraId="3EC57D1F" w14:textId="77777777" w:rsidR="006033EA" w:rsidRPr="00172D87" w:rsidRDefault="006033EA" w:rsidP="00DD2493">
      <w:pPr>
        <w:pStyle w:val="Reference"/>
      </w:pPr>
      <w:r w:rsidRPr="00172D87">
        <w:t xml:space="preserve">DAE (Deloitte Access Economics) 2015, </w:t>
      </w:r>
      <w:r w:rsidRPr="00172D87">
        <w:rPr>
          <w:i/>
        </w:rPr>
        <w:t>Economic benefits of better procurement practices</w:t>
      </w:r>
      <w:r w:rsidRPr="00172D87">
        <w:t>, Report for Consult Australia.</w:t>
      </w:r>
    </w:p>
    <w:p w14:paraId="395DD55F" w14:textId="70398604" w:rsidR="006033EA" w:rsidRPr="00172D87" w:rsidRDefault="006033EA" w:rsidP="00DD2493">
      <w:pPr>
        <w:pStyle w:val="Reference"/>
      </w:pPr>
      <w:r w:rsidRPr="00172D87">
        <w:t xml:space="preserve">DAFF (Department of Agriculture, Fisheries and Forestry) nd, </w:t>
      </w:r>
      <w:r w:rsidRPr="00172D87">
        <w:rPr>
          <w:i/>
        </w:rPr>
        <w:t>Agricultural Traceability Grants</w:t>
      </w:r>
      <w:r w:rsidRPr="00172D87">
        <w:t>, https://www.agriculture.gov.au/</w:t>
      </w:r>
      <w:r w:rsidR="005630AD">
        <w:br/>
      </w:r>
      <w:r w:rsidRPr="00172D87">
        <w:t>biosecurity-trade/market-access-trade/national-traceability/grantsprogram (accessed 17</w:t>
      </w:r>
      <w:r w:rsidR="00A43B86">
        <w:t> </w:t>
      </w:r>
      <w:r w:rsidRPr="00172D87">
        <w:t>January 2023).</w:t>
      </w:r>
    </w:p>
    <w:p w14:paraId="5FCF5F72" w14:textId="019478FD" w:rsidR="006033EA" w:rsidRPr="00172D87" w:rsidRDefault="006033EA" w:rsidP="00DD2493">
      <w:pPr>
        <w:pStyle w:val="Reference"/>
      </w:pPr>
      <w:r w:rsidRPr="00172D87">
        <w:t xml:space="preserve">Dairy Australia 2022, </w:t>
      </w:r>
      <w:r w:rsidRPr="00172D87">
        <w:rPr>
          <w:i/>
        </w:rPr>
        <w:t>Dairy Farm Monitor Project</w:t>
      </w:r>
      <w:r w:rsidRPr="00172D87">
        <w:t>, https://www.dairyaustralia.com.au/industry-statistics/dairy-farm-monitor-project (accessed 23</w:t>
      </w:r>
      <w:r w:rsidR="00A43B86">
        <w:t> </w:t>
      </w:r>
      <w:r w:rsidRPr="00172D87">
        <w:t>August 2022).</w:t>
      </w:r>
    </w:p>
    <w:p w14:paraId="318D92A0" w14:textId="77777777" w:rsidR="006033EA" w:rsidRPr="00172D87" w:rsidRDefault="006033EA" w:rsidP="00DD2493">
      <w:pPr>
        <w:pStyle w:val="Reference"/>
      </w:pPr>
      <w:r w:rsidRPr="00172D87">
        <w:t xml:space="preserve">Darwich, A.S., Polasek, T.M., Aronson, J.K., Ogungbenro, K., Wright, D.F.B., Achour, B., Reny, J.-L., Daali, Y., Eiermann, B., Cook, J., Lesko, L., McLachlan, A.J. and Rostami-Hodjegan, A. 2021, ‘Model-informed precision dosing: background, requirements, validation, implementation, and forward trajectory of individualizing drug therapy’, </w:t>
      </w:r>
      <w:r w:rsidRPr="00172D87">
        <w:rPr>
          <w:i/>
        </w:rPr>
        <w:t>Annual Review of Pharmacology and Toxicology</w:t>
      </w:r>
      <w:r w:rsidRPr="00172D87">
        <w:t>, vol. 61, no. 36, pp. 225–245.</w:t>
      </w:r>
    </w:p>
    <w:p w14:paraId="1F3EC16B" w14:textId="77777777" w:rsidR="006033EA" w:rsidRPr="00172D87" w:rsidRDefault="006033EA" w:rsidP="00DD2493">
      <w:pPr>
        <w:pStyle w:val="Reference"/>
      </w:pPr>
      <w:r w:rsidRPr="00172D87">
        <w:t xml:space="preserve">De Propris, L. 2002, ‘Types of innovation and inter-firm co-operation’, </w:t>
      </w:r>
      <w:r w:rsidRPr="00172D87">
        <w:rPr>
          <w:i/>
        </w:rPr>
        <w:t>Entrepreneurship &amp; Regional Development</w:t>
      </w:r>
      <w:r w:rsidRPr="00172D87">
        <w:t>, vol. 14, no. 4, pp. 337–353.</w:t>
      </w:r>
    </w:p>
    <w:p w14:paraId="458EEFAD" w14:textId="251EA7A1" w:rsidR="006033EA" w:rsidRPr="00172D87" w:rsidRDefault="006033EA" w:rsidP="00DD2493">
      <w:pPr>
        <w:pStyle w:val="Reference"/>
      </w:pPr>
      <w:r w:rsidRPr="00172D87">
        <w:t xml:space="preserve">Department of Defence 2022, </w:t>
      </w:r>
      <w:r w:rsidRPr="00172D87">
        <w:rPr>
          <w:i/>
        </w:rPr>
        <w:t>Portfolio Budget Statements 2022</w:t>
      </w:r>
      <w:r w:rsidR="00A43B86">
        <w:rPr>
          <w:i/>
        </w:rPr>
        <w:noBreakHyphen/>
      </w:r>
      <w:r w:rsidRPr="00172D87">
        <w:rPr>
          <w:i/>
        </w:rPr>
        <w:t>23: Budget Related Paper No. 1.3A - Defence Portfolio</w:t>
      </w:r>
      <w:r w:rsidRPr="00172D87">
        <w:t>, March, Commonwealth of Australia, Canberra.</w:t>
      </w:r>
    </w:p>
    <w:p w14:paraId="178D9678" w14:textId="61810DF0" w:rsidR="006033EA" w:rsidRPr="00172D87" w:rsidRDefault="006033EA" w:rsidP="00DD2493">
      <w:pPr>
        <w:pStyle w:val="Reference"/>
      </w:pPr>
      <w:r w:rsidRPr="00172D87">
        <w:t xml:space="preserve">Department of Jobs, Precincts and Regions and DJPR 2018, </w:t>
      </w:r>
      <w:r w:rsidRPr="00172D87">
        <w:rPr>
          <w:i/>
        </w:rPr>
        <w:t>Victorian Innovation Hub launched</w:t>
      </w:r>
      <w:r w:rsidRPr="00172D87">
        <w:t>, https://djpr.vic.gov.au/about-us/news/victorian-innovation-hub-launched (accessed 2</w:t>
      </w:r>
      <w:r w:rsidR="00A43B86">
        <w:t> </w:t>
      </w:r>
      <w:r w:rsidRPr="00172D87">
        <w:t>September 2022).</w:t>
      </w:r>
    </w:p>
    <w:p w14:paraId="2DD22C2C" w14:textId="627514E1" w:rsidR="006033EA" w:rsidRPr="00172D87" w:rsidRDefault="006033EA" w:rsidP="00DD2493">
      <w:pPr>
        <w:pStyle w:val="Reference"/>
      </w:pPr>
      <w:r w:rsidRPr="00172D87">
        <w:t xml:space="preserve">DESE (Department of Education, Skills and Employment) 2022a, </w:t>
      </w:r>
      <w:r w:rsidRPr="00172D87">
        <w:rPr>
          <w:i/>
        </w:rPr>
        <w:t>Higher Education Statistics, 2020 Section</w:t>
      </w:r>
      <w:r w:rsidR="00A43B86">
        <w:rPr>
          <w:i/>
        </w:rPr>
        <w:t> </w:t>
      </w:r>
      <w:r w:rsidRPr="00172D87">
        <w:rPr>
          <w:i/>
        </w:rPr>
        <w:t>2 All Students</w:t>
      </w:r>
      <w:r w:rsidRPr="00172D87">
        <w:t>, 14 February.</w:t>
      </w:r>
    </w:p>
    <w:p w14:paraId="72F55EC3" w14:textId="46B5926F" w:rsidR="006033EA" w:rsidRPr="00172D87" w:rsidRDefault="006033EA" w:rsidP="00DD2493">
      <w:pPr>
        <w:pStyle w:val="Reference"/>
      </w:pPr>
      <w:r w:rsidRPr="00172D87">
        <w:t>——</w:t>
      </w:r>
      <w:r w:rsidR="00EF7F65">
        <w:t> </w:t>
      </w:r>
      <w:r w:rsidRPr="00172D87">
        <w:t xml:space="preserve">2022b, </w:t>
      </w:r>
      <w:r w:rsidRPr="00172D87">
        <w:rPr>
          <w:i/>
        </w:rPr>
        <w:t>JobTrainer Fund</w:t>
      </w:r>
      <w:r w:rsidRPr="00172D87">
        <w:t>, https://www.dese.gov.au/skills-reform/jobtrainer-fund (accessed 6</w:t>
      </w:r>
      <w:r w:rsidR="00A43B86">
        <w:t> </w:t>
      </w:r>
      <w:r w:rsidRPr="00172D87">
        <w:t>April 2022).</w:t>
      </w:r>
    </w:p>
    <w:p w14:paraId="4A414352" w14:textId="64BA4D93" w:rsidR="006033EA" w:rsidRPr="00172D87" w:rsidRDefault="006033EA" w:rsidP="00DD2493">
      <w:pPr>
        <w:pStyle w:val="Reference"/>
      </w:pPr>
      <w:r w:rsidRPr="00172D87">
        <w:t>——</w:t>
      </w:r>
      <w:r w:rsidR="00EF7F65">
        <w:t> </w:t>
      </w:r>
      <w:r w:rsidRPr="00172D87">
        <w:t xml:space="preserve">2022c, </w:t>
      </w:r>
      <w:r w:rsidRPr="00172D87">
        <w:rPr>
          <w:i/>
        </w:rPr>
        <w:t>Skills and Training Incentive</w:t>
      </w:r>
      <w:r w:rsidRPr="00172D87">
        <w:t>.</w:t>
      </w:r>
    </w:p>
    <w:p w14:paraId="44C06A98" w14:textId="6FD5776C" w:rsidR="006033EA" w:rsidRPr="00086DF7" w:rsidRDefault="006033EA" w:rsidP="00DD2493">
      <w:pPr>
        <w:pStyle w:val="Reference"/>
        <w:rPr>
          <w:spacing w:val="-4"/>
        </w:rPr>
      </w:pPr>
      <w:r w:rsidRPr="00086DF7">
        <w:rPr>
          <w:spacing w:val="-4"/>
        </w:rPr>
        <w:t>——</w:t>
      </w:r>
      <w:r w:rsidR="00EF7F65" w:rsidRPr="00086DF7">
        <w:rPr>
          <w:spacing w:val="-4"/>
        </w:rPr>
        <w:t> </w:t>
      </w:r>
      <w:r w:rsidRPr="00086DF7">
        <w:rPr>
          <w:spacing w:val="-4"/>
        </w:rPr>
        <w:t xml:space="preserve">2022d, </w:t>
      </w:r>
      <w:r w:rsidRPr="00086DF7">
        <w:rPr>
          <w:i/>
          <w:spacing w:val="-4"/>
        </w:rPr>
        <w:t>University Research Commercialisation Action Plan</w:t>
      </w:r>
      <w:r w:rsidRPr="00086DF7">
        <w:rPr>
          <w:spacing w:val="-4"/>
        </w:rPr>
        <w:t>.</w:t>
      </w:r>
    </w:p>
    <w:p w14:paraId="24C61FD6" w14:textId="77777777" w:rsidR="006033EA" w:rsidRPr="00172D87" w:rsidRDefault="006033EA" w:rsidP="00DD2493">
      <w:pPr>
        <w:pStyle w:val="Reference"/>
      </w:pPr>
      <w:r w:rsidRPr="00172D87">
        <w:t xml:space="preserve">DIIS (Department of Industry, Innovation and Science) 2017, </w:t>
      </w:r>
      <w:r w:rsidRPr="00172D87">
        <w:rPr>
          <w:i/>
        </w:rPr>
        <w:t>Australian Innovation System Report 2017</w:t>
      </w:r>
      <w:r w:rsidRPr="00172D87">
        <w:t>, Office of the Chief Economist, Department of Industry, Innovation and Science, Canberra.</w:t>
      </w:r>
    </w:p>
    <w:p w14:paraId="5FC02DAE" w14:textId="54514D84" w:rsidR="006033EA" w:rsidRPr="00172D87" w:rsidRDefault="006033EA" w:rsidP="00DD2493">
      <w:pPr>
        <w:pStyle w:val="Reference"/>
      </w:pPr>
      <w:r w:rsidRPr="00172D87">
        <w:t>——</w:t>
      </w:r>
      <w:r w:rsidR="00EF7F65">
        <w:t> </w:t>
      </w:r>
      <w:r w:rsidRPr="00172D87">
        <w:t xml:space="preserve">2018, </w:t>
      </w:r>
      <w:r w:rsidRPr="00172D87">
        <w:rPr>
          <w:i/>
        </w:rPr>
        <w:t>Statement of Principles for Australian Innovation Precincts</w:t>
      </w:r>
      <w:r w:rsidRPr="00172D87">
        <w:t>, https://www.industry.gov.au/data-and-publications/statement-of-principles-for-australian-innovation-precincts (accessed 2</w:t>
      </w:r>
      <w:r w:rsidR="00A43B86">
        <w:t> </w:t>
      </w:r>
      <w:r w:rsidRPr="00172D87">
        <w:t>September 2022).</w:t>
      </w:r>
    </w:p>
    <w:p w14:paraId="6AA55D5A" w14:textId="7BD6C987" w:rsidR="006033EA" w:rsidRPr="00172D87" w:rsidRDefault="006033EA" w:rsidP="00DD2493">
      <w:pPr>
        <w:pStyle w:val="Reference"/>
      </w:pPr>
      <w:r w:rsidRPr="00172D87">
        <w:t>——</w:t>
      </w:r>
      <w:r w:rsidR="00EF7F65">
        <w:t> </w:t>
      </w:r>
      <w:r w:rsidRPr="00172D87">
        <w:t xml:space="preserve">2019a, </w:t>
      </w:r>
      <w:r w:rsidRPr="00172D87">
        <w:rPr>
          <w:i/>
        </w:rPr>
        <w:t>Industry Growth Centres Initiative: Progress and Impact</w:t>
      </w:r>
      <w:r w:rsidRPr="00172D87">
        <w:t>.</w:t>
      </w:r>
    </w:p>
    <w:p w14:paraId="64FB2A2C" w14:textId="7121CE72" w:rsidR="006033EA" w:rsidRPr="00172D87" w:rsidRDefault="006033EA" w:rsidP="00DD2493">
      <w:pPr>
        <w:pStyle w:val="Reference"/>
      </w:pPr>
      <w:r w:rsidRPr="00172D87">
        <w:t>——</w:t>
      </w:r>
      <w:r w:rsidR="00EF7F65">
        <w:t> </w:t>
      </w:r>
      <w:r w:rsidRPr="00172D87">
        <w:t xml:space="preserve">2019b, </w:t>
      </w:r>
      <w:r w:rsidRPr="00172D87">
        <w:rPr>
          <w:i/>
        </w:rPr>
        <w:t>Program Insights: What do we know abou</w:t>
      </w:r>
      <w:r w:rsidR="00086DF7">
        <w:rPr>
          <w:i/>
        </w:rPr>
        <w:t>t</w:t>
      </w:r>
      <w:r w:rsidRPr="00172D87">
        <w:rPr>
          <w:i/>
        </w:rPr>
        <w:t xml:space="preserve"> government assistance for firms? 2019</w:t>
      </w:r>
      <w:r w:rsidRPr="00172D87">
        <w:t>, Office of the Chief Economist, Department of Industry, Innovation and Science, Canberra.</w:t>
      </w:r>
    </w:p>
    <w:p w14:paraId="128DCA15" w14:textId="7B63665D" w:rsidR="006033EA" w:rsidRPr="005630AD" w:rsidRDefault="006033EA" w:rsidP="00DD2493">
      <w:pPr>
        <w:pStyle w:val="Reference"/>
        <w:rPr>
          <w:spacing w:val="-4"/>
        </w:rPr>
      </w:pPr>
      <w:r w:rsidRPr="005630AD">
        <w:rPr>
          <w:spacing w:val="-4"/>
        </w:rPr>
        <w:t xml:space="preserve">DISR (Department of Industry Science and Resources) 2020, </w:t>
      </w:r>
      <w:r w:rsidRPr="005630AD">
        <w:rPr>
          <w:i/>
          <w:spacing w:val="-4"/>
        </w:rPr>
        <w:t>Use a model, if you know what we mean</w:t>
      </w:r>
      <w:r w:rsidRPr="005630AD">
        <w:rPr>
          <w:spacing w:val="-4"/>
        </w:rPr>
        <w:t>, https://www.industry.gov.au/</w:t>
      </w:r>
      <w:r w:rsidR="005630AD">
        <w:rPr>
          <w:spacing w:val="-4"/>
        </w:rPr>
        <w:br/>
      </w:r>
      <w:r w:rsidRPr="005630AD">
        <w:rPr>
          <w:spacing w:val="-4"/>
        </w:rPr>
        <w:t>news/use-a-model-if-you-know-what-we-mean (accessed 26</w:t>
      </w:r>
      <w:r w:rsidR="00A43B86">
        <w:rPr>
          <w:spacing w:val="-4"/>
        </w:rPr>
        <w:t> </w:t>
      </w:r>
      <w:r w:rsidRPr="005630AD">
        <w:rPr>
          <w:spacing w:val="-4"/>
        </w:rPr>
        <w:t>August 2022).</w:t>
      </w:r>
    </w:p>
    <w:p w14:paraId="648E30EA" w14:textId="2F479473" w:rsidR="006033EA" w:rsidRPr="00172D87" w:rsidRDefault="006033EA" w:rsidP="00DD2493">
      <w:pPr>
        <w:pStyle w:val="Reference"/>
      </w:pPr>
      <w:r w:rsidRPr="00172D87">
        <w:t xml:space="preserve">Dobes, L. 2008, </w:t>
      </w:r>
      <w:r w:rsidRPr="00172D87">
        <w:rPr>
          <w:i/>
        </w:rPr>
        <w:t>A Century of Australian Cost-Benefit Analysis</w:t>
      </w:r>
      <w:r w:rsidRPr="00172D87">
        <w:t>, WP 2008</w:t>
      </w:r>
      <w:r w:rsidR="00A43B86">
        <w:t>–</w:t>
      </w:r>
      <w:r w:rsidRPr="00172D87">
        <w:t>01, Office of Best Practice Regulation, Department of Finance and Deregulation.</w:t>
      </w:r>
    </w:p>
    <w:p w14:paraId="3DF75E12" w14:textId="4DC0C7D5" w:rsidR="006033EA" w:rsidRPr="00172D87" w:rsidRDefault="006033EA" w:rsidP="00DD2493">
      <w:pPr>
        <w:pStyle w:val="Reference"/>
      </w:pPr>
      <w:r w:rsidRPr="00172D87">
        <w:t xml:space="preserve">DTI (Department for Trade and Investment) 2020, </w:t>
      </w:r>
      <w:r w:rsidRPr="00172D87">
        <w:rPr>
          <w:i/>
        </w:rPr>
        <w:t>Accenture establishes Adelaide Hub</w:t>
      </w:r>
      <w:r w:rsidRPr="00172D87">
        <w:t>, https://dti.sa.gov.au/articles/</w:t>
      </w:r>
      <w:r w:rsidR="005630AD">
        <w:br/>
      </w:r>
      <w:r w:rsidRPr="00172D87">
        <w:t>accenture-establishes-adelaide-hub-south-australia (accessed 5</w:t>
      </w:r>
      <w:r w:rsidR="00A43B86">
        <w:t> </w:t>
      </w:r>
      <w:r w:rsidRPr="00172D87">
        <w:t>August 2022).</w:t>
      </w:r>
    </w:p>
    <w:p w14:paraId="55E0A2F1" w14:textId="77777777" w:rsidR="006033EA" w:rsidRPr="00172D87" w:rsidRDefault="006033EA" w:rsidP="00DD2493">
      <w:pPr>
        <w:pStyle w:val="Reference"/>
      </w:pPr>
      <w:r w:rsidRPr="00172D87">
        <w:t xml:space="preserve">Duckett, S. 2017, </w:t>
      </w:r>
      <w:r w:rsidRPr="00172D87">
        <w:rPr>
          <w:i/>
        </w:rPr>
        <w:t>Crisis, what crisis: health care funding in the future</w:t>
      </w:r>
      <w:r w:rsidRPr="00172D87">
        <w:t>, VCCC Forum presentation, July, Grattan Institute.</w:t>
      </w:r>
    </w:p>
    <w:p w14:paraId="25D7DF8E" w14:textId="77777777" w:rsidR="006033EA" w:rsidRPr="00172D87" w:rsidRDefault="006033EA" w:rsidP="00DD2493">
      <w:pPr>
        <w:pStyle w:val="Reference"/>
      </w:pPr>
      <w:r w:rsidRPr="00172D87">
        <w:t xml:space="preserve">Duckett, S. 2018a, ‘Expanding the breadth of Medicare: learning from Australia’, </w:t>
      </w:r>
      <w:r w:rsidRPr="00172D87">
        <w:rPr>
          <w:i/>
        </w:rPr>
        <w:t>Health Economics, Policy and Law</w:t>
      </w:r>
      <w:r w:rsidRPr="00172D87">
        <w:t>, vol. 13, no. 3–4, pp. 344–368.</w:t>
      </w:r>
    </w:p>
    <w:p w14:paraId="65A8028E" w14:textId="77777777" w:rsidR="006033EA" w:rsidRPr="00172D87" w:rsidRDefault="006033EA" w:rsidP="00DD2493">
      <w:pPr>
        <w:pStyle w:val="Reference"/>
      </w:pPr>
      <w:r w:rsidRPr="00172D87">
        <w:t xml:space="preserve">Duckett, S. 2018b, </w:t>
      </w:r>
      <w:r w:rsidRPr="00172D87">
        <w:rPr>
          <w:i/>
        </w:rPr>
        <w:t>How the states can keep people out of hospital and still get their fair share of funding</w:t>
      </w:r>
      <w:r w:rsidRPr="00172D87">
        <w:t>, 29 November, Grattan Institute.</w:t>
      </w:r>
    </w:p>
    <w:p w14:paraId="7976F5B9" w14:textId="77777777" w:rsidR="006033EA" w:rsidRPr="000A72B7" w:rsidRDefault="006033EA" w:rsidP="00DD2493">
      <w:pPr>
        <w:pStyle w:val="Reference"/>
        <w:rPr>
          <w:spacing w:val="-4"/>
        </w:rPr>
      </w:pPr>
      <w:r w:rsidRPr="000A72B7">
        <w:rPr>
          <w:spacing w:val="-4"/>
        </w:rPr>
        <w:lastRenderedPageBreak/>
        <w:t xml:space="preserve">Eastwood, K., Morgans, A., Smith, K., Hodgkinson, A., Becker, G. and Stoelwinder, J. 2015, ‘A novel approach for managing the growing demand for ambulance services by low-acuity patients’, </w:t>
      </w:r>
      <w:r w:rsidRPr="000A72B7">
        <w:rPr>
          <w:i/>
          <w:spacing w:val="-4"/>
        </w:rPr>
        <w:t>Australian Health Review</w:t>
      </w:r>
      <w:r w:rsidRPr="000A72B7">
        <w:rPr>
          <w:spacing w:val="-4"/>
        </w:rPr>
        <w:t>, vol. 40, no. 4, pp. 378–384.</w:t>
      </w:r>
    </w:p>
    <w:p w14:paraId="63BDA8E0" w14:textId="77777777" w:rsidR="006033EA" w:rsidRPr="00172D87" w:rsidRDefault="006033EA" w:rsidP="00DD2493">
      <w:pPr>
        <w:pStyle w:val="Reference"/>
      </w:pPr>
      <w:r w:rsidRPr="00172D87">
        <w:t xml:space="preserve">EERC (Education and Employment) 2014, </w:t>
      </w:r>
      <w:r w:rsidRPr="00172D87">
        <w:rPr>
          <w:i/>
        </w:rPr>
        <w:t>Effectiveness of the National Assessment Program – Literacy and Numeracy: Final Report</w:t>
      </w:r>
      <w:r w:rsidRPr="00172D87">
        <w:t>, The Australian Government Senate, Canberra.</w:t>
      </w:r>
    </w:p>
    <w:p w14:paraId="7E047E26" w14:textId="77777777" w:rsidR="006033EA" w:rsidRPr="00172D87" w:rsidRDefault="006033EA" w:rsidP="00DD2493">
      <w:pPr>
        <w:pStyle w:val="Reference"/>
      </w:pPr>
      <w:r w:rsidRPr="00172D87">
        <w:t>Ellis, L. 2021, ‘Innovation and Dynamism in the Post-pandemic World’.</w:t>
      </w:r>
    </w:p>
    <w:p w14:paraId="0D6883C6" w14:textId="77777777" w:rsidR="006033EA" w:rsidRPr="00172D87" w:rsidRDefault="006033EA" w:rsidP="00DD2493">
      <w:pPr>
        <w:pStyle w:val="Reference"/>
      </w:pPr>
      <w:r w:rsidRPr="00172D87">
        <w:t xml:space="preserve">Ergas, H. 2014, </w:t>
      </w:r>
      <w:r w:rsidRPr="00172D87">
        <w:rPr>
          <w:i/>
        </w:rPr>
        <w:t>Submission to the Productivity Commission Inquiry into Public Infrastructure</w:t>
      </w:r>
      <w:r w:rsidRPr="00172D87">
        <w:t>, Submission No. 87.</w:t>
      </w:r>
    </w:p>
    <w:p w14:paraId="7D940217" w14:textId="7A1A0C47" w:rsidR="006033EA" w:rsidRPr="00172D87" w:rsidRDefault="006033EA" w:rsidP="00DD2493">
      <w:pPr>
        <w:pStyle w:val="Reference"/>
      </w:pPr>
      <w:r w:rsidRPr="00172D87">
        <w:t xml:space="preserve">Eriksson, K.B. 2017, </w:t>
      </w:r>
      <w:r w:rsidRPr="00172D87">
        <w:rPr>
          <w:i/>
        </w:rPr>
        <w:t>Seeking innovation from the ground up</w:t>
      </w:r>
      <w:r w:rsidRPr="00172D87">
        <w:t>, PwC, https://www.pwc.com.au/digitalpulse/seeking-innovation-ground-up.html (accessed 23</w:t>
      </w:r>
      <w:r w:rsidR="00A43B86">
        <w:t> </w:t>
      </w:r>
      <w:r w:rsidRPr="00172D87">
        <w:t>August 2022).</w:t>
      </w:r>
    </w:p>
    <w:p w14:paraId="32213148" w14:textId="77777777" w:rsidR="006033EA" w:rsidRPr="00172D87" w:rsidRDefault="006033EA" w:rsidP="00DD2493">
      <w:pPr>
        <w:pStyle w:val="Reference"/>
      </w:pPr>
      <w:r w:rsidRPr="00172D87">
        <w:t xml:space="preserve">Fagerberg, J. 2018, ‘Innovation: A Guide to the Literature’, </w:t>
      </w:r>
      <w:r w:rsidRPr="00172D87">
        <w:rPr>
          <w:i/>
        </w:rPr>
        <w:t>Innovation, Economic Development and Policy</w:t>
      </w:r>
      <w:r w:rsidRPr="00172D87">
        <w:t>, Edward Elgar Publishing, pp. 3–28.</w:t>
      </w:r>
    </w:p>
    <w:p w14:paraId="3E6C53A0" w14:textId="77777777" w:rsidR="006033EA" w:rsidRPr="00172D87" w:rsidRDefault="006033EA" w:rsidP="00DD2493">
      <w:pPr>
        <w:pStyle w:val="Reference"/>
      </w:pPr>
      <w:r w:rsidRPr="00172D87">
        <w:t xml:space="preserve">Ferris, B., Finkel, A. and Fraser, M.J. 2016, </w:t>
      </w:r>
      <w:r w:rsidRPr="00172D87">
        <w:rPr>
          <w:i/>
        </w:rPr>
        <w:t>Review of the R&amp;D Tax Incentive</w:t>
      </w:r>
      <w:r w:rsidRPr="00172D87">
        <w:t>, April 2016.</w:t>
      </w:r>
    </w:p>
    <w:p w14:paraId="5CD0EB01" w14:textId="77777777" w:rsidR="006033EA" w:rsidRPr="00172D87" w:rsidRDefault="006033EA" w:rsidP="00DD2493">
      <w:pPr>
        <w:pStyle w:val="Reference"/>
      </w:pPr>
      <w:r w:rsidRPr="00172D87">
        <w:t xml:space="preserve">First Ministers 2020, </w:t>
      </w:r>
      <w:r w:rsidRPr="00172D87">
        <w:rPr>
          <w:i/>
        </w:rPr>
        <w:t>Addendum to National Health Reform Agreement 2020-2025</w:t>
      </w:r>
      <w:r w:rsidRPr="00172D87">
        <w:t>, May.</w:t>
      </w:r>
    </w:p>
    <w:p w14:paraId="55D462F3" w14:textId="001184FF" w:rsidR="006033EA" w:rsidRPr="00172D87" w:rsidRDefault="006033EA" w:rsidP="00DD2493">
      <w:pPr>
        <w:pStyle w:val="Reference"/>
      </w:pPr>
      <w:r w:rsidRPr="00172D87">
        <w:t xml:space="preserve">FMRC nd, </w:t>
      </w:r>
      <w:r w:rsidRPr="00172D87">
        <w:rPr>
          <w:i/>
        </w:rPr>
        <w:t>Benchmarking</w:t>
      </w:r>
      <w:r w:rsidRPr="00172D87">
        <w:t>, https://www.fmrc.com.au/</w:t>
      </w:r>
      <w:r w:rsidR="000A72B7">
        <w:br/>
      </w:r>
      <w:r w:rsidRPr="00172D87">
        <w:t>benchmarking/ (accessed 23</w:t>
      </w:r>
      <w:r w:rsidR="00A43B86">
        <w:t> </w:t>
      </w:r>
      <w:r w:rsidRPr="00172D87">
        <w:t>August 2022).</w:t>
      </w:r>
    </w:p>
    <w:p w14:paraId="4FE4D918" w14:textId="0047D554" w:rsidR="006033EA" w:rsidRPr="00172D87" w:rsidRDefault="006033EA" w:rsidP="00DD2493">
      <w:pPr>
        <w:pStyle w:val="Reference"/>
      </w:pPr>
      <w:r w:rsidRPr="00172D87">
        <w:t xml:space="preserve">Foley, C. 2021, </w:t>
      </w:r>
      <w:r w:rsidRPr="00172D87">
        <w:rPr>
          <w:i/>
        </w:rPr>
        <w:t>Unlocking the academic library: Open Access</w:t>
      </w:r>
      <w:r w:rsidRPr="00172D87">
        <w:t>, https://www.chiefscientist.gov.au/news-and-media/unlocking-academic-library-open-access (accessed 15</w:t>
      </w:r>
      <w:r w:rsidR="00A43B86">
        <w:t> </w:t>
      </w:r>
      <w:r w:rsidRPr="00172D87">
        <w:t>November 2022).</w:t>
      </w:r>
    </w:p>
    <w:p w14:paraId="19695F3D" w14:textId="77777777" w:rsidR="006033EA" w:rsidRPr="00172D87" w:rsidRDefault="006033EA" w:rsidP="00DD2493">
      <w:pPr>
        <w:pStyle w:val="Reference"/>
      </w:pPr>
      <w:r w:rsidRPr="00172D87">
        <w:t xml:space="preserve">Gahan, P., Adamovic, M., Bevitt, A., Harley, B., Healy, J., Olsen, J. and Theilacker, M. 2016, </w:t>
      </w:r>
      <w:r w:rsidRPr="00172D87">
        <w:rPr>
          <w:i/>
        </w:rPr>
        <w:t xml:space="preserve">Leadership at Work: Do Australian leaders have what it </w:t>
      </w:r>
      <w:proofErr w:type="gramStart"/>
      <w:r w:rsidRPr="00172D87">
        <w:rPr>
          <w:i/>
        </w:rPr>
        <w:t>takes?</w:t>
      </w:r>
      <w:r w:rsidRPr="00172D87">
        <w:t>,</w:t>
      </w:r>
      <w:proofErr w:type="gramEnd"/>
      <w:r w:rsidRPr="00172D87">
        <w:t xml:space="preserve"> University of Melbourne, Melbourne.</w:t>
      </w:r>
    </w:p>
    <w:p w14:paraId="7A7761C0" w14:textId="60DF786F" w:rsidR="006033EA" w:rsidRPr="00172D87" w:rsidRDefault="006033EA" w:rsidP="00DD2493">
      <w:pPr>
        <w:pStyle w:val="Reference"/>
      </w:pPr>
      <w:r w:rsidRPr="00172D87">
        <w:t xml:space="preserve">GE Digital 2022, </w:t>
      </w:r>
      <w:r w:rsidRPr="00172D87">
        <w:rPr>
          <w:i/>
        </w:rPr>
        <w:t>Aircraft Fuel Efficiency Monitor</w:t>
      </w:r>
      <w:r w:rsidRPr="00172D87">
        <w:t>, https://www.ge.com/digital/applications/flight-analytics/fuel-insight (accessed 23</w:t>
      </w:r>
      <w:r w:rsidR="00A43B86">
        <w:t> </w:t>
      </w:r>
      <w:r w:rsidRPr="00172D87">
        <w:t>August 2022).</w:t>
      </w:r>
    </w:p>
    <w:p w14:paraId="50EE049A" w14:textId="77777777" w:rsidR="006033EA" w:rsidRPr="00172D87" w:rsidRDefault="006033EA" w:rsidP="00DD2493">
      <w:pPr>
        <w:pStyle w:val="Reference"/>
      </w:pPr>
      <w:r w:rsidRPr="00172D87">
        <w:t xml:space="preserve">Geroski, P.A. 2000, ‘Models of technology diffusion’, </w:t>
      </w:r>
      <w:r w:rsidRPr="00172D87">
        <w:rPr>
          <w:i/>
        </w:rPr>
        <w:t>Research Policy</w:t>
      </w:r>
      <w:r w:rsidRPr="00172D87">
        <w:t>, vol. 29, no. 4–5, pp. 603–625.</w:t>
      </w:r>
    </w:p>
    <w:p w14:paraId="5633598B" w14:textId="77777777" w:rsidR="006033EA" w:rsidRPr="00172D87" w:rsidRDefault="006033EA" w:rsidP="00DD2493">
      <w:pPr>
        <w:pStyle w:val="Reference"/>
      </w:pPr>
      <w:r w:rsidRPr="00172D87">
        <w:t xml:space="preserve">Giorcelli, M. 2019, ‘The long-term effects of management and technology transfers’, </w:t>
      </w:r>
      <w:r w:rsidRPr="00172D87">
        <w:rPr>
          <w:i/>
        </w:rPr>
        <w:t>American Economic Review</w:t>
      </w:r>
      <w:r w:rsidRPr="00172D87">
        <w:t>, vol. 109, no. 1, pp. 121–152.</w:t>
      </w:r>
    </w:p>
    <w:p w14:paraId="0AFEFBEC" w14:textId="77777777" w:rsidR="006033EA" w:rsidRPr="00172D87" w:rsidRDefault="006033EA" w:rsidP="00DD2493">
      <w:pPr>
        <w:pStyle w:val="Reference"/>
      </w:pPr>
      <w:r w:rsidRPr="00172D87">
        <w:t xml:space="preserve">Gorg, H. and Greenaway, D. 2004, ‘Much ado about nothing? Do domestic firms really benefit from foreign direct investment?’, </w:t>
      </w:r>
      <w:r w:rsidRPr="00172D87">
        <w:rPr>
          <w:i/>
        </w:rPr>
        <w:t>The World Bank Research Observer</w:t>
      </w:r>
      <w:r w:rsidRPr="00172D87">
        <w:t>, vol. 19, no. 2, pp. 171–197.</w:t>
      </w:r>
    </w:p>
    <w:p w14:paraId="731338B7" w14:textId="77777777" w:rsidR="006033EA" w:rsidRPr="00172D87" w:rsidRDefault="006033EA" w:rsidP="00DD2493">
      <w:pPr>
        <w:pStyle w:val="Reference"/>
      </w:pPr>
      <w:r w:rsidRPr="00172D87">
        <w:t xml:space="preserve">Griffith, R., Redding, S. and Van Reenen, J. 2004, ‘Mapping the Two Faces of R&amp;D: Productivity Growth in a Panel of OECD Industries’, </w:t>
      </w:r>
      <w:r w:rsidRPr="00172D87">
        <w:rPr>
          <w:i/>
        </w:rPr>
        <w:t>Review of Economics and Statistics</w:t>
      </w:r>
      <w:r w:rsidRPr="00172D87">
        <w:t>, vol. 86, no. 4, pp. 883–895.</w:t>
      </w:r>
    </w:p>
    <w:p w14:paraId="4373B639" w14:textId="77777777" w:rsidR="006033EA" w:rsidRPr="00172D87" w:rsidRDefault="006033EA" w:rsidP="00DD2493">
      <w:pPr>
        <w:pStyle w:val="Reference"/>
      </w:pPr>
      <w:r w:rsidRPr="00172D87">
        <w:t xml:space="preserve">Hall, B. 2004, </w:t>
      </w:r>
      <w:r w:rsidRPr="00172D87">
        <w:rPr>
          <w:i/>
        </w:rPr>
        <w:t>Innovation and Diffusion</w:t>
      </w:r>
      <w:r w:rsidRPr="00172D87">
        <w:t>, NBER Working Paper 10212, National Bureau of Economic Research, Massachusetts, Cambridge.</w:t>
      </w:r>
    </w:p>
    <w:p w14:paraId="4922785B" w14:textId="77777777" w:rsidR="006033EA" w:rsidRPr="00172D87" w:rsidRDefault="006033EA" w:rsidP="00DD2493">
      <w:pPr>
        <w:pStyle w:val="Reference"/>
      </w:pPr>
      <w:r w:rsidRPr="00172D87">
        <w:t xml:space="preserve">Hall, B.H. 2011, </w:t>
      </w:r>
      <w:r w:rsidRPr="00172D87">
        <w:rPr>
          <w:i/>
        </w:rPr>
        <w:t>Innovation and Productivity</w:t>
      </w:r>
      <w:r w:rsidRPr="00172D87">
        <w:t>, NBER Working Paper 17178, National Bureau of Economic Research, Massachusetts, Cambridge.</w:t>
      </w:r>
    </w:p>
    <w:p w14:paraId="4A70181F" w14:textId="77777777" w:rsidR="006033EA" w:rsidRPr="00172D87" w:rsidRDefault="006033EA" w:rsidP="00DD2493">
      <w:pPr>
        <w:pStyle w:val="Reference"/>
      </w:pPr>
      <w:r w:rsidRPr="00172D87">
        <w:t xml:space="preserve">Heath Jeffery, R.C., Mukhtar, S.A., Lopez, D., Preen, D.B., McAllister, I.L., Mackey, D.A., Morlet, N., Morgan, W.H. and Chen, F.K. 2021, ‘Incidence of Newly Registered Blindness from Age-Related Macular Degeneration in Australia over a 21-Year Period: 1996–2016’, </w:t>
      </w:r>
      <w:r w:rsidRPr="00172D87">
        <w:rPr>
          <w:i/>
        </w:rPr>
        <w:t>The Asia-Pacific Journal of Ophthalmology</w:t>
      </w:r>
      <w:r w:rsidRPr="00172D87">
        <w:t>, vol. 10, no. 5, pp. 442–449.</w:t>
      </w:r>
    </w:p>
    <w:p w14:paraId="495A27AA" w14:textId="77777777" w:rsidR="006033EA" w:rsidRPr="00172D87" w:rsidRDefault="006033EA" w:rsidP="00DD2493">
      <w:pPr>
        <w:pStyle w:val="Reference"/>
      </w:pPr>
      <w:r w:rsidRPr="00172D87">
        <w:t xml:space="preserve">Hellyer, M. 2022, </w:t>
      </w:r>
      <w:r w:rsidRPr="00172D87">
        <w:rPr>
          <w:i/>
        </w:rPr>
        <w:t>Understanding the price of military equipment</w:t>
      </w:r>
      <w:r w:rsidRPr="00172D87">
        <w:t>, May, Australian Strategic Policy Institute.</w:t>
      </w:r>
    </w:p>
    <w:p w14:paraId="22B08CC3" w14:textId="77777777" w:rsidR="006033EA" w:rsidRPr="00172D87" w:rsidRDefault="006033EA" w:rsidP="00DD2493">
      <w:pPr>
        <w:pStyle w:val="Reference"/>
      </w:pPr>
      <w:r w:rsidRPr="00172D87">
        <w:t xml:space="preserve">Hemmings, P. and Park, T. 2017, </w:t>
      </w:r>
      <w:r w:rsidRPr="00172D87">
        <w:rPr>
          <w:i/>
        </w:rPr>
        <w:t>Creating good conditions for innovation-driven productivity gains in Australia</w:t>
      </w:r>
      <w:r w:rsidRPr="00172D87">
        <w:t>, OECD Economics Department Working Papers, No. 1390, OECD Publishing, Paris.</w:t>
      </w:r>
    </w:p>
    <w:p w14:paraId="6A14CCCF" w14:textId="6CDBCBC6" w:rsidR="006033EA" w:rsidRPr="00172D87" w:rsidRDefault="006033EA" w:rsidP="00DD2493">
      <w:pPr>
        <w:pStyle w:val="Reference"/>
      </w:pPr>
      <w:r w:rsidRPr="00172D87">
        <w:t xml:space="preserve">Hendry, J. 2022, </w:t>
      </w:r>
      <w:r w:rsidRPr="00172D87">
        <w:rPr>
          <w:i/>
        </w:rPr>
        <w:t>Fair Work is building an API for award pay rates</w:t>
      </w:r>
      <w:r w:rsidRPr="00172D87">
        <w:t>, iTnews, https://www.itnews.com.au/news/fair-work-is-building-an-api-for-award-pay-rates-580851 (accessed 29</w:t>
      </w:r>
      <w:r w:rsidR="00A43B86">
        <w:t> </w:t>
      </w:r>
      <w:r w:rsidRPr="00172D87">
        <w:t>November 2022).</w:t>
      </w:r>
    </w:p>
    <w:p w14:paraId="3B021557" w14:textId="75977E6D" w:rsidR="006033EA" w:rsidRPr="00172D87" w:rsidRDefault="006033EA" w:rsidP="00DD2493">
      <w:pPr>
        <w:pStyle w:val="Reference"/>
      </w:pPr>
      <w:r w:rsidRPr="00172D87">
        <w:t xml:space="preserve">McMillan, </w:t>
      </w:r>
      <w:r w:rsidR="00062737">
        <w:t xml:space="preserve">H., </w:t>
      </w:r>
      <w:r w:rsidRPr="00172D87">
        <w:t xml:space="preserve">Murray, </w:t>
      </w:r>
      <w:r w:rsidR="00062737">
        <w:t xml:space="preserve">T., </w:t>
      </w:r>
      <w:r w:rsidRPr="00172D87">
        <w:t>de Fontenay,</w:t>
      </w:r>
      <w:r w:rsidR="00062737">
        <w:t xml:space="preserve"> C.</w:t>
      </w:r>
      <w:r w:rsidRPr="00172D87">
        <w:t xml:space="preserve"> and Lattimore</w:t>
      </w:r>
      <w:r w:rsidR="00062737">
        <w:t>, R.</w:t>
      </w:r>
      <w:r w:rsidRPr="00172D87">
        <w:t xml:space="preserve"> 2022, ‘Head in the Cloud: Firm performance and cloud computing’, presented at Economic Implications of the Digital Economy Conference, Sydney NSW, Joint conference hosted by the Australian Bureau of Statistics and the Reserve Bank of Australia, March.</w:t>
      </w:r>
    </w:p>
    <w:p w14:paraId="59F972E9" w14:textId="77777777" w:rsidR="006033EA" w:rsidRPr="006C1649" w:rsidRDefault="006033EA" w:rsidP="00DD2493">
      <w:pPr>
        <w:pStyle w:val="Reference"/>
        <w:rPr>
          <w:spacing w:val="-4"/>
        </w:rPr>
      </w:pPr>
      <w:r w:rsidRPr="006C1649">
        <w:rPr>
          <w:spacing w:val="-4"/>
        </w:rPr>
        <w:t xml:space="preserve">Hiscock, H., Pelly, R., Hua, X., West, S., Tucker, D., Raymundo, C.-M., Dalziel, K., Hiscock, H., Pelly, R., Hua, X., West, S., Tucker, D., Raymundo, C.-M. and Dalziel, K. 2021, ‘Survey of paediatric telehealth benefits from the caregiver perspective’, </w:t>
      </w:r>
      <w:r w:rsidRPr="006C1649">
        <w:rPr>
          <w:i/>
          <w:spacing w:val="-4"/>
        </w:rPr>
        <w:t>Australian Health Review</w:t>
      </w:r>
      <w:r w:rsidRPr="006C1649">
        <w:rPr>
          <w:spacing w:val="-4"/>
        </w:rPr>
        <w:t>, vol. 46, no. 2, pp. 197–203.</w:t>
      </w:r>
    </w:p>
    <w:p w14:paraId="51BA3959" w14:textId="00A013B5" w:rsidR="006033EA" w:rsidRPr="00172D87" w:rsidRDefault="006033EA" w:rsidP="00DD2493">
      <w:pPr>
        <w:pStyle w:val="Reference"/>
      </w:pPr>
      <w:r w:rsidRPr="00172D87">
        <w:t xml:space="preserve">Howard, J. 2022, </w:t>
      </w:r>
      <w:r w:rsidRPr="00172D87">
        <w:rPr>
          <w:i/>
        </w:rPr>
        <w:t>The promise was for more industry-focused PhDs. The reality is different</w:t>
      </w:r>
      <w:r w:rsidRPr="00172D87">
        <w:t>, 25 February, https://www.innovationaus.com/the-promise-was-for-more-industry-focused-phds-the-reality-is-different/ (accessed 23</w:t>
      </w:r>
      <w:r w:rsidR="00A43B86">
        <w:t> </w:t>
      </w:r>
      <w:r w:rsidRPr="00172D87">
        <w:t>August 2022).</w:t>
      </w:r>
    </w:p>
    <w:p w14:paraId="7036E9F7" w14:textId="30CD1D13" w:rsidR="006033EA" w:rsidRPr="00172D87" w:rsidRDefault="006033EA" w:rsidP="00DD2493">
      <w:pPr>
        <w:pStyle w:val="Reference"/>
      </w:pPr>
      <w:r w:rsidRPr="00172D87">
        <w:t xml:space="preserve">Hughes, A., Kitson, M., Salter, A., Angenendt, D. and Hughes, R. 2021, </w:t>
      </w:r>
      <w:r w:rsidRPr="00172D87">
        <w:rPr>
          <w:i/>
        </w:rPr>
        <w:t>The Changing State of Business-University Interactions in the UK 2005</w:t>
      </w:r>
      <w:r w:rsidR="00A43B86">
        <w:rPr>
          <w:i/>
        </w:rPr>
        <w:t>–</w:t>
      </w:r>
      <w:r w:rsidRPr="00172D87">
        <w:rPr>
          <w:i/>
        </w:rPr>
        <w:t>2021</w:t>
      </w:r>
      <w:r w:rsidRPr="00172D87">
        <w:t>, National Centre for Universities and Business (NCUB).</w:t>
      </w:r>
    </w:p>
    <w:p w14:paraId="05BA9262" w14:textId="77777777" w:rsidR="006033EA" w:rsidRPr="00172D87" w:rsidRDefault="006033EA" w:rsidP="00DD2493">
      <w:pPr>
        <w:pStyle w:val="Reference"/>
      </w:pPr>
      <w:r w:rsidRPr="00172D87">
        <w:t xml:space="preserve">Hunter, J., Sonnemann, J. and Joiner, R. </w:t>
      </w:r>
      <w:r w:rsidR="00172D87" w:rsidRPr="00172D87">
        <w:t xml:space="preserve">2022, </w:t>
      </w:r>
      <w:r w:rsidR="00172D87" w:rsidRPr="00172D87">
        <w:rPr>
          <w:i/>
          <w:iCs/>
        </w:rPr>
        <w:t>Making Time for Great Teaching: How Better Government Policy Can Help</w:t>
      </w:r>
      <w:r w:rsidRPr="00172D87">
        <w:t>, Grattan Institute.</w:t>
      </w:r>
    </w:p>
    <w:p w14:paraId="618E7192" w14:textId="77777777" w:rsidR="006033EA" w:rsidRPr="00172D87" w:rsidRDefault="006033EA" w:rsidP="00DD2493">
      <w:pPr>
        <w:pStyle w:val="Reference"/>
      </w:pPr>
      <w:r w:rsidRPr="00172D87">
        <w:t xml:space="preserve">Hutchings, O. 2021, </w:t>
      </w:r>
      <w:r w:rsidRPr="00172D87">
        <w:rPr>
          <w:i/>
        </w:rPr>
        <w:t>RPA Virtual Hospital, A perspective from Sydney, Australia</w:t>
      </w:r>
      <w:r w:rsidRPr="00172D87">
        <w:t>.</w:t>
      </w:r>
    </w:p>
    <w:p w14:paraId="30A7E22E" w14:textId="77777777" w:rsidR="006033EA" w:rsidRPr="00172D87" w:rsidRDefault="006033EA" w:rsidP="00DD2493">
      <w:pPr>
        <w:pStyle w:val="Reference"/>
      </w:pPr>
      <w:r w:rsidRPr="00172D87">
        <w:t xml:space="preserve">IA (Infrastructure Australia) 2022, </w:t>
      </w:r>
      <w:r w:rsidRPr="00172D87">
        <w:rPr>
          <w:i/>
        </w:rPr>
        <w:t>Delivering Outcomes: A roadmap to improve infrastructure industry productivity and innovation</w:t>
      </w:r>
      <w:r w:rsidRPr="00172D87">
        <w:t>, March.</w:t>
      </w:r>
    </w:p>
    <w:p w14:paraId="339CC705" w14:textId="4EC4D574" w:rsidR="006033EA" w:rsidRPr="00172D87" w:rsidRDefault="006033EA" w:rsidP="00DD2493">
      <w:pPr>
        <w:pStyle w:val="Reference"/>
      </w:pPr>
      <w:r w:rsidRPr="00172D87">
        <w:t xml:space="preserve">IHPA (Independent Hospital Pricing Authority) 2022, </w:t>
      </w:r>
      <w:r w:rsidRPr="00172D87">
        <w:rPr>
          <w:i/>
        </w:rPr>
        <w:t>Consultation Paper on the Pricing Framework for Australian Public Hospital Services 2023</w:t>
      </w:r>
      <w:r w:rsidR="00A43B86">
        <w:rPr>
          <w:i/>
        </w:rPr>
        <w:noBreakHyphen/>
      </w:r>
      <w:r w:rsidRPr="00172D87">
        <w:rPr>
          <w:i/>
        </w:rPr>
        <w:t>24</w:t>
      </w:r>
      <w:r w:rsidRPr="00172D87">
        <w:t>, June.</w:t>
      </w:r>
    </w:p>
    <w:p w14:paraId="208BC929" w14:textId="77777777" w:rsidR="006033EA" w:rsidRPr="006C1649" w:rsidRDefault="006033EA" w:rsidP="00DD2493">
      <w:pPr>
        <w:pStyle w:val="Reference"/>
        <w:rPr>
          <w:spacing w:val="-4"/>
        </w:rPr>
      </w:pPr>
      <w:r w:rsidRPr="006C1649">
        <w:rPr>
          <w:spacing w:val="-4"/>
        </w:rPr>
        <w:t xml:space="preserve">IMF (International Monetary Fund) 2021, ‘Australia: Selected Issues’, </w:t>
      </w:r>
      <w:r w:rsidRPr="006C1649">
        <w:rPr>
          <w:i/>
          <w:spacing w:val="-4"/>
        </w:rPr>
        <w:t>IMF Staff Country Reports</w:t>
      </w:r>
      <w:r w:rsidRPr="006C1649">
        <w:rPr>
          <w:spacing w:val="-4"/>
        </w:rPr>
        <w:t>, vol. 2021, no. 256, pp. 1–35.</w:t>
      </w:r>
    </w:p>
    <w:p w14:paraId="2DB0E22B" w14:textId="77777777" w:rsidR="006033EA" w:rsidRPr="00172D87" w:rsidRDefault="006033EA" w:rsidP="00DD2493">
      <w:pPr>
        <w:pStyle w:val="Reference"/>
      </w:pPr>
      <w:r w:rsidRPr="00172D87">
        <w:t xml:space="preserve">Infrastructure Australia 2021, </w:t>
      </w:r>
      <w:r w:rsidRPr="00172D87">
        <w:rPr>
          <w:i/>
        </w:rPr>
        <w:t>Guide to economic appraisal: Technical guide of the Assessment Framework</w:t>
      </w:r>
      <w:r w:rsidRPr="00172D87">
        <w:t>, July.</w:t>
      </w:r>
    </w:p>
    <w:p w14:paraId="75E14EE7" w14:textId="3A759C88" w:rsidR="006033EA" w:rsidRPr="006C1649" w:rsidRDefault="006033EA" w:rsidP="00DD2493">
      <w:pPr>
        <w:pStyle w:val="Reference"/>
        <w:rPr>
          <w:spacing w:val="-4"/>
        </w:rPr>
      </w:pPr>
      <w:r w:rsidRPr="006C1649">
        <w:rPr>
          <w:spacing w:val="-4"/>
        </w:rPr>
        <w:t xml:space="preserve">Invest Victoria 2022, </w:t>
      </w:r>
      <w:r w:rsidRPr="006C1649">
        <w:rPr>
          <w:i/>
          <w:spacing w:val="-4"/>
        </w:rPr>
        <w:t>Melbourne Biomedical Precinct (Parkville)</w:t>
      </w:r>
      <w:r w:rsidRPr="006C1649">
        <w:rPr>
          <w:spacing w:val="-4"/>
        </w:rPr>
        <w:t>, https://www.invest.vic.gov.au/opportunities/precincts/parkville-precinct (accessed 5</w:t>
      </w:r>
      <w:r w:rsidR="00A43B86">
        <w:rPr>
          <w:spacing w:val="-4"/>
        </w:rPr>
        <w:t> </w:t>
      </w:r>
      <w:r w:rsidRPr="006C1649">
        <w:rPr>
          <w:spacing w:val="-4"/>
        </w:rPr>
        <w:t>August 2022).</w:t>
      </w:r>
    </w:p>
    <w:p w14:paraId="5F9CF877" w14:textId="0061C0A3" w:rsidR="006033EA" w:rsidRPr="00172D87" w:rsidRDefault="006033EA" w:rsidP="00DD2493">
      <w:pPr>
        <w:pStyle w:val="Reference"/>
      </w:pPr>
      <w:r w:rsidRPr="00172D87">
        <w:t xml:space="preserve">Investment NSW 2022, </w:t>
      </w:r>
      <w:r w:rsidRPr="00172D87">
        <w:rPr>
          <w:i/>
        </w:rPr>
        <w:t>Sydney Startup Hub</w:t>
      </w:r>
      <w:r w:rsidRPr="00172D87">
        <w:t>, https://www.investment.nsw.gov.au/living-working-and-business/sydney-startup-hub/ (accessed 2</w:t>
      </w:r>
      <w:r w:rsidR="00A43B86">
        <w:t> </w:t>
      </w:r>
      <w:r w:rsidRPr="00172D87">
        <w:t>September 2022).</w:t>
      </w:r>
    </w:p>
    <w:p w14:paraId="23F4D382" w14:textId="77777777" w:rsidR="006033EA" w:rsidRPr="00172D87" w:rsidRDefault="006033EA" w:rsidP="00DD2493">
      <w:pPr>
        <w:pStyle w:val="Reference"/>
      </w:pPr>
      <w:r w:rsidRPr="00172D87">
        <w:t xml:space="preserve">IRU (Innovative Research Universities) 2021, </w:t>
      </w:r>
      <w:r w:rsidRPr="00172D87">
        <w:rPr>
          <w:i/>
        </w:rPr>
        <w:t>IRU Response University Research Commiercalisation Action Plan</w:t>
      </w:r>
      <w:r w:rsidRPr="00172D87">
        <w:t>.</w:t>
      </w:r>
    </w:p>
    <w:p w14:paraId="0262F9BF" w14:textId="77777777" w:rsidR="006033EA" w:rsidRPr="00172D87" w:rsidRDefault="006033EA" w:rsidP="00DD2493">
      <w:pPr>
        <w:pStyle w:val="Reference"/>
      </w:pPr>
      <w:r w:rsidRPr="00172D87">
        <w:t xml:space="preserve">ISA (Innovation and Science Australia) 2016, </w:t>
      </w:r>
      <w:r w:rsidRPr="00172D87">
        <w:rPr>
          <w:i/>
        </w:rPr>
        <w:t>Performance Review of the Australian Innovation, Science and Research System 2016</w:t>
      </w:r>
      <w:r w:rsidRPr="00172D87">
        <w:t>, Commonwealth of Australia.</w:t>
      </w:r>
    </w:p>
    <w:p w14:paraId="2A13CDDC" w14:textId="77777777" w:rsidR="006033EA" w:rsidRPr="00172D87" w:rsidRDefault="006033EA" w:rsidP="00DD2493">
      <w:pPr>
        <w:pStyle w:val="Reference"/>
      </w:pPr>
      <w:r w:rsidRPr="00172D87">
        <w:t xml:space="preserve">Janz, N., Lööf, H. and Peters, B. 2004, </w:t>
      </w:r>
      <w:r w:rsidRPr="00172D87">
        <w:rPr>
          <w:i/>
        </w:rPr>
        <w:t xml:space="preserve">Firm Level Innovation and Productivity - Is there a Common Story Across </w:t>
      </w:r>
      <w:proofErr w:type="gramStart"/>
      <w:r w:rsidRPr="00172D87">
        <w:rPr>
          <w:i/>
        </w:rPr>
        <w:t>Countries?</w:t>
      </w:r>
      <w:r w:rsidRPr="00172D87">
        <w:t>,</w:t>
      </w:r>
      <w:proofErr w:type="gramEnd"/>
      <w:r w:rsidRPr="00172D87">
        <w:t xml:space="preserve"> Paper no. 24, Royal Institute of Technology, CESIS - Centre of Excellence for Science and Innovation Studies.</w:t>
      </w:r>
    </w:p>
    <w:p w14:paraId="54CD309D" w14:textId="77777777" w:rsidR="006033EA" w:rsidRPr="00172D87" w:rsidRDefault="006033EA" w:rsidP="00DD2493">
      <w:pPr>
        <w:pStyle w:val="Reference"/>
      </w:pPr>
      <w:r w:rsidRPr="00172D87">
        <w:t xml:space="preserve">Javorcik, B.S. 2004, ‘Does foreign direct investment increase the productivity of domestic firms? In search of spillovers </w:t>
      </w:r>
      <w:r w:rsidRPr="00172D87">
        <w:lastRenderedPageBreak/>
        <w:t xml:space="preserve">through backward linkages’, </w:t>
      </w:r>
      <w:r w:rsidRPr="00172D87">
        <w:rPr>
          <w:i/>
        </w:rPr>
        <w:t>American Economic Review</w:t>
      </w:r>
      <w:r w:rsidRPr="00172D87">
        <w:t>, vol. 94, no. 3, pp. 605–627.</w:t>
      </w:r>
    </w:p>
    <w:p w14:paraId="5ECED0A6" w14:textId="77777777" w:rsidR="006033EA" w:rsidRPr="00172D87" w:rsidRDefault="006033EA" w:rsidP="00DD2493">
      <w:pPr>
        <w:pStyle w:val="Reference"/>
      </w:pPr>
      <w:r w:rsidRPr="00172D87">
        <w:t xml:space="preserve">—— and Spatareanu, M. 2008, ‘To share or not to share: Does local participation matter for spillovers from foreign direct investment?’, </w:t>
      </w:r>
      <w:r w:rsidRPr="00172D87">
        <w:rPr>
          <w:i/>
        </w:rPr>
        <w:t>Journal of Development Economics</w:t>
      </w:r>
      <w:r w:rsidRPr="00172D87">
        <w:t>, vol. 85, no. 1–2, pp. 194–217.</w:t>
      </w:r>
    </w:p>
    <w:p w14:paraId="3F27536F" w14:textId="77777777" w:rsidR="006033EA" w:rsidRPr="00172D87" w:rsidRDefault="006033EA" w:rsidP="00DD2493">
      <w:pPr>
        <w:pStyle w:val="Reference"/>
      </w:pPr>
      <w:r w:rsidRPr="00172D87">
        <w:t xml:space="preserve">Keller, W. 2021, </w:t>
      </w:r>
      <w:r w:rsidRPr="00172D87">
        <w:rPr>
          <w:i/>
        </w:rPr>
        <w:t>Knowledge spillovers, trade, and foreign direct investment</w:t>
      </w:r>
      <w:r w:rsidRPr="00172D87">
        <w:t>, NBER Working Paper 28739, National Bureau of Economic Research, Massachusetts, Cambridge.</w:t>
      </w:r>
    </w:p>
    <w:p w14:paraId="62B8AF13" w14:textId="77777777" w:rsidR="006033EA" w:rsidRPr="006C1649" w:rsidRDefault="006033EA" w:rsidP="00DD2493">
      <w:pPr>
        <w:pStyle w:val="Reference"/>
        <w:rPr>
          <w:spacing w:val="-4"/>
        </w:rPr>
      </w:pPr>
      <w:r w:rsidRPr="006C1649">
        <w:rPr>
          <w:spacing w:val="-4"/>
        </w:rPr>
        <w:t xml:space="preserve">Kido, Y., Muir, D., Nozaki, M., Wong, Y.C., Zhou, Y.S. and Hlatshwayo, S. 2020, </w:t>
      </w:r>
      <w:r w:rsidRPr="006C1649">
        <w:rPr>
          <w:i/>
          <w:spacing w:val="-4"/>
        </w:rPr>
        <w:t xml:space="preserve">Why has business investment slowed down in </w:t>
      </w:r>
      <w:proofErr w:type="gramStart"/>
      <w:r w:rsidRPr="006C1649">
        <w:rPr>
          <w:i/>
          <w:spacing w:val="-4"/>
        </w:rPr>
        <w:t>Australia?</w:t>
      </w:r>
      <w:r w:rsidRPr="006C1649">
        <w:rPr>
          <w:spacing w:val="-4"/>
        </w:rPr>
        <w:t>,</w:t>
      </w:r>
      <w:proofErr w:type="gramEnd"/>
      <w:r w:rsidRPr="006C1649">
        <w:rPr>
          <w:spacing w:val="-4"/>
        </w:rPr>
        <w:t xml:space="preserve"> IMF Staff Country Report No. 20/69, March.</w:t>
      </w:r>
    </w:p>
    <w:p w14:paraId="62215F5D" w14:textId="77777777" w:rsidR="006033EA" w:rsidRPr="00172D87" w:rsidRDefault="006033EA" w:rsidP="00DD2493">
      <w:pPr>
        <w:pStyle w:val="Reference"/>
      </w:pPr>
      <w:r w:rsidRPr="00172D87">
        <w:t xml:space="preserve">Kiriyama, N. 2012, </w:t>
      </w:r>
      <w:r w:rsidRPr="00172D87">
        <w:rPr>
          <w:i/>
        </w:rPr>
        <w:t>Trade and Innovation: Synthesis Report</w:t>
      </w:r>
      <w:r w:rsidRPr="00172D87">
        <w:t>, OECD Trade Policy Papers, No. 135, OECD Publishing, Paris.</w:t>
      </w:r>
    </w:p>
    <w:p w14:paraId="35546F78" w14:textId="77777777" w:rsidR="006033EA" w:rsidRPr="00172D87" w:rsidRDefault="006033EA" w:rsidP="00DD2493">
      <w:pPr>
        <w:pStyle w:val="Reference"/>
      </w:pPr>
      <w:r w:rsidRPr="00172D87">
        <w:t xml:space="preserve">Krugman, P. 1991, </w:t>
      </w:r>
      <w:r w:rsidRPr="00172D87">
        <w:rPr>
          <w:i/>
        </w:rPr>
        <w:t>Geography and Trade</w:t>
      </w:r>
      <w:r w:rsidRPr="00172D87">
        <w:t>, The MIT Press, Cambridge, MA.</w:t>
      </w:r>
    </w:p>
    <w:p w14:paraId="03450BAA" w14:textId="77777777" w:rsidR="006033EA" w:rsidRPr="00172D87" w:rsidRDefault="006033EA" w:rsidP="00DD2493">
      <w:pPr>
        <w:pStyle w:val="Reference"/>
      </w:pPr>
      <w:r w:rsidRPr="00172D87">
        <w:t xml:space="preserve">van Leeuwen, K.G., de Rooij, M., Schalekamp, S., van Ginneken, B. and Rutten, M.J.C.M. 2021, ‘How does artificial intelligence in radiology improve efficiency and health outcomes?’, </w:t>
      </w:r>
      <w:r w:rsidRPr="00172D87">
        <w:rPr>
          <w:i/>
        </w:rPr>
        <w:t>Pediatric Radiology</w:t>
      </w:r>
      <w:r w:rsidRPr="00172D87">
        <w:t>, pp. 1–7.</w:t>
      </w:r>
    </w:p>
    <w:p w14:paraId="0ADD2DA9" w14:textId="323FB3D6" w:rsidR="006033EA" w:rsidRPr="00172D87" w:rsidRDefault="006033EA" w:rsidP="00DD2493">
      <w:pPr>
        <w:pStyle w:val="Reference"/>
      </w:pPr>
      <w:r w:rsidRPr="00172D87">
        <w:t xml:space="preserve">Leigh, A. 2018, </w:t>
      </w:r>
      <w:r w:rsidRPr="00172D87">
        <w:rPr>
          <w:i/>
        </w:rPr>
        <w:t>Building a better feedback loop: Labor to establish an Evaluator General - Media Release</w:t>
      </w:r>
      <w:r w:rsidRPr="00172D87">
        <w:t>, https://www.andrewleigh.com/building_a_better_feedback_loop_labor_to_establish_an_evaluator_general_media_release (accessed 12</w:t>
      </w:r>
      <w:r w:rsidR="00A43B86">
        <w:t> </w:t>
      </w:r>
      <w:r w:rsidRPr="00172D87">
        <w:t>January 2023).</w:t>
      </w:r>
    </w:p>
    <w:p w14:paraId="622D6903" w14:textId="2D13D4B7" w:rsidR="006033EA" w:rsidRPr="00172D87" w:rsidRDefault="006033EA" w:rsidP="00DD2493">
      <w:pPr>
        <w:pStyle w:val="Reference"/>
      </w:pPr>
      <w:r w:rsidRPr="00172D87">
        <w:t>——</w:t>
      </w:r>
      <w:r w:rsidR="00EF7F65">
        <w:t> </w:t>
      </w:r>
      <w:r w:rsidRPr="00172D87">
        <w:t>2022, ‘Introductory address to staff at the Australian Bureau of Statistics, Canberra’, Canberra, ACT, https://ministers.treasury.gov.au/ministers/andrew-leigh-2022/speeches/introductory-address-staff-australian-bureau-statistics (accessed 12</w:t>
      </w:r>
      <w:r w:rsidR="00A43B86">
        <w:t> </w:t>
      </w:r>
      <w:r w:rsidRPr="00172D87">
        <w:t>January 2023).</w:t>
      </w:r>
    </w:p>
    <w:p w14:paraId="032286E7" w14:textId="77777777" w:rsidR="006033EA" w:rsidRPr="00172D87" w:rsidRDefault="006033EA" w:rsidP="00DD2493">
      <w:pPr>
        <w:pStyle w:val="Reference"/>
      </w:pPr>
      <w:r w:rsidRPr="00172D87">
        <w:t xml:space="preserve">Levine, R. 2005, ‘Finance and Growth: Theory and Evidence’, in Aghion, P. and Durlauf, S. (eds), </w:t>
      </w:r>
      <w:r w:rsidRPr="00172D87">
        <w:rPr>
          <w:i/>
        </w:rPr>
        <w:t>The Handbook of Economic Growth</w:t>
      </w:r>
      <w:r w:rsidRPr="00172D87">
        <w:t>, vol 1, North-Holland: Elsevier, pp. 865–934.</w:t>
      </w:r>
    </w:p>
    <w:p w14:paraId="5E9E08E8" w14:textId="77777777" w:rsidR="006033EA" w:rsidRPr="00172D87" w:rsidRDefault="006033EA" w:rsidP="00DD2493">
      <w:pPr>
        <w:pStyle w:val="Reference"/>
      </w:pPr>
      <w:r w:rsidRPr="00172D87">
        <w:t xml:space="preserve">Lipscomb, C.A., Youtie, J., Shapira, P., Arora, S. and Krause, A. 2018, ‘Evaluating the Impact of Manufacturing Extension Services on Establishment Performance’, </w:t>
      </w:r>
      <w:r w:rsidRPr="00172D87">
        <w:rPr>
          <w:i/>
        </w:rPr>
        <w:t>Economic Development Quarterly</w:t>
      </w:r>
      <w:r w:rsidRPr="00172D87">
        <w:t>, vol. 32, no. 1, pp. 29–43.</w:t>
      </w:r>
    </w:p>
    <w:p w14:paraId="6FC8A6F0" w14:textId="77777777" w:rsidR="006033EA" w:rsidRPr="006C1649" w:rsidRDefault="006033EA" w:rsidP="00DD2493">
      <w:pPr>
        <w:pStyle w:val="Reference"/>
        <w:rPr>
          <w:spacing w:val="-4"/>
        </w:rPr>
      </w:pPr>
      <w:r w:rsidRPr="006C1649">
        <w:rPr>
          <w:spacing w:val="-4"/>
        </w:rPr>
        <w:t xml:space="preserve">Lööf, H. and Heshmati, A. 2006, ‘On the relationship between innovation and performance: A sensitivity analysis’, </w:t>
      </w:r>
      <w:r w:rsidRPr="006C1649">
        <w:rPr>
          <w:i/>
          <w:spacing w:val="-4"/>
        </w:rPr>
        <w:t>Economics of Innovation and New Technology</w:t>
      </w:r>
      <w:r w:rsidRPr="006C1649">
        <w:rPr>
          <w:spacing w:val="-4"/>
        </w:rPr>
        <w:t>, vol. 15, no. 4–5, pp. 317–344.</w:t>
      </w:r>
    </w:p>
    <w:p w14:paraId="7FB9434A" w14:textId="77777777" w:rsidR="006033EA" w:rsidRPr="006C1649" w:rsidRDefault="006033EA" w:rsidP="00DD2493">
      <w:pPr>
        <w:pStyle w:val="Reference"/>
        <w:rPr>
          <w:spacing w:val="-4"/>
        </w:rPr>
      </w:pPr>
      <w:r w:rsidRPr="006C1649">
        <w:rPr>
          <w:spacing w:val="-4"/>
        </w:rPr>
        <w:t xml:space="preserve">Ma, S., Murfin, J. and Pratt, R.D. 2021, ‘Young Firms, Old Capital’, </w:t>
      </w:r>
      <w:r w:rsidRPr="006C1649">
        <w:rPr>
          <w:i/>
          <w:spacing w:val="-4"/>
        </w:rPr>
        <w:t>Journal of Financial Economics</w:t>
      </w:r>
      <w:r w:rsidRPr="006C1649">
        <w:rPr>
          <w:spacing w:val="-4"/>
        </w:rPr>
        <w:t>, In Press Corrected Proof.</w:t>
      </w:r>
    </w:p>
    <w:p w14:paraId="015762B3" w14:textId="77777777" w:rsidR="006033EA" w:rsidRPr="00172D87" w:rsidRDefault="006033EA" w:rsidP="00DD2493">
      <w:pPr>
        <w:pStyle w:val="Reference"/>
      </w:pPr>
      <w:r w:rsidRPr="00172D87">
        <w:t xml:space="preserve">Madaleno, M., Nathan, M., Overman, H. and Waights, S. 2022, ‘Incubators, accelerators and urban economic development’, </w:t>
      </w:r>
      <w:r w:rsidRPr="00172D87">
        <w:rPr>
          <w:i/>
        </w:rPr>
        <w:t>Urban Studies</w:t>
      </w:r>
      <w:r w:rsidRPr="00172D87">
        <w:t>, vol. 59, no. 2, pp. 281–300.</w:t>
      </w:r>
    </w:p>
    <w:p w14:paraId="10722766" w14:textId="77777777" w:rsidR="006033EA" w:rsidRPr="00172D87" w:rsidRDefault="006033EA" w:rsidP="00DD2493">
      <w:pPr>
        <w:pStyle w:val="Reference"/>
      </w:pPr>
      <w:r w:rsidRPr="00172D87">
        <w:t xml:space="preserve">Majeed, O. and Breunig, R.V. 2021, </w:t>
      </w:r>
      <w:r w:rsidRPr="00172D87">
        <w:rPr>
          <w:i/>
        </w:rPr>
        <w:t>Determinants of innovation novelty: Evidence from Australian administrative data</w:t>
      </w:r>
      <w:r w:rsidRPr="00172D87">
        <w:t>, TTPI-Working Paper 15/2021.</w:t>
      </w:r>
    </w:p>
    <w:p w14:paraId="065E3AA4" w14:textId="77777777" w:rsidR="006033EA" w:rsidRPr="00172D87" w:rsidRDefault="006033EA" w:rsidP="00DD2493">
      <w:pPr>
        <w:pStyle w:val="Reference"/>
      </w:pPr>
      <w:r w:rsidRPr="00172D87">
        <w:t xml:space="preserve">Markowski, S., Hall, P. and Wylie, R. 2010, </w:t>
      </w:r>
      <w:r w:rsidRPr="00172D87">
        <w:rPr>
          <w:i/>
        </w:rPr>
        <w:t>Defence Procurement and Industry Policy: A small country perspective</w:t>
      </w:r>
      <w:r w:rsidRPr="00172D87">
        <w:t>, Routledge, London.</w:t>
      </w:r>
    </w:p>
    <w:p w14:paraId="67FC6899" w14:textId="77777777" w:rsidR="006033EA" w:rsidRPr="00172D87" w:rsidRDefault="006033EA" w:rsidP="00DD2493">
      <w:pPr>
        <w:pStyle w:val="Reference"/>
      </w:pPr>
      <w:r w:rsidRPr="00172D87">
        <w:t xml:space="preserve">Matray, A. 2021, ‘The local innovation spillovers of listed firms’, </w:t>
      </w:r>
      <w:r w:rsidRPr="00172D87">
        <w:rPr>
          <w:i/>
        </w:rPr>
        <w:t>Journal of Financial Economics</w:t>
      </w:r>
      <w:r w:rsidRPr="00172D87">
        <w:t>, vol. 141, no. 2, pp. 395–412.</w:t>
      </w:r>
    </w:p>
    <w:p w14:paraId="5945B4EC" w14:textId="77777777" w:rsidR="006033EA" w:rsidRPr="00172D87" w:rsidRDefault="006033EA" w:rsidP="00DD2493">
      <w:pPr>
        <w:pStyle w:val="Reference"/>
      </w:pPr>
      <w:r w:rsidRPr="00172D87">
        <w:t xml:space="preserve">McGaw, B., Louden, W. and Wyatt-Smith, C. 2020, </w:t>
      </w:r>
      <w:r w:rsidRPr="00172D87">
        <w:rPr>
          <w:i/>
        </w:rPr>
        <w:t>NAPLAN Review Final Report</w:t>
      </w:r>
      <w:r w:rsidRPr="00172D87">
        <w:t>, August, Departments of Education from NSW, Queensland, Victoria and the ACT.</w:t>
      </w:r>
    </w:p>
    <w:p w14:paraId="623AA324" w14:textId="77777777" w:rsidR="006033EA" w:rsidRPr="00172D87" w:rsidRDefault="006033EA" w:rsidP="00DD2493">
      <w:pPr>
        <w:pStyle w:val="Reference"/>
      </w:pPr>
      <w:r w:rsidRPr="00172D87">
        <w:t xml:space="preserve">McIntosh, M. and Prescott, J. 1999, </w:t>
      </w:r>
      <w:r w:rsidRPr="00172D87">
        <w:rPr>
          <w:i/>
        </w:rPr>
        <w:t>Report to the Minister for Defence on the Collins Class Submarine and Realted Matters</w:t>
      </w:r>
      <w:r w:rsidRPr="00172D87">
        <w:t>, 20 June, Commonwealth of Australia.</w:t>
      </w:r>
    </w:p>
    <w:p w14:paraId="7E917B02" w14:textId="77777777" w:rsidR="006033EA" w:rsidRPr="00172D87" w:rsidRDefault="006033EA" w:rsidP="00DD2493">
      <w:pPr>
        <w:pStyle w:val="Reference"/>
      </w:pPr>
      <w:r w:rsidRPr="00172D87">
        <w:t xml:space="preserve">McKissack, A. and Xu, J. 2016, </w:t>
      </w:r>
      <w:r w:rsidRPr="00172D87">
        <w:rPr>
          <w:i/>
        </w:rPr>
        <w:t>Foreign investment into Australia</w:t>
      </w:r>
      <w:r w:rsidRPr="00172D87">
        <w:t>, 18 February, Treasury.</w:t>
      </w:r>
    </w:p>
    <w:p w14:paraId="2E290140" w14:textId="77777777" w:rsidR="006033EA" w:rsidRPr="00172D87" w:rsidRDefault="006033EA" w:rsidP="00DD2493">
      <w:pPr>
        <w:pStyle w:val="Reference"/>
      </w:pPr>
      <w:r w:rsidRPr="00172D87">
        <w:t xml:space="preserve">McLeod, K., Fabling, R. and Marr, D.C. 2014, </w:t>
      </w:r>
      <w:r w:rsidRPr="00172D87">
        <w:rPr>
          <w:i/>
        </w:rPr>
        <w:t>Hiring New Ideas: International Migration and Firm Innovation in New Zealand</w:t>
      </w:r>
      <w:r w:rsidRPr="00172D87">
        <w:t>, Motu Working Paper No. 14-14.</w:t>
      </w:r>
    </w:p>
    <w:p w14:paraId="7621C219" w14:textId="77777777" w:rsidR="006033EA" w:rsidRPr="006C1649" w:rsidRDefault="006033EA" w:rsidP="00DD2493">
      <w:pPr>
        <w:pStyle w:val="Reference"/>
        <w:rPr>
          <w:spacing w:val="-4"/>
        </w:rPr>
      </w:pPr>
      <w:r w:rsidRPr="006C1649">
        <w:rPr>
          <w:spacing w:val="-4"/>
        </w:rPr>
        <w:t xml:space="preserve">Medicare Benefit Schedule Review Taskforce 2020, </w:t>
      </w:r>
      <w:r w:rsidRPr="006C1649">
        <w:rPr>
          <w:i/>
          <w:spacing w:val="-4"/>
        </w:rPr>
        <w:t>An MBS for the 21st Century: Recommendations, Learnings and Ideas for the Future</w:t>
      </w:r>
      <w:r w:rsidRPr="006C1649">
        <w:rPr>
          <w:spacing w:val="-4"/>
        </w:rPr>
        <w:t>, Commonwealth of Australia (Department of Health).</w:t>
      </w:r>
    </w:p>
    <w:p w14:paraId="08202EB9" w14:textId="77777777" w:rsidR="006033EA" w:rsidRPr="00172D87" w:rsidRDefault="006033EA" w:rsidP="00DD2493">
      <w:pPr>
        <w:pStyle w:val="Reference"/>
      </w:pPr>
      <w:r w:rsidRPr="00172D87">
        <w:t xml:space="preserve">Melitz, M.J. and Redding, S.J. 2021, </w:t>
      </w:r>
      <w:r w:rsidRPr="00172D87">
        <w:rPr>
          <w:i/>
        </w:rPr>
        <w:t>Trade and innovation</w:t>
      </w:r>
      <w:r w:rsidRPr="00172D87">
        <w:t>, NBER Working Paper 28945, National Bureau of Economic Research, Massachusetts, Cambridge.</w:t>
      </w:r>
    </w:p>
    <w:p w14:paraId="55AD2993" w14:textId="105CD929" w:rsidR="006033EA" w:rsidRPr="00172D87" w:rsidRDefault="006033EA" w:rsidP="00DD2493">
      <w:pPr>
        <w:pStyle w:val="Reference"/>
      </w:pPr>
      <w:r w:rsidRPr="00172D87">
        <w:t xml:space="preserve">MHI (Mitsubishi Heavy Industries) 2020, </w:t>
      </w:r>
      <w:r w:rsidRPr="00172D87">
        <w:rPr>
          <w:i/>
        </w:rPr>
        <w:t>MHI to Invest in Green Hydrogen &amp; Green Ammonia in South Australia</w:t>
      </w:r>
      <w:r w:rsidRPr="00172D87">
        <w:t>, www.mhi.com/news/201126.html (accessed 5</w:t>
      </w:r>
      <w:r w:rsidR="00A43B86">
        <w:t> </w:t>
      </w:r>
      <w:r w:rsidRPr="00172D87">
        <w:t>August 2022).</w:t>
      </w:r>
    </w:p>
    <w:p w14:paraId="6F20D958" w14:textId="4F3CF8DB" w:rsidR="006033EA" w:rsidRPr="00172D87" w:rsidRDefault="006033EA" w:rsidP="00DD2493">
      <w:pPr>
        <w:pStyle w:val="Reference"/>
      </w:pPr>
      <w:r w:rsidRPr="00172D87">
        <w:t xml:space="preserve">Mistura, F. and Roulet, C. 2019, </w:t>
      </w:r>
      <w:r w:rsidRPr="00172D87">
        <w:rPr>
          <w:i/>
        </w:rPr>
        <w:t xml:space="preserve">The determinants of Foreign Direct Investment: Do statutory restrictions </w:t>
      </w:r>
      <w:proofErr w:type="gramStart"/>
      <w:r w:rsidRPr="00172D87">
        <w:rPr>
          <w:i/>
        </w:rPr>
        <w:t>matter?</w:t>
      </w:r>
      <w:r w:rsidRPr="00172D87">
        <w:t>,</w:t>
      </w:r>
      <w:proofErr w:type="gramEnd"/>
      <w:r w:rsidRPr="00172D87">
        <w:t xml:space="preserve"> OECD Working Papers on International Investment, No. 2019</w:t>
      </w:r>
      <w:r w:rsidR="00A43B86">
        <w:t>–</w:t>
      </w:r>
      <w:r w:rsidRPr="00172D87">
        <w:t>01, OECD Publishing, Paris.</w:t>
      </w:r>
    </w:p>
    <w:p w14:paraId="5A3F0937" w14:textId="77777777" w:rsidR="006033EA" w:rsidRPr="00172D87" w:rsidRDefault="006033EA" w:rsidP="00DD2493">
      <w:pPr>
        <w:pStyle w:val="Reference"/>
      </w:pPr>
      <w:r w:rsidRPr="00172D87">
        <w:t xml:space="preserve">Moffatt, J.J. and Eley, D.S. 2010, ‘The reported benefits of telehealth for rural Australians’, </w:t>
      </w:r>
      <w:r w:rsidRPr="00172D87">
        <w:rPr>
          <w:i/>
        </w:rPr>
        <w:t>Australian Health Review</w:t>
      </w:r>
      <w:r w:rsidRPr="00172D87">
        <w:t>, vol. 34, no. 3, pp. 276–281.</w:t>
      </w:r>
    </w:p>
    <w:p w14:paraId="3F5173BF" w14:textId="77777777" w:rsidR="006033EA" w:rsidRPr="006C1649" w:rsidRDefault="006033EA" w:rsidP="00DD2493">
      <w:pPr>
        <w:pStyle w:val="Reference"/>
        <w:rPr>
          <w:spacing w:val="-2"/>
        </w:rPr>
      </w:pPr>
      <w:r w:rsidRPr="006C1649">
        <w:rPr>
          <w:spacing w:val="-2"/>
        </w:rPr>
        <w:t xml:space="preserve">Mohnen, P. and Hall, B.H. 2013, ‘Innovation and Productivity: An Update’, </w:t>
      </w:r>
      <w:r w:rsidRPr="006C1649">
        <w:rPr>
          <w:i/>
          <w:spacing w:val="-2"/>
        </w:rPr>
        <w:t>Eurasian Business Review</w:t>
      </w:r>
      <w:r w:rsidRPr="006C1649">
        <w:rPr>
          <w:spacing w:val="-2"/>
        </w:rPr>
        <w:t>, vol. 3, no. 1, pp. 47–65.</w:t>
      </w:r>
    </w:p>
    <w:p w14:paraId="32D24E63" w14:textId="77777777" w:rsidR="006033EA" w:rsidRPr="00172D87" w:rsidRDefault="006033EA" w:rsidP="00DD2493">
      <w:pPr>
        <w:pStyle w:val="Reference"/>
      </w:pPr>
      <w:r w:rsidRPr="00172D87">
        <w:t xml:space="preserve">Monash University 2022, </w:t>
      </w:r>
      <w:r w:rsidRPr="00172D87">
        <w:rPr>
          <w:i/>
        </w:rPr>
        <w:t>Paid Outside Work Procedure</w:t>
      </w:r>
      <w:r w:rsidRPr="00172D87">
        <w:t>.</w:t>
      </w:r>
    </w:p>
    <w:p w14:paraId="49160A4D" w14:textId="77777777" w:rsidR="006033EA" w:rsidRPr="006C1649" w:rsidRDefault="006033EA" w:rsidP="00DD2493">
      <w:pPr>
        <w:pStyle w:val="Reference"/>
        <w:rPr>
          <w:spacing w:val="-4"/>
        </w:rPr>
      </w:pPr>
      <w:r w:rsidRPr="006C1649">
        <w:rPr>
          <w:spacing w:val="-4"/>
        </w:rPr>
        <w:t xml:space="preserve">Mullan, J., Metusela, C., Guppy, M., Pond, D., Ivers, R., Hoffman, R., Rhee, J., Hespe, C.M., Davis, A., Barnett, S. and Bonney, A. 2022, ‘Development of a COVID-19 virtual community of practice in New South Wales: A qualitative study’, </w:t>
      </w:r>
      <w:r w:rsidRPr="006C1649">
        <w:rPr>
          <w:i/>
          <w:spacing w:val="-4"/>
        </w:rPr>
        <w:t>Australian Journal of General Practice</w:t>
      </w:r>
      <w:r w:rsidRPr="006C1649">
        <w:rPr>
          <w:spacing w:val="-4"/>
        </w:rPr>
        <w:t>, vol. 51, no. 4, pp. 263–269.</w:t>
      </w:r>
    </w:p>
    <w:p w14:paraId="6D95F9BF" w14:textId="60B9C63E" w:rsidR="006033EA" w:rsidRPr="00172D87" w:rsidRDefault="006033EA" w:rsidP="00DD2493">
      <w:pPr>
        <w:pStyle w:val="Reference"/>
      </w:pPr>
      <w:r w:rsidRPr="00172D87">
        <w:t xml:space="preserve">MYOB 2022, </w:t>
      </w:r>
      <w:r w:rsidRPr="00172D87">
        <w:rPr>
          <w:i/>
        </w:rPr>
        <w:t>The Digital Disconnection Challenge</w:t>
      </w:r>
      <w:r w:rsidRPr="00172D87">
        <w:t>, June, https://www.myob.com/content/dam/public-website/docs/misc/</w:t>
      </w:r>
      <w:r w:rsidR="006C1649">
        <w:br/>
      </w:r>
      <w:r w:rsidRPr="00172D87">
        <w:t>The%20Digital%20Disconnection%20Challenge_MYOB%20Report%202022.pdf (accessed 22</w:t>
      </w:r>
      <w:r w:rsidR="00A43B86">
        <w:t> </w:t>
      </w:r>
      <w:r w:rsidRPr="00172D87">
        <w:t>November 2022).</w:t>
      </w:r>
    </w:p>
    <w:p w14:paraId="2D9B030F" w14:textId="77777777" w:rsidR="006033EA" w:rsidRPr="00172D87" w:rsidRDefault="006033EA" w:rsidP="00DD2493">
      <w:pPr>
        <w:pStyle w:val="Reference"/>
      </w:pPr>
      <w:r w:rsidRPr="00172D87">
        <w:t xml:space="preserve">Newman, C., Rand, J., Talbot, T. and Tarp, F. 2015, ‘Technology transfers, foreign investment and productivity spillovers’, </w:t>
      </w:r>
      <w:r w:rsidRPr="00172D87">
        <w:rPr>
          <w:i/>
        </w:rPr>
        <w:t>European Economic Review</w:t>
      </w:r>
      <w:r w:rsidRPr="00172D87">
        <w:t>, vol. 76, pp. 168–187.</w:t>
      </w:r>
    </w:p>
    <w:p w14:paraId="2ED114DE" w14:textId="77777777" w:rsidR="006033EA" w:rsidRPr="00172D87" w:rsidRDefault="006033EA" w:rsidP="00DD2493">
      <w:pPr>
        <w:pStyle w:val="Reference"/>
      </w:pPr>
      <w:r w:rsidRPr="00172D87">
        <w:t xml:space="preserve">Nooteboom, B. 1994, ‘Innovation and diffusion in small firms: Theory and evidence’, </w:t>
      </w:r>
      <w:r w:rsidRPr="00172D87">
        <w:rPr>
          <w:i/>
        </w:rPr>
        <w:t>Small Business Economics</w:t>
      </w:r>
      <w:r w:rsidRPr="00172D87">
        <w:t>, vol. 6, no. 5, pp. 327–347.</w:t>
      </w:r>
    </w:p>
    <w:p w14:paraId="261A47E4" w14:textId="16F5E910" w:rsidR="006033EA" w:rsidRPr="00172D87" w:rsidRDefault="006033EA" w:rsidP="00DD2493">
      <w:pPr>
        <w:pStyle w:val="Reference"/>
      </w:pPr>
      <w:r w:rsidRPr="00172D87">
        <w:t xml:space="preserve">Nous Group 2019, </w:t>
      </w:r>
      <w:r w:rsidRPr="00172D87">
        <w:rPr>
          <w:i/>
        </w:rPr>
        <w:t>Performance Assessment of the Industry Growth Centres</w:t>
      </w:r>
      <w:r w:rsidRPr="00172D87">
        <w:t>, Report prepared for the Department of Industry, Innovation</w:t>
      </w:r>
      <w:r w:rsidR="00A43B86">
        <w:t xml:space="preserve"> </w:t>
      </w:r>
      <w:r w:rsidRPr="00172D87">
        <w:t>and Science.</w:t>
      </w:r>
    </w:p>
    <w:p w14:paraId="5944B4FE" w14:textId="0F2F03F6" w:rsidR="006033EA" w:rsidRPr="00172D87" w:rsidRDefault="006033EA" w:rsidP="00DD2493">
      <w:pPr>
        <w:pStyle w:val="Reference"/>
      </w:pPr>
      <w:r w:rsidRPr="00172D87">
        <w:t xml:space="preserve">NSW PC (NSW Productivity Commission) 2022, </w:t>
      </w:r>
      <w:r w:rsidRPr="00172D87">
        <w:rPr>
          <w:i/>
        </w:rPr>
        <w:t>Adaptive NSW: how embracing tech could recharge our prosperity</w:t>
      </w:r>
      <w:r w:rsidRPr="00172D87">
        <w:t>, November, https://www.productivity.nsw.gov.au/sites/default/files/2022</w:t>
      </w:r>
      <w:r w:rsidR="00A43B86">
        <w:t>–</w:t>
      </w:r>
      <w:r w:rsidRPr="00172D87">
        <w:t>11/20221117-nsw-productivity-commission_adaptive-nsw_how-embracing-tech-could-recharge-our-prosperity.pdf (accessed 28</w:t>
      </w:r>
      <w:r w:rsidR="00A43B86">
        <w:t> </w:t>
      </w:r>
      <w:r w:rsidRPr="00172D87">
        <w:t>November 2022).</w:t>
      </w:r>
    </w:p>
    <w:p w14:paraId="3BE052D5" w14:textId="77777777" w:rsidR="006033EA" w:rsidRPr="00172D87" w:rsidRDefault="006033EA" w:rsidP="00DD2493">
      <w:pPr>
        <w:pStyle w:val="Reference"/>
      </w:pPr>
      <w:r w:rsidRPr="00172D87">
        <w:t xml:space="preserve">OECD 2015a, </w:t>
      </w:r>
      <w:r w:rsidRPr="00172D87">
        <w:rPr>
          <w:i/>
        </w:rPr>
        <w:t>The Innovation Imperative: Contributing to Productivity, Growth and Well-Being</w:t>
      </w:r>
      <w:r w:rsidRPr="00172D87">
        <w:t>, OECD Publishing, Paris.</w:t>
      </w:r>
    </w:p>
    <w:p w14:paraId="27D69810" w14:textId="74949BE7" w:rsidR="006033EA" w:rsidRPr="006C1649" w:rsidRDefault="006033EA" w:rsidP="00DD2493">
      <w:pPr>
        <w:pStyle w:val="Reference"/>
        <w:rPr>
          <w:spacing w:val="-4"/>
        </w:rPr>
      </w:pPr>
      <w:r w:rsidRPr="006C1649">
        <w:rPr>
          <w:spacing w:val="-4"/>
        </w:rPr>
        <w:t>——</w:t>
      </w:r>
      <w:r w:rsidR="00EF7F65" w:rsidRPr="006C1649">
        <w:rPr>
          <w:spacing w:val="-4"/>
        </w:rPr>
        <w:t> </w:t>
      </w:r>
      <w:r w:rsidRPr="006C1649">
        <w:rPr>
          <w:spacing w:val="-4"/>
        </w:rPr>
        <w:t xml:space="preserve">2015b, </w:t>
      </w:r>
      <w:r w:rsidRPr="006C1649">
        <w:rPr>
          <w:i/>
          <w:spacing w:val="-4"/>
        </w:rPr>
        <w:t>The Future of Productivity</w:t>
      </w:r>
      <w:r w:rsidRPr="006C1649">
        <w:rPr>
          <w:spacing w:val="-4"/>
        </w:rPr>
        <w:t>, OECD Publishing, Paris.</w:t>
      </w:r>
    </w:p>
    <w:p w14:paraId="6E9459C1" w14:textId="3B65B673" w:rsidR="006033EA" w:rsidRPr="00172D87" w:rsidRDefault="006033EA" w:rsidP="00DD2493">
      <w:pPr>
        <w:pStyle w:val="Reference"/>
      </w:pPr>
      <w:r w:rsidRPr="00172D87">
        <w:t>——</w:t>
      </w:r>
      <w:r w:rsidR="00EF7F65">
        <w:t> </w:t>
      </w:r>
      <w:r w:rsidRPr="00172D87">
        <w:t xml:space="preserve">2017, </w:t>
      </w:r>
      <w:r w:rsidRPr="00172D87">
        <w:rPr>
          <w:i/>
        </w:rPr>
        <w:t>Tackling Wasteful Spending on Health</w:t>
      </w:r>
      <w:r w:rsidRPr="00172D87">
        <w:t>, OECD Publishing, Paris.</w:t>
      </w:r>
    </w:p>
    <w:p w14:paraId="4C4426F1" w14:textId="2EC7E015" w:rsidR="006033EA" w:rsidRPr="00172D87" w:rsidRDefault="006033EA" w:rsidP="00DD2493">
      <w:pPr>
        <w:pStyle w:val="Reference"/>
      </w:pPr>
      <w:r w:rsidRPr="00172D87">
        <w:t>——</w:t>
      </w:r>
      <w:r w:rsidR="00EF7F65">
        <w:t> </w:t>
      </w:r>
      <w:r w:rsidRPr="00172D87">
        <w:t xml:space="preserve">2018, </w:t>
      </w:r>
      <w:r w:rsidRPr="00172D87">
        <w:rPr>
          <w:i/>
        </w:rPr>
        <w:t>OECD 2018 Product Market Regulation Database</w:t>
      </w:r>
      <w:r w:rsidRPr="00172D87">
        <w:t>, OECD Publishing, Paris.</w:t>
      </w:r>
    </w:p>
    <w:p w14:paraId="6D96BFB1" w14:textId="376450B0" w:rsidR="006033EA" w:rsidRPr="00172D87" w:rsidRDefault="006033EA" w:rsidP="00DD2493">
      <w:pPr>
        <w:pStyle w:val="Reference"/>
      </w:pPr>
      <w:r w:rsidRPr="00172D87">
        <w:t>——</w:t>
      </w:r>
      <w:r w:rsidR="00EF7F65">
        <w:t> </w:t>
      </w:r>
      <w:r w:rsidRPr="00172D87">
        <w:t xml:space="preserve">2019a, </w:t>
      </w:r>
      <w:r w:rsidRPr="00172D87">
        <w:rPr>
          <w:i/>
        </w:rPr>
        <w:t>The Human Side of Productivity: Setting the Scene</w:t>
      </w:r>
      <w:r w:rsidRPr="00172D87">
        <w:t>, OECD Publishing, Paris.</w:t>
      </w:r>
    </w:p>
    <w:p w14:paraId="4B44E8D4" w14:textId="3351D992" w:rsidR="006033EA" w:rsidRPr="00172D87" w:rsidRDefault="006033EA" w:rsidP="00DD2493">
      <w:pPr>
        <w:pStyle w:val="Reference"/>
      </w:pPr>
      <w:r w:rsidRPr="00172D87">
        <w:t>——</w:t>
      </w:r>
      <w:r w:rsidR="00EF7F65">
        <w:t> </w:t>
      </w:r>
      <w:r w:rsidRPr="00172D87">
        <w:t xml:space="preserve">2019b, </w:t>
      </w:r>
      <w:r w:rsidRPr="00172D87">
        <w:rPr>
          <w:i/>
        </w:rPr>
        <w:t>University-Industry Collaboration: New Evidence and Policy Options</w:t>
      </w:r>
      <w:r w:rsidRPr="00172D87">
        <w:t>, OECD Publishing, Paris.</w:t>
      </w:r>
    </w:p>
    <w:p w14:paraId="2DA4ECDA" w14:textId="344A6B2E" w:rsidR="006033EA" w:rsidRPr="00172D87" w:rsidRDefault="006033EA" w:rsidP="00DD2493">
      <w:pPr>
        <w:pStyle w:val="Reference"/>
      </w:pPr>
      <w:r w:rsidRPr="00172D87">
        <w:lastRenderedPageBreak/>
        <w:t>——</w:t>
      </w:r>
      <w:r w:rsidR="00EF7F65">
        <w:t> </w:t>
      </w:r>
      <w:r w:rsidRPr="00172D87">
        <w:t xml:space="preserve">2020, </w:t>
      </w:r>
      <w:r w:rsidRPr="00172D87">
        <w:rPr>
          <w:i/>
        </w:rPr>
        <w:t>Business innovation statistics and indicators 2019</w:t>
      </w:r>
      <w:r w:rsidRPr="00172D87">
        <w:t>, OECD Publishing, Paris, https://www.oecd.org/sti/inno-stats.htm#indicators (accessed 31</w:t>
      </w:r>
      <w:r w:rsidR="00A43B86">
        <w:t> </w:t>
      </w:r>
      <w:r w:rsidRPr="00172D87">
        <w:t>August 2022).</w:t>
      </w:r>
    </w:p>
    <w:p w14:paraId="2B1F26E3" w14:textId="0BCFEF1F" w:rsidR="006033EA" w:rsidRPr="00172D87" w:rsidRDefault="006033EA" w:rsidP="00DD2493">
      <w:pPr>
        <w:pStyle w:val="Reference"/>
      </w:pPr>
      <w:r w:rsidRPr="00172D87">
        <w:t>——</w:t>
      </w:r>
      <w:r w:rsidR="00EF7F65">
        <w:t> </w:t>
      </w:r>
      <w:r w:rsidRPr="00172D87">
        <w:t xml:space="preserve">2021, </w:t>
      </w:r>
      <w:r w:rsidRPr="00172D87">
        <w:rPr>
          <w:i/>
        </w:rPr>
        <w:t>OECD Economic Surveys: Australia 2021</w:t>
      </w:r>
      <w:r w:rsidRPr="00172D87">
        <w:t>, OECD Economic Surveys, OECD Publishing, Paris.</w:t>
      </w:r>
    </w:p>
    <w:p w14:paraId="65239513" w14:textId="2FF569AD" w:rsidR="006033EA" w:rsidRPr="006C1649" w:rsidRDefault="006033EA" w:rsidP="00DD2493">
      <w:pPr>
        <w:pStyle w:val="Reference"/>
        <w:rPr>
          <w:spacing w:val="-4"/>
        </w:rPr>
      </w:pPr>
      <w:r w:rsidRPr="006C1649">
        <w:rPr>
          <w:spacing w:val="-4"/>
        </w:rPr>
        <w:t>——</w:t>
      </w:r>
      <w:r w:rsidR="00EF7F65" w:rsidRPr="006C1649">
        <w:rPr>
          <w:spacing w:val="-4"/>
        </w:rPr>
        <w:t> </w:t>
      </w:r>
      <w:r w:rsidRPr="006C1649">
        <w:rPr>
          <w:spacing w:val="-4"/>
        </w:rPr>
        <w:t xml:space="preserve">2022a, </w:t>
      </w:r>
      <w:r w:rsidRPr="006C1649">
        <w:rPr>
          <w:i/>
          <w:spacing w:val="-4"/>
        </w:rPr>
        <w:t>Business enterprise R&amp;D expenditure by source of funds and number of persons employed (organisation size class)</w:t>
      </w:r>
      <w:r w:rsidRPr="006C1649">
        <w:rPr>
          <w:spacing w:val="-4"/>
        </w:rPr>
        <w:t>, https://stats.oecd.org/Index.aspx?DataSetCode=BERD_SOF_SIZE (accessed 19</w:t>
      </w:r>
      <w:r w:rsidR="00A43B86">
        <w:rPr>
          <w:spacing w:val="-4"/>
        </w:rPr>
        <w:t> </w:t>
      </w:r>
      <w:r w:rsidRPr="006C1649">
        <w:rPr>
          <w:spacing w:val="-4"/>
        </w:rPr>
        <w:t>August 2022).</w:t>
      </w:r>
    </w:p>
    <w:p w14:paraId="211AE61A" w14:textId="0338D0DB" w:rsidR="006033EA" w:rsidRPr="00172D87" w:rsidRDefault="006033EA" w:rsidP="00DD2493">
      <w:pPr>
        <w:pStyle w:val="Reference"/>
      </w:pPr>
      <w:r w:rsidRPr="00172D87">
        <w:t>——</w:t>
      </w:r>
      <w:r w:rsidR="00EF7F65">
        <w:t> </w:t>
      </w:r>
      <w:r w:rsidRPr="00172D87">
        <w:t xml:space="preserve">2022b, </w:t>
      </w:r>
      <w:r w:rsidRPr="00172D87">
        <w:rPr>
          <w:i/>
        </w:rPr>
        <w:t>Business innovation statistics and indicators 2021</w:t>
      </w:r>
      <w:r w:rsidRPr="00172D87">
        <w:t>, OECD Publishing, Paris.</w:t>
      </w:r>
    </w:p>
    <w:p w14:paraId="1FFA3203" w14:textId="66EC8F93" w:rsidR="006033EA" w:rsidRPr="00172D87" w:rsidRDefault="006033EA" w:rsidP="00DD2493">
      <w:pPr>
        <w:pStyle w:val="Reference"/>
      </w:pPr>
      <w:r w:rsidRPr="00172D87">
        <w:t>——</w:t>
      </w:r>
      <w:r w:rsidR="00EF7F65">
        <w:t> </w:t>
      </w:r>
      <w:r w:rsidRPr="00172D87">
        <w:t xml:space="preserve">2022c, </w:t>
      </w:r>
      <w:r w:rsidRPr="00172D87">
        <w:rPr>
          <w:i/>
        </w:rPr>
        <w:t>OECD FDI Regulatory Restrictiveness Index</w:t>
      </w:r>
      <w:r w:rsidRPr="00172D87">
        <w:t>, https://stats.oecd.org/Index.aspx?datasetcode=FDIINDEX (accessed 22</w:t>
      </w:r>
      <w:r w:rsidR="00A43B86">
        <w:t> </w:t>
      </w:r>
      <w:r w:rsidRPr="00172D87">
        <w:t>August 2022).</w:t>
      </w:r>
    </w:p>
    <w:p w14:paraId="5C5D6A44" w14:textId="77777777" w:rsidR="006033EA" w:rsidRPr="00172D87" w:rsidRDefault="006033EA" w:rsidP="00DD2493">
      <w:pPr>
        <w:pStyle w:val="Reference"/>
      </w:pPr>
      <w:r w:rsidRPr="00172D87">
        <w:t xml:space="preserve">OECD/Eurostat 2018, </w:t>
      </w:r>
      <w:r w:rsidRPr="00172D87">
        <w:rPr>
          <w:i/>
        </w:rPr>
        <w:t>Oslo Manual 2018: Guidelines for Collecting, Reporting and Using Data on Innovation,</w:t>
      </w:r>
      <w:r w:rsidRPr="00172D87">
        <w:t xml:space="preserve"> 4th edn, The Measurement of Scientific, Technological and Innovation Activities, OECD Publishing, Paris/Eurostat, Luxembourg.</w:t>
      </w:r>
    </w:p>
    <w:p w14:paraId="06C28FFE" w14:textId="4B3A9767" w:rsidR="006033EA" w:rsidRPr="00B058D7" w:rsidRDefault="006033EA" w:rsidP="00DD2493">
      <w:pPr>
        <w:pStyle w:val="Reference"/>
        <w:rPr>
          <w:spacing w:val="-4"/>
        </w:rPr>
      </w:pPr>
      <w:r w:rsidRPr="00B058D7">
        <w:rPr>
          <w:spacing w:val="-4"/>
        </w:rPr>
        <w:t xml:space="preserve">Office for National Statistics 2022, </w:t>
      </w:r>
      <w:r w:rsidRPr="00B058D7">
        <w:rPr>
          <w:i/>
          <w:spacing w:val="-4"/>
        </w:rPr>
        <w:t xml:space="preserve">How productive is your </w:t>
      </w:r>
      <w:proofErr w:type="gramStart"/>
      <w:r w:rsidRPr="00B058D7">
        <w:rPr>
          <w:i/>
          <w:spacing w:val="-4"/>
        </w:rPr>
        <w:t>business?</w:t>
      </w:r>
      <w:r w:rsidRPr="00B058D7">
        <w:rPr>
          <w:spacing w:val="-4"/>
        </w:rPr>
        <w:t>,</w:t>
      </w:r>
      <w:proofErr w:type="gramEnd"/>
      <w:r w:rsidRPr="00B058D7">
        <w:rPr>
          <w:spacing w:val="-4"/>
        </w:rPr>
        <w:t xml:space="preserve"> https://www.ons.gov.uk/employmentandlabourmarket/</w:t>
      </w:r>
      <w:r w:rsidR="00B058D7">
        <w:rPr>
          <w:spacing w:val="-4"/>
        </w:rPr>
        <w:br/>
      </w:r>
      <w:r w:rsidRPr="00B058D7">
        <w:rPr>
          <w:spacing w:val="-4"/>
        </w:rPr>
        <w:t>peopleinwork/labourproductivity/articles/howproductiveisyourbusiness/2018</w:t>
      </w:r>
      <w:r w:rsidR="00A43B86">
        <w:rPr>
          <w:spacing w:val="-4"/>
        </w:rPr>
        <w:t>–</w:t>
      </w:r>
      <w:r w:rsidRPr="00B058D7">
        <w:rPr>
          <w:spacing w:val="-4"/>
        </w:rPr>
        <w:t>07-06 (accessed 23</w:t>
      </w:r>
      <w:r w:rsidR="00A43B86">
        <w:rPr>
          <w:spacing w:val="-4"/>
        </w:rPr>
        <w:t> </w:t>
      </w:r>
      <w:r w:rsidRPr="00B058D7">
        <w:rPr>
          <w:spacing w:val="-4"/>
        </w:rPr>
        <w:t>August 2022).</w:t>
      </w:r>
    </w:p>
    <w:p w14:paraId="711ABC37" w14:textId="77777777" w:rsidR="006033EA" w:rsidRPr="00172D87" w:rsidRDefault="006033EA" w:rsidP="00DD2493">
      <w:pPr>
        <w:pStyle w:val="Reference"/>
      </w:pPr>
      <w:r w:rsidRPr="00172D87">
        <w:t xml:space="preserve">O’Neill, P., Sohal, A. and Teng, C.W. 2016, ‘Quality management approaches and their impact on firms׳ financial performance – An Australian study’, </w:t>
      </w:r>
      <w:r w:rsidRPr="00172D87">
        <w:rPr>
          <w:i/>
        </w:rPr>
        <w:t>International Journal of Production Economics</w:t>
      </w:r>
      <w:r w:rsidRPr="00172D87">
        <w:t>, vol. 171, pp. 381–393.</w:t>
      </w:r>
    </w:p>
    <w:p w14:paraId="29B38BFC" w14:textId="1915268A" w:rsidR="006033EA" w:rsidRPr="00172D87" w:rsidRDefault="006033EA" w:rsidP="00DD2493">
      <w:pPr>
        <w:pStyle w:val="Reference"/>
      </w:pPr>
      <w:r w:rsidRPr="00172D87">
        <w:t>PC (Productivity</w:t>
      </w:r>
      <w:r w:rsidR="00A43B86">
        <w:t xml:space="preserve"> </w:t>
      </w:r>
      <w:r w:rsidRPr="00172D87">
        <w:t xml:space="preserve">Commission) 2020a, </w:t>
      </w:r>
      <w:r w:rsidRPr="00172D87">
        <w:rPr>
          <w:i/>
        </w:rPr>
        <w:t>Indigenous Evaluation Strategy - Background Paper</w:t>
      </w:r>
      <w:r w:rsidRPr="00172D87">
        <w:t>, Canberra.</w:t>
      </w:r>
    </w:p>
    <w:p w14:paraId="680DFBB7" w14:textId="3BFC8521" w:rsidR="006033EA" w:rsidRPr="00B058D7" w:rsidRDefault="006033EA" w:rsidP="00DD2493">
      <w:pPr>
        <w:pStyle w:val="Reference"/>
        <w:rPr>
          <w:spacing w:val="-4"/>
        </w:rPr>
      </w:pPr>
      <w:r w:rsidRPr="00B058D7">
        <w:rPr>
          <w:spacing w:val="-4"/>
        </w:rPr>
        <w:t>——</w:t>
      </w:r>
      <w:r w:rsidR="00EF7F65" w:rsidRPr="00B058D7">
        <w:rPr>
          <w:spacing w:val="-4"/>
        </w:rPr>
        <w:t> </w:t>
      </w:r>
      <w:r w:rsidRPr="00B058D7">
        <w:rPr>
          <w:spacing w:val="-4"/>
        </w:rPr>
        <w:t xml:space="preserve">2011, </w:t>
      </w:r>
      <w:r w:rsidRPr="00B058D7">
        <w:rPr>
          <w:i/>
          <w:spacing w:val="-4"/>
        </w:rPr>
        <w:t>Disability Care and Support</w:t>
      </w:r>
      <w:r w:rsidRPr="00B058D7">
        <w:rPr>
          <w:spacing w:val="-4"/>
        </w:rPr>
        <w:t>, Report no. 54, Canberra.</w:t>
      </w:r>
    </w:p>
    <w:p w14:paraId="7B7E8C05" w14:textId="54F5A462" w:rsidR="006033EA" w:rsidRPr="00172D87" w:rsidRDefault="006033EA" w:rsidP="00DD2493">
      <w:pPr>
        <w:pStyle w:val="Reference"/>
      </w:pPr>
      <w:r w:rsidRPr="00172D87">
        <w:t>——</w:t>
      </w:r>
      <w:r w:rsidR="00EF7F65">
        <w:t> </w:t>
      </w:r>
      <w:r w:rsidRPr="00172D87">
        <w:t xml:space="preserve">2016a, </w:t>
      </w:r>
      <w:r w:rsidRPr="00172D87">
        <w:rPr>
          <w:i/>
        </w:rPr>
        <w:t>Intellectual Property Arrangements</w:t>
      </w:r>
      <w:r w:rsidRPr="00172D87">
        <w:t>, Report no. 78, Canberra.</w:t>
      </w:r>
    </w:p>
    <w:p w14:paraId="40CE9547" w14:textId="24197F7D" w:rsidR="006033EA" w:rsidRPr="00172D87" w:rsidRDefault="006033EA" w:rsidP="00DD2493">
      <w:pPr>
        <w:pStyle w:val="Reference"/>
      </w:pPr>
      <w:r w:rsidRPr="00172D87">
        <w:t>——</w:t>
      </w:r>
      <w:r w:rsidR="00EF7F65">
        <w:t> </w:t>
      </w:r>
      <w:r w:rsidRPr="00172D87">
        <w:t xml:space="preserve">2016b, </w:t>
      </w:r>
      <w:r w:rsidRPr="00172D87">
        <w:rPr>
          <w:i/>
        </w:rPr>
        <w:t>Introducing Competition and Informed User Choice into Human Services: Identifying Sectors for Reform</w:t>
      </w:r>
      <w:r w:rsidRPr="00172D87">
        <w:t>, Study Report, Canberra.</w:t>
      </w:r>
    </w:p>
    <w:p w14:paraId="50418934" w14:textId="2FF7C23D" w:rsidR="006033EA" w:rsidRPr="00172D87" w:rsidRDefault="006033EA" w:rsidP="00DD2493">
      <w:pPr>
        <w:pStyle w:val="Reference"/>
      </w:pPr>
      <w:r w:rsidRPr="00172D87">
        <w:t>——</w:t>
      </w:r>
      <w:r w:rsidR="00EF7F65">
        <w:t> </w:t>
      </w:r>
      <w:r w:rsidRPr="00172D87">
        <w:t xml:space="preserve">2017a, </w:t>
      </w:r>
      <w:r w:rsidRPr="00172D87">
        <w:rPr>
          <w:i/>
        </w:rPr>
        <w:t>An Overview of Innovation Policy</w:t>
      </w:r>
      <w:r w:rsidRPr="00172D87">
        <w:t xml:space="preserve">, Shifting the Dial: </w:t>
      </w:r>
      <w:proofErr w:type="gramStart"/>
      <w:r w:rsidRPr="00172D87">
        <w:t>5 year</w:t>
      </w:r>
      <w:proofErr w:type="gramEnd"/>
      <w:r w:rsidRPr="00172D87">
        <w:t xml:space="preserve"> Productivity Review, Supporting Paper no. 12.</w:t>
      </w:r>
    </w:p>
    <w:p w14:paraId="7D396382" w14:textId="1C7C186E" w:rsidR="006033EA" w:rsidRPr="00172D87" w:rsidRDefault="006033EA" w:rsidP="00DD2493">
      <w:pPr>
        <w:pStyle w:val="Reference"/>
      </w:pPr>
      <w:r w:rsidRPr="00172D87">
        <w:t>——</w:t>
      </w:r>
      <w:r w:rsidR="00EF7F65">
        <w:t> </w:t>
      </w:r>
      <w:r w:rsidRPr="00172D87">
        <w:t xml:space="preserve">2017b, </w:t>
      </w:r>
      <w:r w:rsidRPr="00172D87">
        <w:rPr>
          <w:i/>
        </w:rPr>
        <w:t>Integrated Care: Shifting the Dial: 5 Year Productivity Review - Supporting Paper no. 5</w:t>
      </w:r>
      <w:r w:rsidRPr="00172D87">
        <w:t>, Report no. 84, Report no. 84, Canberra.</w:t>
      </w:r>
    </w:p>
    <w:p w14:paraId="1DAB6758" w14:textId="564C467A" w:rsidR="006033EA" w:rsidRPr="00172D87" w:rsidRDefault="006033EA" w:rsidP="00DD2493">
      <w:pPr>
        <w:pStyle w:val="Reference"/>
      </w:pPr>
      <w:r w:rsidRPr="00172D87">
        <w:t>——</w:t>
      </w:r>
      <w:r w:rsidR="00EF7F65">
        <w:t> </w:t>
      </w:r>
      <w:r w:rsidRPr="00172D87">
        <w:t xml:space="preserve">2017c, </w:t>
      </w:r>
      <w:r w:rsidRPr="00172D87">
        <w:rPr>
          <w:i/>
        </w:rPr>
        <w:t>Introducing Competition and Informed User Choice into Human Services: Reforms to Human Services</w:t>
      </w:r>
      <w:r w:rsidRPr="00172D87">
        <w:t>, Report no. 85, Canberra.</w:t>
      </w:r>
    </w:p>
    <w:p w14:paraId="53A84AD9" w14:textId="423E47A0" w:rsidR="006033EA" w:rsidRPr="00172D87" w:rsidRDefault="006033EA" w:rsidP="00DD2493">
      <w:pPr>
        <w:pStyle w:val="Reference"/>
      </w:pPr>
      <w:r w:rsidRPr="00172D87">
        <w:t>——</w:t>
      </w:r>
      <w:r w:rsidR="00EF7F65">
        <w:t> </w:t>
      </w:r>
      <w:r w:rsidRPr="00172D87">
        <w:t xml:space="preserve">2017d, </w:t>
      </w:r>
      <w:r w:rsidRPr="00172D87">
        <w:rPr>
          <w:i/>
        </w:rPr>
        <w:t>Shifting the Dial: 5 Year Productivity Review</w:t>
      </w:r>
      <w:r w:rsidRPr="00172D87">
        <w:t>, Report no. 84, Canberra.</w:t>
      </w:r>
    </w:p>
    <w:p w14:paraId="7A4C434A" w14:textId="1DC36C7A" w:rsidR="006033EA" w:rsidRPr="00172D87" w:rsidRDefault="006033EA" w:rsidP="00DD2493">
      <w:pPr>
        <w:pStyle w:val="Reference"/>
      </w:pPr>
      <w:r w:rsidRPr="00172D87">
        <w:t>——</w:t>
      </w:r>
      <w:r w:rsidR="00EF7F65">
        <w:t> </w:t>
      </w:r>
      <w:r w:rsidRPr="00172D87">
        <w:t xml:space="preserve">2017e, </w:t>
      </w:r>
      <w:r w:rsidRPr="00172D87">
        <w:rPr>
          <w:i/>
        </w:rPr>
        <w:t>Transitioning Regional Economies</w:t>
      </w:r>
      <w:r w:rsidRPr="00172D87">
        <w:t>, Study Report, Canberra.</w:t>
      </w:r>
    </w:p>
    <w:p w14:paraId="5ABE73A1" w14:textId="05BD6E68" w:rsidR="006033EA" w:rsidRPr="00172D87" w:rsidRDefault="006033EA" w:rsidP="00DD2493">
      <w:pPr>
        <w:pStyle w:val="Reference"/>
      </w:pPr>
      <w:r w:rsidRPr="00172D87">
        <w:t>——</w:t>
      </w:r>
      <w:r w:rsidR="00EF7F65">
        <w:t> </w:t>
      </w:r>
      <w:r w:rsidRPr="00172D87">
        <w:t xml:space="preserve">2018, </w:t>
      </w:r>
      <w:r w:rsidRPr="00172D87">
        <w:rPr>
          <w:i/>
        </w:rPr>
        <w:t>Competition in the Australian Financial System</w:t>
      </w:r>
      <w:r w:rsidRPr="00172D87">
        <w:t>, Report no. 89, Canberra.</w:t>
      </w:r>
    </w:p>
    <w:p w14:paraId="5766CA2B" w14:textId="070117C1" w:rsidR="006033EA" w:rsidRPr="00172D87" w:rsidRDefault="006033EA" w:rsidP="00DD2493">
      <w:pPr>
        <w:pStyle w:val="Reference"/>
      </w:pPr>
      <w:r w:rsidRPr="00172D87">
        <w:t>——</w:t>
      </w:r>
      <w:r w:rsidR="00EF7F65">
        <w:t> </w:t>
      </w:r>
      <w:r w:rsidRPr="00172D87">
        <w:t xml:space="preserve">2019, </w:t>
      </w:r>
      <w:r w:rsidRPr="00172D87">
        <w:rPr>
          <w:i/>
        </w:rPr>
        <w:t>Trade and Assistance Review 2017</w:t>
      </w:r>
      <w:r w:rsidR="00A43B86">
        <w:rPr>
          <w:i/>
        </w:rPr>
        <w:noBreakHyphen/>
      </w:r>
      <w:r w:rsidRPr="00172D87">
        <w:rPr>
          <w:i/>
        </w:rPr>
        <w:t>18</w:t>
      </w:r>
      <w:r w:rsidRPr="00172D87">
        <w:t>, Annual Report Series.</w:t>
      </w:r>
    </w:p>
    <w:p w14:paraId="1D66B5EE" w14:textId="72AB9121" w:rsidR="006033EA" w:rsidRPr="00172D87" w:rsidRDefault="006033EA" w:rsidP="00DD2493">
      <w:pPr>
        <w:pStyle w:val="Reference"/>
      </w:pPr>
      <w:r w:rsidRPr="00172D87">
        <w:t>——</w:t>
      </w:r>
      <w:r w:rsidR="00EF7F65">
        <w:t> </w:t>
      </w:r>
      <w:r w:rsidRPr="00172D87">
        <w:t xml:space="preserve">2020b, </w:t>
      </w:r>
      <w:r w:rsidRPr="00172D87">
        <w:rPr>
          <w:i/>
        </w:rPr>
        <w:t>Expenditure on Children in the Northern Territory</w:t>
      </w:r>
      <w:r w:rsidRPr="00172D87">
        <w:t>, Study Report, Canberra.</w:t>
      </w:r>
    </w:p>
    <w:p w14:paraId="085E2AEE" w14:textId="019FCE24" w:rsidR="006033EA" w:rsidRPr="00172D87" w:rsidRDefault="006033EA" w:rsidP="00DD2493">
      <w:pPr>
        <w:pStyle w:val="Reference"/>
      </w:pPr>
      <w:r w:rsidRPr="00172D87">
        <w:t>——</w:t>
      </w:r>
      <w:r w:rsidR="00EF7F65">
        <w:t> </w:t>
      </w:r>
      <w:r w:rsidRPr="00172D87">
        <w:t xml:space="preserve">2020c, </w:t>
      </w:r>
      <w:r w:rsidRPr="00172D87">
        <w:rPr>
          <w:i/>
        </w:rPr>
        <w:t>Foreign Investment in Australia</w:t>
      </w:r>
      <w:r w:rsidRPr="00172D87">
        <w:t>, Commission Research Paper, Canberra.</w:t>
      </w:r>
    </w:p>
    <w:p w14:paraId="1FA19A2B" w14:textId="5CE78BC7" w:rsidR="006033EA" w:rsidRPr="00172D87" w:rsidRDefault="006033EA" w:rsidP="00DD2493">
      <w:pPr>
        <w:pStyle w:val="Reference"/>
      </w:pPr>
      <w:r w:rsidRPr="00172D87">
        <w:t>——</w:t>
      </w:r>
      <w:r w:rsidR="00EF7F65">
        <w:t> </w:t>
      </w:r>
      <w:r w:rsidRPr="00172D87">
        <w:t xml:space="preserve">2020d, </w:t>
      </w:r>
      <w:r w:rsidRPr="00172D87">
        <w:rPr>
          <w:i/>
        </w:rPr>
        <w:t>Indigenous Evaluation Strategy, Background Paper</w:t>
      </w:r>
      <w:r w:rsidRPr="00172D87">
        <w:t>, Canberra.</w:t>
      </w:r>
    </w:p>
    <w:p w14:paraId="15A435D2" w14:textId="01D15814" w:rsidR="006033EA" w:rsidRPr="00172D87" w:rsidRDefault="006033EA" w:rsidP="00DD2493">
      <w:pPr>
        <w:pStyle w:val="Reference"/>
      </w:pPr>
      <w:r w:rsidRPr="00172D87">
        <w:t>——</w:t>
      </w:r>
      <w:r w:rsidR="00EF7F65">
        <w:t> </w:t>
      </w:r>
      <w:r w:rsidRPr="00172D87">
        <w:t xml:space="preserve">2020e, </w:t>
      </w:r>
      <w:r w:rsidRPr="00172D87">
        <w:rPr>
          <w:i/>
        </w:rPr>
        <w:t>Mental Health</w:t>
      </w:r>
      <w:r w:rsidRPr="00172D87">
        <w:t>, Report no. 95, Canberra.</w:t>
      </w:r>
    </w:p>
    <w:p w14:paraId="57B176BB" w14:textId="48DC636F" w:rsidR="006033EA" w:rsidRPr="00172D87" w:rsidRDefault="006033EA" w:rsidP="00DD2493">
      <w:pPr>
        <w:pStyle w:val="Reference"/>
      </w:pPr>
      <w:r w:rsidRPr="00172D87">
        <w:t>——</w:t>
      </w:r>
      <w:r w:rsidR="00EF7F65">
        <w:t> </w:t>
      </w:r>
      <w:r w:rsidRPr="00172D87">
        <w:t xml:space="preserve">2020f, </w:t>
      </w:r>
      <w:r w:rsidRPr="00172D87">
        <w:rPr>
          <w:i/>
        </w:rPr>
        <w:t>PC Productivity Insights: Australia’s long term productivity experience</w:t>
      </w:r>
      <w:r w:rsidRPr="00172D87">
        <w:t>, Canberra, November.</w:t>
      </w:r>
    </w:p>
    <w:p w14:paraId="4E24BBAD" w14:textId="674BF7DC" w:rsidR="006033EA" w:rsidRPr="00172D87" w:rsidRDefault="006033EA" w:rsidP="00DD2493">
      <w:pPr>
        <w:pStyle w:val="Reference"/>
      </w:pPr>
      <w:r w:rsidRPr="00172D87">
        <w:t>——</w:t>
      </w:r>
      <w:r w:rsidR="00EF7F65">
        <w:t> </w:t>
      </w:r>
      <w:r w:rsidRPr="00172D87">
        <w:t xml:space="preserve">2020g, </w:t>
      </w:r>
      <w:r w:rsidRPr="00172D87">
        <w:rPr>
          <w:i/>
        </w:rPr>
        <w:t xml:space="preserve">PC Productivity Insights: Can Australia be a productivity </w:t>
      </w:r>
      <w:proofErr w:type="gramStart"/>
      <w:r w:rsidRPr="00172D87">
        <w:rPr>
          <w:i/>
        </w:rPr>
        <w:t>leader?</w:t>
      </w:r>
      <w:r w:rsidRPr="00172D87">
        <w:t>,</w:t>
      </w:r>
      <w:proofErr w:type="gramEnd"/>
      <w:r w:rsidRPr="00172D87">
        <w:t xml:space="preserve"> Canberra, March.</w:t>
      </w:r>
    </w:p>
    <w:p w14:paraId="7240AA38" w14:textId="567043CA" w:rsidR="006033EA" w:rsidRPr="00172D87" w:rsidRDefault="006033EA" w:rsidP="00DD2493">
      <w:pPr>
        <w:pStyle w:val="Reference"/>
      </w:pPr>
      <w:r w:rsidRPr="00172D87">
        <w:t>——</w:t>
      </w:r>
      <w:r w:rsidR="00EF7F65">
        <w:t> </w:t>
      </w:r>
      <w:r w:rsidRPr="00172D87">
        <w:t xml:space="preserve">2020h, </w:t>
      </w:r>
      <w:r w:rsidRPr="00172D87">
        <w:rPr>
          <w:i/>
        </w:rPr>
        <w:t>Regulatory Technology</w:t>
      </w:r>
      <w:r w:rsidRPr="00172D87">
        <w:t>, Information Paper, Canberra.</w:t>
      </w:r>
    </w:p>
    <w:p w14:paraId="35CF2666" w14:textId="2013A91D" w:rsidR="006033EA" w:rsidRPr="00172D87" w:rsidRDefault="006033EA" w:rsidP="00DD2493">
      <w:pPr>
        <w:pStyle w:val="Reference"/>
      </w:pPr>
      <w:r w:rsidRPr="00172D87">
        <w:t>——</w:t>
      </w:r>
      <w:r w:rsidR="00EF7F65">
        <w:t> </w:t>
      </w:r>
      <w:r w:rsidRPr="00172D87">
        <w:t xml:space="preserve">2020i, </w:t>
      </w:r>
      <w:r w:rsidRPr="00172D87">
        <w:rPr>
          <w:i/>
        </w:rPr>
        <w:t>Trade and Assistance Review 2018</w:t>
      </w:r>
      <w:r w:rsidR="00A43B86">
        <w:rPr>
          <w:i/>
        </w:rPr>
        <w:noBreakHyphen/>
      </w:r>
      <w:r w:rsidRPr="00172D87">
        <w:rPr>
          <w:i/>
        </w:rPr>
        <w:t>19</w:t>
      </w:r>
      <w:r w:rsidRPr="00172D87">
        <w:t>, Annual Report Series.</w:t>
      </w:r>
    </w:p>
    <w:p w14:paraId="6700DADD" w14:textId="5879776F" w:rsidR="006033EA" w:rsidRPr="00172D87" w:rsidRDefault="006033EA" w:rsidP="00DD2493">
      <w:pPr>
        <w:pStyle w:val="Reference"/>
      </w:pPr>
      <w:r w:rsidRPr="00172D87">
        <w:t>——</w:t>
      </w:r>
      <w:r w:rsidR="00EF7F65">
        <w:t> </w:t>
      </w:r>
      <w:r w:rsidRPr="00172D87">
        <w:t xml:space="preserve">2021a, </w:t>
      </w:r>
      <w:r w:rsidRPr="00172D87">
        <w:rPr>
          <w:i/>
        </w:rPr>
        <w:t>Australia’s prison dilemma</w:t>
      </w:r>
      <w:r w:rsidRPr="00172D87">
        <w:t>, Research Paper, Canberra.</w:t>
      </w:r>
    </w:p>
    <w:p w14:paraId="26D938E3" w14:textId="0FC40223" w:rsidR="006033EA" w:rsidRPr="00172D87" w:rsidRDefault="006033EA" w:rsidP="00DD2493">
      <w:pPr>
        <w:pStyle w:val="Reference"/>
      </w:pPr>
      <w:r w:rsidRPr="00172D87">
        <w:t>——</w:t>
      </w:r>
      <w:r w:rsidR="00EF7F65">
        <w:t> </w:t>
      </w:r>
      <w:r w:rsidRPr="00172D87">
        <w:t xml:space="preserve">2021b, </w:t>
      </w:r>
      <w:r w:rsidRPr="00172D87">
        <w:rPr>
          <w:i/>
        </w:rPr>
        <w:t>Innovations in Care for Chronic Health Conditions</w:t>
      </w:r>
      <w:r w:rsidRPr="00172D87">
        <w:t>, Productivity Reform Case Study, Canberra.</w:t>
      </w:r>
    </w:p>
    <w:p w14:paraId="766825D1" w14:textId="533AA789" w:rsidR="006033EA" w:rsidRPr="00172D87" w:rsidRDefault="006033EA" w:rsidP="00DD2493">
      <w:pPr>
        <w:pStyle w:val="Reference"/>
      </w:pPr>
      <w:r w:rsidRPr="00172D87">
        <w:t>——</w:t>
      </w:r>
      <w:r w:rsidR="00EF7F65">
        <w:t> </w:t>
      </w:r>
      <w:r w:rsidRPr="00172D87">
        <w:t xml:space="preserve">2021c, </w:t>
      </w:r>
      <w:r w:rsidRPr="00172D87">
        <w:rPr>
          <w:i/>
        </w:rPr>
        <w:t>Public Transport Pricing</w:t>
      </w:r>
      <w:r w:rsidRPr="00172D87">
        <w:t>, Research paper, Canberra.</w:t>
      </w:r>
    </w:p>
    <w:p w14:paraId="147FBC76" w14:textId="78BAD947" w:rsidR="006033EA" w:rsidRPr="00172D87" w:rsidRDefault="006033EA" w:rsidP="00DD2493">
      <w:pPr>
        <w:pStyle w:val="Reference"/>
      </w:pPr>
      <w:r w:rsidRPr="00172D87">
        <w:t>——</w:t>
      </w:r>
      <w:r w:rsidR="00EF7F65">
        <w:t> </w:t>
      </w:r>
      <w:r w:rsidRPr="00172D87">
        <w:t xml:space="preserve">2021d, </w:t>
      </w:r>
      <w:r w:rsidRPr="00172D87">
        <w:rPr>
          <w:i/>
        </w:rPr>
        <w:t>Small business access to finance: The evolving lending market</w:t>
      </w:r>
      <w:r w:rsidRPr="00172D87">
        <w:t>, Canberra.</w:t>
      </w:r>
    </w:p>
    <w:p w14:paraId="036DC653" w14:textId="6AE240BA" w:rsidR="006033EA" w:rsidRPr="00172D87" w:rsidRDefault="006033EA" w:rsidP="00DD2493">
      <w:pPr>
        <w:pStyle w:val="Reference"/>
      </w:pPr>
      <w:r w:rsidRPr="00172D87">
        <w:t>——</w:t>
      </w:r>
      <w:r w:rsidR="00EF7F65">
        <w:t> </w:t>
      </w:r>
      <w:r w:rsidRPr="00172D87">
        <w:t xml:space="preserve">2021e, </w:t>
      </w:r>
      <w:r w:rsidRPr="00172D87">
        <w:rPr>
          <w:i/>
        </w:rPr>
        <w:t>Working from home</w:t>
      </w:r>
      <w:r w:rsidRPr="00172D87">
        <w:t>, Commission Research Paper, Canberra.</w:t>
      </w:r>
    </w:p>
    <w:p w14:paraId="255E0E42" w14:textId="4937FB52" w:rsidR="006033EA" w:rsidRPr="00172D87" w:rsidRDefault="006033EA" w:rsidP="00DD2493">
      <w:pPr>
        <w:pStyle w:val="Reference"/>
      </w:pPr>
      <w:r w:rsidRPr="00172D87">
        <w:t>——</w:t>
      </w:r>
      <w:r w:rsidR="00EF7F65">
        <w:t> </w:t>
      </w:r>
      <w:r w:rsidRPr="00172D87">
        <w:t xml:space="preserve">2022a, </w:t>
      </w:r>
      <w:r w:rsidRPr="00172D87">
        <w:rPr>
          <w:i/>
        </w:rPr>
        <w:t>5-year Productivity Inquiry: Australia’s data and digital dividend</w:t>
      </w:r>
      <w:r w:rsidRPr="00172D87">
        <w:t>, Interim Report 2, Canberra, August.</w:t>
      </w:r>
    </w:p>
    <w:p w14:paraId="2455C4FB" w14:textId="1F89A19E" w:rsidR="006033EA" w:rsidRPr="00172D87" w:rsidRDefault="006033EA" w:rsidP="00DD2493">
      <w:pPr>
        <w:pStyle w:val="Reference"/>
      </w:pPr>
      <w:r w:rsidRPr="00172D87">
        <w:t>——</w:t>
      </w:r>
      <w:r w:rsidR="00EF7F65">
        <w:t> </w:t>
      </w:r>
      <w:r w:rsidRPr="00172D87">
        <w:t xml:space="preserve">2022b, </w:t>
      </w:r>
      <w:r w:rsidRPr="00172D87">
        <w:rPr>
          <w:i/>
        </w:rPr>
        <w:t>In need of repair: The National Housing and Homelessness Agreement</w:t>
      </w:r>
      <w:r w:rsidRPr="00172D87">
        <w:t>, Study Report, Canberra.</w:t>
      </w:r>
    </w:p>
    <w:p w14:paraId="0972A435" w14:textId="05D3C386" w:rsidR="006033EA" w:rsidRPr="00172D87" w:rsidRDefault="006033EA" w:rsidP="00DD2493">
      <w:pPr>
        <w:pStyle w:val="Reference"/>
      </w:pPr>
      <w:r w:rsidRPr="00172D87">
        <w:t>——</w:t>
      </w:r>
      <w:r w:rsidR="00EF7F65">
        <w:t> </w:t>
      </w:r>
      <w:r w:rsidRPr="00172D87">
        <w:t xml:space="preserve">2022c, </w:t>
      </w:r>
      <w:r w:rsidRPr="00172D87">
        <w:rPr>
          <w:i/>
        </w:rPr>
        <w:t>Review of the National School Reform Agreement</w:t>
      </w:r>
      <w:r w:rsidR="00C805FB" w:rsidRPr="00C805FB">
        <w:rPr>
          <w:iCs/>
        </w:rPr>
        <w:t xml:space="preserve">, Study report, </w:t>
      </w:r>
      <w:r w:rsidRPr="00C805FB">
        <w:rPr>
          <w:iCs/>
        </w:rPr>
        <w:t>Can</w:t>
      </w:r>
      <w:r w:rsidRPr="00172D87">
        <w:t xml:space="preserve">berra, </w:t>
      </w:r>
      <w:r w:rsidR="00C805FB">
        <w:t>December</w:t>
      </w:r>
      <w:r w:rsidRPr="00172D87">
        <w:t>.</w:t>
      </w:r>
    </w:p>
    <w:p w14:paraId="0E1242A0" w14:textId="65E6F907" w:rsidR="006033EA" w:rsidRPr="00172D87" w:rsidRDefault="006033EA" w:rsidP="00DD2493">
      <w:pPr>
        <w:pStyle w:val="Reference"/>
      </w:pPr>
      <w:r w:rsidRPr="00172D87">
        <w:t>——</w:t>
      </w:r>
      <w:r w:rsidR="00EF7F65">
        <w:t> </w:t>
      </w:r>
      <w:r w:rsidRPr="00172D87">
        <w:t xml:space="preserve">2022d, </w:t>
      </w:r>
      <w:r w:rsidRPr="00172D87">
        <w:rPr>
          <w:i/>
        </w:rPr>
        <w:t>Submission to the Australian Business Securitisation Fund Review</w:t>
      </w:r>
      <w:r w:rsidRPr="00172D87">
        <w:t>, Canberra.</w:t>
      </w:r>
    </w:p>
    <w:p w14:paraId="6D929E88" w14:textId="77777777" w:rsidR="006033EA" w:rsidRPr="00B058D7" w:rsidRDefault="006033EA" w:rsidP="00DD2493">
      <w:pPr>
        <w:pStyle w:val="Reference"/>
        <w:rPr>
          <w:spacing w:val="-2"/>
        </w:rPr>
      </w:pPr>
      <w:r w:rsidRPr="00B058D7">
        <w:rPr>
          <w:spacing w:val="-2"/>
        </w:rPr>
        <w:t xml:space="preserve">Pearse, J., Mazevska, D., McElduff, P., Stone, C., Tuccia, J., Cho, O., Mitchell, S., McElduff, B., Tran, D., Falster, M., Pearson, S., Jorm, L., Yu, S., Naghsh-Nejadm, M., van Gool, K., Wright, M., Hall, J., Bower, M., Dunbar, J., Henryks, J., Rosen, R. and Smyth, T. 2022, </w:t>
      </w:r>
      <w:r w:rsidRPr="00B058D7">
        <w:rPr>
          <w:i/>
          <w:spacing w:val="-2"/>
        </w:rPr>
        <w:t>Health Care Homes trial final evaluation report, Volume 1: Summary report. Health Policy Analysis</w:t>
      </w:r>
      <w:r w:rsidRPr="00B058D7">
        <w:rPr>
          <w:spacing w:val="-2"/>
        </w:rPr>
        <w:t>, July, Commissioned by the Australian Government of Health.</w:t>
      </w:r>
    </w:p>
    <w:p w14:paraId="2CD8C044" w14:textId="77777777" w:rsidR="006033EA" w:rsidRPr="00B058D7" w:rsidRDefault="006033EA" w:rsidP="00DD2493">
      <w:pPr>
        <w:pStyle w:val="Reference"/>
        <w:rPr>
          <w:spacing w:val="-4"/>
        </w:rPr>
      </w:pPr>
      <w:r w:rsidRPr="00B058D7">
        <w:rPr>
          <w:spacing w:val="-4"/>
        </w:rPr>
        <w:t xml:space="preserve">Pellegrino, B. and Zingales, L. 2018, </w:t>
      </w:r>
      <w:r w:rsidRPr="00B058D7">
        <w:rPr>
          <w:i/>
          <w:spacing w:val="-4"/>
        </w:rPr>
        <w:t>Diagnosing the Italian Disease</w:t>
      </w:r>
      <w:r w:rsidRPr="00B058D7">
        <w:rPr>
          <w:spacing w:val="-4"/>
        </w:rPr>
        <w:t>, SSRN Scholarly Paper 3057451, 1 July, Rochester, NY.</w:t>
      </w:r>
    </w:p>
    <w:p w14:paraId="1254CA18" w14:textId="77777777" w:rsidR="006033EA" w:rsidRPr="00172D87" w:rsidRDefault="006033EA" w:rsidP="00DD2493">
      <w:pPr>
        <w:pStyle w:val="Reference"/>
      </w:pPr>
      <w:r w:rsidRPr="00172D87">
        <w:t xml:space="preserve">Philips 2022, </w:t>
      </w:r>
      <w:r w:rsidRPr="00172D87">
        <w:rPr>
          <w:i/>
        </w:rPr>
        <w:t>Future Health Index 2022: Healthcare hits reset: Priorities shift as healthcare leaders navigate a changed world</w:t>
      </w:r>
      <w:r w:rsidRPr="00172D87">
        <w:t>.</w:t>
      </w:r>
    </w:p>
    <w:p w14:paraId="59D9C8F1" w14:textId="77777777" w:rsidR="006033EA" w:rsidRPr="007950CD" w:rsidRDefault="006033EA" w:rsidP="00DD2493">
      <w:pPr>
        <w:pStyle w:val="Reference"/>
        <w:rPr>
          <w:spacing w:val="-4"/>
        </w:rPr>
      </w:pPr>
      <w:r w:rsidRPr="007950CD">
        <w:rPr>
          <w:spacing w:val="-4"/>
        </w:rPr>
        <w:t xml:space="preserve">PMC (Department of Prime Minister and Cabinet) 2019, </w:t>
      </w:r>
      <w:r w:rsidRPr="007950CD">
        <w:rPr>
          <w:i/>
          <w:spacing w:val="-4"/>
        </w:rPr>
        <w:t>Our Public Service Our Future: Independent Review of the Australian Public Service</w:t>
      </w:r>
      <w:r w:rsidRPr="007950CD">
        <w:rPr>
          <w:spacing w:val="-4"/>
        </w:rPr>
        <w:t>, Commonwealth of Australia, Canberra.</w:t>
      </w:r>
    </w:p>
    <w:p w14:paraId="12FEB7AB" w14:textId="5503A1D5" w:rsidR="006033EA" w:rsidRPr="007950CD" w:rsidRDefault="006033EA" w:rsidP="00DD2493">
      <w:pPr>
        <w:pStyle w:val="Reference"/>
        <w:rPr>
          <w:spacing w:val="-4"/>
        </w:rPr>
      </w:pPr>
      <w:r w:rsidRPr="007950CD">
        <w:rPr>
          <w:spacing w:val="-4"/>
        </w:rPr>
        <w:t xml:space="preserve">PwC Australia, American Chamber of Commerce in Australia, and Australian British Chamber of Commerce 2022, </w:t>
      </w:r>
      <w:r w:rsidRPr="007950CD">
        <w:rPr>
          <w:i/>
          <w:spacing w:val="-4"/>
        </w:rPr>
        <w:t>Maximising Australia’s AUKUS opportunity</w:t>
      </w:r>
      <w:r w:rsidRPr="007950CD">
        <w:rPr>
          <w:spacing w:val="-4"/>
        </w:rPr>
        <w:t>, https://www.pwc.com.au/defence/</w:t>
      </w:r>
      <w:r w:rsidR="007950CD">
        <w:rPr>
          <w:spacing w:val="-4"/>
        </w:rPr>
        <w:br/>
      </w:r>
      <w:r w:rsidRPr="007950CD">
        <w:rPr>
          <w:spacing w:val="-4"/>
        </w:rPr>
        <w:t>pwc-amcham-abcc-maximising-australias-aukus-opportunity.pdf (accessed 14</w:t>
      </w:r>
      <w:r w:rsidR="00A43B86" w:rsidRPr="007950CD">
        <w:rPr>
          <w:spacing w:val="-4"/>
        </w:rPr>
        <w:t> </w:t>
      </w:r>
      <w:r w:rsidRPr="007950CD">
        <w:rPr>
          <w:spacing w:val="-4"/>
        </w:rPr>
        <w:t>December 2022).</w:t>
      </w:r>
    </w:p>
    <w:p w14:paraId="50D8E719" w14:textId="77777777" w:rsidR="006033EA" w:rsidRPr="00172D87" w:rsidRDefault="006033EA" w:rsidP="00DD2493">
      <w:pPr>
        <w:pStyle w:val="Reference"/>
      </w:pPr>
      <w:r w:rsidRPr="00172D87">
        <w:t xml:space="preserve">RBA (Reserve Bank of Australia) 2020, </w:t>
      </w:r>
      <w:r w:rsidRPr="00172D87">
        <w:rPr>
          <w:i/>
        </w:rPr>
        <w:t>Financial Stability Review</w:t>
      </w:r>
      <w:r w:rsidRPr="00172D87">
        <w:t>, October, Sydney.</w:t>
      </w:r>
    </w:p>
    <w:p w14:paraId="2C268AF7" w14:textId="37A7C00B" w:rsidR="006033EA" w:rsidRPr="00172D87" w:rsidRDefault="006033EA" w:rsidP="00DD2493">
      <w:pPr>
        <w:pStyle w:val="Reference"/>
      </w:pPr>
      <w:r w:rsidRPr="00172D87">
        <w:t xml:space="preserve">Riley, J. 2022, </w:t>
      </w:r>
      <w:r w:rsidRPr="00172D87">
        <w:rPr>
          <w:i/>
        </w:rPr>
        <w:t>Labor backs an extended run for Industry Growth Centres</w:t>
      </w:r>
      <w:r w:rsidRPr="00172D87">
        <w:t>, https://www.innovationaus.com/labor-backs-an-extended-run-for-industry-growth-centres/ (accessed 26</w:t>
      </w:r>
      <w:r w:rsidR="00A43B86">
        <w:t> </w:t>
      </w:r>
      <w:r w:rsidRPr="00172D87">
        <w:t>August 2022).</w:t>
      </w:r>
    </w:p>
    <w:p w14:paraId="5DADFA40" w14:textId="77777777" w:rsidR="006033EA" w:rsidRPr="00172D87" w:rsidRDefault="006033EA" w:rsidP="00DD2493">
      <w:pPr>
        <w:pStyle w:val="Reference"/>
      </w:pPr>
      <w:r w:rsidRPr="00172D87">
        <w:t xml:space="preserve">Roy, S. 2016, ‘Foreign direct investment and total factor productivity growth: does distance from technology frontier matter?’, </w:t>
      </w:r>
      <w:r w:rsidRPr="00172D87">
        <w:rPr>
          <w:i/>
        </w:rPr>
        <w:t>Global Business and Economics Review</w:t>
      </w:r>
      <w:r w:rsidRPr="00172D87">
        <w:t>, vol. 18, no. 2, pp. 151–176.</w:t>
      </w:r>
    </w:p>
    <w:p w14:paraId="76663EE4" w14:textId="43778389" w:rsidR="006033EA" w:rsidRPr="00172D87" w:rsidRDefault="006033EA" w:rsidP="00DD2493">
      <w:pPr>
        <w:pStyle w:val="Reference"/>
      </w:pPr>
      <w:r w:rsidRPr="00172D87">
        <w:t xml:space="preserve">Sagar, A.D. and Chandra, P. 2004, </w:t>
      </w:r>
      <w:r w:rsidRPr="00172D87">
        <w:rPr>
          <w:i/>
        </w:rPr>
        <w:t>Technological Change in the Indian Passenger Car Industry</w:t>
      </w:r>
      <w:r w:rsidRPr="00172D87">
        <w:t>, BCSIA Discussion Paper 2004</w:t>
      </w:r>
      <w:r w:rsidR="00A43B86">
        <w:noBreakHyphen/>
      </w:r>
      <w:r w:rsidRPr="00172D87">
        <w:t>05, Energy</w:t>
      </w:r>
      <w:r w:rsidR="00A43B86">
        <w:t xml:space="preserve"> </w:t>
      </w:r>
      <w:r w:rsidRPr="00172D87">
        <w:t>Technology Innovation Project, Kennedy School of Government, Harvard University.</w:t>
      </w:r>
    </w:p>
    <w:p w14:paraId="4B87A245" w14:textId="77777777" w:rsidR="006033EA" w:rsidRPr="00172D87" w:rsidRDefault="006033EA" w:rsidP="00DD2493">
      <w:pPr>
        <w:pStyle w:val="Reference"/>
      </w:pPr>
      <w:r w:rsidRPr="00172D87">
        <w:t xml:space="preserve">Saia, A., Andrews, D. and Albrizio, S. 2015, </w:t>
      </w:r>
      <w:r w:rsidRPr="00172D87">
        <w:rPr>
          <w:i/>
        </w:rPr>
        <w:t>Productivity Spillovers from the Global Frontier and Public Policy: Industry-</w:t>
      </w:r>
      <w:r w:rsidRPr="00172D87">
        <w:rPr>
          <w:i/>
        </w:rPr>
        <w:lastRenderedPageBreak/>
        <w:t>Level Evidence</w:t>
      </w:r>
      <w:r w:rsidRPr="00172D87">
        <w:t>, OECD Economics Department Working Papers, No. 1238, OECD Publishing, Paris.</w:t>
      </w:r>
    </w:p>
    <w:p w14:paraId="2D690B35" w14:textId="55F09A0C" w:rsidR="006033EA" w:rsidRPr="00C46D1B" w:rsidRDefault="006033EA" w:rsidP="00DD2493">
      <w:pPr>
        <w:pStyle w:val="Reference"/>
        <w:rPr>
          <w:spacing w:val="-4"/>
        </w:rPr>
      </w:pPr>
      <w:r w:rsidRPr="00C46D1B">
        <w:rPr>
          <w:spacing w:val="-4"/>
        </w:rPr>
        <w:t xml:space="preserve">Sargent, J. 2019, </w:t>
      </w:r>
      <w:r w:rsidRPr="00C46D1B">
        <w:rPr>
          <w:i/>
          <w:spacing w:val="-4"/>
        </w:rPr>
        <w:t>The Manufacturing Extension Partnership Program</w:t>
      </w:r>
      <w:r w:rsidRPr="00C46D1B">
        <w:rPr>
          <w:spacing w:val="-4"/>
        </w:rPr>
        <w:t>, CRS Report R44308, Congressional Research Service.</w:t>
      </w:r>
    </w:p>
    <w:p w14:paraId="31DFB770" w14:textId="77777777" w:rsidR="006033EA" w:rsidRPr="00172D87" w:rsidRDefault="006033EA" w:rsidP="00DD2493">
      <w:pPr>
        <w:pStyle w:val="Reference"/>
      </w:pPr>
      <w:r w:rsidRPr="00172D87">
        <w:t xml:space="preserve">Saxenian, A. 1996, </w:t>
      </w:r>
      <w:r w:rsidRPr="00172D87">
        <w:rPr>
          <w:i/>
        </w:rPr>
        <w:t>Regional Advantage: Culture and Competition in Silicon Valley and Route 128</w:t>
      </w:r>
      <w:r w:rsidRPr="00172D87">
        <w:t>, Harvard University Press, Cambridge, MA.</w:t>
      </w:r>
    </w:p>
    <w:p w14:paraId="6E8D0C97" w14:textId="5EE6A743" w:rsidR="006033EA" w:rsidRPr="00172D87" w:rsidRDefault="006033EA" w:rsidP="00DD2493">
      <w:pPr>
        <w:pStyle w:val="Reference"/>
      </w:pPr>
      <w:r w:rsidRPr="00172D87">
        <w:t xml:space="preserve">SBMS (Small Business Mentoring Service) nd, </w:t>
      </w:r>
      <w:r w:rsidRPr="00172D87">
        <w:rPr>
          <w:i/>
        </w:rPr>
        <w:t>About SBMS</w:t>
      </w:r>
      <w:r w:rsidRPr="00172D87">
        <w:t>, https://www.sbms.org.au/about-sbms.html (accessed 19</w:t>
      </w:r>
      <w:r w:rsidR="00A43B86">
        <w:t> </w:t>
      </w:r>
      <w:r w:rsidRPr="00172D87">
        <w:t>December 2022).</w:t>
      </w:r>
    </w:p>
    <w:p w14:paraId="3428F2F2" w14:textId="3AF02123" w:rsidR="006033EA" w:rsidRPr="004C5B30" w:rsidRDefault="006033EA" w:rsidP="00DD2493">
      <w:pPr>
        <w:pStyle w:val="Reference"/>
        <w:rPr>
          <w:spacing w:val="-4"/>
        </w:rPr>
      </w:pPr>
      <w:r w:rsidRPr="004C5B30">
        <w:rPr>
          <w:spacing w:val="-4"/>
        </w:rPr>
        <w:t xml:space="preserve">Service NSW 2022, </w:t>
      </w:r>
      <w:r w:rsidRPr="004C5B30">
        <w:rPr>
          <w:i/>
          <w:spacing w:val="-4"/>
        </w:rPr>
        <w:t>Personalised support</w:t>
      </w:r>
      <w:r w:rsidRPr="004C5B30">
        <w:rPr>
          <w:spacing w:val="-4"/>
        </w:rPr>
        <w:t xml:space="preserve">, </w:t>
      </w:r>
      <w:r w:rsidR="004C5B30">
        <w:rPr>
          <w:spacing w:val="-4"/>
        </w:rPr>
        <w:t>https://</w:t>
      </w:r>
      <w:r w:rsidRPr="004C5B30">
        <w:rPr>
          <w:spacing w:val="-4"/>
        </w:rPr>
        <w:t>www.service.nsw.gov.au/campaign/covid-19-help-businesses/personalised-support (accessed 2</w:t>
      </w:r>
      <w:r w:rsidR="00A43B86" w:rsidRPr="004C5B30">
        <w:rPr>
          <w:spacing w:val="-4"/>
        </w:rPr>
        <w:t> </w:t>
      </w:r>
      <w:r w:rsidRPr="004C5B30">
        <w:rPr>
          <w:spacing w:val="-4"/>
        </w:rPr>
        <w:t>September 2022).</w:t>
      </w:r>
    </w:p>
    <w:p w14:paraId="21FCEB95" w14:textId="77777777" w:rsidR="006033EA" w:rsidRPr="00172D87" w:rsidRDefault="006033EA" w:rsidP="00DD2493">
      <w:pPr>
        <w:pStyle w:val="Reference"/>
      </w:pPr>
      <w:r w:rsidRPr="00172D87">
        <w:t xml:space="preserve">Shaw, L., Jazayeri, D., Kiegaldie, D. and Morris, M.E. 2022, ‘Implementation of Virtual Communities of Practice in Healthcare to Improve Capability and Capacity: A 10-Year Scoping Review’, </w:t>
      </w:r>
      <w:r w:rsidRPr="00172D87">
        <w:rPr>
          <w:i/>
        </w:rPr>
        <w:t>International Journal of Environmental Research and Public Health</w:t>
      </w:r>
      <w:r w:rsidRPr="00172D87">
        <w:t>, vol. 19, no. 13, p. 7994.</w:t>
      </w:r>
    </w:p>
    <w:p w14:paraId="7EE67968" w14:textId="77777777" w:rsidR="006033EA" w:rsidRPr="00172D87" w:rsidRDefault="006033EA" w:rsidP="00DD2493">
      <w:pPr>
        <w:pStyle w:val="Reference"/>
      </w:pPr>
      <w:r w:rsidRPr="00172D87">
        <w:t xml:space="preserve">Shaw, M. and Wilson, A. 2021, </w:t>
      </w:r>
      <w:r w:rsidRPr="00172D87">
        <w:rPr>
          <w:i/>
        </w:rPr>
        <w:t>RPA Virtual Hospital: Proof of concept trial Evaluation Report, 2020–2021</w:t>
      </w:r>
      <w:r w:rsidRPr="00172D87">
        <w:t>, Sydney.</w:t>
      </w:r>
    </w:p>
    <w:p w14:paraId="6ACC9984" w14:textId="77777777" w:rsidR="006033EA" w:rsidRPr="00172D87" w:rsidRDefault="006033EA" w:rsidP="00DD2493">
      <w:pPr>
        <w:pStyle w:val="Reference"/>
      </w:pPr>
      <w:r w:rsidRPr="00172D87">
        <w:t xml:space="preserve">Sheng, Y., Gray, E., Mullen, J. and Davidson, A. 2011, </w:t>
      </w:r>
      <w:r w:rsidRPr="00172D87">
        <w:rPr>
          <w:i/>
        </w:rPr>
        <w:t>Public investment in agricultural R&amp;D and extension: an analysis of the static and dynamic effects on Australian broadacre productivity</w:t>
      </w:r>
      <w:r w:rsidRPr="00172D87">
        <w:t>, Australian Bureau of Agricultural and Resource Economics and Sciences, Canberra, September.</w:t>
      </w:r>
    </w:p>
    <w:p w14:paraId="462A5E34" w14:textId="77777777" w:rsidR="006033EA" w:rsidRPr="00172D87" w:rsidRDefault="006033EA" w:rsidP="00DD2493">
      <w:pPr>
        <w:pStyle w:val="Reference"/>
      </w:pPr>
      <w:r w:rsidRPr="00172D87">
        <w:t xml:space="preserve">Smith, B. 2021, </w:t>
      </w:r>
      <w:r w:rsidRPr="00172D87">
        <w:rPr>
          <w:i/>
        </w:rPr>
        <w:t>The Importance of Benchmarking for the Local Government Sector</w:t>
      </w:r>
      <w:r w:rsidRPr="00172D87">
        <w:t>, Local Government Professionals Australia, NSW, Sydney.</w:t>
      </w:r>
    </w:p>
    <w:p w14:paraId="626CD777" w14:textId="77777777" w:rsidR="006033EA" w:rsidRPr="00172D87" w:rsidRDefault="006033EA" w:rsidP="00DD2493">
      <w:pPr>
        <w:pStyle w:val="Reference"/>
      </w:pPr>
      <w:r w:rsidRPr="00172D87">
        <w:t xml:space="preserve">Soriano, F. and Abello, R. 2015, ‘Modelling the relationships between the use of STEM skills, collaboration, R and D, and innovation among Australian businesses’, </w:t>
      </w:r>
      <w:r w:rsidRPr="00172D87">
        <w:rPr>
          <w:i/>
        </w:rPr>
        <w:t>Australian Journal of Labour Economics</w:t>
      </w:r>
      <w:r w:rsidRPr="00172D87">
        <w:t>, vol. 18, no. 3, pp. 345–374.</w:t>
      </w:r>
    </w:p>
    <w:p w14:paraId="0492E3A0" w14:textId="6F08D3E2" w:rsidR="006033EA" w:rsidRPr="00172D87" w:rsidRDefault="006033EA" w:rsidP="00DD2493">
      <w:pPr>
        <w:pStyle w:val="Reference"/>
      </w:pPr>
      <w:r w:rsidRPr="00172D87">
        <w:t xml:space="preserve">Stats NZ 2022, </w:t>
      </w:r>
      <w:r w:rsidRPr="00172D87">
        <w:rPr>
          <w:i/>
        </w:rPr>
        <w:t>Business performance benchmarker</w:t>
      </w:r>
      <w:r w:rsidRPr="00172D87">
        <w:t>, https://www.stats.govt.nz/experimental/business-performance-benchmarker (accessed 24</w:t>
      </w:r>
      <w:r w:rsidR="00A43B86">
        <w:t> </w:t>
      </w:r>
      <w:r w:rsidRPr="00172D87">
        <w:t>August 2022).</w:t>
      </w:r>
    </w:p>
    <w:p w14:paraId="12331A1D" w14:textId="77777777" w:rsidR="006033EA" w:rsidRPr="00172D87" w:rsidRDefault="006033EA" w:rsidP="00DD2493">
      <w:pPr>
        <w:pStyle w:val="Reference"/>
      </w:pPr>
      <w:r w:rsidRPr="00172D87">
        <w:t xml:space="preserve">Stoneman, P. and Diederen, P. 1994, ‘Technology Diffusion and Public Policy’, </w:t>
      </w:r>
      <w:r w:rsidRPr="00172D87">
        <w:rPr>
          <w:i/>
        </w:rPr>
        <w:t>Economic Journal</w:t>
      </w:r>
      <w:r w:rsidRPr="00172D87">
        <w:t>, vol. 104, no. 425, pp. 918–930.</w:t>
      </w:r>
    </w:p>
    <w:p w14:paraId="4D7D8BB9" w14:textId="77777777" w:rsidR="006033EA" w:rsidRPr="00172D87" w:rsidRDefault="006033EA" w:rsidP="00DD2493">
      <w:pPr>
        <w:pStyle w:val="Reference"/>
      </w:pPr>
      <w:r w:rsidRPr="00172D87">
        <w:t xml:space="preserve">Swerissen, H. and Duckett, S. 2018, </w:t>
      </w:r>
      <w:r w:rsidRPr="00172D87">
        <w:rPr>
          <w:i/>
        </w:rPr>
        <w:t>Mapping primary care in Australia</w:t>
      </w:r>
      <w:r w:rsidRPr="00172D87">
        <w:t>, Grattan Institute, Melbourne.</w:t>
      </w:r>
    </w:p>
    <w:p w14:paraId="64661318" w14:textId="77777777" w:rsidR="006033EA" w:rsidRPr="00172D87" w:rsidRDefault="006033EA" w:rsidP="00DD2493">
      <w:pPr>
        <w:pStyle w:val="Reference"/>
      </w:pPr>
      <w:r w:rsidRPr="00172D87">
        <w:t xml:space="preserve">Terrill, M. 2022, </w:t>
      </w:r>
      <w:r w:rsidRPr="00172D87">
        <w:rPr>
          <w:i/>
        </w:rPr>
        <w:t>Roundabouts, overpasses, and carparks: Hauling the federal government back to its proper role in transport projects</w:t>
      </w:r>
      <w:r w:rsidRPr="00172D87">
        <w:t>, March, Grattan Institute, Melbourne.</w:t>
      </w:r>
    </w:p>
    <w:p w14:paraId="3AF76639" w14:textId="77777777" w:rsidR="006033EA" w:rsidRPr="00172D87" w:rsidRDefault="006033EA" w:rsidP="00DD2493">
      <w:pPr>
        <w:pStyle w:val="Reference"/>
      </w:pPr>
      <w:r w:rsidRPr="00172D87">
        <w:t xml:space="preserve">——, Burfurd, I. and Fox, L. 2022, </w:t>
      </w:r>
      <w:r w:rsidRPr="00172D87">
        <w:rPr>
          <w:i/>
        </w:rPr>
        <w:t>The Grattan truck plan: practical policies for cleaner freight</w:t>
      </w:r>
      <w:r w:rsidRPr="00172D87">
        <w:t>, Grattan Institute.</w:t>
      </w:r>
    </w:p>
    <w:p w14:paraId="40195EC4" w14:textId="77777777" w:rsidR="006033EA" w:rsidRPr="00172D87" w:rsidRDefault="006033EA" w:rsidP="00DD2493">
      <w:pPr>
        <w:pStyle w:val="Reference"/>
      </w:pPr>
      <w:r w:rsidRPr="00172D87">
        <w:t xml:space="preserve">——, Emslie, O. and Moran, G. 2020, </w:t>
      </w:r>
      <w:r w:rsidRPr="00172D87">
        <w:rPr>
          <w:i/>
        </w:rPr>
        <w:t>The rise of megaprojects: Counting the costs</w:t>
      </w:r>
      <w:r w:rsidRPr="00172D87">
        <w:t>, November, Grattan Institute, Melbourne.</w:t>
      </w:r>
    </w:p>
    <w:p w14:paraId="285558AD" w14:textId="77777777" w:rsidR="006033EA" w:rsidRPr="00172D87" w:rsidRDefault="006033EA" w:rsidP="00DD2493">
      <w:pPr>
        <w:pStyle w:val="Reference"/>
      </w:pPr>
      <w:r w:rsidRPr="00172D87">
        <w:t xml:space="preserve">Thomson, R. and Webster, E. 2013, ‘Innovation and Productivity’, </w:t>
      </w:r>
      <w:r w:rsidRPr="00172D87">
        <w:rPr>
          <w:i/>
        </w:rPr>
        <w:t>Australian Economic Review</w:t>
      </w:r>
      <w:r w:rsidRPr="00172D87">
        <w:t>, vol. 46, no. 4, pp. 483–488.</w:t>
      </w:r>
    </w:p>
    <w:p w14:paraId="6D37A5A8" w14:textId="77777777" w:rsidR="006033EA" w:rsidRPr="00172D87" w:rsidRDefault="006033EA" w:rsidP="00DD2493">
      <w:pPr>
        <w:pStyle w:val="Reference"/>
      </w:pPr>
      <w:r w:rsidRPr="00172D87">
        <w:t xml:space="preserve">Tran, M. and Haddock, R. 2021, </w:t>
      </w:r>
      <w:r w:rsidRPr="00172D87">
        <w:rPr>
          <w:i/>
        </w:rPr>
        <w:t>Towards a sustainable funding model for telehealth in Australia</w:t>
      </w:r>
      <w:r w:rsidRPr="00172D87">
        <w:t>, Issues brief 43, Deeble Institute for Health Policy Research.</w:t>
      </w:r>
    </w:p>
    <w:p w14:paraId="0ADB22CF" w14:textId="1C4CABB7" w:rsidR="006033EA" w:rsidRPr="00172D87" w:rsidRDefault="006033EA" w:rsidP="00DD2493">
      <w:pPr>
        <w:pStyle w:val="Reference"/>
      </w:pPr>
      <w:r w:rsidRPr="00172D87">
        <w:t xml:space="preserve">Tuhin, R. 2016, </w:t>
      </w:r>
      <w:r w:rsidRPr="00172D87">
        <w:rPr>
          <w:i/>
        </w:rPr>
        <w:t>Modelling the relationship between innovation and exporting: Evidence from</w:t>
      </w:r>
      <w:r w:rsidR="00A43B86">
        <w:rPr>
          <w:i/>
        </w:rPr>
        <w:t xml:space="preserve"> </w:t>
      </w:r>
      <w:r w:rsidRPr="00172D87">
        <w:rPr>
          <w:i/>
        </w:rPr>
        <w:t>Australian SMEs</w:t>
      </w:r>
      <w:r w:rsidRPr="00172D87">
        <w:t>, Office of the Chief Economist Research Paper 3/2016, Department of Industry, Innovation and Science.</w:t>
      </w:r>
    </w:p>
    <w:p w14:paraId="13D30D95" w14:textId="0D85E192" w:rsidR="006033EA" w:rsidRPr="00172D87" w:rsidRDefault="006033EA" w:rsidP="00DD2493">
      <w:pPr>
        <w:pStyle w:val="Reference"/>
      </w:pPr>
      <w:r w:rsidRPr="00172D87">
        <w:t xml:space="preserve">University of Melbourne nd, </w:t>
      </w:r>
      <w:r w:rsidRPr="00172D87">
        <w:rPr>
          <w:i/>
        </w:rPr>
        <w:t>Outside Work Procedure (MPF1129)</w:t>
      </w:r>
      <w:r w:rsidRPr="00172D87">
        <w:t>, https://policy.unimelb.edu.au/MPF1129 (accessed 9</w:t>
      </w:r>
      <w:r w:rsidR="00A43B86">
        <w:t> </w:t>
      </w:r>
      <w:r w:rsidRPr="00172D87">
        <w:t>September 2022).</w:t>
      </w:r>
    </w:p>
    <w:p w14:paraId="22BCD151" w14:textId="6E0B194D" w:rsidR="006033EA" w:rsidRPr="00172D87" w:rsidRDefault="006033EA" w:rsidP="00DD2493">
      <w:pPr>
        <w:pStyle w:val="Reference"/>
      </w:pPr>
      <w:r w:rsidRPr="00172D87">
        <w:t xml:space="preserve">University of Queensland nd, </w:t>
      </w:r>
      <w:r w:rsidRPr="00172D87">
        <w:rPr>
          <w:i/>
        </w:rPr>
        <w:t>1.50.02 Consultancy, Secondary Employment and Internal Work Policy</w:t>
      </w:r>
      <w:r w:rsidRPr="00172D87">
        <w:t>, https://ppl.app.uq.edu.au/content/1.50.02-consultancy-secondary-employment-and-internal-work#Policy (accessed 9</w:t>
      </w:r>
      <w:r w:rsidR="00A43B86">
        <w:t> </w:t>
      </w:r>
      <w:r w:rsidRPr="00172D87">
        <w:t>September 2022).</w:t>
      </w:r>
    </w:p>
    <w:p w14:paraId="40B6CF24" w14:textId="56353810" w:rsidR="006033EA" w:rsidRPr="00C46D1B" w:rsidRDefault="006033EA" w:rsidP="00DD2493">
      <w:pPr>
        <w:pStyle w:val="Reference"/>
        <w:rPr>
          <w:spacing w:val="-4"/>
        </w:rPr>
      </w:pPr>
      <w:r w:rsidRPr="00C46D1B">
        <w:rPr>
          <w:spacing w:val="-4"/>
        </w:rPr>
        <w:t xml:space="preserve">University of Sydney 2020, </w:t>
      </w:r>
      <w:r w:rsidRPr="00C46D1B">
        <w:rPr>
          <w:i/>
          <w:spacing w:val="-4"/>
        </w:rPr>
        <w:t>Sydney University and General Electric to drive Australian manufacturing</w:t>
      </w:r>
      <w:r w:rsidRPr="00C46D1B">
        <w:rPr>
          <w:spacing w:val="-4"/>
        </w:rPr>
        <w:t>, https://www.sydney.edu.au/</w:t>
      </w:r>
      <w:r w:rsidR="00C46D1B">
        <w:rPr>
          <w:spacing w:val="-4"/>
        </w:rPr>
        <w:br/>
      </w:r>
      <w:r w:rsidRPr="00C46D1B">
        <w:rPr>
          <w:spacing w:val="-4"/>
        </w:rPr>
        <w:t>news-opinion/news/2020</w:t>
      </w:r>
      <w:r w:rsidR="00A43B86">
        <w:rPr>
          <w:spacing w:val="-4"/>
        </w:rPr>
        <w:t>–</w:t>
      </w:r>
      <w:r w:rsidRPr="00C46D1B">
        <w:rPr>
          <w:spacing w:val="-4"/>
        </w:rPr>
        <w:t>12/16/sydney-university-and-general-electric-to-drive-australian-manuf.html (accessed 5</w:t>
      </w:r>
      <w:r w:rsidR="00A43B86">
        <w:rPr>
          <w:spacing w:val="-4"/>
        </w:rPr>
        <w:t> </w:t>
      </w:r>
      <w:r w:rsidRPr="00C46D1B">
        <w:rPr>
          <w:spacing w:val="-4"/>
        </w:rPr>
        <w:t>August 2022).</w:t>
      </w:r>
    </w:p>
    <w:p w14:paraId="40357331" w14:textId="77777777" w:rsidR="006033EA" w:rsidRPr="00172D87" w:rsidRDefault="006033EA" w:rsidP="00DD2493">
      <w:pPr>
        <w:pStyle w:val="Reference"/>
      </w:pPr>
      <w:r w:rsidRPr="00172D87">
        <w:t xml:space="preserve">UWA (University of Western Australia) 2021, </w:t>
      </w:r>
      <w:r w:rsidRPr="00172D87">
        <w:rPr>
          <w:i/>
        </w:rPr>
        <w:t>Consultancy Policy</w:t>
      </w:r>
      <w:r w:rsidRPr="00172D87">
        <w:t>, Policy Number UP21/9.</w:t>
      </w:r>
    </w:p>
    <w:p w14:paraId="5D90F3D8" w14:textId="76304791" w:rsidR="006033EA" w:rsidRPr="00172D87" w:rsidRDefault="006033EA" w:rsidP="00DD2493">
      <w:pPr>
        <w:pStyle w:val="Reference"/>
      </w:pPr>
      <w:r w:rsidRPr="00172D87">
        <w:t xml:space="preserve">VAGO (Victorian Auditor-General’s Office) nd, </w:t>
      </w:r>
      <w:r w:rsidRPr="00172D87">
        <w:rPr>
          <w:i/>
        </w:rPr>
        <w:t>Reporting on Local Government Performance</w:t>
      </w:r>
      <w:r w:rsidRPr="00172D87">
        <w:t>, https://www.audit.vic.gov.au/dashboards/reporting-local-government-performance (accessed 9</w:t>
      </w:r>
      <w:r w:rsidR="00A43B86">
        <w:t> </w:t>
      </w:r>
      <w:r w:rsidRPr="00172D87">
        <w:t>September 2022).</w:t>
      </w:r>
    </w:p>
    <w:p w14:paraId="1CE78587" w14:textId="77777777" w:rsidR="006033EA" w:rsidRPr="00172D87" w:rsidRDefault="006033EA" w:rsidP="00DD2493">
      <w:pPr>
        <w:pStyle w:val="Reference"/>
      </w:pPr>
      <w:r w:rsidRPr="00172D87">
        <w:t xml:space="preserve">Vecellio, E., Raban, M. and Westbrook, J. 2012, </w:t>
      </w:r>
      <w:r w:rsidRPr="00172D87">
        <w:rPr>
          <w:i/>
        </w:rPr>
        <w:t>Secondary ambulance triage service models and outcomes: A review of the evidence</w:t>
      </w:r>
      <w:r w:rsidRPr="00172D87">
        <w:t>, Australian Institute of Health Innovation.</w:t>
      </w:r>
    </w:p>
    <w:p w14:paraId="78FA60A2" w14:textId="77777777" w:rsidR="006033EA" w:rsidRPr="00172D87" w:rsidRDefault="006033EA" w:rsidP="00DD2493">
      <w:pPr>
        <w:pStyle w:val="Reference"/>
      </w:pPr>
      <w:r w:rsidRPr="00172D87">
        <w:t xml:space="preserve">Verreynne, M., Torres de Oliverira, R. and Mention, A.-L. 2021, </w:t>
      </w:r>
      <w:r w:rsidRPr="00172D87">
        <w:rPr>
          <w:i/>
        </w:rPr>
        <w:t>Enablers and barriers to industry-research collaboration: A small and medium sized enterprise perspective</w:t>
      </w:r>
      <w:r w:rsidRPr="00172D87">
        <w:t>, CSIRO.</w:t>
      </w:r>
    </w:p>
    <w:p w14:paraId="385A29D4" w14:textId="77777777" w:rsidR="006033EA" w:rsidRPr="00F21D43" w:rsidRDefault="006033EA" w:rsidP="00DD2493">
      <w:pPr>
        <w:pStyle w:val="Reference"/>
        <w:rPr>
          <w:spacing w:val="-4"/>
        </w:rPr>
      </w:pPr>
      <w:r w:rsidRPr="00F21D43">
        <w:rPr>
          <w:spacing w:val="-4"/>
        </w:rPr>
        <w:t xml:space="preserve">Williamson, R.C., Raghnaill, M.N., Douglas, K. and Sanchez, D. 2015, </w:t>
      </w:r>
      <w:r w:rsidRPr="00F21D43">
        <w:rPr>
          <w:i/>
          <w:spacing w:val="-4"/>
        </w:rPr>
        <w:t xml:space="preserve">Technology and Australia’s future: </w:t>
      </w:r>
      <w:proofErr w:type="gramStart"/>
      <w:r w:rsidRPr="00F21D43">
        <w:rPr>
          <w:i/>
          <w:spacing w:val="-4"/>
        </w:rPr>
        <w:t>New</w:t>
      </w:r>
      <w:proofErr w:type="gramEnd"/>
      <w:r w:rsidRPr="00F21D43">
        <w:rPr>
          <w:i/>
          <w:spacing w:val="-4"/>
        </w:rPr>
        <w:t xml:space="preserve"> technologies and their role in Australia’s security, cultural, democratic, social and economic systems</w:t>
      </w:r>
      <w:r w:rsidRPr="00F21D43">
        <w:rPr>
          <w:spacing w:val="-4"/>
        </w:rPr>
        <w:t>, Australian Council of Learned Academies.</w:t>
      </w:r>
    </w:p>
    <w:p w14:paraId="760370F8" w14:textId="560680B5" w:rsidR="006033EA" w:rsidRPr="00172D87" w:rsidRDefault="006033EA" w:rsidP="00DD2493">
      <w:pPr>
        <w:pStyle w:val="Reference"/>
      </w:pPr>
      <w:r w:rsidRPr="00172D87">
        <w:t xml:space="preserve">WIPO (World Intellectual Property Organization) 2021, </w:t>
      </w:r>
      <w:r w:rsidRPr="00172D87">
        <w:rPr>
          <w:i/>
        </w:rPr>
        <w:t>Global Innovation Index 2021: Tackling Innovation through the COVID-19 Crisis</w:t>
      </w:r>
      <w:r w:rsidRPr="00172D87">
        <w:t>, 14th edition, World Intellectual</w:t>
      </w:r>
      <w:r w:rsidR="00A43B86">
        <w:t xml:space="preserve"> </w:t>
      </w:r>
      <w:r w:rsidRPr="00172D87">
        <w:t>Property Organization, Geneva.</w:t>
      </w:r>
    </w:p>
    <w:p w14:paraId="7D11DAD1" w14:textId="5D343EF6" w:rsidR="006033EA" w:rsidRPr="00172D87" w:rsidRDefault="006033EA" w:rsidP="00DD2493">
      <w:pPr>
        <w:pStyle w:val="Reference"/>
      </w:pPr>
      <w:r w:rsidRPr="00172D87">
        <w:t xml:space="preserve">Woolner, D. 2001, </w:t>
      </w:r>
      <w:r w:rsidRPr="00172D87">
        <w:rPr>
          <w:i/>
        </w:rPr>
        <w:t>Lessons of the Collins Submarine Program for Improved Oversight of Defence Procurement</w:t>
      </w:r>
      <w:r w:rsidRPr="00172D87">
        <w:t>, Research Paper 3, 2001</w:t>
      </w:r>
      <w:r w:rsidR="00A43B86">
        <w:noBreakHyphen/>
      </w:r>
      <w:r w:rsidRPr="00172D87">
        <w:t>02, Parliamentary Library, Canberra.</w:t>
      </w:r>
    </w:p>
    <w:p w14:paraId="31048687" w14:textId="08F42C51" w:rsidR="006033EA" w:rsidRPr="00172D87" w:rsidRDefault="006033EA" w:rsidP="00DD2493">
      <w:pPr>
        <w:pStyle w:val="Reference"/>
      </w:pPr>
      <w:r w:rsidRPr="00172D87">
        <w:t xml:space="preserve">World Bank 2021a, </w:t>
      </w:r>
      <w:r w:rsidRPr="00172D87">
        <w:rPr>
          <w:i/>
        </w:rPr>
        <w:t>Charges for the use of intellectual property, payments (BoP, current US$) - Australia</w:t>
      </w:r>
      <w:r w:rsidRPr="00172D87">
        <w:t>, https://data.worldbank.org/indicator/BM.GSR.ROYL.CD?locations=AU (accessed 19</w:t>
      </w:r>
      <w:r w:rsidR="00A43B86">
        <w:t> </w:t>
      </w:r>
      <w:r w:rsidRPr="00172D87">
        <w:t>August 2022).</w:t>
      </w:r>
    </w:p>
    <w:p w14:paraId="15A9B399" w14:textId="44C6C719" w:rsidR="006033EA" w:rsidRPr="00172D87" w:rsidRDefault="006033EA" w:rsidP="00DD2493">
      <w:pPr>
        <w:pStyle w:val="Reference"/>
      </w:pPr>
      <w:r w:rsidRPr="00172D87">
        <w:t>——</w:t>
      </w:r>
      <w:r w:rsidR="00EF7F65">
        <w:t> </w:t>
      </w:r>
      <w:r w:rsidRPr="00172D87">
        <w:t xml:space="preserve">2021b, </w:t>
      </w:r>
      <w:r w:rsidRPr="00172D87">
        <w:rPr>
          <w:i/>
        </w:rPr>
        <w:t>Charges for the use of intellectual property, receipts (BoP, current US$) - Australia</w:t>
      </w:r>
      <w:r w:rsidRPr="00172D87">
        <w:t>, https://data.worldbank.org/indicator/BX.GSR.ROYL.CD?locations=AU (accessed 19</w:t>
      </w:r>
      <w:r w:rsidR="00A43B86">
        <w:t> </w:t>
      </w:r>
      <w:r w:rsidRPr="00172D87">
        <w:t>August 2022).</w:t>
      </w:r>
    </w:p>
    <w:p w14:paraId="2A5BC428" w14:textId="1E9F9F1C" w:rsidR="006033EA" w:rsidRPr="00F21D43" w:rsidRDefault="006033EA" w:rsidP="00DD2493">
      <w:pPr>
        <w:pStyle w:val="Reference"/>
        <w:rPr>
          <w:spacing w:val="-4"/>
        </w:rPr>
      </w:pPr>
      <w:r w:rsidRPr="00F21D43">
        <w:rPr>
          <w:spacing w:val="-4"/>
        </w:rPr>
        <w:t xml:space="preserve">Wray, P., Mackay, W., Loh, I., Young, D. and Ang, Y. 2020, </w:t>
      </w:r>
      <w:r w:rsidRPr="00F21D43">
        <w:rPr>
          <w:i/>
          <w:spacing w:val="-4"/>
        </w:rPr>
        <w:t>Australia’s Global RegTech Hub Poised for Growth</w:t>
      </w:r>
      <w:r w:rsidRPr="00F21D43">
        <w:rPr>
          <w:spacing w:val="-4"/>
        </w:rPr>
        <w:t>, BCG Global, https://www.bcg.com/publications/2020/australia-global-regtech-hub-poised-for-growth (accessed 29</w:t>
      </w:r>
      <w:r w:rsidR="00A43B86">
        <w:rPr>
          <w:spacing w:val="-4"/>
        </w:rPr>
        <w:t> </w:t>
      </w:r>
      <w:r w:rsidRPr="00F21D43">
        <w:rPr>
          <w:spacing w:val="-4"/>
        </w:rPr>
        <w:t>November 2022).</w:t>
      </w:r>
    </w:p>
    <w:p w14:paraId="1D8108A0" w14:textId="79E6387A" w:rsidR="006033EA" w:rsidRPr="00172D87" w:rsidRDefault="006033EA" w:rsidP="00DD2493">
      <w:pPr>
        <w:pStyle w:val="Reference"/>
      </w:pPr>
      <w:r w:rsidRPr="00172D87">
        <w:t xml:space="preserve">WSIPP (Washington State Institute for Public Policy) 2019, </w:t>
      </w:r>
      <w:r w:rsidRPr="00172D87">
        <w:rPr>
          <w:i/>
        </w:rPr>
        <w:t>Benefit-Cost Results</w:t>
      </w:r>
      <w:r w:rsidRPr="00172D87">
        <w:t>, https://www.wsipp.wa.gov/BenefitCost (accessed 13</w:t>
      </w:r>
      <w:r w:rsidR="00A43B86">
        <w:t> </w:t>
      </w:r>
      <w:r w:rsidRPr="00172D87">
        <w:t>December 2022).</w:t>
      </w:r>
    </w:p>
    <w:p w14:paraId="7A34B0A6" w14:textId="103F3B4F" w:rsidR="006033EA" w:rsidRPr="00172D87" w:rsidRDefault="006033EA" w:rsidP="00DD2493">
      <w:pPr>
        <w:pStyle w:val="Reference"/>
      </w:pPr>
      <w:r w:rsidRPr="00172D87">
        <w:t>——</w:t>
      </w:r>
      <w:r w:rsidR="00EF7F65">
        <w:t> </w:t>
      </w:r>
      <w:r w:rsidRPr="00172D87">
        <w:t xml:space="preserve">nd, </w:t>
      </w:r>
      <w:r w:rsidRPr="00172D87">
        <w:rPr>
          <w:i/>
        </w:rPr>
        <w:t>Estimating Program Effects Using Effect Sizes</w:t>
      </w:r>
      <w:r w:rsidRPr="00172D87">
        <w:t>, https://www.wsipp.wa.gov/TechnicalDocumentation/Overview%20of%20WSIPPs%20Benefit-Cost%20Model.pdf (accessed 13</w:t>
      </w:r>
      <w:r w:rsidR="00A43B86">
        <w:t> </w:t>
      </w:r>
      <w:r w:rsidRPr="00172D87">
        <w:t>December 2022a).</w:t>
      </w:r>
    </w:p>
    <w:p w14:paraId="5269B7EE" w14:textId="0C49698D" w:rsidR="006033EA" w:rsidRPr="00172D87" w:rsidRDefault="006033EA" w:rsidP="00DD2493">
      <w:pPr>
        <w:pStyle w:val="Reference"/>
      </w:pPr>
      <w:r w:rsidRPr="00172D87">
        <w:t>——</w:t>
      </w:r>
      <w:r w:rsidR="00EF7F65">
        <w:t> </w:t>
      </w:r>
      <w:r w:rsidRPr="00172D87">
        <w:t xml:space="preserve">nd, </w:t>
      </w:r>
      <w:r w:rsidRPr="00172D87">
        <w:rPr>
          <w:i/>
        </w:rPr>
        <w:t>Overview of WSIPP’s Benefit-Cost Model</w:t>
      </w:r>
      <w:r w:rsidRPr="00172D87">
        <w:t>, https://www.wsipp.wa.gov/TechnicalDocumentation/Overview%20of%20WSIPPs%20Benefit-Cost%20Model.pdf (accessed 13</w:t>
      </w:r>
      <w:r w:rsidR="00A43B86">
        <w:t> </w:t>
      </w:r>
      <w:r w:rsidRPr="00172D87">
        <w:t>December 2022b).</w:t>
      </w:r>
    </w:p>
    <w:p w14:paraId="0558A395" w14:textId="019F5893" w:rsidR="006D7619" w:rsidRDefault="006033EA" w:rsidP="00DD2493">
      <w:pPr>
        <w:pStyle w:val="Reference"/>
      </w:pPr>
      <w:r w:rsidRPr="00172D87">
        <w:t xml:space="preserve">Zou, T., Ertug, G. and George, G. 2018, ‘The capacity to innovate: a meta-analysis of absorptive capacity’, </w:t>
      </w:r>
      <w:r w:rsidRPr="00172D87">
        <w:rPr>
          <w:i/>
        </w:rPr>
        <w:t>Innovation</w:t>
      </w:r>
      <w:r w:rsidRPr="00172D87">
        <w:t>,</w:t>
      </w:r>
      <w:r w:rsidR="00FB3819" w:rsidRPr="00172D87">
        <w:t xml:space="preserve"> vol. 20, no. 2, pp. 87–121.</w:t>
      </w:r>
    </w:p>
    <w:sectPr w:rsidR="006D7619" w:rsidSect="00DD2493">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3AB3A" w14:textId="77777777" w:rsidR="007E2724" w:rsidRDefault="007E2724" w:rsidP="008017BC">
      <w:r>
        <w:separator/>
      </w:r>
    </w:p>
    <w:p w14:paraId="5F0C9E5E" w14:textId="77777777" w:rsidR="007E2724" w:rsidRDefault="007E2724"/>
  </w:endnote>
  <w:endnote w:type="continuationSeparator" w:id="0">
    <w:p w14:paraId="4BB246A7" w14:textId="77777777" w:rsidR="007E2724" w:rsidRDefault="007E2724" w:rsidP="008017BC">
      <w:r>
        <w:continuationSeparator/>
      </w:r>
    </w:p>
    <w:p w14:paraId="114D55EE" w14:textId="77777777" w:rsidR="007E2724" w:rsidRDefault="007E2724"/>
  </w:endnote>
  <w:endnote w:type="continuationNotice" w:id="1">
    <w:p w14:paraId="4428966B" w14:textId="77777777" w:rsidR="007E2724" w:rsidRDefault="007E27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58B2" w14:textId="77777777" w:rsidR="004F7BE2" w:rsidRPr="00187F05" w:rsidRDefault="004F7BE2" w:rsidP="00AF0DC8">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0888"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A2"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BE4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8F8BFA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374220"/>
      <w:docPartObj>
        <w:docPartGallery w:val="Page Numbers (Bottom of Page)"/>
        <w:docPartUnique/>
      </w:docPartObj>
    </w:sdtPr>
    <w:sdtEndPr/>
    <w:sdtContent>
      <w:sdt>
        <w:sdtPr>
          <w:id w:val="-1485153173"/>
          <w:docPartObj>
            <w:docPartGallery w:val="Page Numbers (Top of Page)"/>
            <w:docPartUnique/>
          </w:docPartObj>
        </w:sdtPr>
        <w:sdtEndPr/>
        <w:sdtContent>
          <w:p w14:paraId="64CCFD4E" w14:textId="77777777" w:rsidR="00E44B5E" w:rsidRDefault="00E44B5E"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DC770" w14:textId="77777777" w:rsidR="007E2724" w:rsidRPr="00C238D1" w:rsidRDefault="007E2724" w:rsidP="00273E86">
      <w:pPr>
        <w:spacing w:after="0" w:line="240" w:lineRule="auto"/>
        <w:rPr>
          <w:rStyle w:val="ColourDarkBlue"/>
        </w:rPr>
      </w:pPr>
      <w:r w:rsidRPr="00C238D1">
        <w:rPr>
          <w:rStyle w:val="ColourDarkBlue"/>
        </w:rPr>
        <w:continuationSeparator/>
      </w:r>
    </w:p>
  </w:footnote>
  <w:footnote w:type="continuationSeparator" w:id="0">
    <w:p w14:paraId="5B20A312" w14:textId="77777777" w:rsidR="007E2724" w:rsidRPr="001D7D9B" w:rsidRDefault="007E2724" w:rsidP="001D7D9B">
      <w:pPr>
        <w:spacing w:after="0" w:line="240" w:lineRule="auto"/>
        <w:rPr>
          <w:color w:val="265A9A" w:themeColor="background2"/>
        </w:rPr>
      </w:pPr>
      <w:r w:rsidRPr="00C238D1">
        <w:rPr>
          <w:rStyle w:val="ColourDarkBlue"/>
        </w:rPr>
        <w:continuationSeparator/>
      </w:r>
    </w:p>
  </w:footnote>
  <w:footnote w:type="continuationNotice" w:id="1">
    <w:p w14:paraId="02A53937" w14:textId="77777777" w:rsidR="007E2724" w:rsidRDefault="007E2724"/>
  </w:footnote>
  <w:footnote w:id="2">
    <w:p w14:paraId="1BC808F1" w14:textId="5A2E4A19" w:rsidR="0003438B" w:rsidRDefault="0003438B" w:rsidP="0003438B">
      <w:pPr>
        <w:pStyle w:val="Reference"/>
      </w:pPr>
      <w:r w:rsidRPr="002E227D">
        <w:rPr>
          <w:rStyle w:val="FootnoteReference"/>
        </w:rPr>
        <w:footnoteRef/>
      </w:r>
      <w:r>
        <w:t xml:space="preserve"> There is a vast literature on the impacts of novel innovation on firm performance and productivity.</w:t>
      </w:r>
      <w:r w:rsidRPr="0041745D">
        <w:t xml:space="preserve"> Significant work in this regard includes Hall </w:t>
      </w:r>
      <w:r w:rsidR="00735BFD" w:rsidRPr="00735BFD">
        <w:rPr>
          <w:rFonts w:ascii="Arial" w:hAnsi="Arial" w:cs="Arial"/>
          <w:szCs w:val="24"/>
        </w:rPr>
        <w:t>(2011)</w:t>
      </w:r>
      <w:r w:rsidR="00D42027">
        <w:t>;</w:t>
      </w:r>
      <w:r w:rsidRPr="0041745D">
        <w:t xml:space="preserve"> </w:t>
      </w:r>
      <w:r w:rsidR="002C544C">
        <w:t xml:space="preserve">Hall &amp; Mohnen </w:t>
      </w:r>
      <w:r w:rsidR="00735BFD" w:rsidRPr="00735BFD">
        <w:rPr>
          <w:rFonts w:ascii="Arial" w:hAnsi="Arial" w:cs="Arial"/>
          <w:szCs w:val="24"/>
        </w:rPr>
        <w:t>(2013)</w:t>
      </w:r>
      <w:r w:rsidR="00393F37">
        <w:t>;</w:t>
      </w:r>
      <w:r w:rsidR="00D42027">
        <w:t xml:space="preserve"> </w:t>
      </w:r>
      <w:r w:rsidR="0095627D">
        <w:t xml:space="preserve">Crepon et al. </w:t>
      </w:r>
      <w:r w:rsidR="00735BFD" w:rsidRPr="00735BFD">
        <w:rPr>
          <w:rFonts w:ascii="Arial" w:hAnsi="Arial" w:cs="Arial"/>
          <w:szCs w:val="24"/>
        </w:rPr>
        <w:t>(1998)</w:t>
      </w:r>
      <w:r w:rsidR="0095627D">
        <w:t xml:space="preserve">; </w:t>
      </w:r>
      <w:r w:rsidR="000F28DF">
        <w:t xml:space="preserve">Janz et al. </w:t>
      </w:r>
      <w:r w:rsidR="00735BFD" w:rsidRPr="00735BFD">
        <w:rPr>
          <w:rFonts w:ascii="Arial" w:hAnsi="Arial" w:cs="Arial"/>
          <w:szCs w:val="24"/>
        </w:rPr>
        <w:t>(2004)</w:t>
      </w:r>
      <w:r w:rsidR="000F28DF">
        <w:t xml:space="preserve">; </w:t>
      </w:r>
      <w:r w:rsidR="00DB4D1D">
        <w:t xml:space="preserve">and </w:t>
      </w:r>
      <w:r w:rsidR="00BB55E8" w:rsidRPr="00BB55E8">
        <w:t>Lööf</w:t>
      </w:r>
      <w:r w:rsidR="00BB55E8">
        <w:t xml:space="preserve"> &amp; Heshmati </w:t>
      </w:r>
      <w:r w:rsidR="00735BFD" w:rsidRPr="00735BFD">
        <w:rPr>
          <w:rFonts w:ascii="Arial" w:hAnsi="Arial" w:cs="Arial"/>
          <w:szCs w:val="24"/>
        </w:rPr>
        <w:t>(2006)</w:t>
      </w:r>
      <w:r w:rsidR="00DB4D1D">
        <w:t>.</w:t>
      </w:r>
    </w:p>
  </w:footnote>
  <w:footnote w:id="3">
    <w:p w14:paraId="640BD100" w14:textId="5105B363" w:rsidR="0003438B" w:rsidRPr="00AC311E" w:rsidRDefault="0003438B" w:rsidP="0003438B">
      <w:pPr>
        <w:pStyle w:val="FootnoteText"/>
        <w:rPr>
          <w:sz w:val="16"/>
        </w:rPr>
      </w:pPr>
      <w:r w:rsidRPr="004B61DD">
        <w:rPr>
          <w:rStyle w:val="FootnoteReference"/>
        </w:rPr>
        <w:footnoteRef/>
      </w:r>
      <w:r>
        <w:t xml:space="preserve"> I</w:t>
      </w:r>
      <w:r w:rsidRPr="00AC311E">
        <w:rPr>
          <w:sz w:val="16"/>
        </w:rPr>
        <w:t>n 2020</w:t>
      </w:r>
      <w:r w:rsidRPr="00AC311E">
        <w:rPr>
          <w:sz w:val="16"/>
        </w:rPr>
        <w:noBreakHyphen/>
        <w:t xml:space="preserve">21, three fields of research dominated Australian business R&amp;D — information technology, engineering, and biomedical and clinical science — accounting </w:t>
      </w:r>
      <w:r w:rsidRPr="00845FA9">
        <w:rPr>
          <w:sz w:val="16"/>
        </w:rPr>
        <w:t>for more than 80</w:t>
      </w:r>
      <w:r w:rsidR="00E94315">
        <w:rPr>
          <w:sz w:val="16"/>
        </w:rPr>
        <w:t>%</w:t>
      </w:r>
      <w:r w:rsidRPr="00845FA9">
        <w:rPr>
          <w:sz w:val="16"/>
        </w:rPr>
        <w:t xml:space="preserve"> of the total spending </w:t>
      </w:r>
      <w:r w:rsidR="00116531" w:rsidRPr="00116531">
        <w:rPr>
          <w:rFonts w:ascii="Arial" w:hAnsi="Arial" w:cs="Arial"/>
          <w:sz w:val="16"/>
          <w:szCs w:val="24"/>
        </w:rPr>
        <w:t>(ABS 2021c table 7)</w:t>
      </w:r>
      <w:r w:rsidRPr="00AC311E">
        <w:rPr>
          <w:sz w:val="16"/>
        </w:rPr>
        <w:t xml:space="preserve">. The industries in which these fields were most concentrated were manufacturing, and professional, scientific and technical services, which in turn were the </w:t>
      </w:r>
      <w:r w:rsidRPr="00845FA9">
        <w:rPr>
          <w:sz w:val="16"/>
        </w:rPr>
        <w:t>recipients of about 80</w:t>
      </w:r>
      <w:r w:rsidR="00E94315">
        <w:rPr>
          <w:sz w:val="16"/>
        </w:rPr>
        <w:t>%</w:t>
      </w:r>
      <w:r w:rsidRPr="00845FA9">
        <w:rPr>
          <w:sz w:val="16"/>
        </w:rPr>
        <w:t xml:space="preserve"> of all Australian governments’ funding of business R&amp;D</w:t>
      </w:r>
      <w:r>
        <w:rPr>
          <w:sz w:val="16"/>
        </w:rPr>
        <w:t xml:space="preserve"> </w:t>
      </w:r>
      <w:r w:rsidR="00116531" w:rsidRPr="00116531">
        <w:rPr>
          <w:rFonts w:ascii="Arial" w:hAnsi="Arial" w:cs="Arial"/>
          <w:sz w:val="16"/>
          <w:szCs w:val="24"/>
        </w:rPr>
        <w:t>(ABS 2021c table 4)</w:t>
      </w:r>
      <w:r w:rsidRPr="00AC311E">
        <w:rPr>
          <w:sz w:val="16"/>
        </w:rPr>
        <w:t>.</w:t>
      </w:r>
    </w:p>
  </w:footnote>
  <w:footnote w:id="4">
    <w:p w14:paraId="345DE9D5" w14:textId="77777777" w:rsidR="0003438B" w:rsidRDefault="0003438B" w:rsidP="0003438B">
      <w:pPr>
        <w:pStyle w:val="FootnoteText"/>
      </w:pPr>
      <w:r w:rsidRPr="002E227D">
        <w:rPr>
          <w:rStyle w:val="FootnoteReference"/>
        </w:rPr>
        <w:footnoteRef/>
      </w:r>
      <w:r>
        <w:t xml:space="preserve"> </w:t>
      </w:r>
      <w:r w:rsidRPr="00A908C2">
        <w:t xml:space="preserve">These are ‘average’ effects. </w:t>
      </w:r>
      <w:r>
        <w:t>B</w:t>
      </w:r>
      <w:r w:rsidRPr="00A908C2">
        <w:t xml:space="preserve">usinesses constantly face </w:t>
      </w:r>
      <w:r>
        <w:t xml:space="preserve">upward and downward shifts in </w:t>
      </w:r>
      <w:r w:rsidRPr="00A908C2">
        <w:t>productivity</w:t>
      </w:r>
      <w:r>
        <w:t xml:space="preserve"> </w:t>
      </w:r>
      <w:r w:rsidRPr="00A908C2">
        <w:t>— for example, demand shocks affect capital utilisation, there are supply disruptions, and key staff come and go.</w:t>
      </w:r>
    </w:p>
  </w:footnote>
  <w:footnote w:id="5">
    <w:p w14:paraId="11E05B63" w14:textId="77777777" w:rsidR="0003438B" w:rsidRDefault="0003438B" w:rsidP="0003438B">
      <w:pPr>
        <w:pStyle w:val="FootnoteText"/>
      </w:pPr>
      <w:r w:rsidRPr="002E227D">
        <w:rPr>
          <w:rStyle w:val="FootnoteReference"/>
        </w:rPr>
        <w:footnoteRef/>
      </w:r>
      <w:r>
        <w:t xml:space="preserve"> Technology is broader than tangible investments in machinery and equipment. It includes all the ways in which an organisation produces its output — their governance structures, skills, physical capital, intellectual property and so on. </w:t>
      </w:r>
    </w:p>
  </w:footnote>
  <w:footnote w:id="6">
    <w:p w14:paraId="4CB2EACA" w14:textId="167B6219" w:rsidR="00E76960" w:rsidRDefault="00E76960">
      <w:pPr>
        <w:pStyle w:val="FootnoteText"/>
      </w:pPr>
      <w:r w:rsidRPr="002E227D">
        <w:rPr>
          <w:rStyle w:val="FootnoteReference"/>
        </w:rPr>
        <w:footnoteRef/>
      </w:r>
      <w:r>
        <w:t xml:space="preserve"> </w:t>
      </w:r>
      <w:r w:rsidR="00B71576">
        <w:t xml:space="preserve">This </w:t>
      </w:r>
      <w:r w:rsidR="00C269E9">
        <w:t xml:space="preserve">diffusion </w:t>
      </w:r>
      <w:r w:rsidR="00B71576">
        <w:t>measure is a weighted combination of the IP receipts’ share of total trade, production and export complexity, the high</w:t>
      </w:r>
      <w:r w:rsidR="00B71576">
        <w:noBreakHyphen/>
        <w:t>tech export share and ICT service export share.</w:t>
      </w:r>
      <w:r w:rsidR="00C37788" w:rsidRPr="00C37788">
        <w:t xml:space="preserve"> </w:t>
      </w:r>
      <w:r w:rsidR="00C37788">
        <w:t>The absorption measure is based on the weighted shares of trade for IP payments, high tech imports and ICT services, FDI net inflows as a share of GDP, and the share of research talent employed in the business sector.</w:t>
      </w:r>
    </w:p>
  </w:footnote>
  <w:footnote w:id="7">
    <w:p w14:paraId="798D6BD6" w14:textId="77777777" w:rsidR="001A05AB" w:rsidRDefault="001A05AB" w:rsidP="00CE798C">
      <w:pPr>
        <w:pStyle w:val="FootnoteText"/>
      </w:pPr>
      <w:r w:rsidRPr="002E227D">
        <w:rPr>
          <w:rStyle w:val="FootnoteReference"/>
        </w:rPr>
        <w:footnoteRef/>
      </w:r>
      <w:r>
        <w:t xml:space="preserve"> </w:t>
      </w:r>
      <w:r w:rsidRPr="00A51E15">
        <w:t>Based on the OECD dataset for ICT Access and Usage by Businesses.</w:t>
      </w:r>
    </w:p>
  </w:footnote>
  <w:footnote w:id="8">
    <w:p w14:paraId="0B4EEA0D" w14:textId="12FBF5BF" w:rsidR="00CF5257" w:rsidRDefault="00CF5257" w:rsidP="00CF5257">
      <w:pPr>
        <w:pStyle w:val="FootnoteText"/>
      </w:pPr>
      <w:r w:rsidRPr="004B61DD">
        <w:rPr>
          <w:rStyle w:val="FootnoteReference"/>
        </w:rPr>
        <w:footnoteRef/>
      </w:r>
      <w:r>
        <w:t xml:space="preserve"> </w:t>
      </w:r>
      <w:r w:rsidRPr="006F37DB">
        <w:t xml:space="preserve">Criscuolo et al. </w:t>
      </w:r>
      <w:r w:rsidRPr="00A13BD5">
        <w:rPr>
          <w:rFonts w:ascii="Arial" w:hAnsi="Arial" w:cs="Arial"/>
          <w:szCs w:val="24"/>
        </w:rPr>
        <w:t>(2021, p. 28)</w:t>
      </w:r>
      <w:r w:rsidRPr="006F37DB">
        <w:t xml:space="preserve"> estimate</w:t>
      </w:r>
      <w:r>
        <w:t>d</w:t>
      </w:r>
      <w:r w:rsidRPr="006F37DB">
        <w:t xml:space="preserve"> that the productivity gains for a medium productivity firm associated with upskilling 1% of the workforce, either managers or workers, as 3% for managers and 1% for workers</w:t>
      </w:r>
      <w:r>
        <w:t>.</w:t>
      </w:r>
    </w:p>
  </w:footnote>
  <w:footnote w:id="9">
    <w:p w14:paraId="30AAAEDA" w14:textId="77777777" w:rsidR="00DA5DE1" w:rsidRPr="0003390C" w:rsidRDefault="00DA5DE1" w:rsidP="00DA5DE1">
      <w:pPr>
        <w:pStyle w:val="FootnoteText"/>
        <w:rPr>
          <w:spacing w:val="-4"/>
        </w:rPr>
      </w:pPr>
      <w:r w:rsidRPr="0003390C">
        <w:rPr>
          <w:rStyle w:val="FootnoteReference"/>
          <w:spacing w:val="-4"/>
        </w:rPr>
        <w:footnoteRef/>
      </w:r>
      <w:r w:rsidRPr="0003390C">
        <w:rPr>
          <w:spacing w:val="-4"/>
        </w:rPr>
        <w:t xml:space="preserve"> Surprisingly, this result does not vary with business employment size, though the need for management sophistication might be expected to do so. The figures are drawn ABS </w:t>
      </w:r>
      <w:r w:rsidRPr="0003390C">
        <w:rPr>
          <w:i/>
          <w:iCs/>
          <w:spacing w:val="-4"/>
        </w:rPr>
        <w:t>Business Characteristics Survey</w:t>
      </w:r>
      <w:r w:rsidRPr="0003390C">
        <w:rPr>
          <w:spacing w:val="-4"/>
        </w:rPr>
        <w:t xml:space="preserve"> from ABS Stat Data Explorer for 2020.</w:t>
      </w:r>
    </w:p>
  </w:footnote>
  <w:footnote w:id="10">
    <w:p w14:paraId="61338485" w14:textId="71B68AF8" w:rsidR="00CF5257" w:rsidRPr="009726FF" w:rsidRDefault="00CF5257" w:rsidP="00CF5257">
      <w:pPr>
        <w:pStyle w:val="FootnoteText"/>
        <w:rPr>
          <w:spacing w:val="-2"/>
        </w:rPr>
      </w:pPr>
      <w:r w:rsidRPr="009726FF">
        <w:rPr>
          <w:rStyle w:val="FootnoteReference"/>
          <w:spacing w:val="-2"/>
        </w:rPr>
        <w:footnoteRef/>
      </w:r>
      <w:r w:rsidRPr="009726FF">
        <w:rPr>
          <w:spacing w:val="-2"/>
        </w:rPr>
        <w:t xml:space="preserve"> Figure 1.</w:t>
      </w:r>
      <w:r w:rsidR="00EE4C64" w:rsidRPr="009726FF">
        <w:rPr>
          <w:spacing w:val="-2"/>
        </w:rPr>
        <w:t>7</w:t>
      </w:r>
      <w:r w:rsidRPr="009726FF">
        <w:rPr>
          <w:spacing w:val="-2"/>
        </w:rPr>
        <w:t xml:space="preserve"> does not capture shifts in the nature of plant and machinery over time, such as, say, a shift from large mining trucks to supercomputers. Notably, while the mining share of equipment has fallen as a share of GDP, so has non</w:t>
      </w:r>
      <w:r w:rsidRPr="009726FF">
        <w:rPr>
          <w:spacing w:val="-2"/>
        </w:rPr>
        <w:noBreakHyphen/>
        <w:t>mining.</w:t>
      </w:r>
    </w:p>
  </w:footnote>
  <w:footnote w:id="11">
    <w:p w14:paraId="106FD389" w14:textId="77777777" w:rsidR="00CF5257" w:rsidRDefault="00CF5257" w:rsidP="00CF5257">
      <w:pPr>
        <w:pStyle w:val="FootnoteText"/>
      </w:pPr>
      <w:r w:rsidRPr="002E227D">
        <w:rPr>
          <w:rStyle w:val="FootnoteReference"/>
        </w:rPr>
        <w:footnoteRef/>
      </w:r>
      <w:r>
        <w:t xml:space="preserve"> While labour mobility is likely to be a significant source of diffusion, it should also be recognised that high labour turnover reduces the incentives for businesses to provide formal training (one of the reasons why governments sometimes support industry training). Moreover, while knowledge unquestionably is carried by worker mobility, it is likely that the marginal benefits depend on the levels of skills of the worker and the source business. For example, the periodic movements of employees from one fast food franchise to another is unlikely to add much to the capabilities of the acquiring franchise.</w:t>
      </w:r>
    </w:p>
  </w:footnote>
  <w:footnote w:id="12">
    <w:p w14:paraId="7F664241" w14:textId="5B61547D" w:rsidR="00902C61" w:rsidRDefault="00902C61" w:rsidP="00902C61">
      <w:pPr>
        <w:pStyle w:val="FootnoteText"/>
      </w:pPr>
      <w:r w:rsidRPr="004B61DD">
        <w:rPr>
          <w:rStyle w:val="FootnoteReference"/>
        </w:rPr>
        <w:footnoteRef/>
      </w:r>
      <w:r>
        <w:t xml:space="preserve"> </w:t>
      </w:r>
      <w:r w:rsidRPr="00B52EDB">
        <w:t>One survey of CEOs who had experienced a business failure found about one quarter attributed it to lack of leadership, 14</w:t>
      </w:r>
      <w:r w:rsidR="00E94315">
        <w:t>%</w:t>
      </w:r>
      <w:r w:rsidRPr="00B52EDB">
        <w:t xml:space="preserve"> to a poor understanding of finance and about 10</w:t>
      </w:r>
      <w:r w:rsidR="00E94315">
        <w:t>%</w:t>
      </w:r>
      <w:r w:rsidRPr="00B52EDB">
        <w:t xml:space="preserve"> to poor governance structures (Australian Centre for Business Growth 2018).</w:t>
      </w:r>
    </w:p>
  </w:footnote>
  <w:footnote w:id="13">
    <w:p w14:paraId="5E338399" w14:textId="77777777" w:rsidR="00557DD7" w:rsidRDefault="00557DD7" w:rsidP="00557DD7">
      <w:pPr>
        <w:pStyle w:val="FootnoteText"/>
      </w:pPr>
      <w:r w:rsidRPr="002E227D">
        <w:rPr>
          <w:rStyle w:val="FootnoteReference"/>
        </w:rPr>
        <w:footnoteRef/>
      </w:r>
      <w:r>
        <w:t xml:space="preserve"> This is likely a lower bound estimate as it does not capture firms that were dissuaded from even seeking finance.</w:t>
      </w:r>
    </w:p>
  </w:footnote>
  <w:footnote w:id="14">
    <w:p w14:paraId="794C6F5A" w14:textId="42021773" w:rsidR="00557DD7" w:rsidRPr="00CC410A" w:rsidRDefault="00557DD7" w:rsidP="00557DD7">
      <w:pPr>
        <w:pStyle w:val="FootnoteText"/>
        <w:rPr>
          <w:lang w:val="en-US"/>
        </w:rPr>
      </w:pPr>
      <w:r w:rsidRPr="002E227D">
        <w:rPr>
          <w:rStyle w:val="FootnoteReference"/>
        </w:rPr>
        <w:footnoteRef/>
      </w:r>
      <w:r>
        <w:t xml:space="preserve"> </w:t>
      </w:r>
      <w:r w:rsidRPr="00CC410A">
        <w:t>FDI is investment in an enterprise or asset where the foreign investor has control or a significant degree of influence over its management. Generally, investment is considered to be direct when an investor has 10</w:t>
      </w:r>
      <w:r w:rsidR="00E94315">
        <w:t>%</w:t>
      </w:r>
      <w:r w:rsidRPr="00CC410A">
        <w:t xml:space="preserve"> or more of the voting power in an organisation.</w:t>
      </w:r>
    </w:p>
  </w:footnote>
  <w:footnote w:id="15">
    <w:p w14:paraId="0458C9AF" w14:textId="22572976" w:rsidR="00557DD7" w:rsidRPr="00E465E7" w:rsidRDefault="00557DD7" w:rsidP="00557DD7">
      <w:pPr>
        <w:pStyle w:val="FootnoteText"/>
        <w:rPr>
          <w:lang w:val="en-US"/>
        </w:rPr>
      </w:pPr>
      <w:r w:rsidRPr="002E227D">
        <w:rPr>
          <w:rStyle w:val="FootnoteReference"/>
        </w:rPr>
        <w:footnoteRef/>
      </w:r>
      <w:r>
        <w:t xml:space="preserve"> An innovation-active business is one that introduced any type of innovation and/or had innovation </w:t>
      </w:r>
      <w:r w:rsidR="009E39A1">
        <w:t>that</w:t>
      </w:r>
      <w:r>
        <w:t xml:space="preserve"> was still in development or abandoned during the survey reference period (here, the two years ending 30 June 2021).</w:t>
      </w:r>
    </w:p>
  </w:footnote>
  <w:footnote w:id="16">
    <w:p w14:paraId="5D3DE6F6" w14:textId="77777777" w:rsidR="00557DD7" w:rsidRDefault="00557DD7" w:rsidP="00557DD7">
      <w:pPr>
        <w:pStyle w:val="FootnoteText"/>
      </w:pPr>
      <w:r w:rsidRPr="002E227D">
        <w:rPr>
          <w:rStyle w:val="FootnoteReference"/>
        </w:rPr>
        <w:footnoteRef/>
      </w:r>
      <w:r>
        <w:t xml:space="preserve"> </w:t>
      </w:r>
      <w:r w:rsidRPr="009E49E0">
        <w:t>As discussed in more detail in section 2.4, businesses can also access those skills through collaborating with universities for innovation.</w:t>
      </w:r>
    </w:p>
  </w:footnote>
  <w:footnote w:id="17">
    <w:p w14:paraId="2AD24189" w14:textId="12C9FE39" w:rsidR="00557DD7" w:rsidRPr="00AA32BC" w:rsidRDefault="00557DD7" w:rsidP="00557DD7">
      <w:pPr>
        <w:pStyle w:val="FootnoteText"/>
        <w:rPr>
          <w:lang w:val="en-US"/>
        </w:rPr>
      </w:pPr>
      <w:r w:rsidRPr="004B61DD">
        <w:rPr>
          <w:rStyle w:val="FootnoteReference"/>
        </w:rPr>
        <w:footnoteRef/>
      </w:r>
      <w:r>
        <w:t xml:space="preserve"> Work-related training is training which did not form part of a qualification and was undertaken for work purposes.</w:t>
      </w:r>
    </w:p>
  </w:footnote>
  <w:footnote w:id="18">
    <w:p w14:paraId="5222F5D2" w14:textId="28E5B7FC" w:rsidR="004D4FFD" w:rsidRPr="00236433" w:rsidRDefault="004D4FFD" w:rsidP="004D4FFD">
      <w:pPr>
        <w:pStyle w:val="FootnoteText"/>
        <w:rPr>
          <w:spacing w:val="-4"/>
        </w:rPr>
      </w:pPr>
      <w:r w:rsidRPr="00236433">
        <w:rPr>
          <w:rStyle w:val="FootnoteReference"/>
          <w:spacing w:val="-4"/>
        </w:rPr>
        <w:footnoteRef/>
      </w:r>
      <w:r w:rsidRPr="00236433">
        <w:rPr>
          <w:spacing w:val="-4"/>
        </w:rPr>
        <w:t xml:space="preserve"> Submissions to the </w:t>
      </w:r>
      <w:r w:rsidR="00DD42F8" w:rsidRPr="00236433">
        <w:rPr>
          <w:spacing w:val="-4"/>
        </w:rPr>
        <w:t>i</w:t>
      </w:r>
      <w:r w:rsidRPr="00236433">
        <w:rPr>
          <w:spacing w:val="-4"/>
        </w:rPr>
        <w:t>nquiry recommended that measures be put in place to help SMEs build skills that currently stand as a barrier to adopting and using new technologies, specifically digital and management skills. The Australian Institute of Company Directors argued for “measures to harness the untapped productivity potential of small and medium sized enterprises (SMEs) and NFPs, including support schemes focused on management and digital skills” (AICD, sub. 44, p. 2). The Australian Small Business and Family Enterprise Ombudsman noted that there is a digital skills gap that needs to be filled to underpin economic growth and this is demonstrated by the continued demand for higher</w:t>
      </w:r>
      <w:r w:rsidR="001006EE" w:rsidRPr="00236433">
        <w:rPr>
          <w:spacing w:val="-4"/>
        </w:rPr>
        <w:t>-</w:t>
      </w:r>
      <w:r w:rsidRPr="00236433">
        <w:rPr>
          <w:spacing w:val="-4"/>
        </w:rPr>
        <w:t>level digital skills in Australia. Training should focus more on generic transferrable skills rather than on skills with specific applications” (ASBFEO, sub. 64, p. 4).</w:t>
      </w:r>
    </w:p>
  </w:footnote>
  <w:footnote w:id="19">
    <w:p w14:paraId="0BDEDC82" w14:textId="5EBDE637" w:rsidR="00216F63" w:rsidRDefault="00216F63">
      <w:pPr>
        <w:pStyle w:val="FootnoteText"/>
      </w:pPr>
      <w:r>
        <w:rPr>
          <w:rStyle w:val="FootnoteReference"/>
        </w:rPr>
        <w:footnoteRef/>
      </w:r>
      <w:r>
        <w:t xml:space="preserve"> </w:t>
      </w:r>
      <w:r w:rsidRPr="00216F63">
        <w:t xml:space="preserve">It should be noted that opening access to Australian-funded research </w:t>
      </w:r>
      <w:r w:rsidR="00B006B4">
        <w:t>would</w:t>
      </w:r>
      <w:r w:rsidRPr="00216F63">
        <w:t xml:space="preserve"> </w:t>
      </w:r>
      <w:r>
        <w:t xml:space="preserve">also </w:t>
      </w:r>
      <w:r w:rsidRPr="00216F63">
        <w:t xml:space="preserve">increase </w:t>
      </w:r>
      <w:r w:rsidR="000370EE">
        <w:t xml:space="preserve">Australian </w:t>
      </w:r>
      <w:r w:rsidRPr="00216F63">
        <w:t>businesses’ and government</w:t>
      </w:r>
      <w:r w:rsidR="00F72EB6">
        <w:t xml:space="preserve"> department</w:t>
      </w:r>
      <w:r w:rsidRPr="00216F63">
        <w:t xml:space="preserve">s’ exposure to a larger body of </w:t>
      </w:r>
      <w:r w:rsidR="00B006B4">
        <w:t xml:space="preserve">international </w:t>
      </w:r>
      <w:r w:rsidRPr="00216F63">
        <w:t xml:space="preserve">research on a topic, </w:t>
      </w:r>
      <w:r w:rsidR="000370EE">
        <w:t>as</w:t>
      </w:r>
      <w:r w:rsidRPr="00216F63">
        <w:t xml:space="preserve"> the freely available articles would have extensive references to other research</w:t>
      </w:r>
      <w:r>
        <w:t xml:space="preserve">. </w:t>
      </w:r>
      <w:r w:rsidR="00B006B4">
        <w:t xml:space="preserve">However, </w:t>
      </w:r>
      <w:r w:rsidR="000370EE">
        <w:t xml:space="preserve">these businesses and departments would still not have </w:t>
      </w:r>
      <w:r w:rsidR="005336C5">
        <w:t xml:space="preserve">free </w:t>
      </w:r>
      <w:r w:rsidR="000370EE">
        <w:t xml:space="preserve">access to the underlying international research </w:t>
      </w:r>
      <w:r w:rsidR="00BD7EB1">
        <w:t>under such an access model.</w:t>
      </w:r>
    </w:p>
  </w:footnote>
  <w:footnote w:id="20">
    <w:p w14:paraId="1D081AD8" w14:textId="0686A593" w:rsidR="00166003" w:rsidDel="007E5701" w:rsidRDefault="00166003" w:rsidP="00166003">
      <w:pPr>
        <w:pStyle w:val="FootnoteText"/>
      </w:pPr>
      <w:r w:rsidRPr="002E227D">
        <w:rPr>
          <w:rStyle w:val="FootnoteReference"/>
        </w:rPr>
        <w:footnoteRef/>
      </w:r>
      <w:r>
        <w:t xml:space="preserve"> This was also proposed by </w:t>
      </w:r>
      <w:r w:rsidRPr="00B21DBF">
        <w:t>Professor Christopher O’Donnell (</w:t>
      </w:r>
      <w:r>
        <w:t>sub. 40, p. 12</w:t>
      </w:r>
      <w:r w:rsidRPr="00B21DBF">
        <w:t>)</w:t>
      </w:r>
      <w:r>
        <w:t>.</w:t>
      </w:r>
    </w:p>
  </w:footnote>
  <w:footnote w:id="21">
    <w:p w14:paraId="576DA3B3" w14:textId="3E93C01C" w:rsidR="00557DD7" w:rsidRPr="00BB73F6" w:rsidRDefault="00557DD7" w:rsidP="00557DD7">
      <w:pPr>
        <w:pStyle w:val="FootnoteText"/>
        <w:rPr>
          <w:spacing w:val="-4"/>
        </w:rPr>
      </w:pPr>
      <w:r w:rsidRPr="00BB73F6">
        <w:rPr>
          <w:rStyle w:val="FootnoteReference"/>
          <w:spacing w:val="-4"/>
        </w:rPr>
        <w:footnoteRef/>
      </w:r>
      <w:r w:rsidRPr="00BB73F6">
        <w:rPr>
          <w:spacing w:val="-4"/>
        </w:rPr>
        <w:t xml:space="preserve"> This view appears to be largely informed by data drawn from the OECD Innovation Indicators database, a compendium of statistics about the innovation activities and outcomes of firms across OECD member countries </w:t>
      </w:r>
      <w:r w:rsidRPr="00BB73F6">
        <w:rPr>
          <w:rFonts w:cs="Arial"/>
          <w:spacing w:val="-4"/>
          <w:szCs w:val="24"/>
        </w:rPr>
        <w:t>(OECD 2022b)</w:t>
      </w:r>
      <w:r w:rsidRPr="00BB73F6">
        <w:rPr>
          <w:spacing w:val="-4"/>
        </w:rPr>
        <w:t xml:space="preserve">. However, caution is needed in using these indicators because: i) Australia’s reference period is one year (e.g. the ABS </w:t>
      </w:r>
      <w:r w:rsidRPr="00C6052E">
        <w:rPr>
          <w:i/>
          <w:iCs/>
          <w:spacing w:val="-4"/>
        </w:rPr>
        <w:t>Business Characteristics Survey 2018-19</w:t>
      </w:r>
      <w:r w:rsidRPr="00BB73F6">
        <w:rPr>
          <w:spacing w:val="-4"/>
        </w:rPr>
        <w:t xml:space="preserve"> in the most recent update) whereas, for the other countries in the survey, the reference period is two or three years; ii) the data for Australia only covers firms with 10+ employees, and only covers a subset of industries, to be consistent with the Eurostat Community Innovation Survey (CIS-2018) </w:t>
      </w:r>
      <w:r w:rsidRPr="00BB73F6">
        <w:rPr>
          <w:rFonts w:cs="Arial"/>
          <w:spacing w:val="-4"/>
          <w:szCs w:val="24"/>
        </w:rPr>
        <w:t>(see notes in OECD 2022b)</w:t>
      </w:r>
      <w:r w:rsidRPr="00BB73F6">
        <w:rPr>
          <w:spacing w:val="-4"/>
        </w:rPr>
        <w:t>.</w:t>
      </w:r>
    </w:p>
  </w:footnote>
  <w:footnote w:id="22">
    <w:p w14:paraId="77B4B97C" w14:textId="4B8EC695" w:rsidR="008C5C43" w:rsidRDefault="008C5C43">
      <w:pPr>
        <w:pStyle w:val="FootnoteText"/>
      </w:pPr>
      <w:r w:rsidRPr="002E227D">
        <w:rPr>
          <w:rStyle w:val="FootnoteReference"/>
        </w:rPr>
        <w:footnoteRef/>
      </w:r>
      <w:r>
        <w:t xml:space="preserve"> For example, </w:t>
      </w:r>
      <w:r w:rsidR="002E18B3">
        <w:t>t</w:t>
      </w:r>
      <w:r w:rsidR="004652E3" w:rsidRPr="004652E3">
        <w:t>he U</w:t>
      </w:r>
      <w:r w:rsidR="004652E3">
        <w:t>K</w:t>
      </w:r>
      <w:r w:rsidR="004652E3" w:rsidRPr="004652E3">
        <w:t xml:space="preserve"> Office for National Statistics</w:t>
      </w:r>
      <w:r w:rsidR="00BE6AA3">
        <w:t>’</w:t>
      </w:r>
      <w:r w:rsidR="004652E3" w:rsidRPr="004652E3">
        <w:t xml:space="preserve"> online labour productivity calculator and benchmarking tool </w:t>
      </w:r>
      <w:r w:rsidR="002E18B3" w:rsidRPr="006673CC">
        <w:rPr>
          <w:rFonts w:ascii="Arial" w:hAnsi="Arial" w:cs="Arial"/>
          <w:color w:val="3D3D3D"/>
        </w:rPr>
        <w:t>(Office for National Statistics 2022)</w:t>
      </w:r>
      <w:r w:rsidR="007527E2">
        <w:t>;</w:t>
      </w:r>
      <w:r w:rsidR="004652E3" w:rsidRPr="004652E3">
        <w:t xml:space="preserve"> </w:t>
      </w:r>
      <w:r w:rsidR="007527E2">
        <w:t>t</w:t>
      </w:r>
      <w:r w:rsidR="004652E3" w:rsidRPr="004652E3">
        <w:t>he Business Development Bank of Canada</w:t>
      </w:r>
      <w:r w:rsidR="007527E2">
        <w:t>’s</w:t>
      </w:r>
      <w:r w:rsidR="004652E3" w:rsidRPr="004652E3">
        <w:t xml:space="preserve"> productivity benchmarking tool </w:t>
      </w:r>
      <w:r w:rsidR="00A51A94" w:rsidRPr="006673CC">
        <w:rPr>
          <w:rFonts w:ascii="Arial" w:hAnsi="Arial" w:cs="Arial"/>
          <w:color w:val="3D3D3D"/>
        </w:rPr>
        <w:t>(Office for National Statistics 2022)</w:t>
      </w:r>
      <w:r w:rsidR="00A51A94">
        <w:t>;</w:t>
      </w:r>
      <w:r w:rsidR="004652E3" w:rsidRPr="004652E3">
        <w:t xml:space="preserve"> Stats NZ</w:t>
      </w:r>
      <w:r w:rsidR="00A51A94">
        <w:t>’s</w:t>
      </w:r>
      <w:r w:rsidR="004652E3" w:rsidRPr="004652E3">
        <w:t xml:space="preserve"> </w:t>
      </w:r>
      <w:r w:rsidR="00215CAA" w:rsidRPr="00215CAA">
        <w:t>business performance benchmarker</w:t>
      </w:r>
      <w:r w:rsidR="00215CAA">
        <w:t xml:space="preserve"> </w:t>
      </w:r>
      <w:r w:rsidR="00B94B11" w:rsidRPr="00B94B11">
        <w:rPr>
          <w:rFonts w:ascii="Arial" w:hAnsi="Arial" w:cs="Arial"/>
          <w:szCs w:val="24"/>
        </w:rPr>
        <w:t>(Stats NZ 2022)</w:t>
      </w:r>
      <w:r w:rsidR="004652E3" w:rsidRPr="004652E3">
        <w:t>.</w:t>
      </w:r>
    </w:p>
  </w:footnote>
  <w:footnote w:id="23">
    <w:p w14:paraId="104C24A9" w14:textId="10525A59" w:rsidR="00557DD7" w:rsidRDefault="00557DD7" w:rsidP="00557DD7">
      <w:pPr>
        <w:pStyle w:val="FootnoteText"/>
        <w:rPr>
          <w:lang w:val="en-US"/>
        </w:rPr>
      </w:pPr>
      <w:r w:rsidRPr="004B61DD">
        <w:rPr>
          <w:rStyle w:val="FootnoteReference"/>
        </w:rPr>
        <w:footnoteRef/>
      </w:r>
      <w:r w:rsidRPr="00090788">
        <w:t xml:space="preserve"> See </w:t>
      </w:r>
      <w:r w:rsidR="00474DA5">
        <w:t xml:space="preserve">DIIS </w:t>
      </w:r>
      <w:r w:rsidR="00474DA5">
        <w:rPr>
          <w:rFonts w:ascii="Arial" w:hAnsi="Arial" w:cs="Arial"/>
          <w:szCs w:val="24"/>
        </w:rPr>
        <w:t>(</w:t>
      </w:r>
      <w:r w:rsidR="00116531" w:rsidRPr="00116531">
        <w:rPr>
          <w:rFonts w:ascii="Arial" w:hAnsi="Arial" w:cs="Arial"/>
          <w:szCs w:val="24"/>
        </w:rPr>
        <w:t>2018)</w:t>
      </w:r>
      <w:r w:rsidRPr="00090788">
        <w:t xml:space="preserve"> for a list of place-based programs around Australia</w:t>
      </w:r>
      <w:r w:rsidR="00F7601E">
        <w:t>.</w:t>
      </w:r>
    </w:p>
  </w:footnote>
  <w:footnote w:id="24">
    <w:p w14:paraId="5883CF6C" w14:textId="703B5B57" w:rsidR="00D73DF3" w:rsidRPr="00F22A96" w:rsidRDefault="00D73DF3" w:rsidP="00D73DF3">
      <w:pPr>
        <w:pStyle w:val="FootnoteText"/>
        <w:rPr>
          <w:spacing w:val="-2"/>
          <w:highlight w:val="green"/>
        </w:rPr>
      </w:pPr>
      <w:r w:rsidRPr="00F22A96">
        <w:rPr>
          <w:rStyle w:val="FootnoteReference"/>
          <w:spacing w:val="-2"/>
        </w:rPr>
        <w:footnoteRef/>
      </w:r>
      <w:r w:rsidRPr="00F22A96">
        <w:rPr>
          <w:spacing w:val="-2"/>
        </w:rPr>
        <w:t xml:space="preserve"> As in private businesses, innovation relies on data, research and experimentation, acquired expertise and absorption of ideas from businesses and other governments (domestic and global). However, the measurement of public sector innovation and diffusion is much worse than for the private sector. The enumerated value of innovation — $2.3 billion spent by the Australian Government and the $1.3 billion spent by state and territory governments — solely relates to R&amp;D, which is at the novel end of the innovation spectrum </w:t>
      </w:r>
      <w:r w:rsidR="00116531" w:rsidRPr="00F22A96">
        <w:rPr>
          <w:rFonts w:cs="Arial"/>
          <w:spacing w:val="-2"/>
          <w:szCs w:val="24"/>
        </w:rPr>
        <w:t>(ABS 2022d)</w:t>
      </w:r>
      <w:r w:rsidRPr="00F22A96">
        <w:rPr>
          <w:spacing w:val="-2"/>
        </w:rPr>
        <w:t>. Yet there are many activities where resources are spent on innovation, adoption and diffusion of the kind set out throughout this chapter that will be rarely captured by such metrics.</w:t>
      </w:r>
    </w:p>
  </w:footnote>
  <w:footnote w:id="25">
    <w:p w14:paraId="12D31498" w14:textId="214D33E0" w:rsidR="003A0ECF" w:rsidRDefault="003A0ECF" w:rsidP="003A0ECF">
      <w:pPr>
        <w:pStyle w:val="FootnoteText"/>
      </w:pPr>
      <w:r w:rsidRPr="002E227D">
        <w:rPr>
          <w:rStyle w:val="FootnoteReference"/>
        </w:rPr>
        <w:footnoteRef/>
      </w:r>
      <w:r>
        <w:t xml:space="preserve"> An illustration is the growth of PBS</w:t>
      </w:r>
      <w:r>
        <w:noBreakHyphen/>
        <w:t>funded intravitreal therapeutic drugs for age</w:t>
      </w:r>
      <w:r>
        <w:noBreakHyphen/>
        <w:t>related macular degeneration (AMD), Ranibizumab and Aflibercept. Both treatments are more effective than alternatives, and led to a nearly ten</w:t>
      </w:r>
      <w:r>
        <w:noBreakHyphen/>
        <w:t xml:space="preserve">fold decrease in the incidence of age-standardised blindness due to AMD </w:t>
      </w:r>
      <w:r w:rsidRPr="00816DF2">
        <w:rPr>
          <w:rFonts w:ascii="Arial" w:hAnsi="Arial" w:cs="Arial"/>
          <w:szCs w:val="24"/>
        </w:rPr>
        <w:t>(Heath Jeffery et al. 2021)</w:t>
      </w:r>
      <w:r>
        <w:t xml:space="preserve"> — a large quality improvement. Consequently, their use grew</w:t>
      </w:r>
      <w:r w:rsidRPr="007F59F7">
        <w:t xml:space="preserve"> </w:t>
      </w:r>
      <w:r>
        <w:t>massively (zero scripts in 2006</w:t>
      </w:r>
      <w:r>
        <w:noBreakHyphen/>
        <w:t>07 to 530 000 in 2020</w:t>
      </w:r>
      <w:r>
        <w:noBreakHyphen/>
        <w:t>21), and notwithstanding a price reduction of about 40</w:t>
      </w:r>
      <w:r w:rsidR="00E94315">
        <w:t>%</w:t>
      </w:r>
      <w:r>
        <w:t xml:space="preserve"> from introduction, government expenditure rose by about 14</w:t>
      </w:r>
      <w:r w:rsidR="00E94315">
        <w:t>%</w:t>
      </w:r>
      <w:r>
        <w:t xml:space="preserve"> per annum from 2007</w:t>
      </w:r>
      <w:r>
        <w:noBreakHyphen/>
        <w:t>08 to 2020</w:t>
      </w:r>
      <w:r>
        <w:noBreakHyphen/>
        <w:t xml:space="preserve">21 to a total of nearly $640 million. </w:t>
      </w:r>
    </w:p>
  </w:footnote>
  <w:footnote w:id="26">
    <w:p w14:paraId="46C9D9AB" w14:textId="77777777" w:rsidR="003A0ECF" w:rsidRDefault="003A0ECF" w:rsidP="003A0ECF">
      <w:pPr>
        <w:pStyle w:val="FootnoteText"/>
      </w:pPr>
      <w:r w:rsidRPr="004B61DD">
        <w:rPr>
          <w:rStyle w:val="FootnoteReference"/>
        </w:rPr>
        <w:footnoteRef/>
      </w:r>
      <w:r>
        <w:t xml:space="preserve"> The spending areas (before non</w:t>
      </w:r>
      <w:r>
        <w:noBreakHyphen/>
        <w:t>tax revenue) included are defence; public order and safety; environmental protection; housing and community amenities; healthcare; recreation, culture and religion; education, and transport. The residual expenses of government include some important services, such as R&amp;D on general public services undertaken by governments, but the data to isolate the costs of such residual services are not available.</w:t>
      </w:r>
      <w:r w:rsidRPr="00F306DA">
        <w:t xml:space="preserve"> </w:t>
      </w:r>
    </w:p>
  </w:footnote>
  <w:footnote w:id="27">
    <w:p w14:paraId="07F7E2D0" w14:textId="427EF1A8" w:rsidR="00746FB1" w:rsidRDefault="00746FB1">
      <w:pPr>
        <w:pStyle w:val="FootnoteText"/>
      </w:pPr>
      <w:r w:rsidRPr="002E227D">
        <w:rPr>
          <w:rStyle w:val="FootnoteReference"/>
        </w:rPr>
        <w:footnoteRef/>
      </w:r>
      <w:r>
        <w:t xml:space="preserve"> For instance, </w:t>
      </w:r>
      <w:r w:rsidR="00641B57" w:rsidRPr="00906E9D">
        <w:t xml:space="preserve">in </w:t>
      </w:r>
      <w:r w:rsidR="00081DFD">
        <w:t>7</w:t>
      </w:r>
      <w:r w:rsidR="00641B57" w:rsidRPr="00906E9D">
        <w:t xml:space="preserve"> months during 2020, the R</w:t>
      </w:r>
      <w:r w:rsidR="00641B57">
        <w:t xml:space="preserve">oyal </w:t>
      </w:r>
      <w:r w:rsidR="00641B57" w:rsidRPr="00906E9D">
        <w:t>P</w:t>
      </w:r>
      <w:r w:rsidR="00641B57">
        <w:t xml:space="preserve">rince </w:t>
      </w:r>
      <w:r w:rsidR="00641B57" w:rsidRPr="00906E9D">
        <w:t>A</w:t>
      </w:r>
      <w:r w:rsidR="00641B57">
        <w:t>lfred</w:t>
      </w:r>
      <w:r w:rsidR="00641B57" w:rsidRPr="00906E9D">
        <w:t xml:space="preserve"> Virtual Hospital grew its workforce from six nurses to a multidisciplinary service of over 50 medical, nursing and allied health teams. Patient use increased from 1000 to 7000 </w:t>
      </w:r>
      <w:r w:rsidR="00286205">
        <w:t>between</w:t>
      </w:r>
      <w:r w:rsidR="00641B57" w:rsidRPr="00906E9D">
        <w:t xml:space="preserve"> May 2020 </w:t>
      </w:r>
      <w:r w:rsidR="00286205">
        <w:t xml:space="preserve">and </w:t>
      </w:r>
      <w:r w:rsidR="00641B57" w:rsidRPr="00906E9D">
        <w:t>January 2021 (Hutchings 2021). An economic evaluation suggested net savings of $13</w:t>
      </w:r>
      <w:r w:rsidR="00641B57">
        <w:t>–</w:t>
      </w:r>
      <w:r w:rsidR="00641B57" w:rsidRPr="00906E9D">
        <w:t>18 million from avoided costs associated with standard care models in less than a year of operation (Shaw and Wilson 2021)</w:t>
      </w:r>
      <w:r w:rsidR="00641B57">
        <w:t xml:space="preserve">. And as another example, </w:t>
      </w:r>
      <w:r w:rsidR="00641B57" w:rsidRPr="00906E9D">
        <w:t>at the peak of the COVID</w:t>
      </w:r>
      <w:r w:rsidR="00641B57" w:rsidRPr="00906E9D">
        <w:noBreakHyphen/>
        <w:t>19 pandemic, Melbourne’s Royal Children’s Hospital was delivering 70</w:t>
      </w:r>
      <w:r w:rsidR="00E94315">
        <w:t>%</w:t>
      </w:r>
      <w:r w:rsidR="00641B57" w:rsidRPr="00906E9D">
        <w:t xml:space="preserve"> of its specialist clinic appointments by telehealth. It provided 11 200 telehealth consultations in April 2020 (up from 231 in April 2019). Average transport cost savings were $85 per consultation per family, while cost savings in caregiver time averaged $145 (Hiscock et al. 2021). Savings were significantly higher for families in regional or remote areas. </w:t>
      </w:r>
      <w:r w:rsidR="00641B57">
        <w:t>While some types of consultations may have reduced accuracy of diagnosis or quality of communication with the family, for many families and many types of specialist appointments there would be little loss of quality, and in many cases the alternative would have been no consultation.</w:t>
      </w:r>
    </w:p>
  </w:footnote>
  <w:footnote w:id="28">
    <w:p w14:paraId="7774EB79" w14:textId="77777777" w:rsidR="00524DBC" w:rsidRDefault="00524DBC" w:rsidP="00524DBC">
      <w:pPr>
        <w:pStyle w:val="FootnoteText"/>
      </w:pPr>
      <w:r>
        <w:rPr>
          <w:rStyle w:val="FootnoteReference"/>
        </w:rPr>
        <w:footnoteRef/>
      </w:r>
      <w:r>
        <w:t xml:space="preserve"> In 2012</w:t>
      </w:r>
      <w:r>
        <w:noBreakHyphen/>
        <w:t>13, the ACT Government implemented a 20</w:t>
      </w:r>
      <w:r>
        <w:noBreakHyphen/>
        <w:t>year transition to abolish inefficient stamp duties on property sales and move to rates. In July 2022, the NSW Government followed in the ACT’s footsteps, though with the significant variation of giving homeowners the option of choosing to pay stamp duty or higher rates.</w:t>
      </w:r>
    </w:p>
  </w:footnote>
  <w:footnote w:id="29">
    <w:p w14:paraId="48B055C7" w14:textId="3294D85D" w:rsidR="003A0ECF" w:rsidRDefault="003A0ECF" w:rsidP="003A0ECF">
      <w:pPr>
        <w:pStyle w:val="FootnoteText"/>
      </w:pPr>
      <w:r w:rsidRPr="002E227D">
        <w:rPr>
          <w:rStyle w:val="FootnoteReference"/>
        </w:rPr>
        <w:footnoteRef/>
      </w:r>
      <w:r>
        <w:t xml:space="preserve"> </w:t>
      </w:r>
      <w:r w:rsidRPr="009A57DA">
        <w:t>In the medium run, the excess demand for hospital beds means that there are few savings as</w:t>
      </w:r>
      <w:r>
        <w:t xml:space="preserve"> one group of patients is replaced by others. However, over the longer run, any lasting reductions in demand for hospitals can reduce the need for the highly costly expansion of existing hospital services </w:t>
      </w:r>
      <w:r w:rsidRPr="00205F71">
        <w:rPr>
          <w:rFonts w:ascii="Arial" w:hAnsi="Arial" w:cs="Arial"/>
          <w:szCs w:val="24"/>
        </w:rPr>
        <w:t>(PC 2021b, pp. 30–31)</w:t>
      </w:r>
      <w:r>
        <w:t>.</w:t>
      </w:r>
    </w:p>
  </w:footnote>
  <w:footnote w:id="30">
    <w:p w14:paraId="735FB3C4" w14:textId="77777777" w:rsidR="002F440F" w:rsidRDefault="002F440F" w:rsidP="002F440F">
      <w:pPr>
        <w:pStyle w:val="FootnoteText"/>
      </w:pPr>
      <w:r w:rsidRPr="002E227D">
        <w:rPr>
          <w:rStyle w:val="FootnoteReference"/>
        </w:rPr>
        <w:footnoteRef/>
      </w:r>
      <w:r>
        <w:t xml:space="preserve"> Referred to as simulation 1 in this inquiry’s companion volume </w:t>
      </w:r>
      <w:r w:rsidRPr="003605EF">
        <w:rPr>
          <w:i/>
          <w:iCs/>
        </w:rPr>
        <w:t>Whole-of-economy modelling</w:t>
      </w:r>
      <w:r>
        <w:t>.</w:t>
      </w:r>
    </w:p>
  </w:footnote>
  <w:footnote w:id="31">
    <w:p w14:paraId="398063DC" w14:textId="77777777" w:rsidR="002F440F" w:rsidRPr="003175D4" w:rsidRDefault="002F440F" w:rsidP="002F440F">
      <w:pPr>
        <w:pStyle w:val="FootnoteText"/>
        <w:rPr>
          <w:spacing w:val="-4"/>
        </w:rPr>
      </w:pPr>
      <w:r w:rsidRPr="002E227D">
        <w:rPr>
          <w:rStyle w:val="FootnoteReference"/>
        </w:rPr>
        <w:footnoteRef/>
      </w:r>
      <w:r>
        <w:t xml:space="preserve"> </w:t>
      </w:r>
      <w:r w:rsidRPr="003175D4">
        <w:rPr>
          <w:spacing w:val="-4"/>
        </w:rPr>
        <w:t>Another way of examining the relative real GDP impacts across simulations is to adjust the economy-wide real GDP effect by the relative change in output for the simulated industry. In doing so, it was found that the shocks to ‘construction’, ‘technology and telecommunications’, ‘professional, scientific and technical services’ and ‘other services’ industries led to real GDP effects that were proportionally larger than changes in the quantity of outputs produced by those industries. While the 'construction’ industry effects were likely largely due to its effect on investment and the capital stock (described below), the outputs of the other industries were among those that were most heavily used as intermediate inputs in the production of goods and services. Therefore, productivity improvements in these industries were better able to flow through to other industries through lowering their production costs, leading to larger economy</w:t>
      </w:r>
      <w:r w:rsidRPr="003175D4">
        <w:rPr>
          <w:spacing w:val="-4"/>
        </w:rPr>
        <w:noBreakHyphen/>
        <w:t>wide real GDP effects.</w:t>
      </w:r>
    </w:p>
  </w:footnote>
  <w:footnote w:id="32">
    <w:p w14:paraId="0D83B9EE" w14:textId="2C0EF41E" w:rsidR="002F440F" w:rsidRDefault="002F440F" w:rsidP="002F440F">
      <w:pPr>
        <w:pStyle w:val="FootnoteText"/>
      </w:pPr>
      <w:r w:rsidRPr="002E227D">
        <w:rPr>
          <w:rStyle w:val="FootnoteReference"/>
        </w:rPr>
        <w:footnoteRef/>
      </w:r>
      <w:r>
        <w:t xml:space="preserve"> </w:t>
      </w:r>
      <w:r w:rsidRPr="00271A1D">
        <w:t xml:space="preserve">‘Other services’ include </w:t>
      </w:r>
      <w:r>
        <w:t xml:space="preserve">energy and </w:t>
      </w:r>
      <w:r w:rsidRPr="00271A1D">
        <w:t>utilities, rental and real estate services, administrative and support services, arts and recreation, repair and maintenance, and personal services.</w:t>
      </w:r>
      <w:r>
        <w:t xml:space="preserve"> These services were grouped together for the model because they were not separately considered to be key industries of interest for the simulation scenarios (companion volume </w:t>
      </w:r>
      <w:r w:rsidR="00977CFD" w:rsidRPr="003605EF">
        <w:rPr>
          <w:i/>
          <w:iCs/>
        </w:rPr>
        <w:t>Whole-of-economy modelling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3269" w14:textId="77777777" w:rsidR="004F7BE2" w:rsidRPr="007215EF" w:rsidRDefault="004F7BE2" w:rsidP="007215EF">
    <w:r w:rsidRPr="007215EF">
      <w:rPr>
        <w:noProof/>
      </w:rPr>
      <w:drawing>
        <wp:anchor distT="0" distB="0" distL="114300" distR="114300" simplePos="0" relativeHeight="251658240" behindDoc="0" locked="1" layoutInCell="1" allowOverlap="1" wp14:anchorId="28D3D431" wp14:editId="618030FE">
          <wp:simplePos x="0" y="0"/>
          <wp:positionH relativeFrom="margin">
            <wp:align>left</wp:align>
          </wp:positionH>
          <wp:positionV relativeFrom="page">
            <wp:align>top</wp:align>
          </wp:positionV>
          <wp:extent cx="2235600" cy="1058400"/>
          <wp:effectExtent l="0" t="0" r="0" b="8890"/>
          <wp:wrapNone/>
          <wp:docPr id="13"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F9174" w14:textId="77777777" w:rsidR="004F7BE2" w:rsidRPr="005965BC" w:rsidRDefault="004F7BE2"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5157" w14:textId="5EBBAE45" w:rsidR="002C0474" w:rsidRDefault="002C0474" w:rsidP="004544D6">
    <w:pPr>
      <w:pStyle w:val="Header-KeylineRight"/>
    </w:pPr>
    <w:r>
      <w:t>Appendix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6752" w14:textId="25605450" w:rsidR="00AA5046" w:rsidRDefault="00AA5046" w:rsidP="004544D6">
    <w:pPr>
      <w:pStyle w:val="Header-KeylineRight"/>
    </w:pPr>
    <w:r w:rsidRPr="00E2214D">
      <w:rPr>
        <w:noProof/>
      </w:rPr>
      <w:t>Stylised simulations of economy-wide effects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0AEB" w14:textId="006D1681" w:rsidR="00AA5046" w:rsidRDefault="00AA5046" w:rsidP="004544D6">
    <w:pPr>
      <w:pStyle w:val="Header-KeylineRight"/>
    </w:pPr>
    <w:r>
      <w:rPr>
        <w:noProof/>
      </w:rPr>
      <w:t>Abbrreviations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8CF7" w14:textId="6ACFDCBD" w:rsidR="00AA5046" w:rsidRDefault="00AA5046" w:rsidP="004544D6">
    <w:pPr>
      <w:pStyle w:val="Header-KeylineRight"/>
    </w:pPr>
    <w:r>
      <w:rPr>
        <w:noProof/>
      </w:rP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CA649" w14:textId="41AFC08A" w:rsidR="00A47D55" w:rsidRDefault="00A47D55" w:rsidP="00A47D55">
    <w:pPr>
      <w:pStyle w:val="Header-KeylineRight"/>
      <w:jc w:val="left"/>
    </w:pPr>
    <w:r w:rsidRPr="00D9260E">
      <w:rPr>
        <w:b/>
        <w:bCs/>
      </w:rPr>
      <w:t>5-year Productivity Inquiry: Innovation for the 98%</w:t>
    </w:r>
    <w:r>
      <w:t xml:space="preserve"> Inquiry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54CB" w14:textId="3C0D81D9" w:rsidR="002736A5" w:rsidRDefault="00974413" w:rsidP="004544D6">
    <w:pPr>
      <w:pStyle w:val="Header-KeylineRight"/>
    </w:pPr>
    <w:r>
      <w:fldChar w:fldCharType="begin"/>
    </w:r>
    <w:r>
      <w:instrText>STYLEREF  "Heading 1-no background"  \* MERGEFORMA</w:instrText>
    </w:r>
    <w:r>
      <w:instrText>T</w:instrText>
    </w:r>
    <w:r>
      <w:fldChar w:fldCharType="separate"/>
    </w:r>
    <w:r>
      <w:rPr>
        <w:noProof/>
      </w:rPr>
      <w:t>Contents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04BA" w14:textId="06C5E68D" w:rsidR="002736A5" w:rsidRDefault="00974413" w:rsidP="004544D6">
    <w:pPr>
      <w:pStyle w:val="Header-KeylineRight"/>
    </w:pPr>
    <w:r>
      <w:fldChar w:fldCharType="begin"/>
    </w:r>
    <w:r>
      <w:instrText>STYLEREF  "Heading 1-no background"  \* MERGEFORMAT</w:instrText>
    </w:r>
    <w:r>
      <w:fldChar w:fldCharType="separate"/>
    </w:r>
    <w:r>
      <w:rPr>
        <w:noProof/>
      </w:rPr>
      <w:t>Contents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366A" w14:textId="19709EB3" w:rsidR="009528CD" w:rsidRDefault="00D9260E" w:rsidP="001B6768">
    <w:pPr>
      <w:pStyle w:val="Header-KeylineRight"/>
      <w:jc w:val="left"/>
    </w:pPr>
    <w:r w:rsidRPr="00D9260E">
      <w:rPr>
        <w:b/>
        <w:bCs/>
      </w:rPr>
      <w:t>5-year Productivity Inquiry: Innovation for the 98%</w:t>
    </w:r>
    <w:r>
      <w:t xml:space="preserve"> Inquiry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5033" w14:textId="44702EFF" w:rsidR="009528CD" w:rsidRDefault="00974413" w:rsidP="004544D6">
    <w:pPr>
      <w:pStyle w:val="Header-KeylineRight"/>
    </w:pPr>
    <w:r>
      <w:fldChar w:fldCharType="begin"/>
    </w:r>
    <w:r>
      <w:instrText>STYLEREF  "Heading 1-no background"  \* MERGEFORMAT</w:instrText>
    </w:r>
    <w:r>
      <w:fldChar w:fldCharType="separate"/>
    </w:r>
    <w:r>
      <w:rPr>
        <w:noProof/>
      </w:rPr>
      <w:t>Preface</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F3DB" w14:textId="6CF762B3" w:rsidR="00CF5257" w:rsidRDefault="00974413" w:rsidP="004544D6">
    <w:pPr>
      <w:pStyle w:val="Header-KeylineRight"/>
    </w:pPr>
    <w:r>
      <w:fldChar w:fldCharType="begin"/>
    </w:r>
    <w:r>
      <w:instrText xml:space="preserve"> STYLEREF  "Heading 1"  \* MERGEFORMAT </w:instrText>
    </w:r>
    <w:r>
      <w:fldChar w:fldCharType="separate"/>
    </w:r>
    <w:r>
      <w:rPr>
        <w:noProof/>
      </w:rPr>
      <w:t>The case for strengthening the diffusion of innovation</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7BC5" w14:textId="41018046" w:rsidR="00CD32E0" w:rsidRDefault="00D9260E" w:rsidP="004544D6">
    <w:pPr>
      <w:pStyle w:val="Header-KeylineRight"/>
    </w:pPr>
    <w:r>
      <w:t xml:space="preserve">Enabling innovation diffusion in </w:t>
    </w:r>
    <w:r w:rsidR="00AA5046">
      <w:t>A</w:t>
    </w:r>
    <w:r>
      <w:t>ustralia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AFA1" w14:textId="04DD81EB" w:rsidR="00D522F7" w:rsidRDefault="000A3B6B" w:rsidP="004544D6">
    <w:pPr>
      <w:pStyle w:val="Header-KeylineRight"/>
    </w:pPr>
    <w:r>
      <w:t>Innovation and diffusion in government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5CC449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0B516A3"/>
    <w:multiLevelType w:val="multilevel"/>
    <w:tmpl w:val="EE6A07A2"/>
    <w:numStyleLink w:val="ListHeadings"/>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5"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3FF358D"/>
    <w:multiLevelType w:val="singleLevel"/>
    <w:tmpl w:val="4146A198"/>
    <w:lvl w:ilvl="0">
      <w:start w:val="1"/>
      <w:numFmt w:val="bullet"/>
      <w:pStyle w:val="Heading2nosectionno"/>
      <w:lvlText w:val=""/>
      <w:lvlJc w:val="left"/>
      <w:pPr>
        <w:tabs>
          <w:tab w:val="num" w:pos="340"/>
        </w:tabs>
        <w:ind w:left="340" w:hanging="340"/>
      </w:pPr>
      <w:rPr>
        <w:rFonts w:ascii="Symbol" w:hAnsi="Symbol" w:hint="default"/>
        <w:b w:val="0"/>
        <w:i w:val="0"/>
        <w:sz w:val="18"/>
      </w:rPr>
    </w:lvl>
  </w:abstractNum>
  <w:abstractNum w:abstractNumId="19" w15:restartNumberingAfterBreak="0">
    <w:nsid w:val="2D665246"/>
    <w:multiLevelType w:val="multilevel"/>
    <w:tmpl w:val="55366B42"/>
    <w:numStyleLink w:val="LetteredList"/>
  </w:abstractNum>
  <w:abstractNum w:abstractNumId="20" w15:restartNumberingAfterBreak="0">
    <w:nsid w:val="2DFE29AF"/>
    <w:multiLevelType w:val="multilevel"/>
    <w:tmpl w:val="72768BCE"/>
    <w:numStyleLink w:val="AppendixHeadingList"/>
  </w:abstractNum>
  <w:abstractNum w:abstractNumId="2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7"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596A0C8C"/>
    <w:multiLevelType w:val="multilevel"/>
    <w:tmpl w:val="1FA8DC2A"/>
    <w:numStyleLink w:val="Numbering"/>
  </w:abstractNum>
  <w:abstractNum w:abstractNumId="3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0A27097"/>
    <w:multiLevelType w:val="hybridMultilevel"/>
    <w:tmpl w:val="7A78E6AC"/>
    <w:lvl w:ilvl="0" w:tplc="0FFE0456">
      <w:start w:val="1"/>
      <w:numFmt w:val="bullet"/>
      <w:pStyle w:val="KeyPointsListBullet"/>
      <w:lvlText w:val=""/>
      <w:lvlJc w:val="left"/>
      <w:pPr>
        <w:ind w:left="72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3" w15:restartNumberingAfterBreak="0">
    <w:nsid w:val="6134636A"/>
    <w:multiLevelType w:val="multilevel"/>
    <w:tmpl w:val="1FA8DC2A"/>
    <w:numStyleLink w:val="Numbering"/>
  </w:abstractNum>
  <w:abstractNum w:abstractNumId="34" w15:restartNumberingAfterBreak="0">
    <w:nsid w:val="761B4A1B"/>
    <w:multiLevelType w:val="multilevel"/>
    <w:tmpl w:val="4F48000A"/>
    <w:numStyleLink w:val="Alphalist"/>
  </w:abstractNum>
  <w:abstractNum w:abstractNumId="3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220020794">
    <w:abstractNumId w:val="12"/>
  </w:num>
  <w:num w:numId="2" w16cid:durableId="9335037">
    <w:abstractNumId w:val="5"/>
  </w:num>
  <w:num w:numId="3" w16cid:durableId="1770274636">
    <w:abstractNumId w:val="17"/>
  </w:num>
  <w:num w:numId="4" w16cid:durableId="2123768426">
    <w:abstractNumId w:val="30"/>
  </w:num>
  <w:num w:numId="5" w16cid:durableId="1395083784">
    <w:abstractNumId w:val="23"/>
  </w:num>
  <w:num w:numId="6" w16cid:durableId="956329250">
    <w:abstractNumId w:val="20"/>
  </w:num>
  <w:num w:numId="7" w16cid:durableId="360713607">
    <w:abstractNumId w:val="19"/>
  </w:num>
  <w:num w:numId="8" w16cid:durableId="1388069260">
    <w:abstractNumId w:val="34"/>
  </w:num>
  <w:num w:numId="9" w16cid:durableId="814882481">
    <w:abstractNumId w:val="0"/>
  </w:num>
  <w:num w:numId="10" w16cid:durableId="490563872">
    <w:abstractNumId w:val="16"/>
  </w:num>
  <w:num w:numId="11" w16cid:durableId="1213885368">
    <w:abstractNumId w:val="9"/>
  </w:num>
  <w:num w:numId="12" w16cid:durableId="1120606403">
    <w:abstractNumId w:val="8"/>
  </w:num>
  <w:num w:numId="13" w16cid:durableId="695930222">
    <w:abstractNumId w:val="4"/>
  </w:num>
  <w:num w:numId="14" w16cid:durableId="2072340857">
    <w:abstractNumId w:val="28"/>
  </w:num>
  <w:num w:numId="15" w16cid:durableId="182475122">
    <w:abstractNumId w:val="21"/>
  </w:num>
  <w:num w:numId="16" w16cid:durableId="898706297">
    <w:abstractNumId w:val="2"/>
  </w:num>
  <w:num w:numId="17" w16cid:durableId="54554154">
    <w:abstractNumId w:val="11"/>
  </w:num>
  <w:num w:numId="18" w16cid:durableId="434322966">
    <w:abstractNumId w:val="26"/>
  </w:num>
  <w:num w:numId="19" w16cid:durableId="603458951">
    <w:abstractNumId w:val="7"/>
  </w:num>
  <w:num w:numId="20" w16cid:durableId="404911622">
    <w:abstractNumId w:val="18"/>
  </w:num>
  <w:num w:numId="21" w16cid:durableId="452092423">
    <w:abstractNumId w:val="3"/>
  </w:num>
  <w:num w:numId="22" w16cid:durableId="34354969">
    <w:abstractNumId w:val="35"/>
  </w:num>
  <w:num w:numId="23" w16cid:durableId="142740163">
    <w:abstractNumId w:val="25"/>
  </w:num>
  <w:num w:numId="24" w16cid:durableId="2123062910">
    <w:abstractNumId w:val="36"/>
  </w:num>
  <w:num w:numId="25" w16cid:durableId="1189832204">
    <w:abstractNumId w:val="31"/>
  </w:num>
  <w:num w:numId="26" w16cid:durableId="931351023">
    <w:abstractNumId w:val="13"/>
  </w:num>
  <w:num w:numId="27" w16cid:durableId="17468729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7652885">
    <w:abstractNumId w:val="16"/>
  </w:num>
  <w:num w:numId="29" w16cid:durableId="19086856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168596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00622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5271307">
    <w:abstractNumId w:val="33"/>
  </w:num>
  <w:num w:numId="33" w16cid:durableId="1804615998">
    <w:abstractNumId w:val="10"/>
  </w:num>
  <w:num w:numId="34" w16cid:durableId="570433443">
    <w:abstractNumId w:val="24"/>
  </w:num>
  <w:num w:numId="35" w16cid:durableId="1626036057">
    <w:abstractNumId w:val="15"/>
  </w:num>
  <w:num w:numId="36" w16cid:durableId="21025562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96892697">
    <w:abstractNumId w:val="27"/>
  </w:num>
  <w:num w:numId="38" w16cid:durableId="1477259961">
    <w:abstractNumId w:val="6"/>
  </w:num>
  <w:num w:numId="39" w16cid:durableId="623386882">
    <w:abstractNumId w:val="22"/>
  </w:num>
  <w:num w:numId="40" w16cid:durableId="97795133">
    <w:abstractNumId w:val="14"/>
  </w:num>
  <w:num w:numId="41" w16cid:durableId="504711755">
    <w:abstractNumId w:val="32"/>
  </w:num>
  <w:num w:numId="42" w16cid:durableId="757990587">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AU" w:vendorID="64" w:dllVersion="0" w:nlCheck="1" w:checkStyle="0"/>
  <w:proofState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95"/>
    <w:rsid w:val="00000075"/>
    <w:rsid w:val="000000DC"/>
    <w:rsid w:val="0000041E"/>
    <w:rsid w:val="00000647"/>
    <w:rsid w:val="000008FB"/>
    <w:rsid w:val="00000F3C"/>
    <w:rsid w:val="00001399"/>
    <w:rsid w:val="000014E1"/>
    <w:rsid w:val="0000267F"/>
    <w:rsid w:val="00002D48"/>
    <w:rsid w:val="00002EBF"/>
    <w:rsid w:val="00003009"/>
    <w:rsid w:val="000031E0"/>
    <w:rsid w:val="000037F9"/>
    <w:rsid w:val="000038AC"/>
    <w:rsid w:val="00003A9F"/>
    <w:rsid w:val="00003D8E"/>
    <w:rsid w:val="00004489"/>
    <w:rsid w:val="00004BE2"/>
    <w:rsid w:val="00005122"/>
    <w:rsid w:val="000055AD"/>
    <w:rsid w:val="000058BC"/>
    <w:rsid w:val="00005939"/>
    <w:rsid w:val="00005A7E"/>
    <w:rsid w:val="00005C79"/>
    <w:rsid w:val="000065A6"/>
    <w:rsid w:val="00006779"/>
    <w:rsid w:val="00006AD8"/>
    <w:rsid w:val="00006C12"/>
    <w:rsid w:val="0000710E"/>
    <w:rsid w:val="00007355"/>
    <w:rsid w:val="00007BED"/>
    <w:rsid w:val="00007D72"/>
    <w:rsid w:val="000102F1"/>
    <w:rsid w:val="00010419"/>
    <w:rsid w:val="00010927"/>
    <w:rsid w:val="00010C13"/>
    <w:rsid w:val="00010E0A"/>
    <w:rsid w:val="00011136"/>
    <w:rsid w:val="000111FE"/>
    <w:rsid w:val="000112AE"/>
    <w:rsid w:val="00011616"/>
    <w:rsid w:val="000116D2"/>
    <w:rsid w:val="00011894"/>
    <w:rsid w:val="00011AC7"/>
    <w:rsid w:val="00011B7F"/>
    <w:rsid w:val="00011DC7"/>
    <w:rsid w:val="00011E95"/>
    <w:rsid w:val="00011EFA"/>
    <w:rsid w:val="00012635"/>
    <w:rsid w:val="000127EC"/>
    <w:rsid w:val="0001281B"/>
    <w:rsid w:val="000128C7"/>
    <w:rsid w:val="00012EC1"/>
    <w:rsid w:val="00012F49"/>
    <w:rsid w:val="000138F1"/>
    <w:rsid w:val="00013F1D"/>
    <w:rsid w:val="00013FDE"/>
    <w:rsid w:val="00014650"/>
    <w:rsid w:val="00014E00"/>
    <w:rsid w:val="00015787"/>
    <w:rsid w:val="0001598C"/>
    <w:rsid w:val="00015A81"/>
    <w:rsid w:val="0001688C"/>
    <w:rsid w:val="00016ADF"/>
    <w:rsid w:val="000172C5"/>
    <w:rsid w:val="000173AF"/>
    <w:rsid w:val="00017705"/>
    <w:rsid w:val="000179AF"/>
    <w:rsid w:val="00020381"/>
    <w:rsid w:val="00020C45"/>
    <w:rsid w:val="00020E97"/>
    <w:rsid w:val="00020ED9"/>
    <w:rsid w:val="000216D2"/>
    <w:rsid w:val="00022813"/>
    <w:rsid w:val="00022CF7"/>
    <w:rsid w:val="00023312"/>
    <w:rsid w:val="00023E9E"/>
    <w:rsid w:val="000241CE"/>
    <w:rsid w:val="0002479F"/>
    <w:rsid w:val="00024813"/>
    <w:rsid w:val="00024C1F"/>
    <w:rsid w:val="00024E17"/>
    <w:rsid w:val="00024E7A"/>
    <w:rsid w:val="00025262"/>
    <w:rsid w:val="000252C9"/>
    <w:rsid w:val="00025418"/>
    <w:rsid w:val="00026605"/>
    <w:rsid w:val="0002684D"/>
    <w:rsid w:val="00026909"/>
    <w:rsid w:val="00026C04"/>
    <w:rsid w:val="00026E2F"/>
    <w:rsid w:val="000277A8"/>
    <w:rsid w:val="00027864"/>
    <w:rsid w:val="00027AB8"/>
    <w:rsid w:val="000300AF"/>
    <w:rsid w:val="00030559"/>
    <w:rsid w:val="000307A8"/>
    <w:rsid w:val="00030A9F"/>
    <w:rsid w:val="00030AAF"/>
    <w:rsid w:val="00030B01"/>
    <w:rsid w:val="00030B71"/>
    <w:rsid w:val="00030C7B"/>
    <w:rsid w:val="0003100A"/>
    <w:rsid w:val="00031666"/>
    <w:rsid w:val="00031778"/>
    <w:rsid w:val="0003199E"/>
    <w:rsid w:val="00031BFD"/>
    <w:rsid w:val="000321BE"/>
    <w:rsid w:val="000321DF"/>
    <w:rsid w:val="000324B2"/>
    <w:rsid w:val="00032F42"/>
    <w:rsid w:val="000331E4"/>
    <w:rsid w:val="0003338D"/>
    <w:rsid w:val="00033619"/>
    <w:rsid w:val="00033637"/>
    <w:rsid w:val="0003371F"/>
    <w:rsid w:val="0003390C"/>
    <w:rsid w:val="00033A72"/>
    <w:rsid w:val="00033D2D"/>
    <w:rsid w:val="00033EF2"/>
    <w:rsid w:val="00033F72"/>
    <w:rsid w:val="00034294"/>
    <w:rsid w:val="0003438B"/>
    <w:rsid w:val="00034434"/>
    <w:rsid w:val="00034553"/>
    <w:rsid w:val="0003501F"/>
    <w:rsid w:val="00035073"/>
    <w:rsid w:val="000353DC"/>
    <w:rsid w:val="000356AA"/>
    <w:rsid w:val="000356FD"/>
    <w:rsid w:val="00035B09"/>
    <w:rsid w:val="00035C40"/>
    <w:rsid w:val="00035DA3"/>
    <w:rsid w:val="00035FEB"/>
    <w:rsid w:val="00036064"/>
    <w:rsid w:val="000361CD"/>
    <w:rsid w:val="00036662"/>
    <w:rsid w:val="000369B2"/>
    <w:rsid w:val="00036A3E"/>
    <w:rsid w:val="00036FD3"/>
    <w:rsid w:val="0003700E"/>
    <w:rsid w:val="000370EE"/>
    <w:rsid w:val="00037118"/>
    <w:rsid w:val="00037372"/>
    <w:rsid w:val="00037626"/>
    <w:rsid w:val="0003776F"/>
    <w:rsid w:val="00037FAB"/>
    <w:rsid w:val="00040349"/>
    <w:rsid w:val="000403DB"/>
    <w:rsid w:val="00040729"/>
    <w:rsid w:val="00040771"/>
    <w:rsid w:val="00040954"/>
    <w:rsid w:val="00041010"/>
    <w:rsid w:val="000411D5"/>
    <w:rsid w:val="00041280"/>
    <w:rsid w:val="00041D20"/>
    <w:rsid w:val="0004201A"/>
    <w:rsid w:val="000421E1"/>
    <w:rsid w:val="00042B98"/>
    <w:rsid w:val="00042C94"/>
    <w:rsid w:val="000431D4"/>
    <w:rsid w:val="0004349D"/>
    <w:rsid w:val="000435DA"/>
    <w:rsid w:val="00043B39"/>
    <w:rsid w:val="00043CF8"/>
    <w:rsid w:val="00043EFD"/>
    <w:rsid w:val="000443E7"/>
    <w:rsid w:val="0004447A"/>
    <w:rsid w:val="0004452A"/>
    <w:rsid w:val="000445C4"/>
    <w:rsid w:val="0004528D"/>
    <w:rsid w:val="000453C1"/>
    <w:rsid w:val="000455B5"/>
    <w:rsid w:val="000455BD"/>
    <w:rsid w:val="00045688"/>
    <w:rsid w:val="0004571D"/>
    <w:rsid w:val="00045814"/>
    <w:rsid w:val="0004597D"/>
    <w:rsid w:val="00045A68"/>
    <w:rsid w:val="00045BC7"/>
    <w:rsid w:val="0004693D"/>
    <w:rsid w:val="00046963"/>
    <w:rsid w:val="00046CE2"/>
    <w:rsid w:val="00046EF3"/>
    <w:rsid w:val="00047235"/>
    <w:rsid w:val="00047299"/>
    <w:rsid w:val="000472AB"/>
    <w:rsid w:val="000472C4"/>
    <w:rsid w:val="000474D7"/>
    <w:rsid w:val="000476E0"/>
    <w:rsid w:val="000477EE"/>
    <w:rsid w:val="00047894"/>
    <w:rsid w:val="00047A72"/>
    <w:rsid w:val="00047BC2"/>
    <w:rsid w:val="00047CAC"/>
    <w:rsid w:val="00047F64"/>
    <w:rsid w:val="00050539"/>
    <w:rsid w:val="00050B93"/>
    <w:rsid w:val="00050B9A"/>
    <w:rsid w:val="00050BF4"/>
    <w:rsid w:val="00050CC0"/>
    <w:rsid w:val="00050CC2"/>
    <w:rsid w:val="00050D31"/>
    <w:rsid w:val="0005144B"/>
    <w:rsid w:val="0005151B"/>
    <w:rsid w:val="0005161E"/>
    <w:rsid w:val="0005182C"/>
    <w:rsid w:val="0005190C"/>
    <w:rsid w:val="00051983"/>
    <w:rsid w:val="00052016"/>
    <w:rsid w:val="00052326"/>
    <w:rsid w:val="0005241E"/>
    <w:rsid w:val="000525FF"/>
    <w:rsid w:val="00052C3F"/>
    <w:rsid w:val="000531B2"/>
    <w:rsid w:val="0005347A"/>
    <w:rsid w:val="00053FAE"/>
    <w:rsid w:val="00054286"/>
    <w:rsid w:val="000542A7"/>
    <w:rsid w:val="000549A4"/>
    <w:rsid w:val="000549C7"/>
    <w:rsid w:val="000549F8"/>
    <w:rsid w:val="00054A40"/>
    <w:rsid w:val="00054C95"/>
    <w:rsid w:val="00055339"/>
    <w:rsid w:val="00055487"/>
    <w:rsid w:val="000554DD"/>
    <w:rsid w:val="00056048"/>
    <w:rsid w:val="000561CF"/>
    <w:rsid w:val="00056240"/>
    <w:rsid w:val="000565F7"/>
    <w:rsid w:val="00056671"/>
    <w:rsid w:val="00056883"/>
    <w:rsid w:val="00056AA2"/>
    <w:rsid w:val="000571DF"/>
    <w:rsid w:val="00057454"/>
    <w:rsid w:val="0005774F"/>
    <w:rsid w:val="000577B8"/>
    <w:rsid w:val="000578BD"/>
    <w:rsid w:val="00057D36"/>
    <w:rsid w:val="00057E5E"/>
    <w:rsid w:val="00057E6E"/>
    <w:rsid w:val="00057EAD"/>
    <w:rsid w:val="00057FE3"/>
    <w:rsid w:val="00060160"/>
    <w:rsid w:val="00060220"/>
    <w:rsid w:val="00060478"/>
    <w:rsid w:val="0006066C"/>
    <w:rsid w:val="000609C4"/>
    <w:rsid w:val="00060E7E"/>
    <w:rsid w:val="00061018"/>
    <w:rsid w:val="0006141A"/>
    <w:rsid w:val="000616C2"/>
    <w:rsid w:val="00061BB6"/>
    <w:rsid w:val="00061E4E"/>
    <w:rsid w:val="00062390"/>
    <w:rsid w:val="00062737"/>
    <w:rsid w:val="00062A44"/>
    <w:rsid w:val="00063350"/>
    <w:rsid w:val="00063707"/>
    <w:rsid w:val="00063B34"/>
    <w:rsid w:val="00063C57"/>
    <w:rsid w:val="00063CCC"/>
    <w:rsid w:val="0006416D"/>
    <w:rsid w:val="000641F5"/>
    <w:rsid w:val="0006426B"/>
    <w:rsid w:val="00064494"/>
    <w:rsid w:val="00064AC1"/>
    <w:rsid w:val="00064E88"/>
    <w:rsid w:val="00064EA9"/>
    <w:rsid w:val="000651E1"/>
    <w:rsid w:val="00065439"/>
    <w:rsid w:val="000654B2"/>
    <w:rsid w:val="00065725"/>
    <w:rsid w:val="000659B9"/>
    <w:rsid w:val="000659CE"/>
    <w:rsid w:val="00065C66"/>
    <w:rsid w:val="00066116"/>
    <w:rsid w:val="0006613A"/>
    <w:rsid w:val="00066380"/>
    <w:rsid w:val="000664F2"/>
    <w:rsid w:val="00066550"/>
    <w:rsid w:val="00066621"/>
    <w:rsid w:val="0006677A"/>
    <w:rsid w:val="00066811"/>
    <w:rsid w:val="00066B4F"/>
    <w:rsid w:val="00066BA2"/>
    <w:rsid w:val="00066E1E"/>
    <w:rsid w:val="0006707E"/>
    <w:rsid w:val="000670C3"/>
    <w:rsid w:val="000671B5"/>
    <w:rsid w:val="00067386"/>
    <w:rsid w:val="00067ECC"/>
    <w:rsid w:val="00070186"/>
    <w:rsid w:val="000709CA"/>
    <w:rsid w:val="00070DB2"/>
    <w:rsid w:val="00071725"/>
    <w:rsid w:val="000718B7"/>
    <w:rsid w:val="00071C11"/>
    <w:rsid w:val="00071F06"/>
    <w:rsid w:val="0007224E"/>
    <w:rsid w:val="0007229F"/>
    <w:rsid w:val="000724AE"/>
    <w:rsid w:val="000725D5"/>
    <w:rsid w:val="00072667"/>
    <w:rsid w:val="000727A0"/>
    <w:rsid w:val="00072802"/>
    <w:rsid w:val="0007280D"/>
    <w:rsid w:val="00072AD6"/>
    <w:rsid w:val="00072E90"/>
    <w:rsid w:val="000730D1"/>
    <w:rsid w:val="000731D1"/>
    <w:rsid w:val="000733D8"/>
    <w:rsid w:val="000735F4"/>
    <w:rsid w:val="00073BD3"/>
    <w:rsid w:val="00073CC9"/>
    <w:rsid w:val="000747C6"/>
    <w:rsid w:val="00074A21"/>
    <w:rsid w:val="00074CB3"/>
    <w:rsid w:val="00074E7F"/>
    <w:rsid w:val="0007547A"/>
    <w:rsid w:val="00075596"/>
    <w:rsid w:val="000758B7"/>
    <w:rsid w:val="00075904"/>
    <w:rsid w:val="000759CD"/>
    <w:rsid w:val="00075E32"/>
    <w:rsid w:val="000765A7"/>
    <w:rsid w:val="00076693"/>
    <w:rsid w:val="00076B78"/>
    <w:rsid w:val="0007776A"/>
    <w:rsid w:val="000778D3"/>
    <w:rsid w:val="000778F4"/>
    <w:rsid w:val="00077A76"/>
    <w:rsid w:val="000802B7"/>
    <w:rsid w:val="0008037D"/>
    <w:rsid w:val="00080D5A"/>
    <w:rsid w:val="00080EC8"/>
    <w:rsid w:val="00080EE5"/>
    <w:rsid w:val="0008117B"/>
    <w:rsid w:val="000817C1"/>
    <w:rsid w:val="00081ACC"/>
    <w:rsid w:val="00081DFD"/>
    <w:rsid w:val="00081E26"/>
    <w:rsid w:val="00081F2C"/>
    <w:rsid w:val="00082175"/>
    <w:rsid w:val="000828B0"/>
    <w:rsid w:val="00082979"/>
    <w:rsid w:val="00082BAF"/>
    <w:rsid w:val="000833FF"/>
    <w:rsid w:val="000834B9"/>
    <w:rsid w:val="000839A4"/>
    <w:rsid w:val="00083EE7"/>
    <w:rsid w:val="00084062"/>
    <w:rsid w:val="00084361"/>
    <w:rsid w:val="00084660"/>
    <w:rsid w:val="0008492E"/>
    <w:rsid w:val="000849AD"/>
    <w:rsid w:val="00084CAF"/>
    <w:rsid w:val="00084F10"/>
    <w:rsid w:val="00084F26"/>
    <w:rsid w:val="0008500B"/>
    <w:rsid w:val="00085142"/>
    <w:rsid w:val="0008521A"/>
    <w:rsid w:val="0008581D"/>
    <w:rsid w:val="0008584E"/>
    <w:rsid w:val="00085DF2"/>
    <w:rsid w:val="00085E26"/>
    <w:rsid w:val="00085EEE"/>
    <w:rsid w:val="00085F23"/>
    <w:rsid w:val="00085F67"/>
    <w:rsid w:val="00085FB9"/>
    <w:rsid w:val="00086108"/>
    <w:rsid w:val="000862BE"/>
    <w:rsid w:val="00086B08"/>
    <w:rsid w:val="00086DF7"/>
    <w:rsid w:val="00086EDA"/>
    <w:rsid w:val="00087543"/>
    <w:rsid w:val="00087698"/>
    <w:rsid w:val="00087853"/>
    <w:rsid w:val="00087D7B"/>
    <w:rsid w:val="00087EF7"/>
    <w:rsid w:val="0009018A"/>
    <w:rsid w:val="0009076A"/>
    <w:rsid w:val="00090B5D"/>
    <w:rsid w:val="00091286"/>
    <w:rsid w:val="00091B08"/>
    <w:rsid w:val="00091E93"/>
    <w:rsid w:val="000920F0"/>
    <w:rsid w:val="000924B7"/>
    <w:rsid w:val="000927B0"/>
    <w:rsid w:val="000927F6"/>
    <w:rsid w:val="0009282D"/>
    <w:rsid w:val="00092B2F"/>
    <w:rsid w:val="0009327E"/>
    <w:rsid w:val="00093B0D"/>
    <w:rsid w:val="00093DFE"/>
    <w:rsid w:val="000944B9"/>
    <w:rsid w:val="00094B26"/>
    <w:rsid w:val="00094FA7"/>
    <w:rsid w:val="0009533C"/>
    <w:rsid w:val="000954D8"/>
    <w:rsid w:val="000955AA"/>
    <w:rsid w:val="00095B4D"/>
    <w:rsid w:val="00096190"/>
    <w:rsid w:val="0009658B"/>
    <w:rsid w:val="000966BD"/>
    <w:rsid w:val="00096B33"/>
    <w:rsid w:val="00097031"/>
    <w:rsid w:val="00097037"/>
    <w:rsid w:val="00097046"/>
    <w:rsid w:val="000972A4"/>
    <w:rsid w:val="00097351"/>
    <w:rsid w:val="00097633"/>
    <w:rsid w:val="00097A83"/>
    <w:rsid w:val="00097CE3"/>
    <w:rsid w:val="000A0117"/>
    <w:rsid w:val="000A0341"/>
    <w:rsid w:val="000A0ABB"/>
    <w:rsid w:val="000A0F08"/>
    <w:rsid w:val="000A101B"/>
    <w:rsid w:val="000A1285"/>
    <w:rsid w:val="000A14AA"/>
    <w:rsid w:val="000A161D"/>
    <w:rsid w:val="000A1C65"/>
    <w:rsid w:val="000A1E12"/>
    <w:rsid w:val="000A1FCC"/>
    <w:rsid w:val="000A2535"/>
    <w:rsid w:val="000A2863"/>
    <w:rsid w:val="000A28D0"/>
    <w:rsid w:val="000A298C"/>
    <w:rsid w:val="000A2AE4"/>
    <w:rsid w:val="000A2D4F"/>
    <w:rsid w:val="000A38AA"/>
    <w:rsid w:val="000A3B6B"/>
    <w:rsid w:val="000A4218"/>
    <w:rsid w:val="000A4338"/>
    <w:rsid w:val="000A474B"/>
    <w:rsid w:val="000A4A0E"/>
    <w:rsid w:val="000A4A71"/>
    <w:rsid w:val="000A4E82"/>
    <w:rsid w:val="000A4F7E"/>
    <w:rsid w:val="000A5062"/>
    <w:rsid w:val="000A523C"/>
    <w:rsid w:val="000A52C4"/>
    <w:rsid w:val="000A5316"/>
    <w:rsid w:val="000A571C"/>
    <w:rsid w:val="000A596D"/>
    <w:rsid w:val="000A5A5B"/>
    <w:rsid w:val="000A5B57"/>
    <w:rsid w:val="000A5B82"/>
    <w:rsid w:val="000A5F14"/>
    <w:rsid w:val="000A5FAE"/>
    <w:rsid w:val="000A618F"/>
    <w:rsid w:val="000A636A"/>
    <w:rsid w:val="000A645C"/>
    <w:rsid w:val="000A6714"/>
    <w:rsid w:val="000A72B7"/>
    <w:rsid w:val="000A746A"/>
    <w:rsid w:val="000A78B6"/>
    <w:rsid w:val="000A78C1"/>
    <w:rsid w:val="000A7B3C"/>
    <w:rsid w:val="000A7C82"/>
    <w:rsid w:val="000B02D1"/>
    <w:rsid w:val="000B07AD"/>
    <w:rsid w:val="000B099E"/>
    <w:rsid w:val="000B0A7B"/>
    <w:rsid w:val="000B0AF7"/>
    <w:rsid w:val="000B0FA2"/>
    <w:rsid w:val="000B21D2"/>
    <w:rsid w:val="000B23DD"/>
    <w:rsid w:val="000B2639"/>
    <w:rsid w:val="000B2D1E"/>
    <w:rsid w:val="000B33E1"/>
    <w:rsid w:val="000B34D3"/>
    <w:rsid w:val="000B38C1"/>
    <w:rsid w:val="000B3B02"/>
    <w:rsid w:val="000B3C96"/>
    <w:rsid w:val="000B3F11"/>
    <w:rsid w:val="000B412E"/>
    <w:rsid w:val="000B44C2"/>
    <w:rsid w:val="000B44DD"/>
    <w:rsid w:val="000B4721"/>
    <w:rsid w:val="000B4857"/>
    <w:rsid w:val="000B4952"/>
    <w:rsid w:val="000B497F"/>
    <w:rsid w:val="000B4A72"/>
    <w:rsid w:val="000B4A73"/>
    <w:rsid w:val="000B4B08"/>
    <w:rsid w:val="000B4CAE"/>
    <w:rsid w:val="000B4D95"/>
    <w:rsid w:val="000B50C9"/>
    <w:rsid w:val="000B5105"/>
    <w:rsid w:val="000B51DB"/>
    <w:rsid w:val="000B5439"/>
    <w:rsid w:val="000B589C"/>
    <w:rsid w:val="000B5C64"/>
    <w:rsid w:val="000B5D8C"/>
    <w:rsid w:val="000B60BF"/>
    <w:rsid w:val="000B6185"/>
    <w:rsid w:val="000B61A6"/>
    <w:rsid w:val="000B6267"/>
    <w:rsid w:val="000B6D19"/>
    <w:rsid w:val="000B7115"/>
    <w:rsid w:val="000B726E"/>
    <w:rsid w:val="000B7661"/>
    <w:rsid w:val="000B7CA9"/>
    <w:rsid w:val="000B7EDE"/>
    <w:rsid w:val="000B7F4B"/>
    <w:rsid w:val="000C03BB"/>
    <w:rsid w:val="000C0779"/>
    <w:rsid w:val="000C08E5"/>
    <w:rsid w:val="000C0E62"/>
    <w:rsid w:val="000C1B6F"/>
    <w:rsid w:val="000C2054"/>
    <w:rsid w:val="000C2337"/>
    <w:rsid w:val="000C25F1"/>
    <w:rsid w:val="000C2B0D"/>
    <w:rsid w:val="000C2B88"/>
    <w:rsid w:val="000C2F3C"/>
    <w:rsid w:val="000C2F4D"/>
    <w:rsid w:val="000C3002"/>
    <w:rsid w:val="000C332A"/>
    <w:rsid w:val="000C332D"/>
    <w:rsid w:val="000C3449"/>
    <w:rsid w:val="000C3465"/>
    <w:rsid w:val="000C3480"/>
    <w:rsid w:val="000C34FA"/>
    <w:rsid w:val="000C3698"/>
    <w:rsid w:val="000C3AD7"/>
    <w:rsid w:val="000C3DB1"/>
    <w:rsid w:val="000C3EBC"/>
    <w:rsid w:val="000C3FAF"/>
    <w:rsid w:val="000C4CE3"/>
    <w:rsid w:val="000C4F12"/>
    <w:rsid w:val="000C526F"/>
    <w:rsid w:val="000C5440"/>
    <w:rsid w:val="000C551D"/>
    <w:rsid w:val="000C557E"/>
    <w:rsid w:val="000C578D"/>
    <w:rsid w:val="000C5ABC"/>
    <w:rsid w:val="000C5B51"/>
    <w:rsid w:val="000C6463"/>
    <w:rsid w:val="000C650E"/>
    <w:rsid w:val="000C657B"/>
    <w:rsid w:val="000C684E"/>
    <w:rsid w:val="000C6B77"/>
    <w:rsid w:val="000C6DF3"/>
    <w:rsid w:val="000C6F5F"/>
    <w:rsid w:val="000C7027"/>
    <w:rsid w:val="000C72AA"/>
    <w:rsid w:val="000C748E"/>
    <w:rsid w:val="000C74C5"/>
    <w:rsid w:val="000C7870"/>
    <w:rsid w:val="000C7B4A"/>
    <w:rsid w:val="000C7CD5"/>
    <w:rsid w:val="000D0361"/>
    <w:rsid w:val="000D05AA"/>
    <w:rsid w:val="000D1139"/>
    <w:rsid w:val="000D12F1"/>
    <w:rsid w:val="000D1A7A"/>
    <w:rsid w:val="000D1A99"/>
    <w:rsid w:val="000D1D70"/>
    <w:rsid w:val="000D20DB"/>
    <w:rsid w:val="000D21D5"/>
    <w:rsid w:val="000D257C"/>
    <w:rsid w:val="000D2798"/>
    <w:rsid w:val="000D2A8E"/>
    <w:rsid w:val="000D2E05"/>
    <w:rsid w:val="000D31FE"/>
    <w:rsid w:val="000D338A"/>
    <w:rsid w:val="000D37E9"/>
    <w:rsid w:val="000D3A42"/>
    <w:rsid w:val="000D3DB4"/>
    <w:rsid w:val="000D3E1E"/>
    <w:rsid w:val="000D3F1F"/>
    <w:rsid w:val="000D3F41"/>
    <w:rsid w:val="000D41A6"/>
    <w:rsid w:val="000D4F3F"/>
    <w:rsid w:val="000D5401"/>
    <w:rsid w:val="000D5412"/>
    <w:rsid w:val="000D56CE"/>
    <w:rsid w:val="000D59FD"/>
    <w:rsid w:val="000D5ABF"/>
    <w:rsid w:val="000D5B79"/>
    <w:rsid w:val="000D5D46"/>
    <w:rsid w:val="000D62AE"/>
    <w:rsid w:val="000D6442"/>
    <w:rsid w:val="000D6612"/>
    <w:rsid w:val="000D691F"/>
    <w:rsid w:val="000D6A8C"/>
    <w:rsid w:val="000D6AF4"/>
    <w:rsid w:val="000D6BA7"/>
    <w:rsid w:val="000D6C2C"/>
    <w:rsid w:val="000D6FF5"/>
    <w:rsid w:val="000D7452"/>
    <w:rsid w:val="000D76A9"/>
    <w:rsid w:val="000D7A07"/>
    <w:rsid w:val="000E023F"/>
    <w:rsid w:val="000E034B"/>
    <w:rsid w:val="000E0625"/>
    <w:rsid w:val="000E07E4"/>
    <w:rsid w:val="000E0888"/>
    <w:rsid w:val="000E0988"/>
    <w:rsid w:val="000E0AF8"/>
    <w:rsid w:val="000E0B0A"/>
    <w:rsid w:val="000E0BF5"/>
    <w:rsid w:val="000E0E89"/>
    <w:rsid w:val="000E151D"/>
    <w:rsid w:val="000E1913"/>
    <w:rsid w:val="000E1925"/>
    <w:rsid w:val="000E1A8D"/>
    <w:rsid w:val="000E1BA3"/>
    <w:rsid w:val="000E1F3B"/>
    <w:rsid w:val="000E2226"/>
    <w:rsid w:val="000E28AE"/>
    <w:rsid w:val="000E32E9"/>
    <w:rsid w:val="000E35DF"/>
    <w:rsid w:val="000E35E7"/>
    <w:rsid w:val="000E4100"/>
    <w:rsid w:val="000E43B0"/>
    <w:rsid w:val="000E4562"/>
    <w:rsid w:val="000E4714"/>
    <w:rsid w:val="000E4767"/>
    <w:rsid w:val="000E484F"/>
    <w:rsid w:val="000E4B6E"/>
    <w:rsid w:val="000E4E14"/>
    <w:rsid w:val="000E50E0"/>
    <w:rsid w:val="000E5A8C"/>
    <w:rsid w:val="000E672A"/>
    <w:rsid w:val="000E6D41"/>
    <w:rsid w:val="000E703E"/>
    <w:rsid w:val="000E77F4"/>
    <w:rsid w:val="000E78AC"/>
    <w:rsid w:val="000E7B59"/>
    <w:rsid w:val="000F0200"/>
    <w:rsid w:val="000F0230"/>
    <w:rsid w:val="000F0425"/>
    <w:rsid w:val="000F0809"/>
    <w:rsid w:val="000F0A47"/>
    <w:rsid w:val="000F0EE9"/>
    <w:rsid w:val="000F10AE"/>
    <w:rsid w:val="000F13BA"/>
    <w:rsid w:val="000F1B04"/>
    <w:rsid w:val="000F1FCD"/>
    <w:rsid w:val="000F2339"/>
    <w:rsid w:val="000F27CA"/>
    <w:rsid w:val="000F28DF"/>
    <w:rsid w:val="000F2C55"/>
    <w:rsid w:val="000F2E6A"/>
    <w:rsid w:val="000F2F69"/>
    <w:rsid w:val="000F2F96"/>
    <w:rsid w:val="000F2FA2"/>
    <w:rsid w:val="000F306C"/>
    <w:rsid w:val="000F33E1"/>
    <w:rsid w:val="000F3A39"/>
    <w:rsid w:val="000F3A4C"/>
    <w:rsid w:val="000F3B32"/>
    <w:rsid w:val="000F3D5A"/>
    <w:rsid w:val="000F3F71"/>
    <w:rsid w:val="000F43E6"/>
    <w:rsid w:val="000F43F8"/>
    <w:rsid w:val="000F4488"/>
    <w:rsid w:val="000F4577"/>
    <w:rsid w:val="000F46AE"/>
    <w:rsid w:val="000F47C0"/>
    <w:rsid w:val="000F47CF"/>
    <w:rsid w:val="000F4BB1"/>
    <w:rsid w:val="000F4BBF"/>
    <w:rsid w:val="000F4CAD"/>
    <w:rsid w:val="000F5013"/>
    <w:rsid w:val="000F52BF"/>
    <w:rsid w:val="000F5301"/>
    <w:rsid w:val="000F547C"/>
    <w:rsid w:val="000F586A"/>
    <w:rsid w:val="000F5E94"/>
    <w:rsid w:val="000F61F8"/>
    <w:rsid w:val="000F6247"/>
    <w:rsid w:val="000F63C3"/>
    <w:rsid w:val="000F63CD"/>
    <w:rsid w:val="000F6597"/>
    <w:rsid w:val="000F65C2"/>
    <w:rsid w:val="000F682F"/>
    <w:rsid w:val="000F6D6B"/>
    <w:rsid w:val="000F7BB3"/>
    <w:rsid w:val="000F7EF3"/>
    <w:rsid w:val="000F7F22"/>
    <w:rsid w:val="001006EE"/>
    <w:rsid w:val="001009E7"/>
    <w:rsid w:val="00100BC4"/>
    <w:rsid w:val="00100D01"/>
    <w:rsid w:val="00100FAB"/>
    <w:rsid w:val="00100FF9"/>
    <w:rsid w:val="001018CA"/>
    <w:rsid w:val="00101EA2"/>
    <w:rsid w:val="00101F01"/>
    <w:rsid w:val="001021D5"/>
    <w:rsid w:val="001021D7"/>
    <w:rsid w:val="001024D6"/>
    <w:rsid w:val="0010253F"/>
    <w:rsid w:val="00102ACD"/>
    <w:rsid w:val="00102ED6"/>
    <w:rsid w:val="00103275"/>
    <w:rsid w:val="00103629"/>
    <w:rsid w:val="001037BB"/>
    <w:rsid w:val="0010397C"/>
    <w:rsid w:val="001039D1"/>
    <w:rsid w:val="00103B50"/>
    <w:rsid w:val="00103C1E"/>
    <w:rsid w:val="00104285"/>
    <w:rsid w:val="00104401"/>
    <w:rsid w:val="0010445F"/>
    <w:rsid w:val="001044E9"/>
    <w:rsid w:val="001047B9"/>
    <w:rsid w:val="00104D47"/>
    <w:rsid w:val="00104DAF"/>
    <w:rsid w:val="00104DDD"/>
    <w:rsid w:val="0010524D"/>
    <w:rsid w:val="00105286"/>
    <w:rsid w:val="00105496"/>
    <w:rsid w:val="00105535"/>
    <w:rsid w:val="001056AE"/>
    <w:rsid w:val="00106065"/>
    <w:rsid w:val="0010646D"/>
    <w:rsid w:val="001067CD"/>
    <w:rsid w:val="00106C76"/>
    <w:rsid w:val="00106E0D"/>
    <w:rsid w:val="00106F76"/>
    <w:rsid w:val="00107149"/>
    <w:rsid w:val="00107483"/>
    <w:rsid w:val="001075E5"/>
    <w:rsid w:val="0010795B"/>
    <w:rsid w:val="00107A6E"/>
    <w:rsid w:val="00107C22"/>
    <w:rsid w:val="00107C59"/>
    <w:rsid w:val="00110652"/>
    <w:rsid w:val="00110754"/>
    <w:rsid w:val="001107B6"/>
    <w:rsid w:val="00110A73"/>
    <w:rsid w:val="00110C47"/>
    <w:rsid w:val="00110D50"/>
    <w:rsid w:val="00110EC5"/>
    <w:rsid w:val="00111214"/>
    <w:rsid w:val="0011151A"/>
    <w:rsid w:val="00111786"/>
    <w:rsid w:val="0011189F"/>
    <w:rsid w:val="00111DC2"/>
    <w:rsid w:val="00111F51"/>
    <w:rsid w:val="00112039"/>
    <w:rsid w:val="0011210F"/>
    <w:rsid w:val="0011217E"/>
    <w:rsid w:val="00112381"/>
    <w:rsid w:val="001125AC"/>
    <w:rsid w:val="00112689"/>
    <w:rsid w:val="00112AA1"/>
    <w:rsid w:val="00112C64"/>
    <w:rsid w:val="00112D01"/>
    <w:rsid w:val="00112E8F"/>
    <w:rsid w:val="00112F0C"/>
    <w:rsid w:val="001130A7"/>
    <w:rsid w:val="001132A4"/>
    <w:rsid w:val="001133E4"/>
    <w:rsid w:val="00113D5E"/>
    <w:rsid w:val="00113D83"/>
    <w:rsid w:val="0011405F"/>
    <w:rsid w:val="00114125"/>
    <w:rsid w:val="001141FA"/>
    <w:rsid w:val="0011441D"/>
    <w:rsid w:val="00114446"/>
    <w:rsid w:val="00114CC2"/>
    <w:rsid w:val="00115243"/>
    <w:rsid w:val="00115395"/>
    <w:rsid w:val="00115843"/>
    <w:rsid w:val="00115C0D"/>
    <w:rsid w:val="00115D8C"/>
    <w:rsid w:val="00115EFB"/>
    <w:rsid w:val="00115F91"/>
    <w:rsid w:val="0011604E"/>
    <w:rsid w:val="0011617A"/>
    <w:rsid w:val="00116271"/>
    <w:rsid w:val="00116531"/>
    <w:rsid w:val="00116FDB"/>
    <w:rsid w:val="00117187"/>
    <w:rsid w:val="001173FD"/>
    <w:rsid w:val="001177C4"/>
    <w:rsid w:val="00117BC3"/>
    <w:rsid w:val="00117BEF"/>
    <w:rsid w:val="00117E9B"/>
    <w:rsid w:val="00117EC7"/>
    <w:rsid w:val="00117F95"/>
    <w:rsid w:val="0012004F"/>
    <w:rsid w:val="00120061"/>
    <w:rsid w:val="00120267"/>
    <w:rsid w:val="001206CE"/>
    <w:rsid w:val="00120792"/>
    <w:rsid w:val="00120E53"/>
    <w:rsid w:val="001223EE"/>
    <w:rsid w:val="00122424"/>
    <w:rsid w:val="001225D0"/>
    <w:rsid w:val="001227F8"/>
    <w:rsid w:val="00122C2C"/>
    <w:rsid w:val="00122D9C"/>
    <w:rsid w:val="00122DD4"/>
    <w:rsid w:val="00123024"/>
    <w:rsid w:val="00123269"/>
    <w:rsid w:val="00123486"/>
    <w:rsid w:val="001234F3"/>
    <w:rsid w:val="0012359E"/>
    <w:rsid w:val="00123672"/>
    <w:rsid w:val="0012382F"/>
    <w:rsid w:val="00123C11"/>
    <w:rsid w:val="00123F18"/>
    <w:rsid w:val="00124032"/>
    <w:rsid w:val="00124059"/>
    <w:rsid w:val="00124511"/>
    <w:rsid w:val="00124CC1"/>
    <w:rsid w:val="00125661"/>
    <w:rsid w:val="00125697"/>
    <w:rsid w:val="001256B9"/>
    <w:rsid w:val="001256BF"/>
    <w:rsid w:val="00125914"/>
    <w:rsid w:val="00125B04"/>
    <w:rsid w:val="0012662A"/>
    <w:rsid w:val="00126814"/>
    <w:rsid w:val="001268BC"/>
    <w:rsid w:val="00126B93"/>
    <w:rsid w:val="00126BD5"/>
    <w:rsid w:val="00126BFE"/>
    <w:rsid w:val="00127201"/>
    <w:rsid w:val="00127837"/>
    <w:rsid w:val="00127A4D"/>
    <w:rsid w:val="00127D0A"/>
    <w:rsid w:val="00127DC7"/>
    <w:rsid w:val="00127E37"/>
    <w:rsid w:val="00127F74"/>
    <w:rsid w:val="00130303"/>
    <w:rsid w:val="0013061D"/>
    <w:rsid w:val="00130C91"/>
    <w:rsid w:val="00130D32"/>
    <w:rsid w:val="00130E57"/>
    <w:rsid w:val="00131A41"/>
    <w:rsid w:val="00132512"/>
    <w:rsid w:val="001325BF"/>
    <w:rsid w:val="001326E0"/>
    <w:rsid w:val="00132C97"/>
    <w:rsid w:val="00132CAB"/>
    <w:rsid w:val="001330E3"/>
    <w:rsid w:val="00133336"/>
    <w:rsid w:val="001334D7"/>
    <w:rsid w:val="001337FC"/>
    <w:rsid w:val="001338B7"/>
    <w:rsid w:val="00134017"/>
    <w:rsid w:val="0013402D"/>
    <w:rsid w:val="001343C5"/>
    <w:rsid w:val="0013487C"/>
    <w:rsid w:val="00134B1D"/>
    <w:rsid w:val="00134D16"/>
    <w:rsid w:val="00135613"/>
    <w:rsid w:val="00135A19"/>
    <w:rsid w:val="00135AA7"/>
    <w:rsid w:val="00135B3E"/>
    <w:rsid w:val="00135B90"/>
    <w:rsid w:val="00135BCB"/>
    <w:rsid w:val="001360DF"/>
    <w:rsid w:val="0013615C"/>
    <w:rsid w:val="001368DF"/>
    <w:rsid w:val="00136BED"/>
    <w:rsid w:val="00136ED9"/>
    <w:rsid w:val="001370FA"/>
    <w:rsid w:val="0013715D"/>
    <w:rsid w:val="001371BD"/>
    <w:rsid w:val="001371F4"/>
    <w:rsid w:val="0013722E"/>
    <w:rsid w:val="00137277"/>
    <w:rsid w:val="00137761"/>
    <w:rsid w:val="00137833"/>
    <w:rsid w:val="00137868"/>
    <w:rsid w:val="00137879"/>
    <w:rsid w:val="00137C59"/>
    <w:rsid w:val="00137D44"/>
    <w:rsid w:val="00137F69"/>
    <w:rsid w:val="00137FAB"/>
    <w:rsid w:val="001402BB"/>
    <w:rsid w:val="001403E4"/>
    <w:rsid w:val="00140582"/>
    <w:rsid w:val="00140659"/>
    <w:rsid w:val="00140843"/>
    <w:rsid w:val="00140ACF"/>
    <w:rsid w:val="00140D1C"/>
    <w:rsid w:val="00141071"/>
    <w:rsid w:val="001415C3"/>
    <w:rsid w:val="00141A57"/>
    <w:rsid w:val="00141BCB"/>
    <w:rsid w:val="00141EE2"/>
    <w:rsid w:val="00141F41"/>
    <w:rsid w:val="00141FEC"/>
    <w:rsid w:val="00142331"/>
    <w:rsid w:val="001425B2"/>
    <w:rsid w:val="00142B40"/>
    <w:rsid w:val="00142F05"/>
    <w:rsid w:val="00143E9E"/>
    <w:rsid w:val="00144121"/>
    <w:rsid w:val="00144144"/>
    <w:rsid w:val="00144377"/>
    <w:rsid w:val="00144B1A"/>
    <w:rsid w:val="00144B51"/>
    <w:rsid w:val="00144D8F"/>
    <w:rsid w:val="00144D90"/>
    <w:rsid w:val="00144DF8"/>
    <w:rsid w:val="00144FA5"/>
    <w:rsid w:val="0014510F"/>
    <w:rsid w:val="001454DD"/>
    <w:rsid w:val="00145682"/>
    <w:rsid w:val="001457FC"/>
    <w:rsid w:val="00145A4B"/>
    <w:rsid w:val="00145B95"/>
    <w:rsid w:val="0014620D"/>
    <w:rsid w:val="00146A67"/>
    <w:rsid w:val="00146EC0"/>
    <w:rsid w:val="0014702F"/>
    <w:rsid w:val="0014704E"/>
    <w:rsid w:val="00147182"/>
    <w:rsid w:val="001472BA"/>
    <w:rsid w:val="00147323"/>
    <w:rsid w:val="00147EE5"/>
    <w:rsid w:val="0015034F"/>
    <w:rsid w:val="00150725"/>
    <w:rsid w:val="00150A89"/>
    <w:rsid w:val="00150FAB"/>
    <w:rsid w:val="00151107"/>
    <w:rsid w:val="00151295"/>
    <w:rsid w:val="00151498"/>
    <w:rsid w:val="00151741"/>
    <w:rsid w:val="00151764"/>
    <w:rsid w:val="001519A7"/>
    <w:rsid w:val="001521F1"/>
    <w:rsid w:val="00152354"/>
    <w:rsid w:val="00152485"/>
    <w:rsid w:val="00152BB4"/>
    <w:rsid w:val="00152C3B"/>
    <w:rsid w:val="00152D4D"/>
    <w:rsid w:val="00152EC0"/>
    <w:rsid w:val="00153010"/>
    <w:rsid w:val="0015335D"/>
    <w:rsid w:val="00153385"/>
    <w:rsid w:val="00153937"/>
    <w:rsid w:val="001539B7"/>
    <w:rsid w:val="00153D44"/>
    <w:rsid w:val="00153E10"/>
    <w:rsid w:val="00153EBD"/>
    <w:rsid w:val="00154093"/>
    <w:rsid w:val="0015475B"/>
    <w:rsid w:val="0015480F"/>
    <w:rsid w:val="00154DAB"/>
    <w:rsid w:val="00154E0D"/>
    <w:rsid w:val="00154EF9"/>
    <w:rsid w:val="001552F1"/>
    <w:rsid w:val="001556C0"/>
    <w:rsid w:val="00155AA4"/>
    <w:rsid w:val="0015612E"/>
    <w:rsid w:val="0015617F"/>
    <w:rsid w:val="00156443"/>
    <w:rsid w:val="0015661D"/>
    <w:rsid w:val="001567E3"/>
    <w:rsid w:val="00156870"/>
    <w:rsid w:val="00156918"/>
    <w:rsid w:val="00156A0C"/>
    <w:rsid w:val="00156B90"/>
    <w:rsid w:val="00157117"/>
    <w:rsid w:val="0015785D"/>
    <w:rsid w:val="00157D76"/>
    <w:rsid w:val="00157F41"/>
    <w:rsid w:val="001600E9"/>
    <w:rsid w:val="00160A46"/>
    <w:rsid w:val="00160B5F"/>
    <w:rsid w:val="00160DC9"/>
    <w:rsid w:val="00160FD9"/>
    <w:rsid w:val="00160FEC"/>
    <w:rsid w:val="001610E5"/>
    <w:rsid w:val="0016113D"/>
    <w:rsid w:val="00161174"/>
    <w:rsid w:val="0016130F"/>
    <w:rsid w:val="001613E3"/>
    <w:rsid w:val="001613F7"/>
    <w:rsid w:val="00161449"/>
    <w:rsid w:val="001616F2"/>
    <w:rsid w:val="00161A0D"/>
    <w:rsid w:val="00161AEE"/>
    <w:rsid w:val="00161BC8"/>
    <w:rsid w:val="0016250C"/>
    <w:rsid w:val="001625E2"/>
    <w:rsid w:val="0016267F"/>
    <w:rsid w:val="00162AEF"/>
    <w:rsid w:val="00162D5F"/>
    <w:rsid w:val="00162D7D"/>
    <w:rsid w:val="00163029"/>
    <w:rsid w:val="001634AC"/>
    <w:rsid w:val="001636AF"/>
    <w:rsid w:val="00163A8B"/>
    <w:rsid w:val="00163B8F"/>
    <w:rsid w:val="00163CA2"/>
    <w:rsid w:val="00164004"/>
    <w:rsid w:val="00164307"/>
    <w:rsid w:val="00164326"/>
    <w:rsid w:val="00164551"/>
    <w:rsid w:val="0016492B"/>
    <w:rsid w:val="00164B73"/>
    <w:rsid w:val="00164C58"/>
    <w:rsid w:val="00164FE9"/>
    <w:rsid w:val="001653EA"/>
    <w:rsid w:val="00165CCD"/>
    <w:rsid w:val="00165F8E"/>
    <w:rsid w:val="00166003"/>
    <w:rsid w:val="0016600A"/>
    <w:rsid w:val="0016667D"/>
    <w:rsid w:val="00166B03"/>
    <w:rsid w:val="00166D6C"/>
    <w:rsid w:val="00166FB8"/>
    <w:rsid w:val="00167440"/>
    <w:rsid w:val="00167531"/>
    <w:rsid w:val="00167540"/>
    <w:rsid w:val="0017014F"/>
    <w:rsid w:val="00170234"/>
    <w:rsid w:val="001702A6"/>
    <w:rsid w:val="0017039C"/>
    <w:rsid w:val="0017056E"/>
    <w:rsid w:val="00170589"/>
    <w:rsid w:val="00170778"/>
    <w:rsid w:val="00170B36"/>
    <w:rsid w:val="00171028"/>
    <w:rsid w:val="0017130D"/>
    <w:rsid w:val="001714F3"/>
    <w:rsid w:val="00171E62"/>
    <w:rsid w:val="00171EAC"/>
    <w:rsid w:val="00172168"/>
    <w:rsid w:val="00172354"/>
    <w:rsid w:val="00172385"/>
    <w:rsid w:val="001725CF"/>
    <w:rsid w:val="001729F1"/>
    <w:rsid w:val="00172A0A"/>
    <w:rsid w:val="00172CB2"/>
    <w:rsid w:val="00172D87"/>
    <w:rsid w:val="001730EE"/>
    <w:rsid w:val="00173190"/>
    <w:rsid w:val="001737AE"/>
    <w:rsid w:val="001740E3"/>
    <w:rsid w:val="001742AF"/>
    <w:rsid w:val="00174E8A"/>
    <w:rsid w:val="00174F4B"/>
    <w:rsid w:val="0017517B"/>
    <w:rsid w:val="00175369"/>
    <w:rsid w:val="0017537B"/>
    <w:rsid w:val="001754BA"/>
    <w:rsid w:val="001757B8"/>
    <w:rsid w:val="00175E8A"/>
    <w:rsid w:val="00176066"/>
    <w:rsid w:val="00176443"/>
    <w:rsid w:val="00176779"/>
    <w:rsid w:val="001767DF"/>
    <w:rsid w:val="00176AFC"/>
    <w:rsid w:val="00176B51"/>
    <w:rsid w:val="00176EC3"/>
    <w:rsid w:val="001771FF"/>
    <w:rsid w:val="00177381"/>
    <w:rsid w:val="001775DC"/>
    <w:rsid w:val="00177A21"/>
    <w:rsid w:val="00180645"/>
    <w:rsid w:val="0018092E"/>
    <w:rsid w:val="00180989"/>
    <w:rsid w:val="00180ADA"/>
    <w:rsid w:val="001810BB"/>
    <w:rsid w:val="001812FE"/>
    <w:rsid w:val="001813E3"/>
    <w:rsid w:val="00181475"/>
    <w:rsid w:val="00181699"/>
    <w:rsid w:val="0018192E"/>
    <w:rsid w:val="001820AA"/>
    <w:rsid w:val="001827A2"/>
    <w:rsid w:val="00182A5A"/>
    <w:rsid w:val="00182D92"/>
    <w:rsid w:val="00182FE0"/>
    <w:rsid w:val="001830A3"/>
    <w:rsid w:val="00183435"/>
    <w:rsid w:val="00183877"/>
    <w:rsid w:val="00183E05"/>
    <w:rsid w:val="001844E0"/>
    <w:rsid w:val="00184DAF"/>
    <w:rsid w:val="00184DC1"/>
    <w:rsid w:val="00184E71"/>
    <w:rsid w:val="00184FC2"/>
    <w:rsid w:val="001851FF"/>
    <w:rsid w:val="00185342"/>
    <w:rsid w:val="00185429"/>
    <w:rsid w:val="00185D2F"/>
    <w:rsid w:val="0018669C"/>
    <w:rsid w:val="00186874"/>
    <w:rsid w:val="00186F8A"/>
    <w:rsid w:val="00186FC2"/>
    <w:rsid w:val="0018727F"/>
    <w:rsid w:val="00187284"/>
    <w:rsid w:val="00187F05"/>
    <w:rsid w:val="00190A33"/>
    <w:rsid w:val="00190A7C"/>
    <w:rsid w:val="00190C65"/>
    <w:rsid w:val="0019122F"/>
    <w:rsid w:val="0019138F"/>
    <w:rsid w:val="00191BBB"/>
    <w:rsid w:val="0019260D"/>
    <w:rsid w:val="00192B62"/>
    <w:rsid w:val="00192F22"/>
    <w:rsid w:val="00192FFD"/>
    <w:rsid w:val="001932E8"/>
    <w:rsid w:val="00193309"/>
    <w:rsid w:val="001939C2"/>
    <w:rsid w:val="00193BC2"/>
    <w:rsid w:val="00193BD5"/>
    <w:rsid w:val="00193C1F"/>
    <w:rsid w:val="00193C98"/>
    <w:rsid w:val="00193D52"/>
    <w:rsid w:val="00193F07"/>
    <w:rsid w:val="001940A1"/>
    <w:rsid w:val="001941FD"/>
    <w:rsid w:val="001944C9"/>
    <w:rsid w:val="00194655"/>
    <w:rsid w:val="00194CDC"/>
    <w:rsid w:val="00194D0B"/>
    <w:rsid w:val="00194E54"/>
    <w:rsid w:val="00194F8D"/>
    <w:rsid w:val="00194FF2"/>
    <w:rsid w:val="001950CD"/>
    <w:rsid w:val="0019538F"/>
    <w:rsid w:val="0019566A"/>
    <w:rsid w:val="001957BF"/>
    <w:rsid w:val="00195EE8"/>
    <w:rsid w:val="0019609E"/>
    <w:rsid w:val="001961A8"/>
    <w:rsid w:val="0019665D"/>
    <w:rsid w:val="0019687A"/>
    <w:rsid w:val="0019701C"/>
    <w:rsid w:val="001972F9"/>
    <w:rsid w:val="00197382"/>
    <w:rsid w:val="001974E9"/>
    <w:rsid w:val="0019785E"/>
    <w:rsid w:val="0019786F"/>
    <w:rsid w:val="0019794E"/>
    <w:rsid w:val="00197DD7"/>
    <w:rsid w:val="00197F0B"/>
    <w:rsid w:val="00197F57"/>
    <w:rsid w:val="001A0293"/>
    <w:rsid w:val="001A029B"/>
    <w:rsid w:val="001A05AB"/>
    <w:rsid w:val="001A0752"/>
    <w:rsid w:val="001A08BE"/>
    <w:rsid w:val="001A0C13"/>
    <w:rsid w:val="001A0D77"/>
    <w:rsid w:val="001A1634"/>
    <w:rsid w:val="001A196A"/>
    <w:rsid w:val="001A19A3"/>
    <w:rsid w:val="001A1D95"/>
    <w:rsid w:val="001A207F"/>
    <w:rsid w:val="001A2326"/>
    <w:rsid w:val="001A2565"/>
    <w:rsid w:val="001A2A72"/>
    <w:rsid w:val="001A2ACE"/>
    <w:rsid w:val="001A337B"/>
    <w:rsid w:val="001A340E"/>
    <w:rsid w:val="001A369D"/>
    <w:rsid w:val="001A37E9"/>
    <w:rsid w:val="001A3BBA"/>
    <w:rsid w:val="001A3D2D"/>
    <w:rsid w:val="001A4064"/>
    <w:rsid w:val="001A42E9"/>
    <w:rsid w:val="001A458F"/>
    <w:rsid w:val="001A4963"/>
    <w:rsid w:val="001A4A83"/>
    <w:rsid w:val="001A508F"/>
    <w:rsid w:val="001A54FD"/>
    <w:rsid w:val="001A55E2"/>
    <w:rsid w:val="001A5855"/>
    <w:rsid w:val="001A5DF7"/>
    <w:rsid w:val="001A6841"/>
    <w:rsid w:val="001A688F"/>
    <w:rsid w:val="001A69B5"/>
    <w:rsid w:val="001A6DB9"/>
    <w:rsid w:val="001A74E0"/>
    <w:rsid w:val="001A7CE7"/>
    <w:rsid w:val="001A7D27"/>
    <w:rsid w:val="001A7D70"/>
    <w:rsid w:val="001A7E82"/>
    <w:rsid w:val="001B025B"/>
    <w:rsid w:val="001B0482"/>
    <w:rsid w:val="001B0728"/>
    <w:rsid w:val="001B1071"/>
    <w:rsid w:val="001B11FA"/>
    <w:rsid w:val="001B1417"/>
    <w:rsid w:val="001B1762"/>
    <w:rsid w:val="001B17AC"/>
    <w:rsid w:val="001B1A65"/>
    <w:rsid w:val="001B1D15"/>
    <w:rsid w:val="001B1F73"/>
    <w:rsid w:val="001B20B7"/>
    <w:rsid w:val="001B2306"/>
    <w:rsid w:val="001B2592"/>
    <w:rsid w:val="001B2D28"/>
    <w:rsid w:val="001B2FD9"/>
    <w:rsid w:val="001B3154"/>
    <w:rsid w:val="001B3B18"/>
    <w:rsid w:val="001B3E50"/>
    <w:rsid w:val="001B3F35"/>
    <w:rsid w:val="001B3F79"/>
    <w:rsid w:val="001B4266"/>
    <w:rsid w:val="001B436D"/>
    <w:rsid w:val="001B4739"/>
    <w:rsid w:val="001B481A"/>
    <w:rsid w:val="001B4A76"/>
    <w:rsid w:val="001B518A"/>
    <w:rsid w:val="001B531B"/>
    <w:rsid w:val="001B54AE"/>
    <w:rsid w:val="001B56D3"/>
    <w:rsid w:val="001B57E4"/>
    <w:rsid w:val="001B588D"/>
    <w:rsid w:val="001B5AD0"/>
    <w:rsid w:val="001B5F13"/>
    <w:rsid w:val="001B6768"/>
    <w:rsid w:val="001B68B5"/>
    <w:rsid w:val="001B6A8A"/>
    <w:rsid w:val="001B6DAF"/>
    <w:rsid w:val="001B6F2A"/>
    <w:rsid w:val="001B71D7"/>
    <w:rsid w:val="001B772A"/>
    <w:rsid w:val="001B77F6"/>
    <w:rsid w:val="001B7922"/>
    <w:rsid w:val="001B7924"/>
    <w:rsid w:val="001B7D1B"/>
    <w:rsid w:val="001B7E01"/>
    <w:rsid w:val="001B7E67"/>
    <w:rsid w:val="001B7F1F"/>
    <w:rsid w:val="001B7F2F"/>
    <w:rsid w:val="001C0105"/>
    <w:rsid w:val="001C04CC"/>
    <w:rsid w:val="001C065A"/>
    <w:rsid w:val="001C068A"/>
    <w:rsid w:val="001C0922"/>
    <w:rsid w:val="001C0B42"/>
    <w:rsid w:val="001C0D2E"/>
    <w:rsid w:val="001C112C"/>
    <w:rsid w:val="001C1141"/>
    <w:rsid w:val="001C127E"/>
    <w:rsid w:val="001C199F"/>
    <w:rsid w:val="001C1A89"/>
    <w:rsid w:val="001C1E1B"/>
    <w:rsid w:val="001C1EE9"/>
    <w:rsid w:val="001C205D"/>
    <w:rsid w:val="001C2296"/>
    <w:rsid w:val="001C2633"/>
    <w:rsid w:val="001C26C0"/>
    <w:rsid w:val="001C27DC"/>
    <w:rsid w:val="001C294A"/>
    <w:rsid w:val="001C29B4"/>
    <w:rsid w:val="001C2B10"/>
    <w:rsid w:val="001C2D28"/>
    <w:rsid w:val="001C33FF"/>
    <w:rsid w:val="001C3462"/>
    <w:rsid w:val="001C34CF"/>
    <w:rsid w:val="001C3B44"/>
    <w:rsid w:val="001C3BC8"/>
    <w:rsid w:val="001C3C51"/>
    <w:rsid w:val="001C42C0"/>
    <w:rsid w:val="001C42F4"/>
    <w:rsid w:val="001C464D"/>
    <w:rsid w:val="001C467C"/>
    <w:rsid w:val="001C497C"/>
    <w:rsid w:val="001C49A8"/>
    <w:rsid w:val="001C4B00"/>
    <w:rsid w:val="001C4BBD"/>
    <w:rsid w:val="001C4C82"/>
    <w:rsid w:val="001C5504"/>
    <w:rsid w:val="001C551C"/>
    <w:rsid w:val="001C56A3"/>
    <w:rsid w:val="001C5853"/>
    <w:rsid w:val="001C597A"/>
    <w:rsid w:val="001C5CF8"/>
    <w:rsid w:val="001C5D4B"/>
    <w:rsid w:val="001C688D"/>
    <w:rsid w:val="001C69AF"/>
    <w:rsid w:val="001C6C90"/>
    <w:rsid w:val="001C6C9B"/>
    <w:rsid w:val="001C6DD6"/>
    <w:rsid w:val="001C6EFB"/>
    <w:rsid w:val="001C7835"/>
    <w:rsid w:val="001C7C3A"/>
    <w:rsid w:val="001C7E85"/>
    <w:rsid w:val="001D0172"/>
    <w:rsid w:val="001D025B"/>
    <w:rsid w:val="001D05B2"/>
    <w:rsid w:val="001D0634"/>
    <w:rsid w:val="001D08A7"/>
    <w:rsid w:val="001D09FD"/>
    <w:rsid w:val="001D0BCC"/>
    <w:rsid w:val="001D0BCD"/>
    <w:rsid w:val="001D0E52"/>
    <w:rsid w:val="001D16EB"/>
    <w:rsid w:val="001D209E"/>
    <w:rsid w:val="001D2283"/>
    <w:rsid w:val="001D2348"/>
    <w:rsid w:val="001D297F"/>
    <w:rsid w:val="001D2B68"/>
    <w:rsid w:val="001D2B91"/>
    <w:rsid w:val="001D2FD3"/>
    <w:rsid w:val="001D31D9"/>
    <w:rsid w:val="001D3208"/>
    <w:rsid w:val="001D36F4"/>
    <w:rsid w:val="001D3706"/>
    <w:rsid w:val="001D3894"/>
    <w:rsid w:val="001D3C67"/>
    <w:rsid w:val="001D3DF5"/>
    <w:rsid w:val="001D3E4D"/>
    <w:rsid w:val="001D3EE6"/>
    <w:rsid w:val="001D4050"/>
    <w:rsid w:val="001D4102"/>
    <w:rsid w:val="001D4415"/>
    <w:rsid w:val="001D44E6"/>
    <w:rsid w:val="001D46C2"/>
    <w:rsid w:val="001D4A4A"/>
    <w:rsid w:val="001D4B98"/>
    <w:rsid w:val="001D4D8A"/>
    <w:rsid w:val="001D4FFC"/>
    <w:rsid w:val="001D5358"/>
    <w:rsid w:val="001D547E"/>
    <w:rsid w:val="001D55EF"/>
    <w:rsid w:val="001D5872"/>
    <w:rsid w:val="001D5D82"/>
    <w:rsid w:val="001D5E7A"/>
    <w:rsid w:val="001D62FA"/>
    <w:rsid w:val="001D640B"/>
    <w:rsid w:val="001D6AAB"/>
    <w:rsid w:val="001D6B81"/>
    <w:rsid w:val="001D71F9"/>
    <w:rsid w:val="001D7BD5"/>
    <w:rsid w:val="001D7CC5"/>
    <w:rsid w:val="001D7D9B"/>
    <w:rsid w:val="001D7EC9"/>
    <w:rsid w:val="001E0582"/>
    <w:rsid w:val="001E07D1"/>
    <w:rsid w:val="001E1CC5"/>
    <w:rsid w:val="001E1E91"/>
    <w:rsid w:val="001E1F86"/>
    <w:rsid w:val="001E2007"/>
    <w:rsid w:val="001E223C"/>
    <w:rsid w:val="001E278C"/>
    <w:rsid w:val="001E27C2"/>
    <w:rsid w:val="001E27D7"/>
    <w:rsid w:val="001E2B41"/>
    <w:rsid w:val="001E302C"/>
    <w:rsid w:val="001E3A37"/>
    <w:rsid w:val="001E3BFE"/>
    <w:rsid w:val="001E3D02"/>
    <w:rsid w:val="001E42FE"/>
    <w:rsid w:val="001E49A7"/>
    <w:rsid w:val="001E4BAF"/>
    <w:rsid w:val="001E5109"/>
    <w:rsid w:val="001E5369"/>
    <w:rsid w:val="001E53F3"/>
    <w:rsid w:val="001E5479"/>
    <w:rsid w:val="001E578F"/>
    <w:rsid w:val="001E5877"/>
    <w:rsid w:val="001E5FD2"/>
    <w:rsid w:val="001E6479"/>
    <w:rsid w:val="001E6674"/>
    <w:rsid w:val="001E66CF"/>
    <w:rsid w:val="001E68F6"/>
    <w:rsid w:val="001E6B9A"/>
    <w:rsid w:val="001E6BB4"/>
    <w:rsid w:val="001E6D80"/>
    <w:rsid w:val="001E6E80"/>
    <w:rsid w:val="001E6FC2"/>
    <w:rsid w:val="001E753D"/>
    <w:rsid w:val="001E7986"/>
    <w:rsid w:val="001E7DA3"/>
    <w:rsid w:val="001F00DC"/>
    <w:rsid w:val="001F04D0"/>
    <w:rsid w:val="001F0831"/>
    <w:rsid w:val="001F10CD"/>
    <w:rsid w:val="001F1186"/>
    <w:rsid w:val="001F13C1"/>
    <w:rsid w:val="001F14DD"/>
    <w:rsid w:val="001F15B0"/>
    <w:rsid w:val="001F1966"/>
    <w:rsid w:val="001F1A9A"/>
    <w:rsid w:val="001F1C66"/>
    <w:rsid w:val="001F1C74"/>
    <w:rsid w:val="001F1E9A"/>
    <w:rsid w:val="001F207A"/>
    <w:rsid w:val="001F2545"/>
    <w:rsid w:val="001F2816"/>
    <w:rsid w:val="001F29AA"/>
    <w:rsid w:val="001F2D3D"/>
    <w:rsid w:val="001F37D6"/>
    <w:rsid w:val="001F39E3"/>
    <w:rsid w:val="001F41B0"/>
    <w:rsid w:val="001F4260"/>
    <w:rsid w:val="001F4378"/>
    <w:rsid w:val="001F446D"/>
    <w:rsid w:val="001F5144"/>
    <w:rsid w:val="001F51CD"/>
    <w:rsid w:val="001F556C"/>
    <w:rsid w:val="001F5959"/>
    <w:rsid w:val="001F5CA8"/>
    <w:rsid w:val="001F5D7A"/>
    <w:rsid w:val="001F5E47"/>
    <w:rsid w:val="001F6099"/>
    <w:rsid w:val="001F65AD"/>
    <w:rsid w:val="001F66BF"/>
    <w:rsid w:val="001F6773"/>
    <w:rsid w:val="001F687B"/>
    <w:rsid w:val="001F69FC"/>
    <w:rsid w:val="001F6B0A"/>
    <w:rsid w:val="001F6BFC"/>
    <w:rsid w:val="001F6F5A"/>
    <w:rsid w:val="001F7188"/>
    <w:rsid w:val="001F726D"/>
    <w:rsid w:val="001F766F"/>
    <w:rsid w:val="001F76D2"/>
    <w:rsid w:val="001F7834"/>
    <w:rsid w:val="001F7D50"/>
    <w:rsid w:val="001F7E0D"/>
    <w:rsid w:val="001F7E90"/>
    <w:rsid w:val="001F7FB3"/>
    <w:rsid w:val="002005DB"/>
    <w:rsid w:val="0020077B"/>
    <w:rsid w:val="00200B4B"/>
    <w:rsid w:val="00200B92"/>
    <w:rsid w:val="00200EF6"/>
    <w:rsid w:val="00201020"/>
    <w:rsid w:val="002010E8"/>
    <w:rsid w:val="00201320"/>
    <w:rsid w:val="00201375"/>
    <w:rsid w:val="002016F5"/>
    <w:rsid w:val="002017A1"/>
    <w:rsid w:val="002018A1"/>
    <w:rsid w:val="002019BE"/>
    <w:rsid w:val="00201C1A"/>
    <w:rsid w:val="00201F6A"/>
    <w:rsid w:val="0020204A"/>
    <w:rsid w:val="00202412"/>
    <w:rsid w:val="0020283E"/>
    <w:rsid w:val="00202DD3"/>
    <w:rsid w:val="002030F8"/>
    <w:rsid w:val="00203455"/>
    <w:rsid w:val="002034B8"/>
    <w:rsid w:val="00203622"/>
    <w:rsid w:val="00203ECB"/>
    <w:rsid w:val="00204456"/>
    <w:rsid w:val="00204ABA"/>
    <w:rsid w:val="002054C3"/>
    <w:rsid w:val="00205782"/>
    <w:rsid w:val="00205A3C"/>
    <w:rsid w:val="00206183"/>
    <w:rsid w:val="002067CE"/>
    <w:rsid w:val="002067EF"/>
    <w:rsid w:val="00206881"/>
    <w:rsid w:val="002069AB"/>
    <w:rsid w:val="00206C9B"/>
    <w:rsid w:val="00206D6C"/>
    <w:rsid w:val="00206E7F"/>
    <w:rsid w:val="002070C1"/>
    <w:rsid w:val="00207315"/>
    <w:rsid w:val="00207334"/>
    <w:rsid w:val="00207CC8"/>
    <w:rsid w:val="002101D1"/>
    <w:rsid w:val="0021020E"/>
    <w:rsid w:val="00210B55"/>
    <w:rsid w:val="00210B66"/>
    <w:rsid w:val="00210BC0"/>
    <w:rsid w:val="00210F3E"/>
    <w:rsid w:val="002112EC"/>
    <w:rsid w:val="002117EB"/>
    <w:rsid w:val="00211880"/>
    <w:rsid w:val="002118A9"/>
    <w:rsid w:val="00211E3C"/>
    <w:rsid w:val="002120AC"/>
    <w:rsid w:val="00212160"/>
    <w:rsid w:val="00212363"/>
    <w:rsid w:val="00212457"/>
    <w:rsid w:val="00212BD7"/>
    <w:rsid w:val="00212D93"/>
    <w:rsid w:val="002130E0"/>
    <w:rsid w:val="002132F6"/>
    <w:rsid w:val="002137A0"/>
    <w:rsid w:val="0021381D"/>
    <w:rsid w:val="00213E82"/>
    <w:rsid w:val="00213EA0"/>
    <w:rsid w:val="00214485"/>
    <w:rsid w:val="00214913"/>
    <w:rsid w:val="00215303"/>
    <w:rsid w:val="00215354"/>
    <w:rsid w:val="00215644"/>
    <w:rsid w:val="0021579E"/>
    <w:rsid w:val="00215CAA"/>
    <w:rsid w:val="00215E6F"/>
    <w:rsid w:val="00216086"/>
    <w:rsid w:val="00216304"/>
    <w:rsid w:val="00216CF3"/>
    <w:rsid w:val="00216D1F"/>
    <w:rsid w:val="00216F63"/>
    <w:rsid w:val="0021705B"/>
    <w:rsid w:val="00217945"/>
    <w:rsid w:val="00217953"/>
    <w:rsid w:val="00217B13"/>
    <w:rsid w:val="00217FB5"/>
    <w:rsid w:val="002201A5"/>
    <w:rsid w:val="00220221"/>
    <w:rsid w:val="00220239"/>
    <w:rsid w:val="0022029D"/>
    <w:rsid w:val="002202A5"/>
    <w:rsid w:val="00220901"/>
    <w:rsid w:val="00220962"/>
    <w:rsid w:val="00220AD7"/>
    <w:rsid w:val="00220E51"/>
    <w:rsid w:val="002211B4"/>
    <w:rsid w:val="00221580"/>
    <w:rsid w:val="00221800"/>
    <w:rsid w:val="00221993"/>
    <w:rsid w:val="00221AB7"/>
    <w:rsid w:val="00221D18"/>
    <w:rsid w:val="00221D8A"/>
    <w:rsid w:val="00221F5C"/>
    <w:rsid w:val="002220B5"/>
    <w:rsid w:val="002220F5"/>
    <w:rsid w:val="00222171"/>
    <w:rsid w:val="002221BB"/>
    <w:rsid w:val="002221EE"/>
    <w:rsid w:val="00222269"/>
    <w:rsid w:val="002233E6"/>
    <w:rsid w:val="002237C2"/>
    <w:rsid w:val="00223B37"/>
    <w:rsid w:val="00223B43"/>
    <w:rsid w:val="00223CAE"/>
    <w:rsid w:val="00223ED0"/>
    <w:rsid w:val="002240BF"/>
    <w:rsid w:val="00224482"/>
    <w:rsid w:val="002246E7"/>
    <w:rsid w:val="00224AD2"/>
    <w:rsid w:val="002254AB"/>
    <w:rsid w:val="0022564B"/>
    <w:rsid w:val="0022590E"/>
    <w:rsid w:val="0022628A"/>
    <w:rsid w:val="002263A2"/>
    <w:rsid w:val="0022678D"/>
    <w:rsid w:val="00226A9C"/>
    <w:rsid w:val="00226C15"/>
    <w:rsid w:val="00226CE5"/>
    <w:rsid w:val="00226CF8"/>
    <w:rsid w:val="00226DA7"/>
    <w:rsid w:val="00226F19"/>
    <w:rsid w:val="00227712"/>
    <w:rsid w:val="002279AB"/>
    <w:rsid w:val="00227CFD"/>
    <w:rsid w:val="00227DEC"/>
    <w:rsid w:val="002300D8"/>
    <w:rsid w:val="00230468"/>
    <w:rsid w:val="00230612"/>
    <w:rsid w:val="002306D3"/>
    <w:rsid w:val="00230844"/>
    <w:rsid w:val="00230DF3"/>
    <w:rsid w:val="0023126E"/>
    <w:rsid w:val="00231B7D"/>
    <w:rsid w:val="00231B93"/>
    <w:rsid w:val="00232070"/>
    <w:rsid w:val="00232970"/>
    <w:rsid w:val="00232D2A"/>
    <w:rsid w:val="00232D72"/>
    <w:rsid w:val="00232DD7"/>
    <w:rsid w:val="0023352F"/>
    <w:rsid w:val="00233655"/>
    <w:rsid w:val="0023372D"/>
    <w:rsid w:val="00233D4D"/>
    <w:rsid w:val="00233D51"/>
    <w:rsid w:val="00233F7A"/>
    <w:rsid w:val="00234108"/>
    <w:rsid w:val="00234293"/>
    <w:rsid w:val="002343E2"/>
    <w:rsid w:val="00234455"/>
    <w:rsid w:val="002344EB"/>
    <w:rsid w:val="00234A02"/>
    <w:rsid w:val="00234A4D"/>
    <w:rsid w:val="00234D66"/>
    <w:rsid w:val="00234FEB"/>
    <w:rsid w:val="002350F7"/>
    <w:rsid w:val="002350FD"/>
    <w:rsid w:val="00235AE7"/>
    <w:rsid w:val="00235C5C"/>
    <w:rsid w:val="002362DD"/>
    <w:rsid w:val="0023633F"/>
    <w:rsid w:val="00236433"/>
    <w:rsid w:val="002366CC"/>
    <w:rsid w:val="00236C5D"/>
    <w:rsid w:val="00236D2B"/>
    <w:rsid w:val="00236F01"/>
    <w:rsid w:val="002370EF"/>
    <w:rsid w:val="002374A4"/>
    <w:rsid w:val="00237BC6"/>
    <w:rsid w:val="0024038C"/>
    <w:rsid w:val="00240532"/>
    <w:rsid w:val="002405FE"/>
    <w:rsid w:val="00240639"/>
    <w:rsid w:val="002407FD"/>
    <w:rsid w:val="002408EF"/>
    <w:rsid w:val="00240997"/>
    <w:rsid w:val="00240D49"/>
    <w:rsid w:val="002411F4"/>
    <w:rsid w:val="0024165F"/>
    <w:rsid w:val="0024169C"/>
    <w:rsid w:val="00241A41"/>
    <w:rsid w:val="00241AE1"/>
    <w:rsid w:val="002428B9"/>
    <w:rsid w:val="002429F5"/>
    <w:rsid w:val="00242AB5"/>
    <w:rsid w:val="00242C21"/>
    <w:rsid w:val="00242D9D"/>
    <w:rsid w:val="00242EBE"/>
    <w:rsid w:val="002431A5"/>
    <w:rsid w:val="0024332B"/>
    <w:rsid w:val="002433BD"/>
    <w:rsid w:val="002434E8"/>
    <w:rsid w:val="00243628"/>
    <w:rsid w:val="00244497"/>
    <w:rsid w:val="00244613"/>
    <w:rsid w:val="00244929"/>
    <w:rsid w:val="002449D4"/>
    <w:rsid w:val="00244E89"/>
    <w:rsid w:val="002454F1"/>
    <w:rsid w:val="002457DE"/>
    <w:rsid w:val="00245B3E"/>
    <w:rsid w:val="0024604A"/>
    <w:rsid w:val="002463C1"/>
    <w:rsid w:val="00246435"/>
    <w:rsid w:val="00246529"/>
    <w:rsid w:val="002466B4"/>
    <w:rsid w:val="002469E8"/>
    <w:rsid w:val="00246B20"/>
    <w:rsid w:val="00246BCF"/>
    <w:rsid w:val="00246E15"/>
    <w:rsid w:val="00247004"/>
    <w:rsid w:val="002471F9"/>
    <w:rsid w:val="00247477"/>
    <w:rsid w:val="00247543"/>
    <w:rsid w:val="00247B40"/>
    <w:rsid w:val="00250066"/>
    <w:rsid w:val="0025016D"/>
    <w:rsid w:val="002506B0"/>
    <w:rsid w:val="00250CF5"/>
    <w:rsid w:val="00251033"/>
    <w:rsid w:val="00251117"/>
    <w:rsid w:val="00251245"/>
    <w:rsid w:val="00251CA2"/>
    <w:rsid w:val="00251EEB"/>
    <w:rsid w:val="00251EF0"/>
    <w:rsid w:val="002520EF"/>
    <w:rsid w:val="00252315"/>
    <w:rsid w:val="0025242B"/>
    <w:rsid w:val="00252A6A"/>
    <w:rsid w:val="00252AA9"/>
    <w:rsid w:val="00253038"/>
    <w:rsid w:val="00253051"/>
    <w:rsid w:val="002533E5"/>
    <w:rsid w:val="00253720"/>
    <w:rsid w:val="00253787"/>
    <w:rsid w:val="00254078"/>
    <w:rsid w:val="002541AF"/>
    <w:rsid w:val="0025439D"/>
    <w:rsid w:val="002547F3"/>
    <w:rsid w:val="002549C2"/>
    <w:rsid w:val="00254AD6"/>
    <w:rsid w:val="00254B00"/>
    <w:rsid w:val="00254C7D"/>
    <w:rsid w:val="00254DCA"/>
    <w:rsid w:val="00254F10"/>
    <w:rsid w:val="00254F2F"/>
    <w:rsid w:val="0025518D"/>
    <w:rsid w:val="00255344"/>
    <w:rsid w:val="00255545"/>
    <w:rsid w:val="00255889"/>
    <w:rsid w:val="00255986"/>
    <w:rsid w:val="00255C54"/>
    <w:rsid w:val="00255DBF"/>
    <w:rsid w:val="00255DF0"/>
    <w:rsid w:val="0025627E"/>
    <w:rsid w:val="002565AE"/>
    <w:rsid w:val="00256922"/>
    <w:rsid w:val="00256B89"/>
    <w:rsid w:val="00256CEE"/>
    <w:rsid w:val="00256F51"/>
    <w:rsid w:val="00257008"/>
    <w:rsid w:val="00257074"/>
    <w:rsid w:val="00257AED"/>
    <w:rsid w:val="00260025"/>
    <w:rsid w:val="002601BB"/>
    <w:rsid w:val="002603F5"/>
    <w:rsid w:val="00260480"/>
    <w:rsid w:val="002605B7"/>
    <w:rsid w:val="002606A4"/>
    <w:rsid w:val="00260B96"/>
    <w:rsid w:val="00260C2F"/>
    <w:rsid w:val="00260CE9"/>
    <w:rsid w:val="002616E4"/>
    <w:rsid w:val="0026183B"/>
    <w:rsid w:val="002618F0"/>
    <w:rsid w:val="00261EA1"/>
    <w:rsid w:val="00262246"/>
    <w:rsid w:val="002622CB"/>
    <w:rsid w:val="0026236D"/>
    <w:rsid w:val="00262812"/>
    <w:rsid w:val="002630EA"/>
    <w:rsid w:val="002636C1"/>
    <w:rsid w:val="00263730"/>
    <w:rsid w:val="0026374F"/>
    <w:rsid w:val="00263796"/>
    <w:rsid w:val="00263ACA"/>
    <w:rsid w:val="0026442B"/>
    <w:rsid w:val="002645DF"/>
    <w:rsid w:val="00264A33"/>
    <w:rsid w:val="00264B3C"/>
    <w:rsid w:val="0026541B"/>
    <w:rsid w:val="00265705"/>
    <w:rsid w:val="00265918"/>
    <w:rsid w:val="00265B16"/>
    <w:rsid w:val="00265F57"/>
    <w:rsid w:val="002663BC"/>
    <w:rsid w:val="00266609"/>
    <w:rsid w:val="002666C6"/>
    <w:rsid w:val="0026678E"/>
    <w:rsid w:val="00266A44"/>
    <w:rsid w:val="00266A96"/>
    <w:rsid w:val="00266D01"/>
    <w:rsid w:val="00267C2D"/>
    <w:rsid w:val="00267F9E"/>
    <w:rsid w:val="00267FB1"/>
    <w:rsid w:val="002700E0"/>
    <w:rsid w:val="00270834"/>
    <w:rsid w:val="00270A63"/>
    <w:rsid w:val="00270BFF"/>
    <w:rsid w:val="00270E78"/>
    <w:rsid w:val="00271693"/>
    <w:rsid w:val="002718C0"/>
    <w:rsid w:val="00271913"/>
    <w:rsid w:val="00272C92"/>
    <w:rsid w:val="00272EB4"/>
    <w:rsid w:val="00273159"/>
    <w:rsid w:val="002736A5"/>
    <w:rsid w:val="00273764"/>
    <w:rsid w:val="00273928"/>
    <w:rsid w:val="00273D9E"/>
    <w:rsid w:val="00273E86"/>
    <w:rsid w:val="002743A6"/>
    <w:rsid w:val="002749D4"/>
    <w:rsid w:val="00274CA9"/>
    <w:rsid w:val="0027501A"/>
    <w:rsid w:val="00275056"/>
    <w:rsid w:val="002752F9"/>
    <w:rsid w:val="002754A7"/>
    <w:rsid w:val="00275780"/>
    <w:rsid w:val="0027624F"/>
    <w:rsid w:val="00276C0E"/>
    <w:rsid w:val="00276C61"/>
    <w:rsid w:val="00276E84"/>
    <w:rsid w:val="00277AC7"/>
    <w:rsid w:val="00277ECA"/>
    <w:rsid w:val="00280275"/>
    <w:rsid w:val="00280839"/>
    <w:rsid w:val="002809CB"/>
    <w:rsid w:val="00280B3F"/>
    <w:rsid w:val="002813BB"/>
    <w:rsid w:val="002814E6"/>
    <w:rsid w:val="00281620"/>
    <w:rsid w:val="00281A09"/>
    <w:rsid w:val="00281A54"/>
    <w:rsid w:val="00281DE7"/>
    <w:rsid w:val="00282733"/>
    <w:rsid w:val="00282751"/>
    <w:rsid w:val="00282AE5"/>
    <w:rsid w:val="00282E14"/>
    <w:rsid w:val="00283F88"/>
    <w:rsid w:val="0028411E"/>
    <w:rsid w:val="00284465"/>
    <w:rsid w:val="0028463E"/>
    <w:rsid w:val="00284C67"/>
    <w:rsid w:val="00284E38"/>
    <w:rsid w:val="00284EC8"/>
    <w:rsid w:val="00285434"/>
    <w:rsid w:val="00285F75"/>
    <w:rsid w:val="00285FCA"/>
    <w:rsid w:val="00286201"/>
    <w:rsid w:val="00286205"/>
    <w:rsid w:val="00286940"/>
    <w:rsid w:val="0028694B"/>
    <w:rsid w:val="00286969"/>
    <w:rsid w:val="0028704F"/>
    <w:rsid w:val="00287114"/>
    <w:rsid w:val="00287325"/>
    <w:rsid w:val="002878FB"/>
    <w:rsid w:val="00287BC6"/>
    <w:rsid w:val="00287F20"/>
    <w:rsid w:val="002903BD"/>
    <w:rsid w:val="002904EE"/>
    <w:rsid w:val="0029091A"/>
    <w:rsid w:val="00290B65"/>
    <w:rsid w:val="00290C18"/>
    <w:rsid w:val="00291675"/>
    <w:rsid w:val="00291734"/>
    <w:rsid w:val="0029193A"/>
    <w:rsid w:val="00291B31"/>
    <w:rsid w:val="00292086"/>
    <w:rsid w:val="0029253B"/>
    <w:rsid w:val="00292AAA"/>
    <w:rsid w:val="00292B9C"/>
    <w:rsid w:val="00292C95"/>
    <w:rsid w:val="00293632"/>
    <w:rsid w:val="002936B4"/>
    <w:rsid w:val="0029370C"/>
    <w:rsid w:val="00293A53"/>
    <w:rsid w:val="00293BBF"/>
    <w:rsid w:val="00293BDA"/>
    <w:rsid w:val="00294642"/>
    <w:rsid w:val="00294713"/>
    <w:rsid w:val="0029474F"/>
    <w:rsid w:val="0029479C"/>
    <w:rsid w:val="00294963"/>
    <w:rsid w:val="00294D35"/>
    <w:rsid w:val="00294E43"/>
    <w:rsid w:val="002951E6"/>
    <w:rsid w:val="0029520C"/>
    <w:rsid w:val="00295330"/>
    <w:rsid w:val="0029578F"/>
    <w:rsid w:val="00295CF2"/>
    <w:rsid w:val="00295D54"/>
    <w:rsid w:val="0029626F"/>
    <w:rsid w:val="00296F99"/>
    <w:rsid w:val="002979B1"/>
    <w:rsid w:val="00297BDA"/>
    <w:rsid w:val="002A012B"/>
    <w:rsid w:val="002A03CD"/>
    <w:rsid w:val="002A09B4"/>
    <w:rsid w:val="002A0C43"/>
    <w:rsid w:val="002A135A"/>
    <w:rsid w:val="002A19BC"/>
    <w:rsid w:val="002A1AC4"/>
    <w:rsid w:val="002A1ACC"/>
    <w:rsid w:val="002A1B02"/>
    <w:rsid w:val="002A2164"/>
    <w:rsid w:val="002A21B8"/>
    <w:rsid w:val="002A2323"/>
    <w:rsid w:val="002A23E3"/>
    <w:rsid w:val="002A289E"/>
    <w:rsid w:val="002A3380"/>
    <w:rsid w:val="002A34A6"/>
    <w:rsid w:val="002A36A8"/>
    <w:rsid w:val="002A36BB"/>
    <w:rsid w:val="002A3759"/>
    <w:rsid w:val="002A380B"/>
    <w:rsid w:val="002A3A85"/>
    <w:rsid w:val="002A3AE2"/>
    <w:rsid w:val="002A3EE1"/>
    <w:rsid w:val="002A3F9E"/>
    <w:rsid w:val="002A4031"/>
    <w:rsid w:val="002A428F"/>
    <w:rsid w:val="002A43AA"/>
    <w:rsid w:val="002A43EB"/>
    <w:rsid w:val="002A4423"/>
    <w:rsid w:val="002A46E2"/>
    <w:rsid w:val="002A5068"/>
    <w:rsid w:val="002A528A"/>
    <w:rsid w:val="002A5608"/>
    <w:rsid w:val="002A56D6"/>
    <w:rsid w:val="002A58E5"/>
    <w:rsid w:val="002A5BB3"/>
    <w:rsid w:val="002A5D48"/>
    <w:rsid w:val="002A5F38"/>
    <w:rsid w:val="002A634D"/>
    <w:rsid w:val="002A684D"/>
    <w:rsid w:val="002A6C4C"/>
    <w:rsid w:val="002A6EFA"/>
    <w:rsid w:val="002A6F95"/>
    <w:rsid w:val="002A78F6"/>
    <w:rsid w:val="002B048E"/>
    <w:rsid w:val="002B0555"/>
    <w:rsid w:val="002B0577"/>
    <w:rsid w:val="002B08EF"/>
    <w:rsid w:val="002B0957"/>
    <w:rsid w:val="002B0BAF"/>
    <w:rsid w:val="002B104C"/>
    <w:rsid w:val="002B1163"/>
    <w:rsid w:val="002B159E"/>
    <w:rsid w:val="002B18C2"/>
    <w:rsid w:val="002B1AC7"/>
    <w:rsid w:val="002B1BEA"/>
    <w:rsid w:val="002B1C46"/>
    <w:rsid w:val="002B1F97"/>
    <w:rsid w:val="002B1FF5"/>
    <w:rsid w:val="002B21C0"/>
    <w:rsid w:val="002B2262"/>
    <w:rsid w:val="002B2475"/>
    <w:rsid w:val="002B24FD"/>
    <w:rsid w:val="002B270F"/>
    <w:rsid w:val="002B2AB0"/>
    <w:rsid w:val="002B30CC"/>
    <w:rsid w:val="002B40CC"/>
    <w:rsid w:val="002B49B7"/>
    <w:rsid w:val="002B4AE8"/>
    <w:rsid w:val="002B4CE4"/>
    <w:rsid w:val="002B57E8"/>
    <w:rsid w:val="002B5E55"/>
    <w:rsid w:val="002B6322"/>
    <w:rsid w:val="002B6359"/>
    <w:rsid w:val="002B6395"/>
    <w:rsid w:val="002B683D"/>
    <w:rsid w:val="002B6D73"/>
    <w:rsid w:val="002B7310"/>
    <w:rsid w:val="002B73EB"/>
    <w:rsid w:val="002B7577"/>
    <w:rsid w:val="002B7670"/>
    <w:rsid w:val="002B77D3"/>
    <w:rsid w:val="002B7FA5"/>
    <w:rsid w:val="002C021B"/>
    <w:rsid w:val="002C0474"/>
    <w:rsid w:val="002C0561"/>
    <w:rsid w:val="002C06C1"/>
    <w:rsid w:val="002C0A85"/>
    <w:rsid w:val="002C0B29"/>
    <w:rsid w:val="002C0D52"/>
    <w:rsid w:val="002C0E15"/>
    <w:rsid w:val="002C1026"/>
    <w:rsid w:val="002C107D"/>
    <w:rsid w:val="002C117F"/>
    <w:rsid w:val="002C11E7"/>
    <w:rsid w:val="002C16AF"/>
    <w:rsid w:val="002C1749"/>
    <w:rsid w:val="002C1793"/>
    <w:rsid w:val="002C1D1E"/>
    <w:rsid w:val="002C1E76"/>
    <w:rsid w:val="002C1F70"/>
    <w:rsid w:val="002C211F"/>
    <w:rsid w:val="002C27A2"/>
    <w:rsid w:val="002C2806"/>
    <w:rsid w:val="002C2E48"/>
    <w:rsid w:val="002C3775"/>
    <w:rsid w:val="002C383C"/>
    <w:rsid w:val="002C3FC7"/>
    <w:rsid w:val="002C4095"/>
    <w:rsid w:val="002C409D"/>
    <w:rsid w:val="002C4BBE"/>
    <w:rsid w:val="002C4C78"/>
    <w:rsid w:val="002C50B0"/>
    <w:rsid w:val="002C526C"/>
    <w:rsid w:val="002C544C"/>
    <w:rsid w:val="002C5D5C"/>
    <w:rsid w:val="002C5D78"/>
    <w:rsid w:val="002C5D9A"/>
    <w:rsid w:val="002C5EB2"/>
    <w:rsid w:val="002C613B"/>
    <w:rsid w:val="002C629C"/>
    <w:rsid w:val="002C662F"/>
    <w:rsid w:val="002C6967"/>
    <w:rsid w:val="002C6B47"/>
    <w:rsid w:val="002C70F1"/>
    <w:rsid w:val="002C72D8"/>
    <w:rsid w:val="002C740F"/>
    <w:rsid w:val="002C7703"/>
    <w:rsid w:val="002C78E3"/>
    <w:rsid w:val="002C797E"/>
    <w:rsid w:val="002D046A"/>
    <w:rsid w:val="002D0639"/>
    <w:rsid w:val="002D091D"/>
    <w:rsid w:val="002D118D"/>
    <w:rsid w:val="002D17C0"/>
    <w:rsid w:val="002D1989"/>
    <w:rsid w:val="002D1AE4"/>
    <w:rsid w:val="002D1FDD"/>
    <w:rsid w:val="002D21EF"/>
    <w:rsid w:val="002D2ACD"/>
    <w:rsid w:val="002D2B93"/>
    <w:rsid w:val="002D2C03"/>
    <w:rsid w:val="002D2D90"/>
    <w:rsid w:val="002D34FE"/>
    <w:rsid w:val="002D360E"/>
    <w:rsid w:val="002D39C2"/>
    <w:rsid w:val="002D3E82"/>
    <w:rsid w:val="002D40E6"/>
    <w:rsid w:val="002D4245"/>
    <w:rsid w:val="002D4251"/>
    <w:rsid w:val="002D42CB"/>
    <w:rsid w:val="002D464B"/>
    <w:rsid w:val="002D50CB"/>
    <w:rsid w:val="002D5187"/>
    <w:rsid w:val="002D51D7"/>
    <w:rsid w:val="002D5903"/>
    <w:rsid w:val="002D5E7A"/>
    <w:rsid w:val="002D6157"/>
    <w:rsid w:val="002D6886"/>
    <w:rsid w:val="002D6C34"/>
    <w:rsid w:val="002D6E35"/>
    <w:rsid w:val="002D6F11"/>
    <w:rsid w:val="002D75A5"/>
    <w:rsid w:val="002D79C0"/>
    <w:rsid w:val="002D7BDB"/>
    <w:rsid w:val="002D7C81"/>
    <w:rsid w:val="002D7DA8"/>
    <w:rsid w:val="002E0165"/>
    <w:rsid w:val="002E02AF"/>
    <w:rsid w:val="002E052C"/>
    <w:rsid w:val="002E055D"/>
    <w:rsid w:val="002E0831"/>
    <w:rsid w:val="002E0932"/>
    <w:rsid w:val="002E0F4F"/>
    <w:rsid w:val="002E1308"/>
    <w:rsid w:val="002E1374"/>
    <w:rsid w:val="002E18B3"/>
    <w:rsid w:val="002E1D88"/>
    <w:rsid w:val="002E1F83"/>
    <w:rsid w:val="002E1FF9"/>
    <w:rsid w:val="002E2274"/>
    <w:rsid w:val="002E227D"/>
    <w:rsid w:val="002E236D"/>
    <w:rsid w:val="002E2505"/>
    <w:rsid w:val="002E27C1"/>
    <w:rsid w:val="002E2C49"/>
    <w:rsid w:val="002E2CAF"/>
    <w:rsid w:val="002E2FC1"/>
    <w:rsid w:val="002E39FD"/>
    <w:rsid w:val="002E3F19"/>
    <w:rsid w:val="002E40CE"/>
    <w:rsid w:val="002E4310"/>
    <w:rsid w:val="002E44D4"/>
    <w:rsid w:val="002E4C9D"/>
    <w:rsid w:val="002E4DC2"/>
    <w:rsid w:val="002E4DD3"/>
    <w:rsid w:val="002E4FC6"/>
    <w:rsid w:val="002E50A5"/>
    <w:rsid w:val="002E51D2"/>
    <w:rsid w:val="002E57E1"/>
    <w:rsid w:val="002E5C2D"/>
    <w:rsid w:val="002E60A5"/>
    <w:rsid w:val="002E61BA"/>
    <w:rsid w:val="002E62E0"/>
    <w:rsid w:val="002E6403"/>
    <w:rsid w:val="002E6744"/>
    <w:rsid w:val="002E6D67"/>
    <w:rsid w:val="002E744A"/>
    <w:rsid w:val="002E790A"/>
    <w:rsid w:val="002E7A0E"/>
    <w:rsid w:val="002E7D88"/>
    <w:rsid w:val="002E7EFA"/>
    <w:rsid w:val="002F000C"/>
    <w:rsid w:val="002F015E"/>
    <w:rsid w:val="002F03A8"/>
    <w:rsid w:val="002F0625"/>
    <w:rsid w:val="002F0E46"/>
    <w:rsid w:val="002F0E9F"/>
    <w:rsid w:val="002F1053"/>
    <w:rsid w:val="002F1372"/>
    <w:rsid w:val="002F1759"/>
    <w:rsid w:val="002F188E"/>
    <w:rsid w:val="002F1E3B"/>
    <w:rsid w:val="002F2132"/>
    <w:rsid w:val="002F2215"/>
    <w:rsid w:val="002F2386"/>
    <w:rsid w:val="002F28E1"/>
    <w:rsid w:val="002F2954"/>
    <w:rsid w:val="002F35EA"/>
    <w:rsid w:val="002F379B"/>
    <w:rsid w:val="002F3EDF"/>
    <w:rsid w:val="002F3FBC"/>
    <w:rsid w:val="002F440F"/>
    <w:rsid w:val="002F48B3"/>
    <w:rsid w:val="002F48E7"/>
    <w:rsid w:val="002F4D4A"/>
    <w:rsid w:val="002F5441"/>
    <w:rsid w:val="002F5767"/>
    <w:rsid w:val="002F5AA3"/>
    <w:rsid w:val="002F5ECE"/>
    <w:rsid w:val="002F6386"/>
    <w:rsid w:val="002F6423"/>
    <w:rsid w:val="002F6662"/>
    <w:rsid w:val="002F684D"/>
    <w:rsid w:val="002F6B4D"/>
    <w:rsid w:val="002F73AD"/>
    <w:rsid w:val="002F74FA"/>
    <w:rsid w:val="002F75D6"/>
    <w:rsid w:val="002F7631"/>
    <w:rsid w:val="002F7681"/>
    <w:rsid w:val="002F798B"/>
    <w:rsid w:val="002F7AC3"/>
    <w:rsid w:val="002F7D3B"/>
    <w:rsid w:val="003000A6"/>
    <w:rsid w:val="003000D9"/>
    <w:rsid w:val="0030023C"/>
    <w:rsid w:val="00300746"/>
    <w:rsid w:val="00300A1D"/>
    <w:rsid w:val="0030149B"/>
    <w:rsid w:val="0030190B"/>
    <w:rsid w:val="00301A18"/>
    <w:rsid w:val="00301F79"/>
    <w:rsid w:val="00302257"/>
    <w:rsid w:val="0030227D"/>
    <w:rsid w:val="00302703"/>
    <w:rsid w:val="00302AC0"/>
    <w:rsid w:val="00302B24"/>
    <w:rsid w:val="00302B45"/>
    <w:rsid w:val="00302CCA"/>
    <w:rsid w:val="0030349F"/>
    <w:rsid w:val="00303704"/>
    <w:rsid w:val="00303D89"/>
    <w:rsid w:val="00303E4D"/>
    <w:rsid w:val="00303E57"/>
    <w:rsid w:val="00303F62"/>
    <w:rsid w:val="003042F8"/>
    <w:rsid w:val="00304552"/>
    <w:rsid w:val="003049C1"/>
    <w:rsid w:val="003049D4"/>
    <w:rsid w:val="00304B1E"/>
    <w:rsid w:val="00305171"/>
    <w:rsid w:val="0030552B"/>
    <w:rsid w:val="00305573"/>
    <w:rsid w:val="003055C5"/>
    <w:rsid w:val="00305A18"/>
    <w:rsid w:val="00305A19"/>
    <w:rsid w:val="00305A44"/>
    <w:rsid w:val="0030614B"/>
    <w:rsid w:val="0030627F"/>
    <w:rsid w:val="00306331"/>
    <w:rsid w:val="003064FA"/>
    <w:rsid w:val="0030671E"/>
    <w:rsid w:val="0030676E"/>
    <w:rsid w:val="00306844"/>
    <w:rsid w:val="0030685C"/>
    <w:rsid w:val="00306A50"/>
    <w:rsid w:val="00306A87"/>
    <w:rsid w:val="0030708C"/>
    <w:rsid w:val="003070E7"/>
    <w:rsid w:val="0030756F"/>
    <w:rsid w:val="0030759B"/>
    <w:rsid w:val="0030767A"/>
    <w:rsid w:val="0030770A"/>
    <w:rsid w:val="0030782E"/>
    <w:rsid w:val="003079B8"/>
    <w:rsid w:val="00307D9D"/>
    <w:rsid w:val="00307DBB"/>
    <w:rsid w:val="003101AF"/>
    <w:rsid w:val="0031031A"/>
    <w:rsid w:val="00310334"/>
    <w:rsid w:val="003106FA"/>
    <w:rsid w:val="00310701"/>
    <w:rsid w:val="003107E6"/>
    <w:rsid w:val="0031085C"/>
    <w:rsid w:val="003109D9"/>
    <w:rsid w:val="00310D1C"/>
    <w:rsid w:val="0031100B"/>
    <w:rsid w:val="00311205"/>
    <w:rsid w:val="0031127D"/>
    <w:rsid w:val="00311483"/>
    <w:rsid w:val="00311A38"/>
    <w:rsid w:val="00311B2F"/>
    <w:rsid w:val="00311F43"/>
    <w:rsid w:val="003121DB"/>
    <w:rsid w:val="00312760"/>
    <w:rsid w:val="0031281E"/>
    <w:rsid w:val="00312B21"/>
    <w:rsid w:val="00312E01"/>
    <w:rsid w:val="00312E59"/>
    <w:rsid w:val="00312F29"/>
    <w:rsid w:val="003131B5"/>
    <w:rsid w:val="003131BD"/>
    <w:rsid w:val="003131DC"/>
    <w:rsid w:val="00313768"/>
    <w:rsid w:val="00313790"/>
    <w:rsid w:val="003138A8"/>
    <w:rsid w:val="00314A45"/>
    <w:rsid w:val="00314B2E"/>
    <w:rsid w:val="00314B50"/>
    <w:rsid w:val="00314C0E"/>
    <w:rsid w:val="003156BB"/>
    <w:rsid w:val="00315D76"/>
    <w:rsid w:val="00315E13"/>
    <w:rsid w:val="00315FA1"/>
    <w:rsid w:val="0031615B"/>
    <w:rsid w:val="003168FF"/>
    <w:rsid w:val="0031694A"/>
    <w:rsid w:val="00316BBB"/>
    <w:rsid w:val="00316DE6"/>
    <w:rsid w:val="00317564"/>
    <w:rsid w:val="003175D4"/>
    <w:rsid w:val="00317BC3"/>
    <w:rsid w:val="00317D32"/>
    <w:rsid w:val="00317FB5"/>
    <w:rsid w:val="0032028C"/>
    <w:rsid w:val="003204F1"/>
    <w:rsid w:val="003208A2"/>
    <w:rsid w:val="00320B86"/>
    <w:rsid w:val="00320E9D"/>
    <w:rsid w:val="003210F3"/>
    <w:rsid w:val="003212E5"/>
    <w:rsid w:val="00321412"/>
    <w:rsid w:val="00321488"/>
    <w:rsid w:val="0032156E"/>
    <w:rsid w:val="003215A0"/>
    <w:rsid w:val="003218C7"/>
    <w:rsid w:val="003220C8"/>
    <w:rsid w:val="003220FC"/>
    <w:rsid w:val="003226A6"/>
    <w:rsid w:val="00322800"/>
    <w:rsid w:val="003230E1"/>
    <w:rsid w:val="00323400"/>
    <w:rsid w:val="00323806"/>
    <w:rsid w:val="00323960"/>
    <w:rsid w:val="00324524"/>
    <w:rsid w:val="00324734"/>
    <w:rsid w:val="003247D6"/>
    <w:rsid w:val="00324FB5"/>
    <w:rsid w:val="00325362"/>
    <w:rsid w:val="003254AF"/>
    <w:rsid w:val="00325DCF"/>
    <w:rsid w:val="00325F08"/>
    <w:rsid w:val="00325F95"/>
    <w:rsid w:val="003261DC"/>
    <w:rsid w:val="0032657C"/>
    <w:rsid w:val="00326A36"/>
    <w:rsid w:val="00326B03"/>
    <w:rsid w:val="00327345"/>
    <w:rsid w:val="00327538"/>
    <w:rsid w:val="0033018D"/>
    <w:rsid w:val="00330388"/>
    <w:rsid w:val="00330ABD"/>
    <w:rsid w:val="00330BDF"/>
    <w:rsid w:val="00330D45"/>
    <w:rsid w:val="00330F78"/>
    <w:rsid w:val="0033147A"/>
    <w:rsid w:val="003316ED"/>
    <w:rsid w:val="003318A9"/>
    <w:rsid w:val="00331BF1"/>
    <w:rsid w:val="00331C21"/>
    <w:rsid w:val="00331DB7"/>
    <w:rsid w:val="00332288"/>
    <w:rsid w:val="003323D9"/>
    <w:rsid w:val="003325F0"/>
    <w:rsid w:val="00332746"/>
    <w:rsid w:val="003327C6"/>
    <w:rsid w:val="00332DA8"/>
    <w:rsid w:val="003336AA"/>
    <w:rsid w:val="003337D1"/>
    <w:rsid w:val="00333C94"/>
    <w:rsid w:val="00333D15"/>
    <w:rsid w:val="00333E2E"/>
    <w:rsid w:val="00333F0F"/>
    <w:rsid w:val="00333F62"/>
    <w:rsid w:val="003340AE"/>
    <w:rsid w:val="003340C7"/>
    <w:rsid w:val="0033423B"/>
    <w:rsid w:val="0033433E"/>
    <w:rsid w:val="0033463A"/>
    <w:rsid w:val="003346DE"/>
    <w:rsid w:val="00334A33"/>
    <w:rsid w:val="00334FCF"/>
    <w:rsid w:val="0033515C"/>
    <w:rsid w:val="003352E1"/>
    <w:rsid w:val="00335474"/>
    <w:rsid w:val="003355D2"/>
    <w:rsid w:val="0033563D"/>
    <w:rsid w:val="003358BA"/>
    <w:rsid w:val="00335DE8"/>
    <w:rsid w:val="00336060"/>
    <w:rsid w:val="0033699D"/>
    <w:rsid w:val="0033699E"/>
    <w:rsid w:val="00336ECB"/>
    <w:rsid w:val="003371D9"/>
    <w:rsid w:val="003375D1"/>
    <w:rsid w:val="00337A9C"/>
    <w:rsid w:val="00337CFA"/>
    <w:rsid w:val="00337D34"/>
    <w:rsid w:val="0034013C"/>
    <w:rsid w:val="003404D8"/>
    <w:rsid w:val="003406B1"/>
    <w:rsid w:val="003406C4"/>
    <w:rsid w:val="00340B0F"/>
    <w:rsid w:val="00340C0B"/>
    <w:rsid w:val="0034100C"/>
    <w:rsid w:val="003413E7"/>
    <w:rsid w:val="00341457"/>
    <w:rsid w:val="003414B6"/>
    <w:rsid w:val="00341578"/>
    <w:rsid w:val="00341910"/>
    <w:rsid w:val="00341D47"/>
    <w:rsid w:val="00341D6B"/>
    <w:rsid w:val="00341F89"/>
    <w:rsid w:val="0034222C"/>
    <w:rsid w:val="0034228E"/>
    <w:rsid w:val="00342371"/>
    <w:rsid w:val="0034245E"/>
    <w:rsid w:val="00342497"/>
    <w:rsid w:val="00342C0E"/>
    <w:rsid w:val="00342C32"/>
    <w:rsid w:val="00342CA9"/>
    <w:rsid w:val="0034338E"/>
    <w:rsid w:val="0034339C"/>
    <w:rsid w:val="003437DD"/>
    <w:rsid w:val="00343CE1"/>
    <w:rsid w:val="00343E2E"/>
    <w:rsid w:val="003447D8"/>
    <w:rsid w:val="00344926"/>
    <w:rsid w:val="00344A1A"/>
    <w:rsid w:val="00344A2F"/>
    <w:rsid w:val="00344B0F"/>
    <w:rsid w:val="00344B85"/>
    <w:rsid w:val="00344C6E"/>
    <w:rsid w:val="00344F82"/>
    <w:rsid w:val="003451B9"/>
    <w:rsid w:val="003455EB"/>
    <w:rsid w:val="00345F7E"/>
    <w:rsid w:val="0034600B"/>
    <w:rsid w:val="00346092"/>
    <w:rsid w:val="003464FF"/>
    <w:rsid w:val="0034680A"/>
    <w:rsid w:val="003469BC"/>
    <w:rsid w:val="00346BCE"/>
    <w:rsid w:val="00347576"/>
    <w:rsid w:val="00347C24"/>
    <w:rsid w:val="00347F05"/>
    <w:rsid w:val="0035001D"/>
    <w:rsid w:val="0035051E"/>
    <w:rsid w:val="00350659"/>
    <w:rsid w:val="00350D5A"/>
    <w:rsid w:val="00350DA4"/>
    <w:rsid w:val="0035134B"/>
    <w:rsid w:val="003513AE"/>
    <w:rsid w:val="00351B9C"/>
    <w:rsid w:val="00351BF6"/>
    <w:rsid w:val="00351DC9"/>
    <w:rsid w:val="00352719"/>
    <w:rsid w:val="0035282B"/>
    <w:rsid w:val="00352A1D"/>
    <w:rsid w:val="00352A38"/>
    <w:rsid w:val="00352A62"/>
    <w:rsid w:val="00352AAF"/>
    <w:rsid w:val="00353138"/>
    <w:rsid w:val="00353397"/>
    <w:rsid w:val="00353FF4"/>
    <w:rsid w:val="0035406C"/>
    <w:rsid w:val="00354696"/>
    <w:rsid w:val="00354903"/>
    <w:rsid w:val="00354C0A"/>
    <w:rsid w:val="0035519A"/>
    <w:rsid w:val="00355589"/>
    <w:rsid w:val="00355649"/>
    <w:rsid w:val="003558A9"/>
    <w:rsid w:val="00355F95"/>
    <w:rsid w:val="003562B9"/>
    <w:rsid w:val="003567D7"/>
    <w:rsid w:val="00356A5E"/>
    <w:rsid w:val="00356BB8"/>
    <w:rsid w:val="00356F3D"/>
    <w:rsid w:val="0035738B"/>
    <w:rsid w:val="00357C56"/>
    <w:rsid w:val="00360020"/>
    <w:rsid w:val="003604A2"/>
    <w:rsid w:val="0036059A"/>
    <w:rsid w:val="0036079B"/>
    <w:rsid w:val="00360D7B"/>
    <w:rsid w:val="00361052"/>
    <w:rsid w:val="00361834"/>
    <w:rsid w:val="00361A23"/>
    <w:rsid w:val="00361B20"/>
    <w:rsid w:val="00361E5A"/>
    <w:rsid w:val="003620A5"/>
    <w:rsid w:val="003620FC"/>
    <w:rsid w:val="00362182"/>
    <w:rsid w:val="00362AEB"/>
    <w:rsid w:val="00362B34"/>
    <w:rsid w:val="00363025"/>
    <w:rsid w:val="0036308E"/>
    <w:rsid w:val="003632B7"/>
    <w:rsid w:val="00363546"/>
    <w:rsid w:val="003638D5"/>
    <w:rsid w:val="00363C1B"/>
    <w:rsid w:val="00363E64"/>
    <w:rsid w:val="00363FF8"/>
    <w:rsid w:val="003640E1"/>
    <w:rsid w:val="00364162"/>
    <w:rsid w:val="003642A8"/>
    <w:rsid w:val="00364B20"/>
    <w:rsid w:val="00364C68"/>
    <w:rsid w:val="003658C8"/>
    <w:rsid w:val="00365F63"/>
    <w:rsid w:val="003669A3"/>
    <w:rsid w:val="003673C6"/>
    <w:rsid w:val="00367AFC"/>
    <w:rsid w:val="00367B09"/>
    <w:rsid w:val="00367D98"/>
    <w:rsid w:val="003700F6"/>
    <w:rsid w:val="00370276"/>
    <w:rsid w:val="003704A9"/>
    <w:rsid w:val="003705B0"/>
    <w:rsid w:val="00370662"/>
    <w:rsid w:val="0037067D"/>
    <w:rsid w:val="00370970"/>
    <w:rsid w:val="00370F37"/>
    <w:rsid w:val="0037100B"/>
    <w:rsid w:val="003715DA"/>
    <w:rsid w:val="00371A29"/>
    <w:rsid w:val="00371E2B"/>
    <w:rsid w:val="0037203E"/>
    <w:rsid w:val="00372433"/>
    <w:rsid w:val="003724E6"/>
    <w:rsid w:val="0037252E"/>
    <w:rsid w:val="0037261C"/>
    <w:rsid w:val="00372659"/>
    <w:rsid w:val="0037267C"/>
    <w:rsid w:val="0037269E"/>
    <w:rsid w:val="0037277E"/>
    <w:rsid w:val="00372D0E"/>
    <w:rsid w:val="00372E1A"/>
    <w:rsid w:val="0037318E"/>
    <w:rsid w:val="003731FA"/>
    <w:rsid w:val="00373730"/>
    <w:rsid w:val="00373FEF"/>
    <w:rsid w:val="00374742"/>
    <w:rsid w:val="00374A4B"/>
    <w:rsid w:val="00374D06"/>
    <w:rsid w:val="00374EFD"/>
    <w:rsid w:val="003753B9"/>
    <w:rsid w:val="003756B8"/>
    <w:rsid w:val="0037584A"/>
    <w:rsid w:val="00375A62"/>
    <w:rsid w:val="00375C9C"/>
    <w:rsid w:val="00375F03"/>
    <w:rsid w:val="00376491"/>
    <w:rsid w:val="003766AF"/>
    <w:rsid w:val="00376AF9"/>
    <w:rsid w:val="00376D75"/>
    <w:rsid w:val="00376F9E"/>
    <w:rsid w:val="003770CF"/>
    <w:rsid w:val="0037721D"/>
    <w:rsid w:val="003772F7"/>
    <w:rsid w:val="003773BD"/>
    <w:rsid w:val="0037782C"/>
    <w:rsid w:val="003802A2"/>
    <w:rsid w:val="003805B3"/>
    <w:rsid w:val="003805B6"/>
    <w:rsid w:val="00380B4D"/>
    <w:rsid w:val="00380C45"/>
    <w:rsid w:val="00380EB3"/>
    <w:rsid w:val="0038102A"/>
    <w:rsid w:val="0038112A"/>
    <w:rsid w:val="003815B2"/>
    <w:rsid w:val="00381A66"/>
    <w:rsid w:val="00381E11"/>
    <w:rsid w:val="0038206D"/>
    <w:rsid w:val="003828FB"/>
    <w:rsid w:val="00382AA2"/>
    <w:rsid w:val="00382BC3"/>
    <w:rsid w:val="00382BEC"/>
    <w:rsid w:val="00382D62"/>
    <w:rsid w:val="00382D79"/>
    <w:rsid w:val="00382EF2"/>
    <w:rsid w:val="003833B4"/>
    <w:rsid w:val="00383404"/>
    <w:rsid w:val="0038411A"/>
    <w:rsid w:val="00384515"/>
    <w:rsid w:val="00384925"/>
    <w:rsid w:val="0038497E"/>
    <w:rsid w:val="00384DFF"/>
    <w:rsid w:val="00384E77"/>
    <w:rsid w:val="00384E98"/>
    <w:rsid w:val="00384FD3"/>
    <w:rsid w:val="00385619"/>
    <w:rsid w:val="00385683"/>
    <w:rsid w:val="003857EB"/>
    <w:rsid w:val="00385959"/>
    <w:rsid w:val="00386400"/>
    <w:rsid w:val="003867D0"/>
    <w:rsid w:val="003869DA"/>
    <w:rsid w:val="00387018"/>
    <w:rsid w:val="00387093"/>
    <w:rsid w:val="003872B4"/>
    <w:rsid w:val="0038748F"/>
    <w:rsid w:val="0038756B"/>
    <w:rsid w:val="00387B4C"/>
    <w:rsid w:val="00387E2A"/>
    <w:rsid w:val="00387E4E"/>
    <w:rsid w:val="00387F8E"/>
    <w:rsid w:val="0039002F"/>
    <w:rsid w:val="00390356"/>
    <w:rsid w:val="003905B9"/>
    <w:rsid w:val="00390897"/>
    <w:rsid w:val="00390A9D"/>
    <w:rsid w:val="00391352"/>
    <w:rsid w:val="003914B6"/>
    <w:rsid w:val="0039251B"/>
    <w:rsid w:val="003929C3"/>
    <w:rsid w:val="00392A34"/>
    <w:rsid w:val="00392E99"/>
    <w:rsid w:val="00393375"/>
    <w:rsid w:val="003935B2"/>
    <w:rsid w:val="0039361E"/>
    <w:rsid w:val="003937C2"/>
    <w:rsid w:val="003938A3"/>
    <w:rsid w:val="00393B5A"/>
    <w:rsid w:val="00393F37"/>
    <w:rsid w:val="0039403A"/>
    <w:rsid w:val="003941B4"/>
    <w:rsid w:val="00394A98"/>
    <w:rsid w:val="00394B72"/>
    <w:rsid w:val="00394BCF"/>
    <w:rsid w:val="00394DAF"/>
    <w:rsid w:val="00394EB5"/>
    <w:rsid w:val="00394ED1"/>
    <w:rsid w:val="003955EB"/>
    <w:rsid w:val="00395608"/>
    <w:rsid w:val="00395A35"/>
    <w:rsid w:val="00396BCC"/>
    <w:rsid w:val="00396EB5"/>
    <w:rsid w:val="00396FB1"/>
    <w:rsid w:val="003973FB"/>
    <w:rsid w:val="0039740F"/>
    <w:rsid w:val="00397954"/>
    <w:rsid w:val="003979A0"/>
    <w:rsid w:val="00397B1F"/>
    <w:rsid w:val="00397C64"/>
    <w:rsid w:val="00397DDB"/>
    <w:rsid w:val="00397E15"/>
    <w:rsid w:val="00397FA2"/>
    <w:rsid w:val="00397FC6"/>
    <w:rsid w:val="003A021B"/>
    <w:rsid w:val="003A03AB"/>
    <w:rsid w:val="003A0AE0"/>
    <w:rsid w:val="003A0ECF"/>
    <w:rsid w:val="003A0FB6"/>
    <w:rsid w:val="003A101E"/>
    <w:rsid w:val="003A148D"/>
    <w:rsid w:val="003A1912"/>
    <w:rsid w:val="003A19B6"/>
    <w:rsid w:val="003A1F8E"/>
    <w:rsid w:val="003A2410"/>
    <w:rsid w:val="003A256D"/>
    <w:rsid w:val="003A25B3"/>
    <w:rsid w:val="003A286E"/>
    <w:rsid w:val="003A2965"/>
    <w:rsid w:val="003A2A49"/>
    <w:rsid w:val="003A2B12"/>
    <w:rsid w:val="003A2B62"/>
    <w:rsid w:val="003A2C36"/>
    <w:rsid w:val="003A2E43"/>
    <w:rsid w:val="003A2F6F"/>
    <w:rsid w:val="003A3B97"/>
    <w:rsid w:val="003A3BF5"/>
    <w:rsid w:val="003A3DE0"/>
    <w:rsid w:val="003A3F8A"/>
    <w:rsid w:val="003A4001"/>
    <w:rsid w:val="003A44CD"/>
    <w:rsid w:val="003A4B12"/>
    <w:rsid w:val="003A4B98"/>
    <w:rsid w:val="003A4E2B"/>
    <w:rsid w:val="003A4F37"/>
    <w:rsid w:val="003A50B8"/>
    <w:rsid w:val="003A56BC"/>
    <w:rsid w:val="003A59C4"/>
    <w:rsid w:val="003A63B4"/>
    <w:rsid w:val="003A67A7"/>
    <w:rsid w:val="003A6BBB"/>
    <w:rsid w:val="003A70AD"/>
    <w:rsid w:val="003A743E"/>
    <w:rsid w:val="003A758A"/>
    <w:rsid w:val="003A7729"/>
    <w:rsid w:val="003A7ADE"/>
    <w:rsid w:val="003A7DCA"/>
    <w:rsid w:val="003B0A90"/>
    <w:rsid w:val="003B173B"/>
    <w:rsid w:val="003B183C"/>
    <w:rsid w:val="003B1B84"/>
    <w:rsid w:val="003B1B8F"/>
    <w:rsid w:val="003B1D30"/>
    <w:rsid w:val="003B1EB6"/>
    <w:rsid w:val="003B2192"/>
    <w:rsid w:val="003B228D"/>
    <w:rsid w:val="003B24A5"/>
    <w:rsid w:val="003B2681"/>
    <w:rsid w:val="003B274A"/>
    <w:rsid w:val="003B28B2"/>
    <w:rsid w:val="003B2A34"/>
    <w:rsid w:val="003B2B53"/>
    <w:rsid w:val="003B3388"/>
    <w:rsid w:val="003B3F27"/>
    <w:rsid w:val="003B3F67"/>
    <w:rsid w:val="003B3FDD"/>
    <w:rsid w:val="003B41BD"/>
    <w:rsid w:val="003B47B7"/>
    <w:rsid w:val="003B56B0"/>
    <w:rsid w:val="003B5ADA"/>
    <w:rsid w:val="003B5E61"/>
    <w:rsid w:val="003B6122"/>
    <w:rsid w:val="003B612D"/>
    <w:rsid w:val="003B6403"/>
    <w:rsid w:val="003B688E"/>
    <w:rsid w:val="003B699A"/>
    <w:rsid w:val="003B699D"/>
    <w:rsid w:val="003B6E2C"/>
    <w:rsid w:val="003B6FD5"/>
    <w:rsid w:val="003B709D"/>
    <w:rsid w:val="003B710A"/>
    <w:rsid w:val="003B712F"/>
    <w:rsid w:val="003B7560"/>
    <w:rsid w:val="003B7571"/>
    <w:rsid w:val="003B7CEC"/>
    <w:rsid w:val="003B7DB1"/>
    <w:rsid w:val="003C01D4"/>
    <w:rsid w:val="003C0301"/>
    <w:rsid w:val="003C04B3"/>
    <w:rsid w:val="003C053C"/>
    <w:rsid w:val="003C05B9"/>
    <w:rsid w:val="003C0682"/>
    <w:rsid w:val="003C089A"/>
    <w:rsid w:val="003C0904"/>
    <w:rsid w:val="003C0CE3"/>
    <w:rsid w:val="003C0D9B"/>
    <w:rsid w:val="003C0DBB"/>
    <w:rsid w:val="003C1115"/>
    <w:rsid w:val="003C1159"/>
    <w:rsid w:val="003C13DE"/>
    <w:rsid w:val="003C1688"/>
    <w:rsid w:val="003C176F"/>
    <w:rsid w:val="003C1B6F"/>
    <w:rsid w:val="003C1B8B"/>
    <w:rsid w:val="003C1C4C"/>
    <w:rsid w:val="003C22B4"/>
    <w:rsid w:val="003C2326"/>
    <w:rsid w:val="003C270D"/>
    <w:rsid w:val="003C285C"/>
    <w:rsid w:val="003C28F8"/>
    <w:rsid w:val="003C296E"/>
    <w:rsid w:val="003C2CC3"/>
    <w:rsid w:val="003C2D16"/>
    <w:rsid w:val="003C2F5E"/>
    <w:rsid w:val="003C3980"/>
    <w:rsid w:val="003C41BB"/>
    <w:rsid w:val="003C4380"/>
    <w:rsid w:val="003C4E55"/>
    <w:rsid w:val="003C5717"/>
    <w:rsid w:val="003C579F"/>
    <w:rsid w:val="003C58F4"/>
    <w:rsid w:val="003C59D8"/>
    <w:rsid w:val="003C5CF7"/>
    <w:rsid w:val="003C5D32"/>
    <w:rsid w:val="003C5DB6"/>
    <w:rsid w:val="003C6455"/>
    <w:rsid w:val="003C6462"/>
    <w:rsid w:val="003C6976"/>
    <w:rsid w:val="003C69BF"/>
    <w:rsid w:val="003C6A25"/>
    <w:rsid w:val="003C6D52"/>
    <w:rsid w:val="003C6F81"/>
    <w:rsid w:val="003C71E2"/>
    <w:rsid w:val="003C7361"/>
    <w:rsid w:val="003C7377"/>
    <w:rsid w:val="003C778F"/>
    <w:rsid w:val="003C7800"/>
    <w:rsid w:val="003C7908"/>
    <w:rsid w:val="003D00C8"/>
    <w:rsid w:val="003D015F"/>
    <w:rsid w:val="003D0405"/>
    <w:rsid w:val="003D09EE"/>
    <w:rsid w:val="003D1328"/>
    <w:rsid w:val="003D17CF"/>
    <w:rsid w:val="003D18A8"/>
    <w:rsid w:val="003D1DD0"/>
    <w:rsid w:val="003D1E1D"/>
    <w:rsid w:val="003D1E65"/>
    <w:rsid w:val="003D1E9F"/>
    <w:rsid w:val="003D1F1A"/>
    <w:rsid w:val="003D1F1E"/>
    <w:rsid w:val="003D1FCE"/>
    <w:rsid w:val="003D2137"/>
    <w:rsid w:val="003D237E"/>
    <w:rsid w:val="003D23A3"/>
    <w:rsid w:val="003D23C8"/>
    <w:rsid w:val="003D24A9"/>
    <w:rsid w:val="003D25CF"/>
    <w:rsid w:val="003D284D"/>
    <w:rsid w:val="003D2886"/>
    <w:rsid w:val="003D2F1E"/>
    <w:rsid w:val="003D341C"/>
    <w:rsid w:val="003D3C7F"/>
    <w:rsid w:val="003D3D53"/>
    <w:rsid w:val="003D3F06"/>
    <w:rsid w:val="003D3FAA"/>
    <w:rsid w:val="003D41CE"/>
    <w:rsid w:val="003D4FA5"/>
    <w:rsid w:val="003D5856"/>
    <w:rsid w:val="003D59E7"/>
    <w:rsid w:val="003D5B72"/>
    <w:rsid w:val="003D5B75"/>
    <w:rsid w:val="003D6246"/>
    <w:rsid w:val="003D64B0"/>
    <w:rsid w:val="003D6705"/>
    <w:rsid w:val="003D6910"/>
    <w:rsid w:val="003D693F"/>
    <w:rsid w:val="003D70C3"/>
    <w:rsid w:val="003D783E"/>
    <w:rsid w:val="003D7884"/>
    <w:rsid w:val="003D7963"/>
    <w:rsid w:val="003D79B3"/>
    <w:rsid w:val="003D7AA4"/>
    <w:rsid w:val="003D7CCE"/>
    <w:rsid w:val="003D7E45"/>
    <w:rsid w:val="003E0306"/>
    <w:rsid w:val="003E0634"/>
    <w:rsid w:val="003E0731"/>
    <w:rsid w:val="003E078C"/>
    <w:rsid w:val="003E1746"/>
    <w:rsid w:val="003E1956"/>
    <w:rsid w:val="003E207B"/>
    <w:rsid w:val="003E20C3"/>
    <w:rsid w:val="003E2277"/>
    <w:rsid w:val="003E3489"/>
    <w:rsid w:val="003E37D1"/>
    <w:rsid w:val="003E394A"/>
    <w:rsid w:val="003E39D4"/>
    <w:rsid w:val="003E3B55"/>
    <w:rsid w:val="003E3FF5"/>
    <w:rsid w:val="003E43A9"/>
    <w:rsid w:val="003E48AA"/>
    <w:rsid w:val="003E4AAC"/>
    <w:rsid w:val="003E4DFD"/>
    <w:rsid w:val="003E50EE"/>
    <w:rsid w:val="003E52EA"/>
    <w:rsid w:val="003E57DF"/>
    <w:rsid w:val="003E58D8"/>
    <w:rsid w:val="003E6055"/>
    <w:rsid w:val="003E6387"/>
    <w:rsid w:val="003E6796"/>
    <w:rsid w:val="003E7041"/>
    <w:rsid w:val="003E7085"/>
    <w:rsid w:val="003E769A"/>
    <w:rsid w:val="003E77DC"/>
    <w:rsid w:val="003E7842"/>
    <w:rsid w:val="003E791A"/>
    <w:rsid w:val="003E7B16"/>
    <w:rsid w:val="003E7D90"/>
    <w:rsid w:val="003E7F16"/>
    <w:rsid w:val="003E7FAF"/>
    <w:rsid w:val="003F0167"/>
    <w:rsid w:val="003F094F"/>
    <w:rsid w:val="003F0C6B"/>
    <w:rsid w:val="003F0CF0"/>
    <w:rsid w:val="003F1BB4"/>
    <w:rsid w:val="003F1D88"/>
    <w:rsid w:val="003F21E3"/>
    <w:rsid w:val="003F25A9"/>
    <w:rsid w:val="003F2743"/>
    <w:rsid w:val="003F2A59"/>
    <w:rsid w:val="003F30B8"/>
    <w:rsid w:val="003F3182"/>
    <w:rsid w:val="003F3359"/>
    <w:rsid w:val="003F3726"/>
    <w:rsid w:val="003F3B54"/>
    <w:rsid w:val="003F3BA9"/>
    <w:rsid w:val="003F4543"/>
    <w:rsid w:val="003F476A"/>
    <w:rsid w:val="003F4AB9"/>
    <w:rsid w:val="003F570A"/>
    <w:rsid w:val="003F58A2"/>
    <w:rsid w:val="003F67AD"/>
    <w:rsid w:val="003F6F1A"/>
    <w:rsid w:val="003F71CC"/>
    <w:rsid w:val="003F7835"/>
    <w:rsid w:val="003F78D6"/>
    <w:rsid w:val="003F7BFB"/>
    <w:rsid w:val="0040001B"/>
    <w:rsid w:val="0040011E"/>
    <w:rsid w:val="0040031B"/>
    <w:rsid w:val="0040037C"/>
    <w:rsid w:val="00400383"/>
    <w:rsid w:val="0040060F"/>
    <w:rsid w:val="004006CF"/>
    <w:rsid w:val="0040094B"/>
    <w:rsid w:val="00400981"/>
    <w:rsid w:val="00400EDF"/>
    <w:rsid w:val="0040132A"/>
    <w:rsid w:val="0040192E"/>
    <w:rsid w:val="0040207E"/>
    <w:rsid w:val="004021F5"/>
    <w:rsid w:val="004022C9"/>
    <w:rsid w:val="004024F8"/>
    <w:rsid w:val="004027EE"/>
    <w:rsid w:val="00402AEE"/>
    <w:rsid w:val="00402BC4"/>
    <w:rsid w:val="00402FFE"/>
    <w:rsid w:val="0040321E"/>
    <w:rsid w:val="00403633"/>
    <w:rsid w:val="00403A70"/>
    <w:rsid w:val="00403ACB"/>
    <w:rsid w:val="00403B14"/>
    <w:rsid w:val="00403CA4"/>
    <w:rsid w:val="00403DD2"/>
    <w:rsid w:val="00404B17"/>
    <w:rsid w:val="00404E4F"/>
    <w:rsid w:val="00404FFB"/>
    <w:rsid w:val="004050CC"/>
    <w:rsid w:val="004052DC"/>
    <w:rsid w:val="0040534D"/>
    <w:rsid w:val="004059D4"/>
    <w:rsid w:val="00405A39"/>
    <w:rsid w:val="00405CDD"/>
    <w:rsid w:val="004064F7"/>
    <w:rsid w:val="00406789"/>
    <w:rsid w:val="00406B47"/>
    <w:rsid w:val="00406D25"/>
    <w:rsid w:val="00406E2B"/>
    <w:rsid w:val="00406F6E"/>
    <w:rsid w:val="00407061"/>
    <w:rsid w:val="004074A8"/>
    <w:rsid w:val="00407541"/>
    <w:rsid w:val="00407636"/>
    <w:rsid w:val="00407A62"/>
    <w:rsid w:val="00407CCD"/>
    <w:rsid w:val="00407DEF"/>
    <w:rsid w:val="00410122"/>
    <w:rsid w:val="00410181"/>
    <w:rsid w:val="004112D6"/>
    <w:rsid w:val="004113BE"/>
    <w:rsid w:val="0041151E"/>
    <w:rsid w:val="00411AF9"/>
    <w:rsid w:val="00411B95"/>
    <w:rsid w:val="00411BC9"/>
    <w:rsid w:val="004123BB"/>
    <w:rsid w:val="00412438"/>
    <w:rsid w:val="0041244B"/>
    <w:rsid w:val="00412602"/>
    <w:rsid w:val="00412640"/>
    <w:rsid w:val="00412642"/>
    <w:rsid w:val="00412E71"/>
    <w:rsid w:val="00413182"/>
    <w:rsid w:val="00413492"/>
    <w:rsid w:val="00413BCB"/>
    <w:rsid w:val="00413C9C"/>
    <w:rsid w:val="0041408A"/>
    <w:rsid w:val="00414473"/>
    <w:rsid w:val="004144BD"/>
    <w:rsid w:val="00414783"/>
    <w:rsid w:val="00414A0F"/>
    <w:rsid w:val="00414A8C"/>
    <w:rsid w:val="00414B8C"/>
    <w:rsid w:val="0041500B"/>
    <w:rsid w:val="004158A3"/>
    <w:rsid w:val="0041593B"/>
    <w:rsid w:val="00415BD8"/>
    <w:rsid w:val="00416482"/>
    <w:rsid w:val="004166EC"/>
    <w:rsid w:val="00416710"/>
    <w:rsid w:val="00416C5A"/>
    <w:rsid w:val="00416D35"/>
    <w:rsid w:val="00416EAA"/>
    <w:rsid w:val="00416F54"/>
    <w:rsid w:val="00417454"/>
    <w:rsid w:val="0041786B"/>
    <w:rsid w:val="00417913"/>
    <w:rsid w:val="00417C4F"/>
    <w:rsid w:val="00417EA0"/>
    <w:rsid w:val="004200BF"/>
    <w:rsid w:val="00420122"/>
    <w:rsid w:val="004202C3"/>
    <w:rsid w:val="00420917"/>
    <w:rsid w:val="00420B74"/>
    <w:rsid w:val="00420F0E"/>
    <w:rsid w:val="00422136"/>
    <w:rsid w:val="0042216C"/>
    <w:rsid w:val="00422497"/>
    <w:rsid w:val="00422575"/>
    <w:rsid w:val="00422659"/>
    <w:rsid w:val="00422922"/>
    <w:rsid w:val="00422B24"/>
    <w:rsid w:val="00422D60"/>
    <w:rsid w:val="00422F99"/>
    <w:rsid w:val="00423066"/>
    <w:rsid w:val="004230E2"/>
    <w:rsid w:val="00423178"/>
    <w:rsid w:val="004231C4"/>
    <w:rsid w:val="00423239"/>
    <w:rsid w:val="00423250"/>
    <w:rsid w:val="0042339A"/>
    <w:rsid w:val="0042339E"/>
    <w:rsid w:val="004239DC"/>
    <w:rsid w:val="00423B02"/>
    <w:rsid w:val="00423B15"/>
    <w:rsid w:val="00423B40"/>
    <w:rsid w:val="00423B7A"/>
    <w:rsid w:val="00423BD9"/>
    <w:rsid w:val="00423F8F"/>
    <w:rsid w:val="00424377"/>
    <w:rsid w:val="004246F0"/>
    <w:rsid w:val="0042493D"/>
    <w:rsid w:val="00424CB8"/>
    <w:rsid w:val="00424D38"/>
    <w:rsid w:val="00424DF8"/>
    <w:rsid w:val="00424EB8"/>
    <w:rsid w:val="0042508F"/>
    <w:rsid w:val="0042513A"/>
    <w:rsid w:val="004251F3"/>
    <w:rsid w:val="0042527D"/>
    <w:rsid w:val="00425D05"/>
    <w:rsid w:val="00425FD3"/>
    <w:rsid w:val="004263F1"/>
    <w:rsid w:val="00426809"/>
    <w:rsid w:val="004268BC"/>
    <w:rsid w:val="004269D1"/>
    <w:rsid w:val="00426CE8"/>
    <w:rsid w:val="00426D0B"/>
    <w:rsid w:val="00426DD9"/>
    <w:rsid w:val="00427737"/>
    <w:rsid w:val="004279FB"/>
    <w:rsid w:val="00427BA5"/>
    <w:rsid w:val="00427C10"/>
    <w:rsid w:val="00427C1E"/>
    <w:rsid w:val="0043003F"/>
    <w:rsid w:val="0043037E"/>
    <w:rsid w:val="004303B3"/>
    <w:rsid w:val="004306C4"/>
    <w:rsid w:val="00430707"/>
    <w:rsid w:val="004309F2"/>
    <w:rsid w:val="00430A09"/>
    <w:rsid w:val="00430B46"/>
    <w:rsid w:val="00430D99"/>
    <w:rsid w:val="004316FF"/>
    <w:rsid w:val="00431716"/>
    <w:rsid w:val="00431FE8"/>
    <w:rsid w:val="00432149"/>
    <w:rsid w:val="00432153"/>
    <w:rsid w:val="004323FD"/>
    <w:rsid w:val="0043283A"/>
    <w:rsid w:val="00432C3D"/>
    <w:rsid w:val="0043308F"/>
    <w:rsid w:val="004331E9"/>
    <w:rsid w:val="0043326D"/>
    <w:rsid w:val="00433336"/>
    <w:rsid w:val="00433519"/>
    <w:rsid w:val="0043353F"/>
    <w:rsid w:val="004335F6"/>
    <w:rsid w:val="00434009"/>
    <w:rsid w:val="004341F2"/>
    <w:rsid w:val="00434710"/>
    <w:rsid w:val="00434837"/>
    <w:rsid w:val="00434C10"/>
    <w:rsid w:val="00434F6D"/>
    <w:rsid w:val="0043558C"/>
    <w:rsid w:val="00435AE4"/>
    <w:rsid w:val="00435CF3"/>
    <w:rsid w:val="00435D36"/>
    <w:rsid w:val="00435F0C"/>
    <w:rsid w:val="0043651E"/>
    <w:rsid w:val="00436589"/>
    <w:rsid w:val="004368CC"/>
    <w:rsid w:val="00436CD1"/>
    <w:rsid w:val="0043741E"/>
    <w:rsid w:val="0043789F"/>
    <w:rsid w:val="004379C2"/>
    <w:rsid w:val="00437E41"/>
    <w:rsid w:val="004400E8"/>
    <w:rsid w:val="00440200"/>
    <w:rsid w:val="0044046A"/>
    <w:rsid w:val="0044051F"/>
    <w:rsid w:val="004408F9"/>
    <w:rsid w:val="00440FC2"/>
    <w:rsid w:val="004410CD"/>
    <w:rsid w:val="00441156"/>
    <w:rsid w:val="0044129D"/>
    <w:rsid w:val="00441648"/>
    <w:rsid w:val="00441698"/>
    <w:rsid w:val="004417FD"/>
    <w:rsid w:val="00441C10"/>
    <w:rsid w:val="0044281B"/>
    <w:rsid w:val="0044302C"/>
    <w:rsid w:val="00443200"/>
    <w:rsid w:val="00443382"/>
    <w:rsid w:val="004434D5"/>
    <w:rsid w:val="004435B7"/>
    <w:rsid w:val="0044365C"/>
    <w:rsid w:val="0044374E"/>
    <w:rsid w:val="0044380C"/>
    <w:rsid w:val="00443AB4"/>
    <w:rsid w:val="00443B43"/>
    <w:rsid w:val="00443C6F"/>
    <w:rsid w:val="00443C9E"/>
    <w:rsid w:val="00443FCA"/>
    <w:rsid w:val="0044422C"/>
    <w:rsid w:val="004442B0"/>
    <w:rsid w:val="004443EB"/>
    <w:rsid w:val="00444899"/>
    <w:rsid w:val="00444907"/>
    <w:rsid w:val="00444E69"/>
    <w:rsid w:val="004455A2"/>
    <w:rsid w:val="0044581B"/>
    <w:rsid w:val="004458B1"/>
    <w:rsid w:val="0044608D"/>
    <w:rsid w:val="0044630C"/>
    <w:rsid w:val="004465A0"/>
    <w:rsid w:val="00446A17"/>
    <w:rsid w:val="00446AA1"/>
    <w:rsid w:val="00446E5A"/>
    <w:rsid w:val="00446F84"/>
    <w:rsid w:val="0044758B"/>
    <w:rsid w:val="00447849"/>
    <w:rsid w:val="0044787A"/>
    <w:rsid w:val="00447B76"/>
    <w:rsid w:val="00447E36"/>
    <w:rsid w:val="00450226"/>
    <w:rsid w:val="00450C34"/>
    <w:rsid w:val="00450C80"/>
    <w:rsid w:val="00450D75"/>
    <w:rsid w:val="004513DF"/>
    <w:rsid w:val="004515E0"/>
    <w:rsid w:val="00451A50"/>
    <w:rsid w:val="00451B4E"/>
    <w:rsid w:val="00452437"/>
    <w:rsid w:val="00452501"/>
    <w:rsid w:val="004527A5"/>
    <w:rsid w:val="00452A4B"/>
    <w:rsid w:val="00452B01"/>
    <w:rsid w:val="00452FAB"/>
    <w:rsid w:val="004531BF"/>
    <w:rsid w:val="00453281"/>
    <w:rsid w:val="00453292"/>
    <w:rsid w:val="00453B56"/>
    <w:rsid w:val="00454459"/>
    <w:rsid w:val="004544D6"/>
    <w:rsid w:val="00454536"/>
    <w:rsid w:val="00454B8D"/>
    <w:rsid w:val="00454E52"/>
    <w:rsid w:val="00454F2F"/>
    <w:rsid w:val="00455527"/>
    <w:rsid w:val="0045573B"/>
    <w:rsid w:val="00455D01"/>
    <w:rsid w:val="00455DC5"/>
    <w:rsid w:val="00456263"/>
    <w:rsid w:val="00456290"/>
    <w:rsid w:val="00456687"/>
    <w:rsid w:val="00456A28"/>
    <w:rsid w:val="00456B70"/>
    <w:rsid w:val="00456C54"/>
    <w:rsid w:val="00456CD3"/>
    <w:rsid w:val="00457552"/>
    <w:rsid w:val="004576BB"/>
    <w:rsid w:val="00457706"/>
    <w:rsid w:val="00457799"/>
    <w:rsid w:val="00457ADC"/>
    <w:rsid w:val="00457C61"/>
    <w:rsid w:val="00457E3B"/>
    <w:rsid w:val="00457FF3"/>
    <w:rsid w:val="00460059"/>
    <w:rsid w:val="00460294"/>
    <w:rsid w:val="00461016"/>
    <w:rsid w:val="00461555"/>
    <w:rsid w:val="00461626"/>
    <w:rsid w:val="0046185B"/>
    <w:rsid w:val="00461CE9"/>
    <w:rsid w:val="00461D04"/>
    <w:rsid w:val="00461F34"/>
    <w:rsid w:val="0046206B"/>
    <w:rsid w:val="00462407"/>
    <w:rsid w:val="00462511"/>
    <w:rsid w:val="0046254B"/>
    <w:rsid w:val="00462990"/>
    <w:rsid w:val="00462C67"/>
    <w:rsid w:val="004631DD"/>
    <w:rsid w:val="004635FD"/>
    <w:rsid w:val="004637A8"/>
    <w:rsid w:val="0046393F"/>
    <w:rsid w:val="00463B2E"/>
    <w:rsid w:val="00463BC7"/>
    <w:rsid w:val="00463CF9"/>
    <w:rsid w:val="00463E4B"/>
    <w:rsid w:val="0046401D"/>
    <w:rsid w:val="00464439"/>
    <w:rsid w:val="00464796"/>
    <w:rsid w:val="00464DA2"/>
    <w:rsid w:val="00464E07"/>
    <w:rsid w:val="00465262"/>
    <w:rsid w:val="004652E3"/>
    <w:rsid w:val="004652F4"/>
    <w:rsid w:val="00465365"/>
    <w:rsid w:val="00465768"/>
    <w:rsid w:val="00465793"/>
    <w:rsid w:val="004658A5"/>
    <w:rsid w:val="00465AFE"/>
    <w:rsid w:val="00465CC0"/>
    <w:rsid w:val="00465E81"/>
    <w:rsid w:val="00466132"/>
    <w:rsid w:val="00466239"/>
    <w:rsid w:val="004663DA"/>
    <w:rsid w:val="0046640E"/>
    <w:rsid w:val="00466AA1"/>
    <w:rsid w:val="00466C4C"/>
    <w:rsid w:val="00466E32"/>
    <w:rsid w:val="00466F65"/>
    <w:rsid w:val="00467294"/>
    <w:rsid w:val="0046745F"/>
    <w:rsid w:val="004677E3"/>
    <w:rsid w:val="00470027"/>
    <w:rsid w:val="00470129"/>
    <w:rsid w:val="00470418"/>
    <w:rsid w:val="004704D5"/>
    <w:rsid w:val="00470651"/>
    <w:rsid w:val="00470D01"/>
    <w:rsid w:val="00470E9E"/>
    <w:rsid w:val="00470FC6"/>
    <w:rsid w:val="00471153"/>
    <w:rsid w:val="004711FE"/>
    <w:rsid w:val="0047126F"/>
    <w:rsid w:val="0047177D"/>
    <w:rsid w:val="0047183F"/>
    <w:rsid w:val="00471BA9"/>
    <w:rsid w:val="00472174"/>
    <w:rsid w:val="004728A0"/>
    <w:rsid w:val="00472B2F"/>
    <w:rsid w:val="00472C5C"/>
    <w:rsid w:val="00473002"/>
    <w:rsid w:val="00473097"/>
    <w:rsid w:val="004733B7"/>
    <w:rsid w:val="00473612"/>
    <w:rsid w:val="00473695"/>
    <w:rsid w:val="00473D6E"/>
    <w:rsid w:val="00473E74"/>
    <w:rsid w:val="004742DD"/>
    <w:rsid w:val="004745EF"/>
    <w:rsid w:val="004746F7"/>
    <w:rsid w:val="004747FC"/>
    <w:rsid w:val="00474DA5"/>
    <w:rsid w:val="00474F03"/>
    <w:rsid w:val="00474FA0"/>
    <w:rsid w:val="004750C9"/>
    <w:rsid w:val="00475231"/>
    <w:rsid w:val="004752AA"/>
    <w:rsid w:val="0047592D"/>
    <w:rsid w:val="004759E7"/>
    <w:rsid w:val="00475ADD"/>
    <w:rsid w:val="00475AF1"/>
    <w:rsid w:val="00475F71"/>
    <w:rsid w:val="0047625E"/>
    <w:rsid w:val="00476E5B"/>
    <w:rsid w:val="00477126"/>
    <w:rsid w:val="004777A8"/>
    <w:rsid w:val="00477967"/>
    <w:rsid w:val="00477FBF"/>
    <w:rsid w:val="00480002"/>
    <w:rsid w:val="00480425"/>
    <w:rsid w:val="004807A8"/>
    <w:rsid w:val="0048097E"/>
    <w:rsid w:val="00480A9A"/>
    <w:rsid w:val="004810A4"/>
    <w:rsid w:val="004812A0"/>
    <w:rsid w:val="00481884"/>
    <w:rsid w:val="0048242E"/>
    <w:rsid w:val="004828A3"/>
    <w:rsid w:val="00482C16"/>
    <w:rsid w:val="00482E31"/>
    <w:rsid w:val="00483014"/>
    <w:rsid w:val="0048308A"/>
    <w:rsid w:val="004830F3"/>
    <w:rsid w:val="004835A3"/>
    <w:rsid w:val="00483625"/>
    <w:rsid w:val="004837E0"/>
    <w:rsid w:val="00483860"/>
    <w:rsid w:val="00483CE4"/>
    <w:rsid w:val="00483EF5"/>
    <w:rsid w:val="00483F54"/>
    <w:rsid w:val="004840E2"/>
    <w:rsid w:val="0048483D"/>
    <w:rsid w:val="004849D3"/>
    <w:rsid w:val="00484B28"/>
    <w:rsid w:val="00484E96"/>
    <w:rsid w:val="00485005"/>
    <w:rsid w:val="00485059"/>
    <w:rsid w:val="00485102"/>
    <w:rsid w:val="00485187"/>
    <w:rsid w:val="00485294"/>
    <w:rsid w:val="00485451"/>
    <w:rsid w:val="0048572E"/>
    <w:rsid w:val="00485742"/>
    <w:rsid w:val="00485775"/>
    <w:rsid w:val="00486046"/>
    <w:rsid w:val="004860D0"/>
    <w:rsid w:val="0048620E"/>
    <w:rsid w:val="0048645B"/>
    <w:rsid w:val="00486546"/>
    <w:rsid w:val="00486B3C"/>
    <w:rsid w:val="00486BE8"/>
    <w:rsid w:val="00486D7B"/>
    <w:rsid w:val="0048704D"/>
    <w:rsid w:val="0048725B"/>
    <w:rsid w:val="00487761"/>
    <w:rsid w:val="0048787C"/>
    <w:rsid w:val="00487A25"/>
    <w:rsid w:val="00487D37"/>
    <w:rsid w:val="00490011"/>
    <w:rsid w:val="00490428"/>
    <w:rsid w:val="00490C35"/>
    <w:rsid w:val="00490DF7"/>
    <w:rsid w:val="0049139A"/>
    <w:rsid w:val="0049163D"/>
    <w:rsid w:val="0049203D"/>
    <w:rsid w:val="0049218E"/>
    <w:rsid w:val="00492408"/>
    <w:rsid w:val="004927BD"/>
    <w:rsid w:val="00492833"/>
    <w:rsid w:val="00492ACC"/>
    <w:rsid w:val="00492AD4"/>
    <w:rsid w:val="00492FC1"/>
    <w:rsid w:val="0049308A"/>
    <w:rsid w:val="004931E0"/>
    <w:rsid w:val="00493A9E"/>
    <w:rsid w:val="00493C4D"/>
    <w:rsid w:val="00493C5B"/>
    <w:rsid w:val="00493FFD"/>
    <w:rsid w:val="0049410A"/>
    <w:rsid w:val="004944B8"/>
    <w:rsid w:val="004948DE"/>
    <w:rsid w:val="0049494C"/>
    <w:rsid w:val="00494E97"/>
    <w:rsid w:val="0049568C"/>
    <w:rsid w:val="00495BCE"/>
    <w:rsid w:val="00495C78"/>
    <w:rsid w:val="004963EE"/>
    <w:rsid w:val="00496700"/>
    <w:rsid w:val="00496E2D"/>
    <w:rsid w:val="0049713F"/>
    <w:rsid w:val="00497169"/>
    <w:rsid w:val="0049716B"/>
    <w:rsid w:val="004976AC"/>
    <w:rsid w:val="004976BD"/>
    <w:rsid w:val="0049775C"/>
    <w:rsid w:val="00497B53"/>
    <w:rsid w:val="00497DF9"/>
    <w:rsid w:val="004A003D"/>
    <w:rsid w:val="004A0621"/>
    <w:rsid w:val="004A0DA0"/>
    <w:rsid w:val="004A1348"/>
    <w:rsid w:val="004A15F8"/>
    <w:rsid w:val="004A195A"/>
    <w:rsid w:val="004A19E7"/>
    <w:rsid w:val="004A1C7C"/>
    <w:rsid w:val="004A1E4F"/>
    <w:rsid w:val="004A1F6A"/>
    <w:rsid w:val="004A1F89"/>
    <w:rsid w:val="004A2497"/>
    <w:rsid w:val="004A2B5B"/>
    <w:rsid w:val="004A2BAC"/>
    <w:rsid w:val="004A2FB8"/>
    <w:rsid w:val="004A358D"/>
    <w:rsid w:val="004A35A2"/>
    <w:rsid w:val="004A35BB"/>
    <w:rsid w:val="004A3D94"/>
    <w:rsid w:val="004A40A0"/>
    <w:rsid w:val="004A4510"/>
    <w:rsid w:val="004A4954"/>
    <w:rsid w:val="004A4C3F"/>
    <w:rsid w:val="004A517B"/>
    <w:rsid w:val="004A52CA"/>
    <w:rsid w:val="004A5411"/>
    <w:rsid w:val="004A5586"/>
    <w:rsid w:val="004A558F"/>
    <w:rsid w:val="004A5805"/>
    <w:rsid w:val="004A5B3E"/>
    <w:rsid w:val="004A5F53"/>
    <w:rsid w:val="004A6139"/>
    <w:rsid w:val="004A63CD"/>
    <w:rsid w:val="004A646C"/>
    <w:rsid w:val="004A65EA"/>
    <w:rsid w:val="004A684B"/>
    <w:rsid w:val="004A6B3D"/>
    <w:rsid w:val="004A6E75"/>
    <w:rsid w:val="004A7188"/>
    <w:rsid w:val="004A74F8"/>
    <w:rsid w:val="004A7909"/>
    <w:rsid w:val="004A7AC4"/>
    <w:rsid w:val="004A7ECF"/>
    <w:rsid w:val="004B0099"/>
    <w:rsid w:val="004B0107"/>
    <w:rsid w:val="004B076E"/>
    <w:rsid w:val="004B0AD1"/>
    <w:rsid w:val="004B1150"/>
    <w:rsid w:val="004B13FA"/>
    <w:rsid w:val="004B143F"/>
    <w:rsid w:val="004B14B4"/>
    <w:rsid w:val="004B1531"/>
    <w:rsid w:val="004B16A8"/>
    <w:rsid w:val="004B16C4"/>
    <w:rsid w:val="004B18B9"/>
    <w:rsid w:val="004B1B8F"/>
    <w:rsid w:val="004B1E3B"/>
    <w:rsid w:val="004B1F02"/>
    <w:rsid w:val="004B22C7"/>
    <w:rsid w:val="004B2471"/>
    <w:rsid w:val="004B2B7B"/>
    <w:rsid w:val="004B306E"/>
    <w:rsid w:val="004B32C3"/>
    <w:rsid w:val="004B34DD"/>
    <w:rsid w:val="004B3569"/>
    <w:rsid w:val="004B3818"/>
    <w:rsid w:val="004B4144"/>
    <w:rsid w:val="004B43F1"/>
    <w:rsid w:val="004B467A"/>
    <w:rsid w:val="004B48CA"/>
    <w:rsid w:val="004B4AA7"/>
    <w:rsid w:val="004B4B8A"/>
    <w:rsid w:val="004B4E3B"/>
    <w:rsid w:val="004B5098"/>
    <w:rsid w:val="004B53DF"/>
    <w:rsid w:val="004B589F"/>
    <w:rsid w:val="004B5911"/>
    <w:rsid w:val="004B5976"/>
    <w:rsid w:val="004B5A28"/>
    <w:rsid w:val="004B5E4F"/>
    <w:rsid w:val="004B5EBD"/>
    <w:rsid w:val="004B609E"/>
    <w:rsid w:val="004B61DD"/>
    <w:rsid w:val="004B6323"/>
    <w:rsid w:val="004B6658"/>
    <w:rsid w:val="004B6777"/>
    <w:rsid w:val="004B68DD"/>
    <w:rsid w:val="004B6AD7"/>
    <w:rsid w:val="004B6DA3"/>
    <w:rsid w:val="004B7082"/>
    <w:rsid w:val="004B7113"/>
    <w:rsid w:val="004B7817"/>
    <w:rsid w:val="004B78EF"/>
    <w:rsid w:val="004C043C"/>
    <w:rsid w:val="004C04B9"/>
    <w:rsid w:val="004C0859"/>
    <w:rsid w:val="004C0E71"/>
    <w:rsid w:val="004C13D0"/>
    <w:rsid w:val="004C16AE"/>
    <w:rsid w:val="004C1988"/>
    <w:rsid w:val="004C1D0A"/>
    <w:rsid w:val="004C20AD"/>
    <w:rsid w:val="004C23DD"/>
    <w:rsid w:val="004C26FA"/>
    <w:rsid w:val="004C2904"/>
    <w:rsid w:val="004C2F5D"/>
    <w:rsid w:val="004C31CC"/>
    <w:rsid w:val="004C34D2"/>
    <w:rsid w:val="004C3A5D"/>
    <w:rsid w:val="004C3A77"/>
    <w:rsid w:val="004C3C10"/>
    <w:rsid w:val="004C403F"/>
    <w:rsid w:val="004C4421"/>
    <w:rsid w:val="004C4536"/>
    <w:rsid w:val="004C454B"/>
    <w:rsid w:val="004C4823"/>
    <w:rsid w:val="004C48EF"/>
    <w:rsid w:val="004C49EA"/>
    <w:rsid w:val="004C4C3A"/>
    <w:rsid w:val="004C5096"/>
    <w:rsid w:val="004C50EB"/>
    <w:rsid w:val="004C5406"/>
    <w:rsid w:val="004C5B30"/>
    <w:rsid w:val="004C5C40"/>
    <w:rsid w:val="004C5D0C"/>
    <w:rsid w:val="004C5E49"/>
    <w:rsid w:val="004C6298"/>
    <w:rsid w:val="004C6586"/>
    <w:rsid w:val="004C6B02"/>
    <w:rsid w:val="004C70BE"/>
    <w:rsid w:val="004C72E9"/>
    <w:rsid w:val="004C7393"/>
    <w:rsid w:val="004C7510"/>
    <w:rsid w:val="004C7615"/>
    <w:rsid w:val="004C783B"/>
    <w:rsid w:val="004C7850"/>
    <w:rsid w:val="004C7B2B"/>
    <w:rsid w:val="004C7BA8"/>
    <w:rsid w:val="004C7C59"/>
    <w:rsid w:val="004C7D0D"/>
    <w:rsid w:val="004C7ED0"/>
    <w:rsid w:val="004C7F34"/>
    <w:rsid w:val="004D0219"/>
    <w:rsid w:val="004D0333"/>
    <w:rsid w:val="004D06E4"/>
    <w:rsid w:val="004D0753"/>
    <w:rsid w:val="004D080F"/>
    <w:rsid w:val="004D08CC"/>
    <w:rsid w:val="004D0B3B"/>
    <w:rsid w:val="004D0C44"/>
    <w:rsid w:val="004D13D4"/>
    <w:rsid w:val="004D14F5"/>
    <w:rsid w:val="004D1938"/>
    <w:rsid w:val="004D1ED3"/>
    <w:rsid w:val="004D2655"/>
    <w:rsid w:val="004D26FE"/>
    <w:rsid w:val="004D2A44"/>
    <w:rsid w:val="004D2A4B"/>
    <w:rsid w:val="004D2D01"/>
    <w:rsid w:val="004D2E75"/>
    <w:rsid w:val="004D2F04"/>
    <w:rsid w:val="004D3576"/>
    <w:rsid w:val="004D36F0"/>
    <w:rsid w:val="004D38A5"/>
    <w:rsid w:val="004D3A0A"/>
    <w:rsid w:val="004D3A1B"/>
    <w:rsid w:val="004D3DA4"/>
    <w:rsid w:val="004D3E14"/>
    <w:rsid w:val="004D4032"/>
    <w:rsid w:val="004D41CE"/>
    <w:rsid w:val="004D42E9"/>
    <w:rsid w:val="004D49A5"/>
    <w:rsid w:val="004D4D32"/>
    <w:rsid w:val="004D4FFD"/>
    <w:rsid w:val="004D5343"/>
    <w:rsid w:val="004D5444"/>
    <w:rsid w:val="004D5791"/>
    <w:rsid w:val="004D5B62"/>
    <w:rsid w:val="004D5B78"/>
    <w:rsid w:val="004D5BA6"/>
    <w:rsid w:val="004D5CAD"/>
    <w:rsid w:val="004D5CBB"/>
    <w:rsid w:val="004D5E0D"/>
    <w:rsid w:val="004D60F3"/>
    <w:rsid w:val="004D61C1"/>
    <w:rsid w:val="004D636C"/>
    <w:rsid w:val="004D6492"/>
    <w:rsid w:val="004D65EA"/>
    <w:rsid w:val="004D66CC"/>
    <w:rsid w:val="004D66FE"/>
    <w:rsid w:val="004D671E"/>
    <w:rsid w:val="004D6B21"/>
    <w:rsid w:val="004D6B2D"/>
    <w:rsid w:val="004D6E42"/>
    <w:rsid w:val="004D6F2D"/>
    <w:rsid w:val="004D710F"/>
    <w:rsid w:val="004D76EA"/>
    <w:rsid w:val="004D76FE"/>
    <w:rsid w:val="004E087F"/>
    <w:rsid w:val="004E0FCF"/>
    <w:rsid w:val="004E1233"/>
    <w:rsid w:val="004E1423"/>
    <w:rsid w:val="004E14B3"/>
    <w:rsid w:val="004E15E3"/>
    <w:rsid w:val="004E179C"/>
    <w:rsid w:val="004E182F"/>
    <w:rsid w:val="004E1B02"/>
    <w:rsid w:val="004E1D9B"/>
    <w:rsid w:val="004E1FFC"/>
    <w:rsid w:val="004E2028"/>
    <w:rsid w:val="004E24FA"/>
    <w:rsid w:val="004E28C6"/>
    <w:rsid w:val="004E2AE5"/>
    <w:rsid w:val="004E2FE0"/>
    <w:rsid w:val="004E3742"/>
    <w:rsid w:val="004E3932"/>
    <w:rsid w:val="004E3A57"/>
    <w:rsid w:val="004E3AB0"/>
    <w:rsid w:val="004E3E36"/>
    <w:rsid w:val="004E3ECD"/>
    <w:rsid w:val="004E44F7"/>
    <w:rsid w:val="004E45DB"/>
    <w:rsid w:val="004E4665"/>
    <w:rsid w:val="004E46EE"/>
    <w:rsid w:val="004E4912"/>
    <w:rsid w:val="004E4B9F"/>
    <w:rsid w:val="004E4BDC"/>
    <w:rsid w:val="004E4D37"/>
    <w:rsid w:val="004E5353"/>
    <w:rsid w:val="004E546E"/>
    <w:rsid w:val="004E5505"/>
    <w:rsid w:val="004E5C0A"/>
    <w:rsid w:val="004E5D9A"/>
    <w:rsid w:val="004E6144"/>
    <w:rsid w:val="004E6671"/>
    <w:rsid w:val="004E66EC"/>
    <w:rsid w:val="004E67C4"/>
    <w:rsid w:val="004E6DE1"/>
    <w:rsid w:val="004E71DF"/>
    <w:rsid w:val="004E72AA"/>
    <w:rsid w:val="004E76CB"/>
    <w:rsid w:val="004E78A9"/>
    <w:rsid w:val="004E7A6D"/>
    <w:rsid w:val="004E7AC0"/>
    <w:rsid w:val="004E7DD9"/>
    <w:rsid w:val="004F03EE"/>
    <w:rsid w:val="004F051F"/>
    <w:rsid w:val="004F062B"/>
    <w:rsid w:val="004F0B1E"/>
    <w:rsid w:val="004F0DF1"/>
    <w:rsid w:val="004F1071"/>
    <w:rsid w:val="004F10E0"/>
    <w:rsid w:val="004F138F"/>
    <w:rsid w:val="004F19FD"/>
    <w:rsid w:val="004F1ADC"/>
    <w:rsid w:val="004F1EF8"/>
    <w:rsid w:val="004F2017"/>
    <w:rsid w:val="004F201D"/>
    <w:rsid w:val="004F2134"/>
    <w:rsid w:val="004F231B"/>
    <w:rsid w:val="004F2CD3"/>
    <w:rsid w:val="004F2D0A"/>
    <w:rsid w:val="004F30B1"/>
    <w:rsid w:val="004F331C"/>
    <w:rsid w:val="004F35C3"/>
    <w:rsid w:val="004F3F6D"/>
    <w:rsid w:val="004F420C"/>
    <w:rsid w:val="004F43D7"/>
    <w:rsid w:val="004F44AF"/>
    <w:rsid w:val="004F48E5"/>
    <w:rsid w:val="004F4954"/>
    <w:rsid w:val="004F4AEB"/>
    <w:rsid w:val="004F4F18"/>
    <w:rsid w:val="004F537D"/>
    <w:rsid w:val="004F5381"/>
    <w:rsid w:val="004F5C7E"/>
    <w:rsid w:val="004F60A0"/>
    <w:rsid w:val="004F67BA"/>
    <w:rsid w:val="004F6937"/>
    <w:rsid w:val="004F6A0A"/>
    <w:rsid w:val="004F6C93"/>
    <w:rsid w:val="004F6FD4"/>
    <w:rsid w:val="004F7098"/>
    <w:rsid w:val="004F7294"/>
    <w:rsid w:val="004F755B"/>
    <w:rsid w:val="004F78D3"/>
    <w:rsid w:val="004F7B65"/>
    <w:rsid w:val="004F7BE2"/>
    <w:rsid w:val="00500123"/>
    <w:rsid w:val="00500992"/>
    <w:rsid w:val="00500A43"/>
    <w:rsid w:val="00500CEF"/>
    <w:rsid w:val="00500F38"/>
    <w:rsid w:val="005010E2"/>
    <w:rsid w:val="005011E8"/>
    <w:rsid w:val="00501824"/>
    <w:rsid w:val="0050191D"/>
    <w:rsid w:val="00501ADE"/>
    <w:rsid w:val="00501BBE"/>
    <w:rsid w:val="00501CE7"/>
    <w:rsid w:val="00501F07"/>
    <w:rsid w:val="00502020"/>
    <w:rsid w:val="00502599"/>
    <w:rsid w:val="005025F2"/>
    <w:rsid w:val="005026DD"/>
    <w:rsid w:val="00502807"/>
    <w:rsid w:val="00502896"/>
    <w:rsid w:val="00502B5A"/>
    <w:rsid w:val="00502E53"/>
    <w:rsid w:val="005031DA"/>
    <w:rsid w:val="005033AF"/>
    <w:rsid w:val="005033E9"/>
    <w:rsid w:val="00503C4E"/>
    <w:rsid w:val="00503FB5"/>
    <w:rsid w:val="00504393"/>
    <w:rsid w:val="005045EC"/>
    <w:rsid w:val="005046F7"/>
    <w:rsid w:val="00504A0A"/>
    <w:rsid w:val="00504C8A"/>
    <w:rsid w:val="00504D8C"/>
    <w:rsid w:val="00504FF7"/>
    <w:rsid w:val="00505159"/>
    <w:rsid w:val="0050553B"/>
    <w:rsid w:val="00505724"/>
    <w:rsid w:val="00505BB0"/>
    <w:rsid w:val="00506358"/>
    <w:rsid w:val="005064FD"/>
    <w:rsid w:val="00506647"/>
    <w:rsid w:val="005066EB"/>
    <w:rsid w:val="0050670B"/>
    <w:rsid w:val="00506B01"/>
    <w:rsid w:val="00506B14"/>
    <w:rsid w:val="00506D76"/>
    <w:rsid w:val="00506E1E"/>
    <w:rsid w:val="005070C1"/>
    <w:rsid w:val="005071AA"/>
    <w:rsid w:val="00507235"/>
    <w:rsid w:val="00507286"/>
    <w:rsid w:val="0050767C"/>
    <w:rsid w:val="005077B0"/>
    <w:rsid w:val="0050793B"/>
    <w:rsid w:val="00507A7E"/>
    <w:rsid w:val="00507C26"/>
    <w:rsid w:val="00507C92"/>
    <w:rsid w:val="00510206"/>
    <w:rsid w:val="0051035D"/>
    <w:rsid w:val="00510B07"/>
    <w:rsid w:val="00510BBE"/>
    <w:rsid w:val="00511232"/>
    <w:rsid w:val="00511B29"/>
    <w:rsid w:val="00511CFC"/>
    <w:rsid w:val="0051206C"/>
    <w:rsid w:val="005124B7"/>
    <w:rsid w:val="005124ED"/>
    <w:rsid w:val="00512D9E"/>
    <w:rsid w:val="00512DE7"/>
    <w:rsid w:val="00512ECD"/>
    <w:rsid w:val="00512EF1"/>
    <w:rsid w:val="00512F69"/>
    <w:rsid w:val="005131A7"/>
    <w:rsid w:val="00513244"/>
    <w:rsid w:val="00513463"/>
    <w:rsid w:val="005135BD"/>
    <w:rsid w:val="005136C7"/>
    <w:rsid w:val="00513955"/>
    <w:rsid w:val="00513B1D"/>
    <w:rsid w:val="00513E91"/>
    <w:rsid w:val="005140E1"/>
    <w:rsid w:val="005141E8"/>
    <w:rsid w:val="00514292"/>
    <w:rsid w:val="005144F8"/>
    <w:rsid w:val="00514A77"/>
    <w:rsid w:val="00514E60"/>
    <w:rsid w:val="00515AC9"/>
    <w:rsid w:val="00515F0D"/>
    <w:rsid w:val="0051607D"/>
    <w:rsid w:val="0051615E"/>
    <w:rsid w:val="00516344"/>
    <w:rsid w:val="00516370"/>
    <w:rsid w:val="00516A56"/>
    <w:rsid w:val="00516A89"/>
    <w:rsid w:val="00516C1C"/>
    <w:rsid w:val="005170F8"/>
    <w:rsid w:val="00517257"/>
    <w:rsid w:val="005175FC"/>
    <w:rsid w:val="00517BA4"/>
    <w:rsid w:val="00517E39"/>
    <w:rsid w:val="0052016E"/>
    <w:rsid w:val="005207A6"/>
    <w:rsid w:val="005207C8"/>
    <w:rsid w:val="00520B08"/>
    <w:rsid w:val="005210A1"/>
    <w:rsid w:val="00521174"/>
    <w:rsid w:val="0052120A"/>
    <w:rsid w:val="005212A5"/>
    <w:rsid w:val="0052152A"/>
    <w:rsid w:val="0052167F"/>
    <w:rsid w:val="00521F27"/>
    <w:rsid w:val="00522089"/>
    <w:rsid w:val="0052279C"/>
    <w:rsid w:val="0052292B"/>
    <w:rsid w:val="00522963"/>
    <w:rsid w:val="00522B16"/>
    <w:rsid w:val="00522BF8"/>
    <w:rsid w:val="00522CCE"/>
    <w:rsid w:val="00522F18"/>
    <w:rsid w:val="00522FBC"/>
    <w:rsid w:val="005231B5"/>
    <w:rsid w:val="0052323A"/>
    <w:rsid w:val="005235E4"/>
    <w:rsid w:val="0052370D"/>
    <w:rsid w:val="00523714"/>
    <w:rsid w:val="0052448D"/>
    <w:rsid w:val="0052468D"/>
    <w:rsid w:val="005247B5"/>
    <w:rsid w:val="00524895"/>
    <w:rsid w:val="005248C1"/>
    <w:rsid w:val="0052497E"/>
    <w:rsid w:val="00524A14"/>
    <w:rsid w:val="00524DBC"/>
    <w:rsid w:val="00524FC2"/>
    <w:rsid w:val="00525A30"/>
    <w:rsid w:val="00525A9D"/>
    <w:rsid w:val="00525B0C"/>
    <w:rsid w:val="00526066"/>
    <w:rsid w:val="00526097"/>
    <w:rsid w:val="0052625C"/>
    <w:rsid w:val="005264C4"/>
    <w:rsid w:val="00526B33"/>
    <w:rsid w:val="00526D6A"/>
    <w:rsid w:val="005271D4"/>
    <w:rsid w:val="00527213"/>
    <w:rsid w:val="005272E9"/>
    <w:rsid w:val="005274BE"/>
    <w:rsid w:val="0052791C"/>
    <w:rsid w:val="00527A18"/>
    <w:rsid w:val="00527EDA"/>
    <w:rsid w:val="0053007F"/>
    <w:rsid w:val="0053016D"/>
    <w:rsid w:val="005302D2"/>
    <w:rsid w:val="005302F5"/>
    <w:rsid w:val="00530985"/>
    <w:rsid w:val="00530A1E"/>
    <w:rsid w:val="00530BC2"/>
    <w:rsid w:val="00530C11"/>
    <w:rsid w:val="00530D60"/>
    <w:rsid w:val="0053128F"/>
    <w:rsid w:val="005315EE"/>
    <w:rsid w:val="00531684"/>
    <w:rsid w:val="00531A3E"/>
    <w:rsid w:val="00531BDF"/>
    <w:rsid w:val="00531CD0"/>
    <w:rsid w:val="00531DBE"/>
    <w:rsid w:val="005328A8"/>
    <w:rsid w:val="00532900"/>
    <w:rsid w:val="00532AE5"/>
    <w:rsid w:val="00532B3D"/>
    <w:rsid w:val="00532C65"/>
    <w:rsid w:val="00532CF1"/>
    <w:rsid w:val="00532ECC"/>
    <w:rsid w:val="005330D3"/>
    <w:rsid w:val="0053316E"/>
    <w:rsid w:val="00533209"/>
    <w:rsid w:val="005334A7"/>
    <w:rsid w:val="005336C5"/>
    <w:rsid w:val="005336EF"/>
    <w:rsid w:val="0053387A"/>
    <w:rsid w:val="00533E68"/>
    <w:rsid w:val="0053426D"/>
    <w:rsid w:val="005343B5"/>
    <w:rsid w:val="005343E5"/>
    <w:rsid w:val="00534537"/>
    <w:rsid w:val="005346A1"/>
    <w:rsid w:val="00534B8D"/>
    <w:rsid w:val="00534C27"/>
    <w:rsid w:val="00535164"/>
    <w:rsid w:val="005351EC"/>
    <w:rsid w:val="00535337"/>
    <w:rsid w:val="005355FE"/>
    <w:rsid w:val="005359CD"/>
    <w:rsid w:val="00535CD9"/>
    <w:rsid w:val="00535DAE"/>
    <w:rsid w:val="00535F2A"/>
    <w:rsid w:val="00536032"/>
    <w:rsid w:val="005361F6"/>
    <w:rsid w:val="00536688"/>
    <w:rsid w:val="0053685A"/>
    <w:rsid w:val="00536A6A"/>
    <w:rsid w:val="00536B15"/>
    <w:rsid w:val="005371F6"/>
    <w:rsid w:val="00537640"/>
    <w:rsid w:val="0054009B"/>
    <w:rsid w:val="0054013E"/>
    <w:rsid w:val="005407D4"/>
    <w:rsid w:val="005409C8"/>
    <w:rsid w:val="00540AB9"/>
    <w:rsid w:val="00540B70"/>
    <w:rsid w:val="00540F03"/>
    <w:rsid w:val="0054167B"/>
    <w:rsid w:val="00541C85"/>
    <w:rsid w:val="00542271"/>
    <w:rsid w:val="005428DF"/>
    <w:rsid w:val="00542AA6"/>
    <w:rsid w:val="00542E5F"/>
    <w:rsid w:val="00542EC4"/>
    <w:rsid w:val="00542FB3"/>
    <w:rsid w:val="005430B7"/>
    <w:rsid w:val="005431A4"/>
    <w:rsid w:val="005432C4"/>
    <w:rsid w:val="005433ED"/>
    <w:rsid w:val="0054367C"/>
    <w:rsid w:val="00543793"/>
    <w:rsid w:val="005440BB"/>
    <w:rsid w:val="005440F7"/>
    <w:rsid w:val="00544347"/>
    <w:rsid w:val="005444A8"/>
    <w:rsid w:val="0054459F"/>
    <w:rsid w:val="0054464F"/>
    <w:rsid w:val="0054468F"/>
    <w:rsid w:val="00544B4C"/>
    <w:rsid w:val="00544CD9"/>
    <w:rsid w:val="00544DB3"/>
    <w:rsid w:val="00544EF6"/>
    <w:rsid w:val="00544FAE"/>
    <w:rsid w:val="00545080"/>
    <w:rsid w:val="005451F5"/>
    <w:rsid w:val="00545806"/>
    <w:rsid w:val="00545948"/>
    <w:rsid w:val="00545A4D"/>
    <w:rsid w:val="00545AF8"/>
    <w:rsid w:val="00545CB3"/>
    <w:rsid w:val="00546185"/>
    <w:rsid w:val="00546D53"/>
    <w:rsid w:val="005470F0"/>
    <w:rsid w:val="00547BA7"/>
    <w:rsid w:val="005500C2"/>
    <w:rsid w:val="005507C1"/>
    <w:rsid w:val="00550C99"/>
    <w:rsid w:val="00550CCC"/>
    <w:rsid w:val="00550DD9"/>
    <w:rsid w:val="00551AAB"/>
    <w:rsid w:val="00552483"/>
    <w:rsid w:val="0055259D"/>
    <w:rsid w:val="005526F8"/>
    <w:rsid w:val="005532E6"/>
    <w:rsid w:val="00553413"/>
    <w:rsid w:val="00553596"/>
    <w:rsid w:val="00553779"/>
    <w:rsid w:val="005538B7"/>
    <w:rsid w:val="00553A54"/>
    <w:rsid w:val="00554276"/>
    <w:rsid w:val="0055485B"/>
    <w:rsid w:val="005548E9"/>
    <w:rsid w:val="005548EE"/>
    <w:rsid w:val="00554A4B"/>
    <w:rsid w:val="00554F9F"/>
    <w:rsid w:val="00555AB2"/>
    <w:rsid w:val="00555B66"/>
    <w:rsid w:val="00555F62"/>
    <w:rsid w:val="00555FBC"/>
    <w:rsid w:val="00556288"/>
    <w:rsid w:val="005566EC"/>
    <w:rsid w:val="00556ABF"/>
    <w:rsid w:val="00556CA0"/>
    <w:rsid w:val="00556D73"/>
    <w:rsid w:val="00556F5D"/>
    <w:rsid w:val="00557129"/>
    <w:rsid w:val="00557B44"/>
    <w:rsid w:val="00557CE5"/>
    <w:rsid w:val="00557DD7"/>
    <w:rsid w:val="0056011D"/>
    <w:rsid w:val="0056015D"/>
    <w:rsid w:val="00560490"/>
    <w:rsid w:val="005605FA"/>
    <w:rsid w:val="00560623"/>
    <w:rsid w:val="00560978"/>
    <w:rsid w:val="00560A12"/>
    <w:rsid w:val="00560BD1"/>
    <w:rsid w:val="00560D79"/>
    <w:rsid w:val="00560FA5"/>
    <w:rsid w:val="00561129"/>
    <w:rsid w:val="0056153D"/>
    <w:rsid w:val="005615F9"/>
    <w:rsid w:val="00561736"/>
    <w:rsid w:val="0056191E"/>
    <w:rsid w:val="00561DD5"/>
    <w:rsid w:val="00561E67"/>
    <w:rsid w:val="0056208B"/>
    <w:rsid w:val="005620C7"/>
    <w:rsid w:val="00562410"/>
    <w:rsid w:val="005624B0"/>
    <w:rsid w:val="00562D0C"/>
    <w:rsid w:val="0056302D"/>
    <w:rsid w:val="005630AD"/>
    <w:rsid w:val="005630D5"/>
    <w:rsid w:val="005632CC"/>
    <w:rsid w:val="00563B4B"/>
    <w:rsid w:val="00563C8D"/>
    <w:rsid w:val="0056407F"/>
    <w:rsid w:val="0056417B"/>
    <w:rsid w:val="00564851"/>
    <w:rsid w:val="00564AD3"/>
    <w:rsid w:val="00564C30"/>
    <w:rsid w:val="00565E89"/>
    <w:rsid w:val="00566604"/>
    <w:rsid w:val="005668E4"/>
    <w:rsid w:val="0056723C"/>
    <w:rsid w:val="00567772"/>
    <w:rsid w:val="0056795C"/>
    <w:rsid w:val="00567BCA"/>
    <w:rsid w:val="00567C78"/>
    <w:rsid w:val="005700BD"/>
    <w:rsid w:val="00570306"/>
    <w:rsid w:val="005703DD"/>
    <w:rsid w:val="00570972"/>
    <w:rsid w:val="00570AC4"/>
    <w:rsid w:val="00570FCA"/>
    <w:rsid w:val="005712CE"/>
    <w:rsid w:val="00571371"/>
    <w:rsid w:val="00571C54"/>
    <w:rsid w:val="00571C92"/>
    <w:rsid w:val="00571D61"/>
    <w:rsid w:val="0057224F"/>
    <w:rsid w:val="0057262F"/>
    <w:rsid w:val="00572700"/>
    <w:rsid w:val="005729D8"/>
    <w:rsid w:val="00572AFE"/>
    <w:rsid w:val="00572B03"/>
    <w:rsid w:val="00572C3F"/>
    <w:rsid w:val="00573DD3"/>
    <w:rsid w:val="00573F80"/>
    <w:rsid w:val="005741F9"/>
    <w:rsid w:val="0057429B"/>
    <w:rsid w:val="0057440C"/>
    <w:rsid w:val="00574512"/>
    <w:rsid w:val="00574569"/>
    <w:rsid w:val="00574690"/>
    <w:rsid w:val="00574698"/>
    <w:rsid w:val="005748B0"/>
    <w:rsid w:val="0057516A"/>
    <w:rsid w:val="005754AB"/>
    <w:rsid w:val="005759C3"/>
    <w:rsid w:val="00575A99"/>
    <w:rsid w:val="005761F7"/>
    <w:rsid w:val="00576272"/>
    <w:rsid w:val="005763F5"/>
    <w:rsid w:val="0057742C"/>
    <w:rsid w:val="00577C62"/>
    <w:rsid w:val="00577D2F"/>
    <w:rsid w:val="00577EA5"/>
    <w:rsid w:val="00577FCF"/>
    <w:rsid w:val="005801FF"/>
    <w:rsid w:val="005803C9"/>
    <w:rsid w:val="0058123B"/>
    <w:rsid w:val="00581259"/>
    <w:rsid w:val="00581410"/>
    <w:rsid w:val="00581492"/>
    <w:rsid w:val="005817E6"/>
    <w:rsid w:val="00581A04"/>
    <w:rsid w:val="00581DEA"/>
    <w:rsid w:val="00581F87"/>
    <w:rsid w:val="005821EA"/>
    <w:rsid w:val="005823C4"/>
    <w:rsid w:val="005824D2"/>
    <w:rsid w:val="005826F4"/>
    <w:rsid w:val="00582902"/>
    <w:rsid w:val="005829B5"/>
    <w:rsid w:val="0058369E"/>
    <w:rsid w:val="005836C2"/>
    <w:rsid w:val="00583713"/>
    <w:rsid w:val="005837AC"/>
    <w:rsid w:val="005838E0"/>
    <w:rsid w:val="0058399A"/>
    <w:rsid w:val="00583A2C"/>
    <w:rsid w:val="00583A77"/>
    <w:rsid w:val="00583A8B"/>
    <w:rsid w:val="00583E3E"/>
    <w:rsid w:val="00583FA1"/>
    <w:rsid w:val="00584022"/>
    <w:rsid w:val="005843E0"/>
    <w:rsid w:val="00584497"/>
    <w:rsid w:val="005845FF"/>
    <w:rsid w:val="00584C28"/>
    <w:rsid w:val="00584CF1"/>
    <w:rsid w:val="00584D77"/>
    <w:rsid w:val="005852E2"/>
    <w:rsid w:val="00585395"/>
    <w:rsid w:val="00585428"/>
    <w:rsid w:val="00585FC7"/>
    <w:rsid w:val="005862DF"/>
    <w:rsid w:val="005866D1"/>
    <w:rsid w:val="005867BA"/>
    <w:rsid w:val="005867D5"/>
    <w:rsid w:val="00586C24"/>
    <w:rsid w:val="0058725F"/>
    <w:rsid w:val="00587605"/>
    <w:rsid w:val="00587E8B"/>
    <w:rsid w:val="00590011"/>
    <w:rsid w:val="00590538"/>
    <w:rsid w:val="00590810"/>
    <w:rsid w:val="00590D09"/>
    <w:rsid w:val="005914CE"/>
    <w:rsid w:val="00591537"/>
    <w:rsid w:val="0059156A"/>
    <w:rsid w:val="00591A4E"/>
    <w:rsid w:val="00591C50"/>
    <w:rsid w:val="00591F44"/>
    <w:rsid w:val="00592299"/>
    <w:rsid w:val="005922B9"/>
    <w:rsid w:val="0059250B"/>
    <w:rsid w:val="0059282F"/>
    <w:rsid w:val="00592980"/>
    <w:rsid w:val="00593059"/>
    <w:rsid w:val="00593114"/>
    <w:rsid w:val="00593314"/>
    <w:rsid w:val="005933B3"/>
    <w:rsid w:val="0059368E"/>
    <w:rsid w:val="00593820"/>
    <w:rsid w:val="00593ACA"/>
    <w:rsid w:val="00593BF5"/>
    <w:rsid w:val="00593E7A"/>
    <w:rsid w:val="00594496"/>
    <w:rsid w:val="005947C9"/>
    <w:rsid w:val="00594810"/>
    <w:rsid w:val="00594A26"/>
    <w:rsid w:val="00594A57"/>
    <w:rsid w:val="00594CE2"/>
    <w:rsid w:val="00594E76"/>
    <w:rsid w:val="00595280"/>
    <w:rsid w:val="0059566E"/>
    <w:rsid w:val="005956D3"/>
    <w:rsid w:val="005958FC"/>
    <w:rsid w:val="00595D55"/>
    <w:rsid w:val="00595DC6"/>
    <w:rsid w:val="00595FCA"/>
    <w:rsid w:val="00596088"/>
    <w:rsid w:val="005960D3"/>
    <w:rsid w:val="00596353"/>
    <w:rsid w:val="00596365"/>
    <w:rsid w:val="005965BC"/>
    <w:rsid w:val="00596762"/>
    <w:rsid w:val="00596801"/>
    <w:rsid w:val="00596979"/>
    <w:rsid w:val="005969E6"/>
    <w:rsid w:val="00596A95"/>
    <w:rsid w:val="00596F51"/>
    <w:rsid w:val="0059723B"/>
    <w:rsid w:val="00597337"/>
    <w:rsid w:val="00597602"/>
    <w:rsid w:val="00597AF3"/>
    <w:rsid w:val="00597B4F"/>
    <w:rsid w:val="00597C02"/>
    <w:rsid w:val="00597E20"/>
    <w:rsid w:val="005A0733"/>
    <w:rsid w:val="005A08DB"/>
    <w:rsid w:val="005A0A21"/>
    <w:rsid w:val="005A0C99"/>
    <w:rsid w:val="005A0E54"/>
    <w:rsid w:val="005A0FAE"/>
    <w:rsid w:val="005A10DF"/>
    <w:rsid w:val="005A18EB"/>
    <w:rsid w:val="005A1CF7"/>
    <w:rsid w:val="005A1E90"/>
    <w:rsid w:val="005A2FD1"/>
    <w:rsid w:val="005A306E"/>
    <w:rsid w:val="005A3286"/>
    <w:rsid w:val="005A3548"/>
    <w:rsid w:val="005A354B"/>
    <w:rsid w:val="005A3800"/>
    <w:rsid w:val="005A3C37"/>
    <w:rsid w:val="005A3CD3"/>
    <w:rsid w:val="005A3E07"/>
    <w:rsid w:val="005A3EF4"/>
    <w:rsid w:val="005A4273"/>
    <w:rsid w:val="005A45B8"/>
    <w:rsid w:val="005A46E2"/>
    <w:rsid w:val="005A4914"/>
    <w:rsid w:val="005A498E"/>
    <w:rsid w:val="005A4EE7"/>
    <w:rsid w:val="005A4F3F"/>
    <w:rsid w:val="005A563A"/>
    <w:rsid w:val="005A58F5"/>
    <w:rsid w:val="005A5FE0"/>
    <w:rsid w:val="005A60D9"/>
    <w:rsid w:val="005A6193"/>
    <w:rsid w:val="005A658A"/>
    <w:rsid w:val="005A670B"/>
    <w:rsid w:val="005A67ED"/>
    <w:rsid w:val="005A6939"/>
    <w:rsid w:val="005A7061"/>
    <w:rsid w:val="005A731F"/>
    <w:rsid w:val="005A73E7"/>
    <w:rsid w:val="005A7448"/>
    <w:rsid w:val="005A789C"/>
    <w:rsid w:val="005A7A60"/>
    <w:rsid w:val="005A7C93"/>
    <w:rsid w:val="005A7E78"/>
    <w:rsid w:val="005B03ED"/>
    <w:rsid w:val="005B03FB"/>
    <w:rsid w:val="005B0495"/>
    <w:rsid w:val="005B07D8"/>
    <w:rsid w:val="005B0B30"/>
    <w:rsid w:val="005B0EB0"/>
    <w:rsid w:val="005B10D6"/>
    <w:rsid w:val="005B1776"/>
    <w:rsid w:val="005B184C"/>
    <w:rsid w:val="005B1BA3"/>
    <w:rsid w:val="005B223B"/>
    <w:rsid w:val="005B22AA"/>
    <w:rsid w:val="005B2473"/>
    <w:rsid w:val="005B26D7"/>
    <w:rsid w:val="005B27F5"/>
    <w:rsid w:val="005B2BD3"/>
    <w:rsid w:val="005B2E99"/>
    <w:rsid w:val="005B32FB"/>
    <w:rsid w:val="005B3421"/>
    <w:rsid w:val="005B3598"/>
    <w:rsid w:val="005B359E"/>
    <w:rsid w:val="005B41FB"/>
    <w:rsid w:val="005B425F"/>
    <w:rsid w:val="005B43FC"/>
    <w:rsid w:val="005B4B22"/>
    <w:rsid w:val="005B4CA6"/>
    <w:rsid w:val="005B51FD"/>
    <w:rsid w:val="005B5460"/>
    <w:rsid w:val="005B57A2"/>
    <w:rsid w:val="005B5841"/>
    <w:rsid w:val="005B5C2E"/>
    <w:rsid w:val="005B5E3B"/>
    <w:rsid w:val="005B60CE"/>
    <w:rsid w:val="005B6199"/>
    <w:rsid w:val="005B625A"/>
    <w:rsid w:val="005B680C"/>
    <w:rsid w:val="005B6A46"/>
    <w:rsid w:val="005B6A7E"/>
    <w:rsid w:val="005B6AFA"/>
    <w:rsid w:val="005B6C83"/>
    <w:rsid w:val="005B723D"/>
    <w:rsid w:val="005B7247"/>
    <w:rsid w:val="005B77D0"/>
    <w:rsid w:val="005B7A6D"/>
    <w:rsid w:val="005B7D6E"/>
    <w:rsid w:val="005B7FE4"/>
    <w:rsid w:val="005C0450"/>
    <w:rsid w:val="005C0562"/>
    <w:rsid w:val="005C05D0"/>
    <w:rsid w:val="005C05E0"/>
    <w:rsid w:val="005C0686"/>
    <w:rsid w:val="005C0FD6"/>
    <w:rsid w:val="005C17EE"/>
    <w:rsid w:val="005C1807"/>
    <w:rsid w:val="005C21CB"/>
    <w:rsid w:val="005C2C89"/>
    <w:rsid w:val="005C329F"/>
    <w:rsid w:val="005C3448"/>
    <w:rsid w:val="005C3546"/>
    <w:rsid w:val="005C37E0"/>
    <w:rsid w:val="005C3983"/>
    <w:rsid w:val="005C3CD1"/>
    <w:rsid w:val="005C3E82"/>
    <w:rsid w:val="005C3F2E"/>
    <w:rsid w:val="005C3F5A"/>
    <w:rsid w:val="005C4087"/>
    <w:rsid w:val="005C40B7"/>
    <w:rsid w:val="005C452C"/>
    <w:rsid w:val="005C4578"/>
    <w:rsid w:val="005C469A"/>
    <w:rsid w:val="005C4A08"/>
    <w:rsid w:val="005C4B9E"/>
    <w:rsid w:val="005C4C00"/>
    <w:rsid w:val="005C4DA5"/>
    <w:rsid w:val="005C51DC"/>
    <w:rsid w:val="005C532D"/>
    <w:rsid w:val="005C5395"/>
    <w:rsid w:val="005C53B7"/>
    <w:rsid w:val="005C54B9"/>
    <w:rsid w:val="005C5A1C"/>
    <w:rsid w:val="005C5A60"/>
    <w:rsid w:val="005C5B42"/>
    <w:rsid w:val="005C5CB7"/>
    <w:rsid w:val="005C6232"/>
    <w:rsid w:val="005C6411"/>
    <w:rsid w:val="005C6618"/>
    <w:rsid w:val="005C68FC"/>
    <w:rsid w:val="005C69BE"/>
    <w:rsid w:val="005C6DCD"/>
    <w:rsid w:val="005C6E3E"/>
    <w:rsid w:val="005C71A9"/>
    <w:rsid w:val="005C734A"/>
    <w:rsid w:val="005C7462"/>
    <w:rsid w:val="005C777C"/>
    <w:rsid w:val="005C794A"/>
    <w:rsid w:val="005C7B6D"/>
    <w:rsid w:val="005C7B83"/>
    <w:rsid w:val="005C7EFB"/>
    <w:rsid w:val="005D0011"/>
    <w:rsid w:val="005D014D"/>
    <w:rsid w:val="005D0189"/>
    <w:rsid w:val="005D01F9"/>
    <w:rsid w:val="005D0965"/>
    <w:rsid w:val="005D0A81"/>
    <w:rsid w:val="005D0F5C"/>
    <w:rsid w:val="005D112B"/>
    <w:rsid w:val="005D1790"/>
    <w:rsid w:val="005D19C1"/>
    <w:rsid w:val="005D1C3C"/>
    <w:rsid w:val="005D237D"/>
    <w:rsid w:val="005D238D"/>
    <w:rsid w:val="005D24A0"/>
    <w:rsid w:val="005D274A"/>
    <w:rsid w:val="005D2816"/>
    <w:rsid w:val="005D2894"/>
    <w:rsid w:val="005D3394"/>
    <w:rsid w:val="005D36A5"/>
    <w:rsid w:val="005D3746"/>
    <w:rsid w:val="005D3859"/>
    <w:rsid w:val="005D3A3F"/>
    <w:rsid w:val="005D4CCB"/>
    <w:rsid w:val="005D4CEA"/>
    <w:rsid w:val="005D5183"/>
    <w:rsid w:val="005D5B04"/>
    <w:rsid w:val="005D5BC8"/>
    <w:rsid w:val="005D5F31"/>
    <w:rsid w:val="005D68F7"/>
    <w:rsid w:val="005D6BF4"/>
    <w:rsid w:val="005D6C16"/>
    <w:rsid w:val="005D6CA0"/>
    <w:rsid w:val="005D719F"/>
    <w:rsid w:val="005D74D7"/>
    <w:rsid w:val="005D7994"/>
    <w:rsid w:val="005D7C9F"/>
    <w:rsid w:val="005E0839"/>
    <w:rsid w:val="005E09A7"/>
    <w:rsid w:val="005E09CC"/>
    <w:rsid w:val="005E0FCB"/>
    <w:rsid w:val="005E12B5"/>
    <w:rsid w:val="005E13EA"/>
    <w:rsid w:val="005E1AAC"/>
    <w:rsid w:val="005E1CE0"/>
    <w:rsid w:val="005E1EE6"/>
    <w:rsid w:val="005E226D"/>
    <w:rsid w:val="005E256E"/>
    <w:rsid w:val="005E290C"/>
    <w:rsid w:val="005E2C28"/>
    <w:rsid w:val="005E30E7"/>
    <w:rsid w:val="005E3AD9"/>
    <w:rsid w:val="005E3B68"/>
    <w:rsid w:val="005E40F7"/>
    <w:rsid w:val="005E41AE"/>
    <w:rsid w:val="005E4470"/>
    <w:rsid w:val="005E47AE"/>
    <w:rsid w:val="005E4B5D"/>
    <w:rsid w:val="005E578D"/>
    <w:rsid w:val="005E5794"/>
    <w:rsid w:val="005E589B"/>
    <w:rsid w:val="005E5990"/>
    <w:rsid w:val="005E5A2D"/>
    <w:rsid w:val="005E5C9D"/>
    <w:rsid w:val="005E607E"/>
    <w:rsid w:val="005E6277"/>
    <w:rsid w:val="005E6378"/>
    <w:rsid w:val="005E63A4"/>
    <w:rsid w:val="005E685F"/>
    <w:rsid w:val="005E6C5C"/>
    <w:rsid w:val="005E6E67"/>
    <w:rsid w:val="005E6E9D"/>
    <w:rsid w:val="005E6EE9"/>
    <w:rsid w:val="005E6F07"/>
    <w:rsid w:val="005E7999"/>
    <w:rsid w:val="005E7AFD"/>
    <w:rsid w:val="005E7EA2"/>
    <w:rsid w:val="005F0E69"/>
    <w:rsid w:val="005F1015"/>
    <w:rsid w:val="005F127F"/>
    <w:rsid w:val="005F1454"/>
    <w:rsid w:val="005F15D7"/>
    <w:rsid w:val="005F1756"/>
    <w:rsid w:val="005F17A5"/>
    <w:rsid w:val="005F19F7"/>
    <w:rsid w:val="005F1AF4"/>
    <w:rsid w:val="005F1B6E"/>
    <w:rsid w:val="005F21A9"/>
    <w:rsid w:val="005F250E"/>
    <w:rsid w:val="005F2C63"/>
    <w:rsid w:val="005F2CC8"/>
    <w:rsid w:val="005F2CD4"/>
    <w:rsid w:val="005F30D0"/>
    <w:rsid w:val="005F33AA"/>
    <w:rsid w:val="005F3504"/>
    <w:rsid w:val="005F3A58"/>
    <w:rsid w:val="005F3EA2"/>
    <w:rsid w:val="005F4060"/>
    <w:rsid w:val="005F4401"/>
    <w:rsid w:val="005F4563"/>
    <w:rsid w:val="005F4824"/>
    <w:rsid w:val="005F4AD2"/>
    <w:rsid w:val="005F4B1F"/>
    <w:rsid w:val="005F4DCD"/>
    <w:rsid w:val="005F509A"/>
    <w:rsid w:val="005F50B1"/>
    <w:rsid w:val="005F564E"/>
    <w:rsid w:val="005F5702"/>
    <w:rsid w:val="005F5AD4"/>
    <w:rsid w:val="005F5B39"/>
    <w:rsid w:val="005F5D58"/>
    <w:rsid w:val="005F610F"/>
    <w:rsid w:val="005F6236"/>
    <w:rsid w:val="005F6413"/>
    <w:rsid w:val="005F691C"/>
    <w:rsid w:val="005F6A8B"/>
    <w:rsid w:val="005F6C11"/>
    <w:rsid w:val="005F6D8D"/>
    <w:rsid w:val="005F719F"/>
    <w:rsid w:val="005F726C"/>
    <w:rsid w:val="005F75A2"/>
    <w:rsid w:val="005F7973"/>
    <w:rsid w:val="005F7D31"/>
    <w:rsid w:val="005F7DD0"/>
    <w:rsid w:val="005F7F7A"/>
    <w:rsid w:val="00600322"/>
    <w:rsid w:val="00600415"/>
    <w:rsid w:val="0060053E"/>
    <w:rsid w:val="0060061C"/>
    <w:rsid w:val="00600670"/>
    <w:rsid w:val="00600D6A"/>
    <w:rsid w:val="00600EC0"/>
    <w:rsid w:val="0060113D"/>
    <w:rsid w:val="00601170"/>
    <w:rsid w:val="00601781"/>
    <w:rsid w:val="006018B9"/>
    <w:rsid w:val="006021E7"/>
    <w:rsid w:val="00602A05"/>
    <w:rsid w:val="00602A1A"/>
    <w:rsid w:val="00602CBD"/>
    <w:rsid w:val="00602CD2"/>
    <w:rsid w:val="00602E46"/>
    <w:rsid w:val="00602E6D"/>
    <w:rsid w:val="00602ECE"/>
    <w:rsid w:val="00603034"/>
    <w:rsid w:val="00603389"/>
    <w:rsid w:val="006033EA"/>
    <w:rsid w:val="006035A8"/>
    <w:rsid w:val="00603FD5"/>
    <w:rsid w:val="006043B1"/>
    <w:rsid w:val="006043DA"/>
    <w:rsid w:val="006046CE"/>
    <w:rsid w:val="0060473D"/>
    <w:rsid w:val="00604E70"/>
    <w:rsid w:val="006050DB"/>
    <w:rsid w:val="0060516D"/>
    <w:rsid w:val="00605409"/>
    <w:rsid w:val="006054B7"/>
    <w:rsid w:val="006059BC"/>
    <w:rsid w:val="00605BCA"/>
    <w:rsid w:val="00605CE4"/>
    <w:rsid w:val="00605D1C"/>
    <w:rsid w:val="006062F9"/>
    <w:rsid w:val="0060660B"/>
    <w:rsid w:val="006066A4"/>
    <w:rsid w:val="006066AD"/>
    <w:rsid w:val="006067F4"/>
    <w:rsid w:val="00606D1E"/>
    <w:rsid w:val="00607433"/>
    <w:rsid w:val="006076D0"/>
    <w:rsid w:val="00607801"/>
    <w:rsid w:val="00607974"/>
    <w:rsid w:val="00607C3B"/>
    <w:rsid w:val="00607F03"/>
    <w:rsid w:val="0061004E"/>
    <w:rsid w:val="006103A7"/>
    <w:rsid w:val="00610627"/>
    <w:rsid w:val="006106ED"/>
    <w:rsid w:val="006109A4"/>
    <w:rsid w:val="00610B3D"/>
    <w:rsid w:val="00610B86"/>
    <w:rsid w:val="00610E71"/>
    <w:rsid w:val="00610F6C"/>
    <w:rsid w:val="00611036"/>
    <w:rsid w:val="00611131"/>
    <w:rsid w:val="006113CD"/>
    <w:rsid w:val="00611465"/>
    <w:rsid w:val="00611D58"/>
    <w:rsid w:val="00611DBF"/>
    <w:rsid w:val="00612275"/>
    <w:rsid w:val="0061256B"/>
    <w:rsid w:val="00612655"/>
    <w:rsid w:val="00612981"/>
    <w:rsid w:val="006129AA"/>
    <w:rsid w:val="00612C92"/>
    <w:rsid w:val="00612D03"/>
    <w:rsid w:val="006133A3"/>
    <w:rsid w:val="006133F6"/>
    <w:rsid w:val="00613513"/>
    <w:rsid w:val="00613B08"/>
    <w:rsid w:val="00613F0D"/>
    <w:rsid w:val="00614189"/>
    <w:rsid w:val="006144A3"/>
    <w:rsid w:val="00615028"/>
    <w:rsid w:val="00615047"/>
    <w:rsid w:val="0061514D"/>
    <w:rsid w:val="00615642"/>
    <w:rsid w:val="00615C72"/>
    <w:rsid w:val="00615D86"/>
    <w:rsid w:val="0061630F"/>
    <w:rsid w:val="00616840"/>
    <w:rsid w:val="00616D27"/>
    <w:rsid w:val="00616DC8"/>
    <w:rsid w:val="00617208"/>
    <w:rsid w:val="00617365"/>
    <w:rsid w:val="00617389"/>
    <w:rsid w:val="006173C7"/>
    <w:rsid w:val="00617FA1"/>
    <w:rsid w:val="0062007A"/>
    <w:rsid w:val="00620548"/>
    <w:rsid w:val="00620B8A"/>
    <w:rsid w:val="00620BF7"/>
    <w:rsid w:val="00620C8F"/>
    <w:rsid w:val="00620F61"/>
    <w:rsid w:val="006215D9"/>
    <w:rsid w:val="00621F56"/>
    <w:rsid w:val="00622690"/>
    <w:rsid w:val="006227CF"/>
    <w:rsid w:val="00622F41"/>
    <w:rsid w:val="00622F5B"/>
    <w:rsid w:val="00623000"/>
    <w:rsid w:val="00624068"/>
    <w:rsid w:val="00624152"/>
    <w:rsid w:val="006244EC"/>
    <w:rsid w:val="00624775"/>
    <w:rsid w:val="00624B90"/>
    <w:rsid w:val="00624CC6"/>
    <w:rsid w:val="00624CFF"/>
    <w:rsid w:val="00625026"/>
    <w:rsid w:val="0062512E"/>
    <w:rsid w:val="00625724"/>
    <w:rsid w:val="006263B6"/>
    <w:rsid w:val="006266B7"/>
    <w:rsid w:val="0062672F"/>
    <w:rsid w:val="00626826"/>
    <w:rsid w:val="0062697B"/>
    <w:rsid w:val="00627025"/>
    <w:rsid w:val="00627032"/>
    <w:rsid w:val="006274D3"/>
    <w:rsid w:val="006274F0"/>
    <w:rsid w:val="00627776"/>
    <w:rsid w:val="0062779C"/>
    <w:rsid w:val="00630256"/>
    <w:rsid w:val="006308C4"/>
    <w:rsid w:val="0063099A"/>
    <w:rsid w:val="00630DA3"/>
    <w:rsid w:val="00630F02"/>
    <w:rsid w:val="00630F06"/>
    <w:rsid w:val="00630FD2"/>
    <w:rsid w:val="006311E6"/>
    <w:rsid w:val="00631499"/>
    <w:rsid w:val="00631AEA"/>
    <w:rsid w:val="00631BAE"/>
    <w:rsid w:val="006322A4"/>
    <w:rsid w:val="00632512"/>
    <w:rsid w:val="00632559"/>
    <w:rsid w:val="006328F2"/>
    <w:rsid w:val="006329BC"/>
    <w:rsid w:val="00632BA7"/>
    <w:rsid w:val="0063316B"/>
    <w:rsid w:val="00633227"/>
    <w:rsid w:val="00633C95"/>
    <w:rsid w:val="00633D19"/>
    <w:rsid w:val="00633E6B"/>
    <w:rsid w:val="00633FC4"/>
    <w:rsid w:val="006341AB"/>
    <w:rsid w:val="00634842"/>
    <w:rsid w:val="00635A02"/>
    <w:rsid w:val="00635ABE"/>
    <w:rsid w:val="00635B7D"/>
    <w:rsid w:val="00635E1A"/>
    <w:rsid w:val="0063609D"/>
    <w:rsid w:val="006361D8"/>
    <w:rsid w:val="00636591"/>
    <w:rsid w:val="00636711"/>
    <w:rsid w:val="0063672D"/>
    <w:rsid w:val="006367B2"/>
    <w:rsid w:val="00636F46"/>
    <w:rsid w:val="0063721B"/>
    <w:rsid w:val="00637296"/>
    <w:rsid w:val="00637978"/>
    <w:rsid w:val="00637A4B"/>
    <w:rsid w:val="00637D1F"/>
    <w:rsid w:val="00637E37"/>
    <w:rsid w:val="00640015"/>
    <w:rsid w:val="006401E9"/>
    <w:rsid w:val="00640619"/>
    <w:rsid w:val="006409EE"/>
    <w:rsid w:val="00640F1F"/>
    <w:rsid w:val="0064106F"/>
    <w:rsid w:val="00641260"/>
    <w:rsid w:val="0064145E"/>
    <w:rsid w:val="0064159B"/>
    <w:rsid w:val="00641798"/>
    <w:rsid w:val="00641B57"/>
    <w:rsid w:val="00641E4B"/>
    <w:rsid w:val="006420CA"/>
    <w:rsid w:val="0064211C"/>
    <w:rsid w:val="006422E0"/>
    <w:rsid w:val="0064239E"/>
    <w:rsid w:val="006424EB"/>
    <w:rsid w:val="0064287A"/>
    <w:rsid w:val="00642C49"/>
    <w:rsid w:val="00642DA4"/>
    <w:rsid w:val="00643311"/>
    <w:rsid w:val="00643350"/>
    <w:rsid w:val="00643E34"/>
    <w:rsid w:val="0064413A"/>
    <w:rsid w:val="00644162"/>
    <w:rsid w:val="00644F49"/>
    <w:rsid w:val="00645191"/>
    <w:rsid w:val="0064573D"/>
    <w:rsid w:val="00645800"/>
    <w:rsid w:val="00645D8E"/>
    <w:rsid w:val="00645E58"/>
    <w:rsid w:val="00645FA6"/>
    <w:rsid w:val="00646564"/>
    <w:rsid w:val="00646713"/>
    <w:rsid w:val="006469AD"/>
    <w:rsid w:val="00646AB0"/>
    <w:rsid w:val="00647095"/>
    <w:rsid w:val="00647415"/>
    <w:rsid w:val="006475BD"/>
    <w:rsid w:val="00647927"/>
    <w:rsid w:val="00647AAF"/>
    <w:rsid w:val="00647ACF"/>
    <w:rsid w:val="00647AFD"/>
    <w:rsid w:val="00647C63"/>
    <w:rsid w:val="006505FF"/>
    <w:rsid w:val="00650602"/>
    <w:rsid w:val="00650773"/>
    <w:rsid w:val="00650AC1"/>
    <w:rsid w:val="00650DD1"/>
    <w:rsid w:val="00650E8C"/>
    <w:rsid w:val="00650EF6"/>
    <w:rsid w:val="00651AF9"/>
    <w:rsid w:val="00651BD9"/>
    <w:rsid w:val="00651DD1"/>
    <w:rsid w:val="00652041"/>
    <w:rsid w:val="006522A2"/>
    <w:rsid w:val="00652363"/>
    <w:rsid w:val="006523B6"/>
    <w:rsid w:val="0065272D"/>
    <w:rsid w:val="006527FF"/>
    <w:rsid w:val="00653017"/>
    <w:rsid w:val="0065355E"/>
    <w:rsid w:val="0065364D"/>
    <w:rsid w:val="006536B3"/>
    <w:rsid w:val="00653935"/>
    <w:rsid w:val="00653953"/>
    <w:rsid w:val="00653B2E"/>
    <w:rsid w:val="00653CA2"/>
    <w:rsid w:val="00653E9D"/>
    <w:rsid w:val="0065408C"/>
    <w:rsid w:val="006542F6"/>
    <w:rsid w:val="00654AB0"/>
    <w:rsid w:val="00654F58"/>
    <w:rsid w:val="00655063"/>
    <w:rsid w:val="006554B2"/>
    <w:rsid w:val="006558C8"/>
    <w:rsid w:val="00655CA5"/>
    <w:rsid w:val="00656139"/>
    <w:rsid w:val="00656263"/>
    <w:rsid w:val="006562F5"/>
    <w:rsid w:val="0065667D"/>
    <w:rsid w:val="006566BE"/>
    <w:rsid w:val="00656749"/>
    <w:rsid w:val="00656A8A"/>
    <w:rsid w:val="00657085"/>
    <w:rsid w:val="0065708B"/>
    <w:rsid w:val="0065759E"/>
    <w:rsid w:val="00657600"/>
    <w:rsid w:val="00657DAF"/>
    <w:rsid w:val="00657E8E"/>
    <w:rsid w:val="0066054C"/>
    <w:rsid w:val="00660C11"/>
    <w:rsid w:val="006621E2"/>
    <w:rsid w:val="00662209"/>
    <w:rsid w:val="006623D9"/>
    <w:rsid w:val="00662647"/>
    <w:rsid w:val="00662A19"/>
    <w:rsid w:val="00662F4D"/>
    <w:rsid w:val="00663010"/>
    <w:rsid w:val="006633A0"/>
    <w:rsid w:val="00663568"/>
    <w:rsid w:val="0066359B"/>
    <w:rsid w:val="0066361B"/>
    <w:rsid w:val="006637DE"/>
    <w:rsid w:val="0066394D"/>
    <w:rsid w:val="0066397D"/>
    <w:rsid w:val="00663AA3"/>
    <w:rsid w:val="006644CD"/>
    <w:rsid w:val="00664511"/>
    <w:rsid w:val="0066454E"/>
    <w:rsid w:val="00664820"/>
    <w:rsid w:val="00664ADE"/>
    <w:rsid w:val="00664E43"/>
    <w:rsid w:val="006650BC"/>
    <w:rsid w:val="0066512C"/>
    <w:rsid w:val="00665285"/>
    <w:rsid w:val="0066536B"/>
    <w:rsid w:val="00665805"/>
    <w:rsid w:val="00665D03"/>
    <w:rsid w:val="00665D3B"/>
    <w:rsid w:val="00665E84"/>
    <w:rsid w:val="00665EDF"/>
    <w:rsid w:val="006661D3"/>
    <w:rsid w:val="0066647F"/>
    <w:rsid w:val="006664BF"/>
    <w:rsid w:val="006667A9"/>
    <w:rsid w:val="00666855"/>
    <w:rsid w:val="00666B0F"/>
    <w:rsid w:val="00666CE6"/>
    <w:rsid w:val="00666E7F"/>
    <w:rsid w:val="00666EF7"/>
    <w:rsid w:val="00666FAA"/>
    <w:rsid w:val="00667727"/>
    <w:rsid w:val="00667AAF"/>
    <w:rsid w:val="00667C66"/>
    <w:rsid w:val="00667CD6"/>
    <w:rsid w:val="00667F88"/>
    <w:rsid w:val="006702E2"/>
    <w:rsid w:val="00670668"/>
    <w:rsid w:val="00670B7C"/>
    <w:rsid w:val="00670BC3"/>
    <w:rsid w:val="00670F99"/>
    <w:rsid w:val="00671444"/>
    <w:rsid w:val="00671495"/>
    <w:rsid w:val="00671840"/>
    <w:rsid w:val="00671928"/>
    <w:rsid w:val="00671E03"/>
    <w:rsid w:val="00671EB2"/>
    <w:rsid w:val="00671F94"/>
    <w:rsid w:val="006721E4"/>
    <w:rsid w:val="00672384"/>
    <w:rsid w:val="00672709"/>
    <w:rsid w:val="0067274E"/>
    <w:rsid w:val="00672942"/>
    <w:rsid w:val="00672E61"/>
    <w:rsid w:val="0067327B"/>
    <w:rsid w:val="0067361E"/>
    <w:rsid w:val="00673637"/>
    <w:rsid w:val="00673B18"/>
    <w:rsid w:val="00673BF6"/>
    <w:rsid w:val="00673DF0"/>
    <w:rsid w:val="00673FB6"/>
    <w:rsid w:val="00674546"/>
    <w:rsid w:val="00674855"/>
    <w:rsid w:val="00674DC0"/>
    <w:rsid w:val="00674DF2"/>
    <w:rsid w:val="00674F14"/>
    <w:rsid w:val="00675059"/>
    <w:rsid w:val="00675177"/>
    <w:rsid w:val="006751CD"/>
    <w:rsid w:val="00675647"/>
    <w:rsid w:val="00675B8E"/>
    <w:rsid w:val="00676330"/>
    <w:rsid w:val="00676978"/>
    <w:rsid w:val="0067697D"/>
    <w:rsid w:val="00676B57"/>
    <w:rsid w:val="00677055"/>
    <w:rsid w:val="006773EE"/>
    <w:rsid w:val="0067740E"/>
    <w:rsid w:val="006774AC"/>
    <w:rsid w:val="00677778"/>
    <w:rsid w:val="00677AD8"/>
    <w:rsid w:val="00677BFF"/>
    <w:rsid w:val="00677C02"/>
    <w:rsid w:val="00677E96"/>
    <w:rsid w:val="006800F1"/>
    <w:rsid w:val="0068011F"/>
    <w:rsid w:val="006806FD"/>
    <w:rsid w:val="00680C5D"/>
    <w:rsid w:val="00680CB6"/>
    <w:rsid w:val="00680D4C"/>
    <w:rsid w:val="00681087"/>
    <w:rsid w:val="006810CF"/>
    <w:rsid w:val="006813C0"/>
    <w:rsid w:val="00681434"/>
    <w:rsid w:val="006814D4"/>
    <w:rsid w:val="0068169A"/>
    <w:rsid w:val="006816EB"/>
    <w:rsid w:val="00681C01"/>
    <w:rsid w:val="00681D0D"/>
    <w:rsid w:val="00681E2B"/>
    <w:rsid w:val="0068228D"/>
    <w:rsid w:val="00682705"/>
    <w:rsid w:val="00682758"/>
    <w:rsid w:val="006827D9"/>
    <w:rsid w:val="00683481"/>
    <w:rsid w:val="006837AD"/>
    <w:rsid w:val="0068392F"/>
    <w:rsid w:val="00683A92"/>
    <w:rsid w:val="00683B7C"/>
    <w:rsid w:val="00683ECD"/>
    <w:rsid w:val="00684080"/>
    <w:rsid w:val="006845B9"/>
    <w:rsid w:val="006848C6"/>
    <w:rsid w:val="00684B74"/>
    <w:rsid w:val="00684C05"/>
    <w:rsid w:val="006850A0"/>
    <w:rsid w:val="0068562B"/>
    <w:rsid w:val="00685729"/>
    <w:rsid w:val="00685747"/>
    <w:rsid w:val="006859E7"/>
    <w:rsid w:val="00685CB7"/>
    <w:rsid w:val="006860E3"/>
    <w:rsid w:val="006861A5"/>
    <w:rsid w:val="00686292"/>
    <w:rsid w:val="0068636F"/>
    <w:rsid w:val="0068642E"/>
    <w:rsid w:val="00686483"/>
    <w:rsid w:val="006866E5"/>
    <w:rsid w:val="00686D35"/>
    <w:rsid w:val="0068724F"/>
    <w:rsid w:val="00687313"/>
    <w:rsid w:val="006873BA"/>
    <w:rsid w:val="006904A9"/>
    <w:rsid w:val="00690856"/>
    <w:rsid w:val="006919B0"/>
    <w:rsid w:val="00691BE6"/>
    <w:rsid w:val="0069203D"/>
    <w:rsid w:val="0069209F"/>
    <w:rsid w:val="00692279"/>
    <w:rsid w:val="006924DC"/>
    <w:rsid w:val="006925A6"/>
    <w:rsid w:val="006927C7"/>
    <w:rsid w:val="00692FF0"/>
    <w:rsid w:val="0069314A"/>
    <w:rsid w:val="00693502"/>
    <w:rsid w:val="0069390C"/>
    <w:rsid w:val="00693D5B"/>
    <w:rsid w:val="00694110"/>
    <w:rsid w:val="00694665"/>
    <w:rsid w:val="00694968"/>
    <w:rsid w:val="00694BFC"/>
    <w:rsid w:val="00694D26"/>
    <w:rsid w:val="00694E22"/>
    <w:rsid w:val="00694F56"/>
    <w:rsid w:val="00694F92"/>
    <w:rsid w:val="00695A6D"/>
    <w:rsid w:val="00695B4D"/>
    <w:rsid w:val="00695E0A"/>
    <w:rsid w:val="00695F22"/>
    <w:rsid w:val="0069613B"/>
    <w:rsid w:val="00696193"/>
    <w:rsid w:val="0069682C"/>
    <w:rsid w:val="006968ED"/>
    <w:rsid w:val="00696C8A"/>
    <w:rsid w:val="00696EEA"/>
    <w:rsid w:val="00696F1A"/>
    <w:rsid w:val="0069740C"/>
    <w:rsid w:val="0069749F"/>
    <w:rsid w:val="006974BE"/>
    <w:rsid w:val="00697AE4"/>
    <w:rsid w:val="00697C4C"/>
    <w:rsid w:val="00697F21"/>
    <w:rsid w:val="006A0483"/>
    <w:rsid w:val="006A0588"/>
    <w:rsid w:val="006A0784"/>
    <w:rsid w:val="006A08BD"/>
    <w:rsid w:val="006A0CE7"/>
    <w:rsid w:val="006A10C0"/>
    <w:rsid w:val="006A1680"/>
    <w:rsid w:val="006A1725"/>
    <w:rsid w:val="006A18F9"/>
    <w:rsid w:val="006A1D18"/>
    <w:rsid w:val="006A1DEF"/>
    <w:rsid w:val="006A24D4"/>
    <w:rsid w:val="006A26FA"/>
    <w:rsid w:val="006A27B7"/>
    <w:rsid w:val="006A29A8"/>
    <w:rsid w:val="006A2B6F"/>
    <w:rsid w:val="006A2CA8"/>
    <w:rsid w:val="006A2D42"/>
    <w:rsid w:val="006A330E"/>
    <w:rsid w:val="006A3540"/>
    <w:rsid w:val="006A38A4"/>
    <w:rsid w:val="006A3A26"/>
    <w:rsid w:val="006A3E54"/>
    <w:rsid w:val="006A428C"/>
    <w:rsid w:val="006A477A"/>
    <w:rsid w:val="006A4962"/>
    <w:rsid w:val="006A4C42"/>
    <w:rsid w:val="006A4F17"/>
    <w:rsid w:val="006A5014"/>
    <w:rsid w:val="006A53DF"/>
    <w:rsid w:val="006A546B"/>
    <w:rsid w:val="006A579B"/>
    <w:rsid w:val="006A5B36"/>
    <w:rsid w:val="006A5B9E"/>
    <w:rsid w:val="006A5C97"/>
    <w:rsid w:val="006A5DF2"/>
    <w:rsid w:val="006A5F19"/>
    <w:rsid w:val="006A62FC"/>
    <w:rsid w:val="006A6446"/>
    <w:rsid w:val="006A673B"/>
    <w:rsid w:val="006A6D3C"/>
    <w:rsid w:val="006A6D95"/>
    <w:rsid w:val="006A6E66"/>
    <w:rsid w:val="006A6E80"/>
    <w:rsid w:val="006A6E87"/>
    <w:rsid w:val="006A7069"/>
    <w:rsid w:val="006A7220"/>
    <w:rsid w:val="006A72EB"/>
    <w:rsid w:val="006A739C"/>
    <w:rsid w:val="006A74B0"/>
    <w:rsid w:val="006A75CC"/>
    <w:rsid w:val="006A78F0"/>
    <w:rsid w:val="006A7FB3"/>
    <w:rsid w:val="006B007A"/>
    <w:rsid w:val="006B059C"/>
    <w:rsid w:val="006B07C4"/>
    <w:rsid w:val="006B103D"/>
    <w:rsid w:val="006B1183"/>
    <w:rsid w:val="006B1839"/>
    <w:rsid w:val="006B1A9C"/>
    <w:rsid w:val="006B1B7D"/>
    <w:rsid w:val="006B2051"/>
    <w:rsid w:val="006B2B5C"/>
    <w:rsid w:val="006B2BED"/>
    <w:rsid w:val="006B2CF8"/>
    <w:rsid w:val="006B2D79"/>
    <w:rsid w:val="006B2D90"/>
    <w:rsid w:val="006B2E13"/>
    <w:rsid w:val="006B3059"/>
    <w:rsid w:val="006B30B9"/>
    <w:rsid w:val="006B3202"/>
    <w:rsid w:val="006B3635"/>
    <w:rsid w:val="006B37CD"/>
    <w:rsid w:val="006B384A"/>
    <w:rsid w:val="006B3A44"/>
    <w:rsid w:val="006B3B01"/>
    <w:rsid w:val="006B3B90"/>
    <w:rsid w:val="006B3D72"/>
    <w:rsid w:val="006B4590"/>
    <w:rsid w:val="006B45D1"/>
    <w:rsid w:val="006B47CE"/>
    <w:rsid w:val="006B4B93"/>
    <w:rsid w:val="006B4BF8"/>
    <w:rsid w:val="006B4E3B"/>
    <w:rsid w:val="006B4FBB"/>
    <w:rsid w:val="006B5067"/>
    <w:rsid w:val="006B52AE"/>
    <w:rsid w:val="006B550D"/>
    <w:rsid w:val="006B577E"/>
    <w:rsid w:val="006B58DB"/>
    <w:rsid w:val="006B5C20"/>
    <w:rsid w:val="006B648E"/>
    <w:rsid w:val="006B6763"/>
    <w:rsid w:val="006B69FB"/>
    <w:rsid w:val="006B6F00"/>
    <w:rsid w:val="006B7009"/>
    <w:rsid w:val="006B73F9"/>
    <w:rsid w:val="006B79B7"/>
    <w:rsid w:val="006B7EA1"/>
    <w:rsid w:val="006B7F52"/>
    <w:rsid w:val="006C005F"/>
    <w:rsid w:val="006C0285"/>
    <w:rsid w:val="006C03BE"/>
    <w:rsid w:val="006C0EA9"/>
    <w:rsid w:val="006C103F"/>
    <w:rsid w:val="006C1182"/>
    <w:rsid w:val="006C1223"/>
    <w:rsid w:val="006C12DC"/>
    <w:rsid w:val="006C1649"/>
    <w:rsid w:val="006C16B6"/>
    <w:rsid w:val="006C1CC7"/>
    <w:rsid w:val="006C1EA0"/>
    <w:rsid w:val="006C2399"/>
    <w:rsid w:val="006C2665"/>
    <w:rsid w:val="006C269D"/>
    <w:rsid w:val="006C28EB"/>
    <w:rsid w:val="006C2920"/>
    <w:rsid w:val="006C2FE4"/>
    <w:rsid w:val="006C313A"/>
    <w:rsid w:val="006C34D0"/>
    <w:rsid w:val="006C36D4"/>
    <w:rsid w:val="006C36D5"/>
    <w:rsid w:val="006C3C06"/>
    <w:rsid w:val="006C404F"/>
    <w:rsid w:val="006C45F6"/>
    <w:rsid w:val="006C48D3"/>
    <w:rsid w:val="006C4AF4"/>
    <w:rsid w:val="006C4C82"/>
    <w:rsid w:val="006C574F"/>
    <w:rsid w:val="006C5752"/>
    <w:rsid w:val="006C5E09"/>
    <w:rsid w:val="006C5E78"/>
    <w:rsid w:val="006C6016"/>
    <w:rsid w:val="006C617F"/>
    <w:rsid w:val="006C6296"/>
    <w:rsid w:val="006C6342"/>
    <w:rsid w:val="006C64E7"/>
    <w:rsid w:val="006C65FD"/>
    <w:rsid w:val="006C680E"/>
    <w:rsid w:val="006C6CCA"/>
    <w:rsid w:val="006C6FC1"/>
    <w:rsid w:val="006C715F"/>
    <w:rsid w:val="006C73EC"/>
    <w:rsid w:val="006C7634"/>
    <w:rsid w:val="006C79ED"/>
    <w:rsid w:val="006C7A7C"/>
    <w:rsid w:val="006C7E86"/>
    <w:rsid w:val="006D05AC"/>
    <w:rsid w:val="006D095B"/>
    <w:rsid w:val="006D0A0F"/>
    <w:rsid w:val="006D101E"/>
    <w:rsid w:val="006D13B6"/>
    <w:rsid w:val="006D191A"/>
    <w:rsid w:val="006D19BE"/>
    <w:rsid w:val="006D1BB1"/>
    <w:rsid w:val="006D1DBB"/>
    <w:rsid w:val="006D20DE"/>
    <w:rsid w:val="006D26F3"/>
    <w:rsid w:val="006D2934"/>
    <w:rsid w:val="006D2E97"/>
    <w:rsid w:val="006D33D9"/>
    <w:rsid w:val="006D37E2"/>
    <w:rsid w:val="006D3CFC"/>
    <w:rsid w:val="006D3E5A"/>
    <w:rsid w:val="006D3F2F"/>
    <w:rsid w:val="006D3FF1"/>
    <w:rsid w:val="006D443F"/>
    <w:rsid w:val="006D44D0"/>
    <w:rsid w:val="006D44D8"/>
    <w:rsid w:val="006D473D"/>
    <w:rsid w:val="006D489F"/>
    <w:rsid w:val="006D4E54"/>
    <w:rsid w:val="006D4F09"/>
    <w:rsid w:val="006D4FA9"/>
    <w:rsid w:val="006D50BE"/>
    <w:rsid w:val="006D552D"/>
    <w:rsid w:val="006D57D3"/>
    <w:rsid w:val="006D584F"/>
    <w:rsid w:val="006D5956"/>
    <w:rsid w:val="006D59AF"/>
    <w:rsid w:val="006D5CDE"/>
    <w:rsid w:val="006D5F4F"/>
    <w:rsid w:val="006D7023"/>
    <w:rsid w:val="006D70E7"/>
    <w:rsid w:val="006D7619"/>
    <w:rsid w:val="006D77E6"/>
    <w:rsid w:val="006D7DC8"/>
    <w:rsid w:val="006E00CA"/>
    <w:rsid w:val="006E01A7"/>
    <w:rsid w:val="006E01DB"/>
    <w:rsid w:val="006E026A"/>
    <w:rsid w:val="006E0684"/>
    <w:rsid w:val="006E0B53"/>
    <w:rsid w:val="006E0DC5"/>
    <w:rsid w:val="006E0E48"/>
    <w:rsid w:val="006E0FE7"/>
    <w:rsid w:val="006E1234"/>
    <w:rsid w:val="006E1334"/>
    <w:rsid w:val="006E138C"/>
    <w:rsid w:val="006E1798"/>
    <w:rsid w:val="006E2269"/>
    <w:rsid w:val="006E24C1"/>
    <w:rsid w:val="006E2656"/>
    <w:rsid w:val="006E265A"/>
    <w:rsid w:val="006E2661"/>
    <w:rsid w:val="006E2795"/>
    <w:rsid w:val="006E2B72"/>
    <w:rsid w:val="006E2B74"/>
    <w:rsid w:val="006E2BEE"/>
    <w:rsid w:val="006E2C21"/>
    <w:rsid w:val="006E2D94"/>
    <w:rsid w:val="006E2DBC"/>
    <w:rsid w:val="006E3059"/>
    <w:rsid w:val="006E336F"/>
    <w:rsid w:val="006E3536"/>
    <w:rsid w:val="006E355C"/>
    <w:rsid w:val="006E3917"/>
    <w:rsid w:val="006E3E1C"/>
    <w:rsid w:val="006E3E72"/>
    <w:rsid w:val="006E4084"/>
    <w:rsid w:val="006E4496"/>
    <w:rsid w:val="006E44FA"/>
    <w:rsid w:val="006E45C5"/>
    <w:rsid w:val="006E45DC"/>
    <w:rsid w:val="006E46B2"/>
    <w:rsid w:val="006E4BDB"/>
    <w:rsid w:val="006E54AB"/>
    <w:rsid w:val="006E54D6"/>
    <w:rsid w:val="006E574D"/>
    <w:rsid w:val="006E5AD0"/>
    <w:rsid w:val="006E5D36"/>
    <w:rsid w:val="006E5FF6"/>
    <w:rsid w:val="006E6139"/>
    <w:rsid w:val="006E6550"/>
    <w:rsid w:val="006E66A4"/>
    <w:rsid w:val="006E69E9"/>
    <w:rsid w:val="006E6C1B"/>
    <w:rsid w:val="006E6C51"/>
    <w:rsid w:val="006E6D79"/>
    <w:rsid w:val="006E6F76"/>
    <w:rsid w:val="006E712A"/>
    <w:rsid w:val="006E7402"/>
    <w:rsid w:val="006E7A52"/>
    <w:rsid w:val="006E7CE5"/>
    <w:rsid w:val="006E7D46"/>
    <w:rsid w:val="006E7DB4"/>
    <w:rsid w:val="006F0222"/>
    <w:rsid w:val="006F046A"/>
    <w:rsid w:val="006F0AC7"/>
    <w:rsid w:val="006F0BC0"/>
    <w:rsid w:val="006F0D5C"/>
    <w:rsid w:val="006F11F5"/>
    <w:rsid w:val="006F16D4"/>
    <w:rsid w:val="006F1CDB"/>
    <w:rsid w:val="006F1D68"/>
    <w:rsid w:val="006F207B"/>
    <w:rsid w:val="006F209C"/>
    <w:rsid w:val="006F212E"/>
    <w:rsid w:val="006F2288"/>
    <w:rsid w:val="006F24A4"/>
    <w:rsid w:val="006F2861"/>
    <w:rsid w:val="006F2A59"/>
    <w:rsid w:val="006F3C67"/>
    <w:rsid w:val="006F3DFE"/>
    <w:rsid w:val="006F3E05"/>
    <w:rsid w:val="006F3FEA"/>
    <w:rsid w:val="006F42B2"/>
    <w:rsid w:val="006F445C"/>
    <w:rsid w:val="006F44CE"/>
    <w:rsid w:val="006F47C8"/>
    <w:rsid w:val="006F4B47"/>
    <w:rsid w:val="006F4C1C"/>
    <w:rsid w:val="006F53AF"/>
    <w:rsid w:val="006F586C"/>
    <w:rsid w:val="006F5D6E"/>
    <w:rsid w:val="006F5E5C"/>
    <w:rsid w:val="006F6116"/>
    <w:rsid w:val="006F68B2"/>
    <w:rsid w:val="006F6B32"/>
    <w:rsid w:val="006F6C01"/>
    <w:rsid w:val="006F70C7"/>
    <w:rsid w:val="006F7226"/>
    <w:rsid w:val="006F7635"/>
    <w:rsid w:val="006F7670"/>
    <w:rsid w:val="006F7C5C"/>
    <w:rsid w:val="006F7C67"/>
    <w:rsid w:val="006F7EC9"/>
    <w:rsid w:val="007001D3"/>
    <w:rsid w:val="007002A3"/>
    <w:rsid w:val="007003BB"/>
    <w:rsid w:val="007008A2"/>
    <w:rsid w:val="00700A65"/>
    <w:rsid w:val="007010C7"/>
    <w:rsid w:val="00701100"/>
    <w:rsid w:val="0070114C"/>
    <w:rsid w:val="00701158"/>
    <w:rsid w:val="007014BB"/>
    <w:rsid w:val="007014F5"/>
    <w:rsid w:val="00701606"/>
    <w:rsid w:val="0070186B"/>
    <w:rsid w:val="00701B3C"/>
    <w:rsid w:val="00701BE2"/>
    <w:rsid w:val="00701BFE"/>
    <w:rsid w:val="00701C5D"/>
    <w:rsid w:val="00701CF3"/>
    <w:rsid w:val="0070201B"/>
    <w:rsid w:val="0070217C"/>
    <w:rsid w:val="00702317"/>
    <w:rsid w:val="00702489"/>
    <w:rsid w:val="00702BF7"/>
    <w:rsid w:val="00702FE5"/>
    <w:rsid w:val="0070318F"/>
    <w:rsid w:val="0070342E"/>
    <w:rsid w:val="00703433"/>
    <w:rsid w:val="007038D4"/>
    <w:rsid w:val="00703D3C"/>
    <w:rsid w:val="0070408A"/>
    <w:rsid w:val="0070466F"/>
    <w:rsid w:val="00704909"/>
    <w:rsid w:val="00704C5D"/>
    <w:rsid w:val="00704E95"/>
    <w:rsid w:val="007050F3"/>
    <w:rsid w:val="007052A8"/>
    <w:rsid w:val="007052EB"/>
    <w:rsid w:val="00705436"/>
    <w:rsid w:val="00705568"/>
    <w:rsid w:val="0070558D"/>
    <w:rsid w:val="00705B17"/>
    <w:rsid w:val="00705C9D"/>
    <w:rsid w:val="00706155"/>
    <w:rsid w:val="00706234"/>
    <w:rsid w:val="007064F8"/>
    <w:rsid w:val="007065B7"/>
    <w:rsid w:val="00706607"/>
    <w:rsid w:val="00706AF6"/>
    <w:rsid w:val="00706CC8"/>
    <w:rsid w:val="00707074"/>
    <w:rsid w:val="007070A1"/>
    <w:rsid w:val="007070AD"/>
    <w:rsid w:val="007072AB"/>
    <w:rsid w:val="00707436"/>
    <w:rsid w:val="00707A4A"/>
    <w:rsid w:val="0071022B"/>
    <w:rsid w:val="00710280"/>
    <w:rsid w:val="007103CF"/>
    <w:rsid w:val="00710491"/>
    <w:rsid w:val="0071072B"/>
    <w:rsid w:val="00710813"/>
    <w:rsid w:val="00710C6E"/>
    <w:rsid w:val="00710C76"/>
    <w:rsid w:val="0071114C"/>
    <w:rsid w:val="00711368"/>
    <w:rsid w:val="00711495"/>
    <w:rsid w:val="007114D2"/>
    <w:rsid w:val="00711605"/>
    <w:rsid w:val="007116A3"/>
    <w:rsid w:val="00711958"/>
    <w:rsid w:val="00711C2B"/>
    <w:rsid w:val="00711FAF"/>
    <w:rsid w:val="007121F7"/>
    <w:rsid w:val="007123C9"/>
    <w:rsid w:val="00712430"/>
    <w:rsid w:val="00712716"/>
    <w:rsid w:val="00712D5C"/>
    <w:rsid w:val="00712ECC"/>
    <w:rsid w:val="00712F6B"/>
    <w:rsid w:val="0071326F"/>
    <w:rsid w:val="00713452"/>
    <w:rsid w:val="00713510"/>
    <w:rsid w:val="00713879"/>
    <w:rsid w:val="0071408C"/>
    <w:rsid w:val="00714488"/>
    <w:rsid w:val="007145ED"/>
    <w:rsid w:val="00715227"/>
    <w:rsid w:val="00715228"/>
    <w:rsid w:val="007152C6"/>
    <w:rsid w:val="00715473"/>
    <w:rsid w:val="007154A8"/>
    <w:rsid w:val="007154DE"/>
    <w:rsid w:val="007158C6"/>
    <w:rsid w:val="00715AEB"/>
    <w:rsid w:val="00716266"/>
    <w:rsid w:val="007169F5"/>
    <w:rsid w:val="00716AED"/>
    <w:rsid w:val="00717140"/>
    <w:rsid w:val="007171FC"/>
    <w:rsid w:val="0071737F"/>
    <w:rsid w:val="0072021F"/>
    <w:rsid w:val="00720507"/>
    <w:rsid w:val="00720E38"/>
    <w:rsid w:val="007215EF"/>
    <w:rsid w:val="00721817"/>
    <w:rsid w:val="00721D33"/>
    <w:rsid w:val="00722159"/>
    <w:rsid w:val="007221FA"/>
    <w:rsid w:val="0072281A"/>
    <w:rsid w:val="00722888"/>
    <w:rsid w:val="0072291C"/>
    <w:rsid w:val="007229A6"/>
    <w:rsid w:val="00722B4E"/>
    <w:rsid w:val="00722C55"/>
    <w:rsid w:val="00722C78"/>
    <w:rsid w:val="00722CC0"/>
    <w:rsid w:val="007231BF"/>
    <w:rsid w:val="00723718"/>
    <w:rsid w:val="007237ED"/>
    <w:rsid w:val="00723816"/>
    <w:rsid w:val="0072396B"/>
    <w:rsid w:val="00723E18"/>
    <w:rsid w:val="00723E4E"/>
    <w:rsid w:val="00724463"/>
    <w:rsid w:val="0072457D"/>
    <w:rsid w:val="00724B39"/>
    <w:rsid w:val="00724DE4"/>
    <w:rsid w:val="007251F9"/>
    <w:rsid w:val="007252DE"/>
    <w:rsid w:val="00725757"/>
    <w:rsid w:val="007259A7"/>
    <w:rsid w:val="00726370"/>
    <w:rsid w:val="007264D3"/>
    <w:rsid w:val="00726519"/>
    <w:rsid w:val="0072656A"/>
    <w:rsid w:val="00726B98"/>
    <w:rsid w:val="00726D58"/>
    <w:rsid w:val="00726DCF"/>
    <w:rsid w:val="00727011"/>
    <w:rsid w:val="0072712B"/>
    <w:rsid w:val="00727545"/>
    <w:rsid w:val="007277FE"/>
    <w:rsid w:val="007279A0"/>
    <w:rsid w:val="00727A16"/>
    <w:rsid w:val="00727A55"/>
    <w:rsid w:val="00727E00"/>
    <w:rsid w:val="007301C9"/>
    <w:rsid w:val="007308C2"/>
    <w:rsid w:val="00730D29"/>
    <w:rsid w:val="00730E44"/>
    <w:rsid w:val="00730F14"/>
    <w:rsid w:val="0073114D"/>
    <w:rsid w:val="00731635"/>
    <w:rsid w:val="007316F2"/>
    <w:rsid w:val="00731BED"/>
    <w:rsid w:val="00731C07"/>
    <w:rsid w:val="00731D3C"/>
    <w:rsid w:val="00731F52"/>
    <w:rsid w:val="00732379"/>
    <w:rsid w:val="0073292F"/>
    <w:rsid w:val="00732A21"/>
    <w:rsid w:val="00732C96"/>
    <w:rsid w:val="007331A7"/>
    <w:rsid w:val="007331CF"/>
    <w:rsid w:val="00733252"/>
    <w:rsid w:val="00733654"/>
    <w:rsid w:val="00733AE7"/>
    <w:rsid w:val="00733C19"/>
    <w:rsid w:val="00733C84"/>
    <w:rsid w:val="00733E3E"/>
    <w:rsid w:val="007345B5"/>
    <w:rsid w:val="00734BFD"/>
    <w:rsid w:val="00734E6B"/>
    <w:rsid w:val="00734F1B"/>
    <w:rsid w:val="00734F8F"/>
    <w:rsid w:val="007350AA"/>
    <w:rsid w:val="007357A3"/>
    <w:rsid w:val="00735A8A"/>
    <w:rsid w:val="00735B44"/>
    <w:rsid w:val="00735B93"/>
    <w:rsid w:val="00735BFD"/>
    <w:rsid w:val="00735F5F"/>
    <w:rsid w:val="00736102"/>
    <w:rsid w:val="00736C02"/>
    <w:rsid w:val="00736ED1"/>
    <w:rsid w:val="00736F6E"/>
    <w:rsid w:val="00736FA6"/>
    <w:rsid w:val="007373F6"/>
    <w:rsid w:val="00737864"/>
    <w:rsid w:val="007379E7"/>
    <w:rsid w:val="00737B1B"/>
    <w:rsid w:val="00737E1A"/>
    <w:rsid w:val="00737FD3"/>
    <w:rsid w:val="00737FD5"/>
    <w:rsid w:val="00740030"/>
    <w:rsid w:val="007400F1"/>
    <w:rsid w:val="007405D9"/>
    <w:rsid w:val="007409A1"/>
    <w:rsid w:val="00740C18"/>
    <w:rsid w:val="00740D1C"/>
    <w:rsid w:val="00740D97"/>
    <w:rsid w:val="00741260"/>
    <w:rsid w:val="007415CD"/>
    <w:rsid w:val="00741A11"/>
    <w:rsid w:val="00741B5E"/>
    <w:rsid w:val="00741B71"/>
    <w:rsid w:val="0074252E"/>
    <w:rsid w:val="007427B2"/>
    <w:rsid w:val="007427E3"/>
    <w:rsid w:val="007429B8"/>
    <w:rsid w:val="00742E1B"/>
    <w:rsid w:val="00742F0D"/>
    <w:rsid w:val="00742FED"/>
    <w:rsid w:val="007430D9"/>
    <w:rsid w:val="00743548"/>
    <w:rsid w:val="0074392E"/>
    <w:rsid w:val="00743CD2"/>
    <w:rsid w:val="00743D8C"/>
    <w:rsid w:val="00744120"/>
    <w:rsid w:val="007442D5"/>
    <w:rsid w:val="0074469A"/>
    <w:rsid w:val="00744723"/>
    <w:rsid w:val="00744899"/>
    <w:rsid w:val="00744ADE"/>
    <w:rsid w:val="00744E69"/>
    <w:rsid w:val="00744EAE"/>
    <w:rsid w:val="00744F1E"/>
    <w:rsid w:val="007450EE"/>
    <w:rsid w:val="00745202"/>
    <w:rsid w:val="00745814"/>
    <w:rsid w:val="00745F0A"/>
    <w:rsid w:val="00746092"/>
    <w:rsid w:val="0074689B"/>
    <w:rsid w:val="00746C01"/>
    <w:rsid w:val="00746C91"/>
    <w:rsid w:val="00746D7B"/>
    <w:rsid w:val="00746EF0"/>
    <w:rsid w:val="00746FB1"/>
    <w:rsid w:val="007475CD"/>
    <w:rsid w:val="00747640"/>
    <w:rsid w:val="00747EAD"/>
    <w:rsid w:val="00750277"/>
    <w:rsid w:val="0075064D"/>
    <w:rsid w:val="007508F6"/>
    <w:rsid w:val="0075099B"/>
    <w:rsid w:val="00750BAD"/>
    <w:rsid w:val="00750BD9"/>
    <w:rsid w:val="00750C70"/>
    <w:rsid w:val="007513D7"/>
    <w:rsid w:val="00751440"/>
    <w:rsid w:val="0075157C"/>
    <w:rsid w:val="00751770"/>
    <w:rsid w:val="007517AC"/>
    <w:rsid w:val="00751AA6"/>
    <w:rsid w:val="00751B53"/>
    <w:rsid w:val="00751BD1"/>
    <w:rsid w:val="00751BE0"/>
    <w:rsid w:val="00751DE5"/>
    <w:rsid w:val="0075204A"/>
    <w:rsid w:val="007521A2"/>
    <w:rsid w:val="00752348"/>
    <w:rsid w:val="00752731"/>
    <w:rsid w:val="00752735"/>
    <w:rsid w:val="007527BD"/>
    <w:rsid w:val="007527E2"/>
    <w:rsid w:val="007530F6"/>
    <w:rsid w:val="0075377D"/>
    <w:rsid w:val="0075382B"/>
    <w:rsid w:val="0075386F"/>
    <w:rsid w:val="00753B1E"/>
    <w:rsid w:val="00754122"/>
    <w:rsid w:val="007541CC"/>
    <w:rsid w:val="007544B4"/>
    <w:rsid w:val="00754F76"/>
    <w:rsid w:val="00755328"/>
    <w:rsid w:val="0075568F"/>
    <w:rsid w:val="0075585B"/>
    <w:rsid w:val="00755C8F"/>
    <w:rsid w:val="00756623"/>
    <w:rsid w:val="00756AAB"/>
    <w:rsid w:val="00756CAC"/>
    <w:rsid w:val="00756CEB"/>
    <w:rsid w:val="00756D00"/>
    <w:rsid w:val="00756DFB"/>
    <w:rsid w:val="0075718A"/>
    <w:rsid w:val="007573ED"/>
    <w:rsid w:val="00757686"/>
    <w:rsid w:val="007578EE"/>
    <w:rsid w:val="00757EE4"/>
    <w:rsid w:val="00757FEC"/>
    <w:rsid w:val="0076002C"/>
    <w:rsid w:val="00760304"/>
    <w:rsid w:val="00760E1B"/>
    <w:rsid w:val="0076128F"/>
    <w:rsid w:val="0076166F"/>
    <w:rsid w:val="007616F1"/>
    <w:rsid w:val="00761D87"/>
    <w:rsid w:val="00762138"/>
    <w:rsid w:val="007622E0"/>
    <w:rsid w:val="00762491"/>
    <w:rsid w:val="00762670"/>
    <w:rsid w:val="00762812"/>
    <w:rsid w:val="007628FA"/>
    <w:rsid w:val="00762C6B"/>
    <w:rsid w:val="00762E1E"/>
    <w:rsid w:val="00762F69"/>
    <w:rsid w:val="00763223"/>
    <w:rsid w:val="0076385F"/>
    <w:rsid w:val="007639CE"/>
    <w:rsid w:val="00763DF5"/>
    <w:rsid w:val="00764444"/>
    <w:rsid w:val="007644C8"/>
    <w:rsid w:val="00764856"/>
    <w:rsid w:val="00764B3D"/>
    <w:rsid w:val="00764D47"/>
    <w:rsid w:val="00764FE1"/>
    <w:rsid w:val="00765076"/>
    <w:rsid w:val="00765536"/>
    <w:rsid w:val="0076593E"/>
    <w:rsid w:val="00765A8A"/>
    <w:rsid w:val="00765A90"/>
    <w:rsid w:val="00765C48"/>
    <w:rsid w:val="00766001"/>
    <w:rsid w:val="00766336"/>
    <w:rsid w:val="00766403"/>
    <w:rsid w:val="00766579"/>
    <w:rsid w:val="007666B4"/>
    <w:rsid w:val="007669DE"/>
    <w:rsid w:val="00766E7B"/>
    <w:rsid w:val="00767439"/>
    <w:rsid w:val="00767477"/>
    <w:rsid w:val="007674EF"/>
    <w:rsid w:val="007675C4"/>
    <w:rsid w:val="007676C8"/>
    <w:rsid w:val="00767EAE"/>
    <w:rsid w:val="00767F3A"/>
    <w:rsid w:val="00767F4A"/>
    <w:rsid w:val="0077050A"/>
    <w:rsid w:val="007706C3"/>
    <w:rsid w:val="007706D3"/>
    <w:rsid w:val="00770767"/>
    <w:rsid w:val="00770869"/>
    <w:rsid w:val="00770995"/>
    <w:rsid w:val="00770BE5"/>
    <w:rsid w:val="00770DB0"/>
    <w:rsid w:val="00771FEA"/>
    <w:rsid w:val="0077245F"/>
    <w:rsid w:val="007724D4"/>
    <w:rsid w:val="00772EC2"/>
    <w:rsid w:val="0077326B"/>
    <w:rsid w:val="00773ED6"/>
    <w:rsid w:val="00773FA0"/>
    <w:rsid w:val="007740F5"/>
    <w:rsid w:val="00774355"/>
    <w:rsid w:val="00774526"/>
    <w:rsid w:val="007748F1"/>
    <w:rsid w:val="00774A4A"/>
    <w:rsid w:val="00774D04"/>
    <w:rsid w:val="00775165"/>
    <w:rsid w:val="00775721"/>
    <w:rsid w:val="0077578C"/>
    <w:rsid w:val="00775A35"/>
    <w:rsid w:val="00775DBA"/>
    <w:rsid w:val="00776321"/>
    <w:rsid w:val="00776398"/>
    <w:rsid w:val="00776882"/>
    <w:rsid w:val="00776E01"/>
    <w:rsid w:val="00777321"/>
    <w:rsid w:val="00777DD1"/>
    <w:rsid w:val="00780418"/>
    <w:rsid w:val="0078063B"/>
    <w:rsid w:val="0078098C"/>
    <w:rsid w:val="00780C78"/>
    <w:rsid w:val="00780E67"/>
    <w:rsid w:val="0078111F"/>
    <w:rsid w:val="0078117B"/>
    <w:rsid w:val="00781B17"/>
    <w:rsid w:val="00781C64"/>
    <w:rsid w:val="00781D01"/>
    <w:rsid w:val="007822EA"/>
    <w:rsid w:val="00782484"/>
    <w:rsid w:val="007826C4"/>
    <w:rsid w:val="00782E29"/>
    <w:rsid w:val="00782EA5"/>
    <w:rsid w:val="00783401"/>
    <w:rsid w:val="007835E8"/>
    <w:rsid w:val="00783690"/>
    <w:rsid w:val="007838C6"/>
    <w:rsid w:val="00783CC9"/>
    <w:rsid w:val="00784D83"/>
    <w:rsid w:val="00784FFB"/>
    <w:rsid w:val="0078533C"/>
    <w:rsid w:val="007855F1"/>
    <w:rsid w:val="007859BF"/>
    <w:rsid w:val="00785D86"/>
    <w:rsid w:val="0078610B"/>
    <w:rsid w:val="00786881"/>
    <w:rsid w:val="00786BC1"/>
    <w:rsid w:val="00786DCE"/>
    <w:rsid w:val="00786E47"/>
    <w:rsid w:val="00787905"/>
    <w:rsid w:val="00787A70"/>
    <w:rsid w:val="00787E08"/>
    <w:rsid w:val="00787F7A"/>
    <w:rsid w:val="007901C8"/>
    <w:rsid w:val="00790316"/>
    <w:rsid w:val="007908E1"/>
    <w:rsid w:val="00790C34"/>
    <w:rsid w:val="00791007"/>
    <w:rsid w:val="0079115D"/>
    <w:rsid w:val="00791488"/>
    <w:rsid w:val="00791714"/>
    <w:rsid w:val="007917BB"/>
    <w:rsid w:val="0079198D"/>
    <w:rsid w:val="00791B1D"/>
    <w:rsid w:val="00791BA9"/>
    <w:rsid w:val="00791C44"/>
    <w:rsid w:val="00791EC5"/>
    <w:rsid w:val="00791FF0"/>
    <w:rsid w:val="007921CA"/>
    <w:rsid w:val="007921FB"/>
    <w:rsid w:val="0079223B"/>
    <w:rsid w:val="0079229A"/>
    <w:rsid w:val="00792850"/>
    <w:rsid w:val="00792962"/>
    <w:rsid w:val="00792E98"/>
    <w:rsid w:val="00793373"/>
    <w:rsid w:val="007933E1"/>
    <w:rsid w:val="007933F8"/>
    <w:rsid w:val="007938D9"/>
    <w:rsid w:val="00793C38"/>
    <w:rsid w:val="00793E41"/>
    <w:rsid w:val="00793ED6"/>
    <w:rsid w:val="0079405A"/>
    <w:rsid w:val="00794119"/>
    <w:rsid w:val="00794383"/>
    <w:rsid w:val="007947BF"/>
    <w:rsid w:val="00794895"/>
    <w:rsid w:val="00794A65"/>
    <w:rsid w:val="00794CF6"/>
    <w:rsid w:val="00794E15"/>
    <w:rsid w:val="007950CD"/>
    <w:rsid w:val="0079556D"/>
    <w:rsid w:val="00795F1B"/>
    <w:rsid w:val="00796765"/>
    <w:rsid w:val="00796A89"/>
    <w:rsid w:val="00796AD5"/>
    <w:rsid w:val="00796D4E"/>
    <w:rsid w:val="007970CD"/>
    <w:rsid w:val="00797231"/>
    <w:rsid w:val="00797382"/>
    <w:rsid w:val="00797640"/>
    <w:rsid w:val="00797B52"/>
    <w:rsid w:val="00797CA8"/>
    <w:rsid w:val="00797F80"/>
    <w:rsid w:val="007A004B"/>
    <w:rsid w:val="007A012C"/>
    <w:rsid w:val="007A0218"/>
    <w:rsid w:val="007A0363"/>
    <w:rsid w:val="007A0851"/>
    <w:rsid w:val="007A0FB5"/>
    <w:rsid w:val="007A0FEC"/>
    <w:rsid w:val="007A1262"/>
    <w:rsid w:val="007A1661"/>
    <w:rsid w:val="007A1FB1"/>
    <w:rsid w:val="007A2170"/>
    <w:rsid w:val="007A258D"/>
    <w:rsid w:val="007A2D00"/>
    <w:rsid w:val="007A2F0C"/>
    <w:rsid w:val="007A355E"/>
    <w:rsid w:val="007A399F"/>
    <w:rsid w:val="007A39A3"/>
    <w:rsid w:val="007A3A8C"/>
    <w:rsid w:val="007A3A92"/>
    <w:rsid w:val="007A3ED4"/>
    <w:rsid w:val="007A4090"/>
    <w:rsid w:val="007A413B"/>
    <w:rsid w:val="007A4A32"/>
    <w:rsid w:val="007A510D"/>
    <w:rsid w:val="007A57A5"/>
    <w:rsid w:val="007A57F2"/>
    <w:rsid w:val="007A5C79"/>
    <w:rsid w:val="007A6431"/>
    <w:rsid w:val="007A653C"/>
    <w:rsid w:val="007A6631"/>
    <w:rsid w:val="007A6989"/>
    <w:rsid w:val="007A6E33"/>
    <w:rsid w:val="007A6F2C"/>
    <w:rsid w:val="007A7156"/>
    <w:rsid w:val="007A73B7"/>
    <w:rsid w:val="007A7768"/>
    <w:rsid w:val="007A77AB"/>
    <w:rsid w:val="007A79C6"/>
    <w:rsid w:val="007A7BBA"/>
    <w:rsid w:val="007A7CD9"/>
    <w:rsid w:val="007B0095"/>
    <w:rsid w:val="007B00DA"/>
    <w:rsid w:val="007B034D"/>
    <w:rsid w:val="007B04F7"/>
    <w:rsid w:val="007B06C3"/>
    <w:rsid w:val="007B0AB1"/>
    <w:rsid w:val="007B0B45"/>
    <w:rsid w:val="007B1519"/>
    <w:rsid w:val="007B1730"/>
    <w:rsid w:val="007B1A47"/>
    <w:rsid w:val="007B1BD8"/>
    <w:rsid w:val="007B1D35"/>
    <w:rsid w:val="007B1DC4"/>
    <w:rsid w:val="007B1ED5"/>
    <w:rsid w:val="007B20C3"/>
    <w:rsid w:val="007B21E1"/>
    <w:rsid w:val="007B26C8"/>
    <w:rsid w:val="007B28B8"/>
    <w:rsid w:val="007B2A7A"/>
    <w:rsid w:val="007B2B75"/>
    <w:rsid w:val="007B2F2A"/>
    <w:rsid w:val="007B30CA"/>
    <w:rsid w:val="007B3ABC"/>
    <w:rsid w:val="007B3AF2"/>
    <w:rsid w:val="007B4134"/>
    <w:rsid w:val="007B42BC"/>
    <w:rsid w:val="007B4300"/>
    <w:rsid w:val="007B43D8"/>
    <w:rsid w:val="007B489B"/>
    <w:rsid w:val="007B4958"/>
    <w:rsid w:val="007B4AEA"/>
    <w:rsid w:val="007B4C59"/>
    <w:rsid w:val="007B5187"/>
    <w:rsid w:val="007B523C"/>
    <w:rsid w:val="007B58EC"/>
    <w:rsid w:val="007B5972"/>
    <w:rsid w:val="007B60F1"/>
    <w:rsid w:val="007B64A4"/>
    <w:rsid w:val="007B6C61"/>
    <w:rsid w:val="007B73CE"/>
    <w:rsid w:val="007B765F"/>
    <w:rsid w:val="007B7D64"/>
    <w:rsid w:val="007C0636"/>
    <w:rsid w:val="007C0D43"/>
    <w:rsid w:val="007C0DDE"/>
    <w:rsid w:val="007C1141"/>
    <w:rsid w:val="007C160E"/>
    <w:rsid w:val="007C1EA7"/>
    <w:rsid w:val="007C2077"/>
    <w:rsid w:val="007C21A2"/>
    <w:rsid w:val="007C220A"/>
    <w:rsid w:val="007C2512"/>
    <w:rsid w:val="007C26CB"/>
    <w:rsid w:val="007C2858"/>
    <w:rsid w:val="007C3475"/>
    <w:rsid w:val="007C3CFC"/>
    <w:rsid w:val="007C495A"/>
    <w:rsid w:val="007C4F51"/>
    <w:rsid w:val="007C4FE1"/>
    <w:rsid w:val="007C5075"/>
    <w:rsid w:val="007C5729"/>
    <w:rsid w:val="007C5B88"/>
    <w:rsid w:val="007C5C00"/>
    <w:rsid w:val="007C62B3"/>
    <w:rsid w:val="007C63A9"/>
    <w:rsid w:val="007C6F69"/>
    <w:rsid w:val="007C72E6"/>
    <w:rsid w:val="007C72ED"/>
    <w:rsid w:val="007C773F"/>
    <w:rsid w:val="007C7A11"/>
    <w:rsid w:val="007C7C15"/>
    <w:rsid w:val="007C7D48"/>
    <w:rsid w:val="007D0138"/>
    <w:rsid w:val="007D016F"/>
    <w:rsid w:val="007D04BA"/>
    <w:rsid w:val="007D0519"/>
    <w:rsid w:val="007D0F4A"/>
    <w:rsid w:val="007D13FA"/>
    <w:rsid w:val="007D142A"/>
    <w:rsid w:val="007D1457"/>
    <w:rsid w:val="007D1569"/>
    <w:rsid w:val="007D16C6"/>
    <w:rsid w:val="007D1AF7"/>
    <w:rsid w:val="007D21D7"/>
    <w:rsid w:val="007D21E7"/>
    <w:rsid w:val="007D22C4"/>
    <w:rsid w:val="007D25EB"/>
    <w:rsid w:val="007D27E3"/>
    <w:rsid w:val="007D29F7"/>
    <w:rsid w:val="007D2BBF"/>
    <w:rsid w:val="007D2DEA"/>
    <w:rsid w:val="007D2E6A"/>
    <w:rsid w:val="007D2E91"/>
    <w:rsid w:val="007D3028"/>
    <w:rsid w:val="007D3091"/>
    <w:rsid w:val="007D33A1"/>
    <w:rsid w:val="007D3BD3"/>
    <w:rsid w:val="007D4066"/>
    <w:rsid w:val="007D42DF"/>
    <w:rsid w:val="007D4451"/>
    <w:rsid w:val="007D4497"/>
    <w:rsid w:val="007D46AF"/>
    <w:rsid w:val="007D46CC"/>
    <w:rsid w:val="007D4BB9"/>
    <w:rsid w:val="007D568E"/>
    <w:rsid w:val="007D59C9"/>
    <w:rsid w:val="007D5BA7"/>
    <w:rsid w:val="007D5FDC"/>
    <w:rsid w:val="007D60FE"/>
    <w:rsid w:val="007D617D"/>
    <w:rsid w:val="007D6325"/>
    <w:rsid w:val="007D63A6"/>
    <w:rsid w:val="007D63F8"/>
    <w:rsid w:val="007D642B"/>
    <w:rsid w:val="007D642D"/>
    <w:rsid w:val="007D6717"/>
    <w:rsid w:val="007D721D"/>
    <w:rsid w:val="007D78E5"/>
    <w:rsid w:val="007D7D12"/>
    <w:rsid w:val="007E041B"/>
    <w:rsid w:val="007E04B1"/>
    <w:rsid w:val="007E0672"/>
    <w:rsid w:val="007E076D"/>
    <w:rsid w:val="007E11EE"/>
    <w:rsid w:val="007E164A"/>
    <w:rsid w:val="007E193F"/>
    <w:rsid w:val="007E196C"/>
    <w:rsid w:val="007E1A38"/>
    <w:rsid w:val="007E1D13"/>
    <w:rsid w:val="007E1F6B"/>
    <w:rsid w:val="007E2009"/>
    <w:rsid w:val="007E248C"/>
    <w:rsid w:val="007E25AA"/>
    <w:rsid w:val="007E2724"/>
    <w:rsid w:val="007E2765"/>
    <w:rsid w:val="007E31EC"/>
    <w:rsid w:val="007E3261"/>
    <w:rsid w:val="007E32C7"/>
    <w:rsid w:val="007E356F"/>
    <w:rsid w:val="007E3663"/>
    <w:rsid w:val="007E38A4"/>
    <w:rsid w:val="007E3A3F"/>
    <w:rsid w:val="007E40AD"/>
    <w:rsid w:val="007E4479"/>
    <w:rsid w:val="007E4664"/>
    <w:rsid w:val="007E46DE"/>
    <w:rsid w:val="007E4A47"/>
    <w:rsid w:val="007E4EEC"/>
    <w:rsid w:val="007E53E7"/>
    <w:rsid w:val="007E5540"/>
    <w:rsid w:val="007E56C2"/>
    <w:rsid w:val="007E5701"/>
    <w:rsid w:val="007E5831"/>
    <w:rsid w:val="007E5978"/>
    <w:rsid w:val="007E5D83"/>
    <w:rsid w:val="007E5DD0"/>
    <w:rsid w:val="007E5F64"/>
    <w:rsid w:val="007E5FE5"/>
    <w:rsid w:val="007E6172"/>
    <w:rsid w:val="007E67B4"/>
    <w:rsid w:val="007E694D"/>
    <w:rsid w:val="007E6D6C"/>
    <w:rsid w:val="007E7159"/>
    <w:rsid w:val="007E76DE"/>
    <w:rsid w:val="007E7995"/>
    <w:rsid w:val="007E7D9E"/>
    <w:rsid w:val="007F027A"/>
    <w:rsid w:val="007F0A4E"/>
    <w:rsid w:val="007F0B3E"/>
    <w:rsid w:val="007F12CE"/>
    <w:rsid w:val="007F12FA"/>
    <w:rsid w:val="007F13B3"/>
    <w:rsid w:val="007F1DD2"/>
    <w:rsid w:val="007F1E68"/>
    <w:rsid w:val="007F21F6"/>
    <w:rsid w:val="007F2776"/>
    <w:rsid w:val="007F287F"/>
    <w:rsid w:val="007F3318"/>
    <w:rsid w:val="007F3732"/>
    <w:rsid w:val="007F377B"/>
    <w:rsid w:val="007F3966"/>
    <w:rsid w:val="007F3BB6"/>
    <w:rsid w:val="007F3C6A"/>
    <w:rsid w:val="007F42AA"/>
    <w:rsid w:val="007F433D"/>
    <w:rsid w:val="007F435D"/>
    <w:rsid w:val="007F447D"/>
    <w:rsid w:val="007F4A15"/>
    <w:rsid w:val="007F4AED"/>
    <w:rsid w:val="007F4B49"/>
    <w:rsid w:val="007F4BC7"/>
    <w:rsid w:val="007F4DDC"/>
    <w:rsid w:val="007F53B0"/>
    <w:rsid w:val="007F576A"/>
    <w:rsid w:val="007F5D5D"/>
    <w:rsid w:val="007F5E1C"/>
    <w:rsid w:val="007F5F22"/>
    <w:rsid w:val="007F6076"/>
    <w:rsid w:val="007F6458"/>
    <w:rsid w:val="007F64BC"/>
    <w:rsid w:val="007F66DB"/>
    <w:rsid w:val="007F675C"/>
    <w:rsid w:val="007F6C03"/>
    <w:rsid w:val="007F6DA5"/>
    <w:rsid w:val="007F70A5"/>
    <w:rsid w:val="007F7354"/>
    <w:rsid w:val="007F7468"/>
    <w:rsid w:val="007F7482"/>
    <w:rsid w:val="007F7914"/>
    <w:rsid w:val="007F794F"/>
    <w:rsid w:val="007F7DEF"/>
    <w:rsid w:val="0080000F"/>
    <w:rsid w:val="008007F6"/>
    <w:rsid w:val="00800A1F"/>
    <w:rsid w:val="00800FBD"/>
    <w:rsid w:val="008017BC"/>
    <w:rsid w:val="008018FF"/>
    <w:rsid w:val="00801BD1"/>
    <w:rsid w:val="00801CCA"/>
    <w:rsid w:val="0080267D"/>
    <w:rsid w:val="008026ED"/>
    <w:rsid w:val="00802C65"/>
    <w:rsid w:val="0080322B"/>
    <w:rsid w:val="008035C3"/>
    <w:rsid w:val="008036BA"/>
    <w:rsid w:val="00803727"/>
    <w:rsid w:val="00803957"/>
    <w:rsid w:val="00803B43"/>
    <w:rsid w:val="00803DFF"/>
    <w:rsid w:val="00803F26"/>
    <w:rsid w:val="008040D3"/>
    <w:rsid w:val="00804716"/>
    <w:rsid w:val="00804A8D"/>
    <w:rsid w:val="00804B8B"/>
    <w:rsid w:val="00804CEE"/>
    <w:rsid w:val="00804F20"/>
    <w:rsid w:val="0080589D"/>
    <w:rsid w:val="00805CB4"/>
    <w:rsid w:val="00805E83"/>
    <w:rsid w:val="00806495"/>
    <w:rsid w:val="00806571"/>
    <w:rsid w:val="008065BB"/>
    <w:rsid w:val="00806B0F"/>
    <w:rsid w:val="00806CE6"/>
    <w:rsid w:val="00806E4B"/>
    <w:rsid w:val="00806F63"/>
    <w:rsid w:val="00806F9E"/>
    <w:rsid w:val="00807000"/>
    <w:rsid w:val="0080706A"/>
    <w:rsid w:val="008070AC"/>
    <w:rsid w:val="0080711D"/>
    <w:rsid w:val="0080747B"/>
    <w:rsid w:val="008077BC"/>
    <w:rsid w:val="00807BF0"/>
    <w:rsid w:val="00807F06"/>
    <w:rsid w:val="0081025F"/>
    <w:rsid w:val="0081051F"/>
    <w:rsid w:val="0081058C"/>
    <w:rsid w:val="008106BC"/>
    <w:rsid w:val="00810F9B"/>
    <w:rsid w:val="00811196"/>
    <w:rsid w:val="008117B6"/>
    <w:rsid w:val="00811A8F"/>
    <w:rsid w:val="00812046"/>
    <w:rsid w:val="008123F1"/>
    <w:rsid w:val="008126B2"/>
    <w:rsid w:val="00812904"/>
    <w:rsid w:val="008129B8"/>
    <w:rsid w:val="00812FEA"/>
    <w:rsid w:val="008131EB"/>
    <w:rsid w:val="008132BA"/>
    <w:rsid w:val="008137B4"/>
    <w:rsid w:val="00813985"/>
    <w:rsid w:val="00813EEE"/>
    <w:rsid w:val="00814325"/>
    <w:rsid w:val="00814459"/>
    <w:rsid w:val="008147FD"/>
    <w:rsid w:val="00814B95"/>
    <w:rsid w:val="00815280"/>
    <w:rsid w:val="0081533C"/>
    <w:rsid w:val="008153E6"/>
    <w:rsid w:val="00815468"/>
    <w:rsid w:val="0081586B"/>
    <w:rsid w:val="008161D7"/>
    <w:rsid w:val="008162D3"/>
    <w:rsid w:val="008162EC"/>
    <w:rsid w:val="00816D2D"/>
    <w:rsid w:val="008171CB"/>
    <w:rsid w:val="008174DE"/>
    <w:rsid w:val="00817B1C"/>
    <w:rsid w:val="0082010B"/>
    <w:rsid w:val="00820294"/>
    <w:rsid w:val="00820661"/>
    <w:rsid w:val="008207C9"/>
    <w:rsid w:val="0082084A"/>
    <w:rsid w:val="00820A5D"/>
    <w:rsid w:val="00820CC9"/>
    <w:rsid w:val="00820D64"/>
    <w:rsid w:val="00820E02"/>
    <w:rsid w:val="008211E1"/>
    <w:rsid w:val="00821917"/>
    <w:rsid w:val="00821962"/>
    <w:rsid w:val="00821B46"/>
    <w:rsid w:val="00821D7E"/>
    <w:rsid w:val="00822ABA"/>
    <w:rsid w:val="00822AC5"/>
    <w:rsid w:val="00822AD1"/>
    <w:rsid w:val="00822ECE"/>
    <w:rsid w:val="008231D4"/>
    <w:rsid w:val="008231ED"/>
    <w:rsid w:val="00823288"/>
    <w:rsid w:val="00823315"/>
    <w:rsid w:val="00823596"/>
    <w:rsid w:val="008236ED"/>
    <w:rsid w:val="00823C27"/>
    <w:rsid w:val="00823E4D"/>
    <w:rsid w:val="00824142"/>
    <w:rsid w:val="0082437F"/>
    <w:rsid w:val="00824423"/>
    <w:rsid w:val="00824DCC"/>
    <w:rsid w:val="00824E0B"/>
    <w:rsid w:val="00824E99"/>
    <w:rsid w:val="00825145"/>
    <w:rsid w:val="00825238"/>
    <w:rsid w:val="008254D5"/>
    <w:rsid w:val="008254DD"/>
    <w:rsid w:val="008258A8"/>
    <w:rsid w:val="008258FE"/>
    <w:rsid w:val="00825F55"/>
    <w:rsid w:val="00825F60"/>
    <w:rsid w:val="008261A0"/>
    <w:rsid w:val="008262CB"/>
    <w:rsid w:val="00826631"/>
    <w:rsid w:val="00826900"/>
    <w:rsid w:val="00826ADC"/>
    <w:rsid w:val="00826E5A"/>
    <w:rsid w:val="00827013"/>
    <w:rsid w:val="00827085"/>
    <w:rsid w:val="00827162"/>
    <w:rsid w:val="00827534"/>
    <w:rsid w:val="0082767A"/>
    <w:rsid w:val="00827BB5"/>
    <w:rsid w:val="00827EBB"/>
    <w:rsid w:val="00827F16"/>
    <w:rsid w:val="008302C4"/>
    <w:rsid w:val="00830673"/>
    <w:rsid w:val="008309D1"/>
    <w:rsid w:val="00830D2D"/>
    <w:rsid w:val="008314FC"/>
    <w:rsid w:val="0083168F"/>
    <w:rsid w:val="00831ADE"/>
    <w:rsid w:val="00831BD7"/>
    <w:rsid w:val="00831D11"/>
    <w:rsid w:val="00831E8A"/>
    <w:rsid w:val="0083218B"/>
    <w:rsid w:val="00832256"/>
    <w:rsid w:val="008325C7"/>
    <w:rsid w:val="00832920"/>
    <w:rsid w:val="008331F4"/>
    <w:rsid w:val="00833232"/>
    <w:rsid w:val="00833233"/>
    <w:rsid w:val="00833A35"/>
    <w:rsid w:val="00833B08"/>
    <w:rsid w:val="00833B64"/>
    <w:rsid w:val="00833C08"/>
    <w:rsid w:val="00833F61"/>
    <w:rsid w:val="008348CE"/>
    <w:rsid w:val="00834AF3"/>
    <w:rsid w:val="00834D17"/>
    <w:rsid w:val="00834EFA"/>
    <w:rsid w:val="00834F37"/>
    <w:rsid w:val="00835333"/>
    <w:rsid w:val="008355F9"/>
    <w:rsid w:val="00835753"/>
    <w:rsid w:val="00835839"/>
    <w:rsid w:val="008361AD"/>
    <w:rsid w:val="00836262"/>
    <w:rsid w:val="00836642"/>
    <w:rsid w:val="00836708"/>
    <w:rsid w:val="00836729"/>
    <w:rsid w:val="00836876"/>
    <w:rsid w:val="00836E3A"/>
    <w:rsid w:val="00837210"/>
    <w:rsid w:val="008372C2"/>
    <w:rsid w:val="0083739D"/>
    <w:rsid w:val="008376DC"/>
    <w:rsid w:val="008378ED"/>
    <w:rsid w:val="00837DAD"/>
    <w:rsid w:val="00837DD7"/>
    <w:rsid w:val="008402C5"/>
    <w:rsid w:val="0084060F"/>
    <w:rsid w:val="00840A7E"/>
    <w:rsid w:val="00840AD0"/>
    <w:rsid w:val="008416F7"/>
    <w:rsid w:val="0084238D"/>
    <w:rsid w:val="0084284E"/>
    <w:rsid w:val="008428F5"/>
    <w:rsid w:val="00842EFA"/>
    <w:rsid w:val="00843992"/>
    <w:rsid w:val="00843BFA"/>
    <w:rsid w:val="00843F41"/>
    <w:rsid w:val="008440AF"/>
    <w:rsid w:val="0084411A"/>
    <w:rsid w:val="0084430A"/>
    <w:rsid w:val="00844564"/>
    <w:rsid w:val="0084463D"/>
    <w:rsid w:val="00844645"/>
    <w:rsid w:val="00844A74"/>
    <w:rsid w:val="0084525B"/>
    <w:rsid w:val="008454C3"/>
    <w:rsid w:val="008454F2"/>
    <w:rsid w:val="00845593"/>
    <w:rsid w:val="00845677"/>
    <w:rsid w:val="00845B72"/>
    <w:rsid w:val="00846085"/>
    <w:rsid w:val="00846366"/>
    <w:rsid w:val="0084650E"/>
    <w:rsid w:val="00846896"/>
    <w:rsid w:val="00846991"/>
    <w:rsid w:val="00846A7C"/>
    <w:rsid w:val="00846B8D"/>
    <w:rsid w:val="00846CD3"/>
    <w:rsid w:val="008470A2"/>
    <w:rsid w:val="008471FA"/>
    <w:rsid w:val="008472B8"/>
    <w:rsid w:val="008474E2"/>
    <w:rsid w:val="00847EFD"/>
    <w:rsid w:val="00850124"/>
    <w:rsid w:val="00850696"/>
    <w:rsid w:val="00850A3D"/>
    <w:rsid w:val="00850C50"/>
    <w:rsid w:val="00851180"/>
    <w:rsid w:val="00851258"/>
    <w:rsid w:val="00851625"/>
    <w:rsid w:val="00851697"/>
    <w:rsid w:val="008519B1"/>
    <w:rsid w:val="00851A24"/>
    <w:rsid w:val="00851BEA"/>
    <w:rsid w:val="00851EE1"/>
    <w:rsid w:val="008520C6"/>
    <w:rsid w:val="008529A2"/>
    <w:rsid w:val="00852A5A"/>
    <w:rsid w:val="00852EC6"/>
    <w:rsid w:val="008531EF"/>
    <w:rsid w:val="0085322B"/>
    <w:rsid w:val="00853385"/>
    <w:rsid w:val="00853537"/>
    <w:rsid w:val="00853C54"/>
    <w:rsid w:val="00853C76"/>
    <w:rsid w:val="0085439B"/>
    <w:rsid w:val="008543C2"/>
    <w:rsid w:val="00854719"/>
    <w:rsid w:val="0085495B"/>
    <w:rsid w:val="00854CB1"/>
    <w:rsid w:val="00854F44"/>
    <w:rsid w:val="008556E9"/>
    <w:rsid w:val="00855941"/>
    <w:rsid w:val="00855AC2"/>
    <w:rsid w:val="0085661B"/>
    <w:rsid w:val="00856C91"/>
    <w:rsid w:val="00856DC7"/>
    <w:rsid w:val="00856DED"/>
    <w:rsid w:val="0085702B"/>
    <w:rsid w:val="00857125"/>
    <w:rsid w:val="00857224"/>
    <w:rsid w:val="00857774"/>
    <w:rsid w:val="008579B4"/>
    <w:rsid w:val="00857B0F"/>
    <w:rsid w:val="0086074E"/>
    <w:rsid w:val="00860ACA"/>
    <w:rsid w:val="00860BE8"/>
    <w:rsid w:val="00860C68"/>
    <w:rsid w:val="00860EDD"/>
    <w:rsid w:val="00861067"/>
    <w:rsid w:val="0086116A"/>
    <w:rsid w:val="008611ED"/>
    <w:rsid w:val="00861521"/>
    <w:rsid w:val="00861C51"/>
    <w:rsid w:val="00861EEE"/>
    <w:rsid w:val="00862300"/>
    <w:rsid w:val="00862972"/>
    <w:rsid w:val="00863503"/>
    <w:rsid w:val="0086356C"/>
    <w:rsid w:val="008636A0"/>
    <w:rsid w:val="00864015"/>
    <w:rsid w:val="008641BB"/>
    <w:rsid w:val="008642DC"/>
    <w:rsid w:val="00864608"/>
    <w:rsid w:val="0086464F"/>
    <w:rsid w:val="00864700"/>
    <w:rsid w:val="00864D2B"/>
    <w:rsid w:val="008650E8"/>
    <w:rsid w:val="008653C7"/>
    <w:rsid w:val="008656ED"/>
    <w:rsid w:val="008658DE"/>
    <w:rsid w:val="00865EE0"/>
    <w:rsid w:val="00866321"/>
    <w:rsid w:val="00866438"/>
    <w:rsid w:val="00866466"/>
    <w:rsid w:val="0086684C"/>
    <w:rsid w:val="00866A4F"/>
    <w:rsid w:val="00866D76"/>
    <w:rsid w:val="00867585"/>
    <w:rsid w:val="00867B8C"/>
    <w:rsid w:val="00867EC6"/>
    <w:rsid w:val="00870209"/>
    <w:rsid w:val="0087036F"/>
    <w:rsid w:val="00870518"/>
    <w:rsid w:val="008705B9"/>
    <w:rsid w:val="00870835"/>
    <w:rsid w:val="00870AC1"/>
    <w:rsid w:val="00870ADA"/>
    <w:rsid w:val="00870DAB"/>
    <w:rsid w:val="0087115D"/>
    <w:rsid w:val="0087168B"/>
    <w:rsid w:val="00871695"/>
    <w:rsid w:val="00871A6C"/>
    <w:rsid w:val="00872218"/>
    <w:rsid w:val="008722F8"/>
    <w:rsid w:val="00872325"/>
    <w:rsid w:val="0087262C"/>
    <w:rsid w:val="008726B7"/>
    <w:rsid w:val="008728DF"/>
    <w:rsid w:val="00872A6F"/>
    <w:rsid w:val="00872B9E"/>
    <w:rsid w:val="0087323E"/>
    <w:rsid w:val="00873481"/>
    <w:rsid w:val="008734FD"/>
    <w:rsid w:val="0087356C"/>
    <w:rsid w:val="0087380B"/>
    <w:rsid w:val="00873882"/>
    <w:rsid w:val="00874010"/>
    <w:rsid w:val="008741F3"/>
    <w:rsid w:val="00874787"/>
    <w:rsid w:val="00874D5F"/>
    <w:rsid w:val="00874FF2"/>
    <w:rsid w:val="008750B7"/>
    <w:rsid w:val="008750CE"/>
    <w:rsid w:val="008750E9"/>
    <w:rsid w:val="008754B8"/>
    <w:rsid w:val="0087565A"/>
    <w:rsid w:val="00875CCB"/>
    <w:rsid w:val="0087679E"/>
    <w:rsid w:val="00876B5B"/>
    <w:rsid w:val="00876CAD"/>
    <w:rsid w:val="00876E34"/>
    <w:rsid w:val="00877529"/>
    <w:rsid w:val="008775D8"/>
    <w:rsid w:val="0087775E"/>
    <w:rsid w:val="00877794"/>
    <w:rsid w:val="00877815"/>
    <w:rsid w:val="008779F1"/>
    <w:rsid w:val="00880187"/>
    <w:rsid w:val="008806F7"/>
    <w:rsid w:val="0088080F"/>
    <w:rsid w:val="00880CE7"/>
    <w:rsid w:val="00880EAD"/>
    <w:rsid w:val="0088105F"/>
    <w:rsid w:val="0088129D"/>
    <w:rsid w:val="008813CF"/>
    <w:rsid w:val="0088147A"/>
    <w:rsid w:val="0088154C"/>
    <w:rsid w:val="00881889"/>
    <w:rsid w:val="00881B90"/>
    <w:rsid w:val="00881E17"/>
    <w:rsid w:val="008822BE"/>
    <w:rsid w:val="008825D8"/>
    <w:rsid w:val="00882A18"/>
    <w:rsid w:val="00882A1D"/>
    <w:rsid w:val="00882B04"/>
    <w:rsid w:val="00882BC4"/>
    <w:rsid w:val="00882D48"/>
    <w:rsid w:val="00882FB5"/>
    <w:rsid w:val="008831B5"/>
    <w:rsid w:val="00883367"/>
    <w:rsid w:val="008833F3"/>
    <w:rsid w:val="0088353A"/>
    <w:rsid w:val="008835BE"/>
    <w:rsid w:val="008835D6"/>
    <w:rsid w:val="00883764"/>
    <w:rsid w:val="0088399A"/>
    <w:rsid w:val="00883A35"/>
    <w:rsid w:val="0088420D"/>
    <w:rsid w:val="00884657"/>
    <w:rsid w:val="00884BFE"/>
    <w:rsid w:val="00884CDB"/>
    <w:rsid w:val="00884F42"/>
    <w:rsid w:val="008850D6"/>
    <w:rsid w:val="0088529F"/>
    <w:rsid w:val="008852C8"/>
    <w:rsid w:val="008852E1"/>
    <w:rsid w:val="0088530F"/>
    <w:rsid w:val="0088540E"/>
    <w:rsid w:val="008857B0"/>
    <w:rsid w:val="0088584F"/>
    <w:rsid w:val="0088598F"/>
    <w:rsid w:val="0088684F"/>
    <w:rsid w:val="0088693C"/>
    <w:rsid w:val="00886D1A"/>
    <w:rsid w:val="0088706B"/>
    <w:rsid w:val="008873D1"/>
    <w:rsid w:val="0089004C"/>
    <w:rsid w:val="00890292"/>
    <w:rsid w:val="00890414"/>
    <w:rsid w:val="008905CE"/>
    <w:rsid w:val="00890742"/>
    <w:rsid w:val="008908F8"/>
    <w:rsid w:val="00890CE1"/>
    <w:rsid w:val="00890E59"/>
    <w:rsid w:val="00890ED9"/>
    <w:rsid w:val="008910D5"/>
    <w:rsid w:val="008911E7"/>
    <w:rsid w:val="00891562"/>
    <w:rsid w:val="008917C5"/>
    <w:rsid w:val="00891887"/>
    <w:rsid w:val="008918AF"/>
    <w:rsid w:val="0089191C"/>
    <w:rsid w:val="008921BA"/>
    <w:rsid w:val="008921C9"/>
    <w:rsid w:val="00892333"/>
    <w:rsid w:val="00892603"/>
    <w:rsid w:val="0089270A"/>
    <w:rsid w:val="00892AD8"/>
    <w:rsid w:val="00892C03"/>
    <w:rsid w:val="00892FB8"/>
    <w:rsid w:val="0089353E"/>
    <w:rsid w:val="00893983"/>
    <w:rsid w:val="00893BD2"/>
    <w:rsid w:val="0089458E"/>
    <w:rsid w:val="008945B3"/>
    <w:rsid w:val="00894790"/>
    <w:rsid w:val="00894B9F"/>
    <w:rsid w:val="00894BD0"/>
    <w:rsid w:val="00894C21"/>
    <w:rsid w:val="00894C72"/>
    <w:rsid w:val="00894C7E"/>
    <w:rsid w:val="00895345"/>
    <w:rsid w:val="00895448"/>
    <w:rsid w:val="0089552F"/>
    <w:rsid w:val="00895697"/>
    <w:rsid w:val="0089575A"/>
    <w:rsid w:val="008957F6"/>
    <w:rsid w:val="00895B1C"/>
    <w:rsid w:val="00895C98"/>
    <w:rsid w:val="00895E0D"/>
    <w:rsid w:val="00895F0A"/>
    <w:rsid w:val="008965BB"/>
    <w:rsid w:val="008968E0"/>
    <w:rsid w:val="008970A0"/>
    <w:rsid w:val="00897250"/>
    <w:rsid w:val="00897793"/>
    <w:rsid w:val="008978D2"/>
    <w:rsid w:val="00897A86"/>
    <w:rsid w:val="00897EDA"/>
    <w:rsid w:val="00897EE9"/>
    <w:rsid w:val="008A02B6"/>
    <w:rsid w:val="008A05FE"/>
    <w:rsid w:val="008A110A"/>
    <w:rsid w:val="008A11F0"/>
    <w:rsid w:val="008A1501"/>
    <w:rsid w:val="008A1632"/>
    <w:rsid w:val="008A16A5"/>
    <w:rsid w:val="008A16CB"/>
    <w:rsid w:val="008A1A33"/>
    <w:rsid w:val="008A1A4D"/>
    <w:rsid w:val="008A1A7C"/>
    <w:rsid w:val="008A1BA9"/>
    <w:rsid w:val="008A1D5A"/>
    <w:rsid w:val="008A2961"/>
    <w:rsid w:val="008A2E15"/>
    <w:rsid w:val="008A2FF6"/>
    <w:rsid w:val="008A3076"/>
    <w:rsid w:val="008A3331"/>
    <w:rsid w:val="008A34E7"/>
    <w:rsid w:val="008A3717"/>
    <w:rsid w:val="008A3A72"/>
    <w:rsid w:val="008A3EB2"/>
    <w:rsid w:val="008A462E"/>
    <w:rsid w:val="008A5672"/>
    <w:rsid w:val="008A5786"/>
    <w:rsid w:val="008A581B"/>
    <w:rsid w:val="008A638C"/>
    <w:rsid w:val="008A6426"/>
    <w:rsid w:val="008A6516"/>
    <w:rsid w:val="008A6F83"/>
    <w:rsid w:val="008A745A"/>
    <w:rsid w:val="008A75A2"/>
    <w:rsid w:val="008A7970"/>
    <w:rsid w:val="008A7BE5"/>
    <w:rsid w:val="008A7E77"/>
    <w:rsid w:val="008A7F21"/>
    <w:rsid w:val="008B008F"/>
    <w:rsid w:val="008B0162"/>
    <w:rsid w:val="008B0254"/>
    <w:rsid w:val="008B03CB"/>
    <w:rsid w:val="008B05C3"/>
    <w:rsid w:val="008B062B"/>
    <w:rsid w:val="008B07E9"/>
    <w:rsid w:val="008B09DE"/>
    <w:rsid w:val="008B0F82"/>
    <w:rsid w:val="008B0FE5"/>
    <w:rsid w:val="008B16D7"/>
    <w:rsid w:val="008B178D"/>
    <w:rsid w:val="008B18B9"/>
    <w:rsid w:val="008B1B16"/>
    <w:rsid w:val="008B1B35"/>
    <w:rsid w:val="008B1F29"/>
    <w:rsid w:val="008B2038"/>
    <w:rsid w:val="008B2584"/>
    <w:rsid w:val="008B2A6E"/>
    <w:rsid w:val="008B2BBC"/>
    <w:rsid w:val="008B2C3E"/>
    <w:rsid w:val="008B2F73"/>
    <w:rsid w:val="008B39A6"/>
    <w:rsid w:val="008B3E34"/>
    <w:rsid w:val="008B4251"/>
    <w:rsid w:val="008B4590"/>
    <w:rsid w:val="008B4965"/>
    <w:rsid w:val="008B49CB"/>
    <w:rsid w:val="008B4BD1"/>
    <w:rsid w:val="008B4D01"/>
    <w:rsid w:val="008B4E31"/>
    <w:rsid w:val="008B506F"/>
    <w:rsid w:val="008B5127"/>
    <w:rsid w:val="008B539D"/>
    <w:rsid w:val="008B5472"/>
    <w:rsid w:val="008B5605"/>
    <w:rsid w:val="008B577D"/>
    <w:rsid w:val="008B5A1D"/>
    <w:rsid w:val="008B5C9F"/>
    <w:rsid w:val="008B5F9C"/>
    <w:rsid w:val="008B5FE1"/>
    <w:rsid w:val="008B6172"/>
    <w:rsid w:val="008B62CA"/>
    <w:rsid w:val="008B62F5"/>
    <w:rsid w:val="008B63C3"/>
    <w:rsid w:val="008B6532"/>
    <w:rsid w:val="008B683D"/>
    <w:rsid w:val="008B6A5C"/>
    <w:rsid w:val="008B6BBB"/>
    <w:rsid w:val="008B6EEA"/>
    <w:rsid w:val="008B6FF0"/>
    <w:rsid w:val="008B7055"/>
    <w:rsid w:val="008B7216"/>
    <w:rsid w:val="008B7470"/>
    <w:rsid w:val="008B7491"/>
    <w:rsid w:val="008B7667"/>
    <w:rsid w:val="008B78B1"/>
    <w:rsid w:val="008B78D8"/>
    <w:rsid w:val="008B7B09"/>
    <w:rsid w:val="008B7F20"/>
    <w:rsid w:val="008C01BF"/>
    <w:rsid w:val="008C056B"/>
    <w:rsid w:val="008C077E"/>
    <w:rsid w:val="008C0B83"/>
    <w:rsid w:val="008C0D40"/>
    <w:rsid w:val="008C0D79"/>
    <w:rsid w:val="008C0EE9"/>
    <w:rsid w:val="008C1463"/>
    <w:rsid w:val="008C1490"/>
    <w:rsid w:val="008C1CCF"/>
    <w:rsid w:val="008C1CF8"/>
    <w:rsid w:val="008C1E51"/>
    <w:rsid w:val="008C1E9B"/>
    <w:rsid w:val="008C29DC"/>
    <w:rsid w:val="008C2C0F"/>
    <w:rsid w:val="008C2C74"/>
    <w:rsid w:val="008C2FB5"/>
    <w:rsid w:val="008C3182"/>
    <w:rsid w:val="008C31A4"/>
    <w:rsid w:val="008C31F8"/>
    <w:rsid w:val="008C33C5"/>
    <w:rsid w:val="008C393F"/>
    <w:rsid w:val="008C396C"/>
    <w:rsid w:val="008C3CC0"/>
    <w:rsid w:val="008C3D46"/>
    <w:rsid w:val="008C3D76"/>
    <w:rsid w:val="008C3DB7"/>
    <w:rsid w:val="008C3F1F"/>
    <w:rsid w:val="008C4015"/>
    <w:rsid w:val="008C42FE"/>
    <w:rsid w:val="008C4B30"/>
    <w:rsid w:val="008C4E14"/>
    <w:rsid w:val="008C506D"/>
    <w:rsid w:val="008C5198"/>
    <w:rsid w:val="008C5737"/>
    <w:rsid w:val="008C5759"/>
    <w:rsid w:val="008C583C"/>
    <w:rsid w:val="008C5C43"/>
    <w:rsid w:val="008C5C54"/>
    <w:rsid w:val="008C5D98"/>
    <w:rsid w:val="008C5F39"/>
    <w:rsid w:val="008C61F2"/>
    <w:rsid w:val="008C63E5"/>
    <w:rsid w:val="008C664C"/>
    <w:rsid w:val="008C6712"/>
    <w:rsid w:val="008C68DF"/>
    <w:rsid w:val="008C6F2A"/>
    <w:rsid w:val="008C71C1"/>
    <w:rsid w:val="008C7377"/>
    <w:rsid w:val="008C7609"/>
    <w:rsid w:val="008C78C8"/>
    <w:rsid w:val="008C79E4"/>
    <w:rsid w:val="008D0108"/>
    <w:rsid w:val="008D0573"/>
    <w:rsid w:val="008D0709"/>
    <w:rsid w:val="008D0EE6"/>
    <w:rsid w:val="008D0EFB"/>
    <w:rsid w:val="008D1389"/>
    <w:rsid w:val="008D13DF"/>
    <w:rsid w:val="008D1547"/>
    <w:rsid w:val="008D19B5"/>
    <w:rsid w:val="008D19FD"/>
    <w:rsid w:val="008D1ABD"/>
    <w:rsid w:val="008D1C24"/>
    <w:rsid w:val="008D1CE1"/>
    <w:rsid w:val="008D1F99"/>
    <w:rsid w:val="008D28D3"/>
    <w:rsid w:val="008D2A56"/>
    <w:rsid w:val="008D2E0D"/>
    <w:rsid w:val="008D2EC2"/>
    <w:rsid w:val="008D3221"/>
    <w:rsid w:val="008D3326"/>
    <w:rsid w:val="008D3A0D"/>
    <w:rsid w:val="008D3A68"/>
    <w:rsid w:val="008D3B03"/>
    <w:rsid w:val="008D3B50"/>
    <w:rsid w:val="008D4289"/>
    <w:rsid w:val="008D49BA"/>
    <w:rsid w:val="008D4EFB"/>
    <w:rsid w:val="008D5B46"/>
    <w:rsid w:val="008D6024"/>
    <w:rsid w:val="008D636B"/>
    <w:rsid w:val="008D64CD"/>
    <w:rsid w:val="008D67D8"/>
    <w:rsid w:val="008D6C22"/>
    <w:rsid w:val="008D7743"/>
    <w:rsid w:val="008D7A9F"/>
    <w:rsid w:val="008E05E4"/>
    <w:rsid w:val="008E0B7A"/>
    <w:rsid w:val="008E0F37"/>
    <w:rsid w:val="008E0FFF"/>
    <w:rsid w:val="008E11B3"/>
    <w:rsid w:val="008E1596"/>
    <w:rsid w:val="008E15BC"/>
    <w:rsid w:val="008E1646"/>
    <w:rsid w:val="008E18FA"/>
    <w:rsid w:val="008E19C4"/>
    <w:rsid w:val="008E203A"/>
    <w:rsid w:val="008E2084"/>
    <w:rsid w:val="008E2469"/>
    <w:rsid w:val="008E25D6"/>
    <w:rsid w:val="008E2A08"/>
    <w:rsid w:val="008E32DF"/>
    <w:rsid w:val="008E350C"/>
    <w:rsid w:val="008E36BD"/>
    <w:rsid w:val="008E36D5"/>
    <w:rsid w:val="008E3D40"/>
    <w:rsid w:val="008E3E25"/>
    <w:rsid w:val="008E3E5C"/>
    <w:rsid w:val="008E4246"/>
    <w:rsid w:val="008E4A9B"/>
    <w:rsid w:val="008E4BDB"/>
    <w:rsid w:val="008E4D59"/>
    <w:rsid w:val="008E5451"/>
    <w:rsid w:val="008E5528"/>
    <w:rsid w:val="008E5EF9"/>
    <w:rsid w:val="008E5FCB"/>
    <w:rsid w:val="008E6117"/>
    <w:rsid w:val="008E62C6"/>
    <w:rsid w:val="008E66BB"/>
    <w:rsid w:val="008E68E0"/>
    <w:rsid w:val="008E68E1"/>
    <w:rsid w:val="008E6AE0"/>
    <w:rsid w:val="008E6B31"/>
    <w:rsid w:val="008E7B7E"/>
    <w:rsid w:val="008E7BD4"/>
    <w:rsid w:val="008E7DFB"/>
    <w:rsid w:val="008F0849"/>
    <w:rsid w:val="008F08CC"/>
    <w:rsid w:val="008F0A95"/>
    <w:rsid w:val="008F1442"/>
    <w:rsid w:val="008F1B0F"/>
    <w:rsid w:val="008F1F91"/>
    <w:rsid w:val="008F206B"/>
    <w:rsid w:val="008F20CC"/>
    <w:rsid w:val="008F213D"/>
    <w:rsid w:val="008F2223"/>
    <w:rsid w:val="008F2238"/>
    <w:rsid w:val="008F22CF"/>
    <w:rsid w:val="008F23B9"/>
    <w:rsid w:val="008F23C8"/>
    <w:rsid w:val="008F243A"/>
    <w:rsid w:val="008F247B"/>
    <w:rsid w:val="008F25AB"/>
    <w:rsid w:val="008F28BB"/>
    <w:rsid w:val="008F28EE"/>
    <w:rsid w:val="008F2E5E"/>
    <w:rsid w:val="008F31F1"/>
    <w:rsid w:val="008F331D"/>
    <w:rsid w:val="008F3A04"/>
    <w:rsid w:val="008F3B07"/>
    <w:rsid w:val="008F3BD5"/>
    <w:rsid w:val="008F3C58"/>
    <w:rsid w:val="008F4151"/>
    <w:rsid w:val="008F44C0"/>
    <w:rsid w:val="008F44DB"/>
    <w:rsid w:val="008F45DC"/>
    <w:rsid w:val="008F4658"/>
    <w:rsid w:val="008F46C0"/>
    <w:rsid w:val="008F4D58"/>
    <w:rsid w:val="008F50AE"/>
    <w:rsid w:val="008F5104"/>
    <w:rsid w:val="008F53E9"/>
    <w:rsid w:val="008F53EE"/>
    <w:rsid w:val="008F5487"/>
    <w:rsid w:val="008F567D"/>
    <w:rsid w:val="008F5847"/>
    <w:rsid w:val="008F641E"/>
    <w:rsid w:val="008F67A3"/>
    <w:rsid w:val="008F68FC"/>
    <w:rsid w:val="008F6937"/>
    <w:rsid w:val="008F6946"/>
    <w:rsid w:val="008F6F1A"/>
    <w:rsid w:val="008F70C5"/>
    <w:rsid w:val="008F75FF"/>
    <w:rsid w:val="008F7897"/>
    <w:rsid w:val="008F7AE4"/>
    <w:rsid w:val="008F7CC8"/>
    <w:rsid w:val="008F7D6C"/>
    <w:rsid w:val="0090028A"/>
    <w:rsid w:val="009006E4"/>
    <w:rsid w:val="00900DAB"/>
    <w:rsid w:val="009012FA"/>
    <w:rsid w:val="0090137A"/>
    <w:rsid w:val="00901462"/>
    <w:rsid w:val="0090192D"/>
    <w:rsid w:val="00901B57"/>
    <w:rsid w:val="00901FEA"/>
    <w:rsid w:val="009026DF"/>
    <w:rsid w:val="0090293C"/>
    <w:rsid w:val="00902C19"/>
    <w:rsid w:val="00902C61"/>
    <w:rsid w:val="00902D46"/>
    <w:rsid w:val="00902E1A"/>
    <w:rsid w:val="00903313"/>
    <w:rsid w:val="00903370"/>
    <w:rsid w:val="009035E7"/>
    <w:rsid w:val="009036A5"/>
    <w:rsid w:val="0090436F"/>
    <w:rsid w:val="00904623"/>
    <w:rsid w:val="00905383"/>
    <w:rsid w:val="00905560"/>
    <w:rsid w:val="0090558A"/>
    <w:rsid w:val="00905684"/>
    <w:rsid w:val="00905BB0"/>
    <w:rsid w:val="00906024"/>
    <w:rsid w:val="0090669D"/>
    <w:rsid w:val="00906B12"/>
    <w:rsid w:val="00906C4B"/>
    <w:rsid w:val="00906DDB"/>
    <w:rsid w:val="00906E9D"/>
    <w:rsid w:val="00906EB1"/>
    <w:rsid w:val="009075FB"/>
    <w:rsid w:val="00907889"/>
    <w:rsid w:val="00907905"/>
    <w:rsid w:val="0091017B"/>
    <w:rsid w:val="009102C3"/>
    <w:rsid w:val="009103D0"/>
    <w:rsid w:val="0091063A"/>
    <w:rsid w:val="00910755"/>
    <w:rsid w:val="009108ED"/>
    <w:rsid w:val="00910ABB"/>
    <w:rsid w:val="00910D75"/>
    <w:rsid w:val="009112F5"/>
    <w:rsid w:val="0091141A"/>
    <w:rsid w:val="009117D0"/>
    <w:rsid w:val="00911C1B"/>
    <w:rsid w:val="00911C43"/>
    <w:rsid w:val="00911D16"/>
    <w:rsid w:val="00911D88"/>
    <w:rsid w:val="0091270A"/>
    <w:rsid w:val="0091348C"/>
    <w:rsid w:val="0091349A"/>
    <w:rsid w:val="00913A3F"/>
    <w:rsid w:val="00913AD7"/>
    <w:rsid w:val="00913DD5"/>
    <w:rsid w:val="00913E79"/>
    <w:rsid w:val="00913F6F"/>
    <w:rsid w:val="009141F3"/>
    <w:rsid w:val="00914238"/>
    <w:rsid w:val="00914399"/>
    <w:rsid w:val="00914A08"/>
    <w:rsid w:val="00915169"/>
    <w:rsid w:val="0091516D"/>
    <w:rsid w:val="0091530C"/>
    <w:rsid w:val="0091550C"/>
    <w:rsid w:val="0091585D"/>
    <w:rsid w:val="009158BF"/>
    <w:rsid w:val="00915E32"/>
    <w:rsid w:val="00915F44"/>
    <w:rsid w:val="00916698"/>
    <w:rsid w:val="00916C1D"/>
    <w:rsid w:val="00916CD1"/>
    <w:rsid w:val="00916D23"/>
    <w:rsid w:val="0091738C"/>
    <w:rsid w:val="00917853"/>
    <w:rsid w:val="00917AF4"/>
    <w:rsid w:val="00917BC6"/>
    <w:rsid w:val="00917D9A"/>
    <w:rsid w:val="00917E29"/>
    <w:rsid w:val="00917E66"/>
    <w:rsid w:val="00917FD8"/>
    <w:rsid w:val="00920015"/>
    <w:rsid w:val="00920671"/>
    <w:rsid w:val="00920816"/>
    <w:rsid w:val="00920B8C"/>
    <w:rsid w:val="00920C3A"/>
    <w:rsid w:val="009211C0"/>
    <w:rsid w:val="009217B3"/>
    <w:rsid w:val="00921876"/>
    <w:rsid w:val="00921A41"/>
    <w:rsid w:val="00921AA8"/>
    <w:rsid w:val="00921C02"/>
    <w:rsid w:val="00921CCE"/>
    <w:rsid w:val="00922062"/>
    <w:rsid w:val="0092210C"/>
    <w:rsid w:val="009222E4"/>
    <w:rsid w:val="009225A1"/>
    <w:rsid w:val="00922718"/>
    <w:rsid w:val="0092284E"/>
    <w:rsid w:val="00923591"/>
    <w:rsid w:val="00923AF5"/>
    <w:rsid w:val="00923D7B"/>
    <w:rsid w:val="009240AC"/>
    <w:rsid w:val="009243D5"/>
    <w:rsid w:val="0092478F"/>
    <w:rsid w:val="0092497F"/>
    <w:rsid w:val="00924B3C"/>
    <w:rsid w:val="00925A07"/>
    <w:rsid w:val="00925D72"/>
    <w:rsid w:val="00925DB4"/>
    <w:rsid w:val="00925FC8"/>
    <w:rsid w:val="00926675"/>
    <w:rsid w:val="009267D8"/>
    <w:rsid w:val="0092694E"/>
    <w:rsid w:val="00926D1B"/>
    <w:rsid w:val="00926F34"/>
    <w:rsid w:val="0092713C"/>
    <w:rsid w:val="00927203"/>
    <w:rsid w:val="00927376"/>
    <w:rsid w:val="009274D2"/>
    <w:rsid w:val="009276CA"/>
    <w:rsid w:val="00927B31"/>
    <w:rsid w:val="00927BD5"/>
    <w:rsid w:val="00927BF2"/>
    <w:rsid w:val="009300E5"/>
    <w:rsid w:val="00930202"/>
    <w:rsid w:val="00930204"/>
    <w:rsid w:val="00930DF9"/>
    <w:rsid w:val="0093117F"/>
    <w:rsid w:val="009316F2"/>
    <w:rsid w:val="009317DA"/>
    <w:rsid w:val="009319EB"/>
    <w:rsid w:val="00931C9C"/>
    <w:rsid w:val="00931D1E"/>
    <w:rsid w:val="00932053"/>
    <w:rsid w:val="0093216A"/>
    <w:rsid w:val="0093227F"/>
    <w:rsid w:val="00932326"/>
    <w:rsid w:val="00932390"/>
    <w:rsid w:val="009323B0"/>
    <w:rsid w:val="0093240F"/>
    <w:rsid w:val="00932634"/>
    <w:rsid w:val="009326A4"/>
    <w:rsid w:val="00932802"/>
    <w:rsid w:val="00932B5A"/>
    <w:rsid w:val="00932C89"/>
    <w:rsid w:val="00932D82"/>
    <w:rsid w:val="009331D7"/>
    <w:rsid w:val="009333B6"/>
    <w:rsid w:val="00933484"/>
    <w:rsid w:val="009334FC"/>
    <w:rsid w:val="0093380D"/>
    <w:rsid w:val="009338F6"/>
    <w:rsid w:val="009338F7"/>
    <w:rsid w:val="00933AB8"/>
    <w:rsid w:val="00933E08"/>
    <w:rsid w:val="00933EB7"/>
    <w:rsid w:val="009342FC"/>
    <w:rsid w:val="0093495D"/>
    <w:rsid w:val="00934A14"/>
    <w:rsid w:val="00934C6B"/>
    <w:rsid w:val="00934C95"/>
    <w:rsid w:val="009350F3"/>
    <w:rsid w:val="00935351"/>
    <w:rsid w:val="00935467"/>
    <w:rsid w:val="00935A06"/>
    <w:rsid w:val="00935B7B"/>
    <w:rsid w:val="00935B98"/>
    <w:rsid w:val="00935BC3"/>
    <w:rsid w:val="00935C1C"/>
    <w:rsid w:val="00936068"/>
    <w:rsid w:val="009362D7"/>
    <w:rsid w:val="00936665"/>
    <w:rsid w:val="009368C2"/>
    <w:rsid w:val="00936BDD"/>
    <w:rsid w:val="00936D73"/>
    <w:rsid w:val="00936F88"/>
    <w:rsid w:val="009370FF"/>
    <w:rsid w:val="00937372"/>
    <w:rsid w:val="00937B7C"/>
    <w:rsid w:val="00937BD5"/>
    <w:rsid w:val="00937D3B"/>
    <w:rsid w:val="00940065"/>
    <w:rsid w:val="00940D69"/>
    <w:rsid w:val="00940DED"/>
    <w:rsid w:val="00940F41"/>
    <w:rsid w:val="00941221"/>
    <w:rsid w:val="009412D9"/>
    <w:rsid w:val="009415B3"/>
    <w:rsid w:val="009416CE"/>
    <w:rsid w:val="009417E9"/>
    <w:rsid w:val="0094199F"/>
    <w:rsid w:val="00941A8F"/>
    <w:rsid w:val="00941C4F"/>
    <w:rsid w:val="00941DE3"/>
    <w:rsid w:val="009426CC"/>
    <w:rsid w:val="009428AA"/>
    <w:rsid w:val="00942A98"/>
    <w:rsid w:val="00942D83"/>
    <w:rsid w:val="00942FE5"/>
    <w:rsid w:val="0094329A"/>
    <w:rsid w:val="0094363C"/>
    <w:rsid w:val="00943806"/>
    <w:rsid w:val="00943902"/>
    <w:rsid w:val="00943A83"/>
    <w:rsid w:val="00943C32"/>
    <w:rsid w:val="00943EBB"/>
    <w:rsid w:val="00944859"/>
    <w:rsid w:val="00944D99"/>
    <w:rsid w:val="00944E79"/>
    <w:rsid w:val="009451B9"/>
    <w:rsid w:val="0094537E"/>
    <w:rsid w:val="009455E7"/>
    <w:rsid w:val="009458F0"/>
    <w:rsid w:val="0094591C"/>
    <w:rsid w:val="009459F2"/>
    <w:rsid w:val="00945A89"/>
    <w:rsid w:val="00945CF6"/>
    <w:rsid w:val="00945DF5"/>
    <w:rsid w:val="009461A0"/>
    <w:rsid w:val="009462CE"/>
    <w:rsid w:val="009462D5"/>
    <w:rsid w:val="00946351"/>
    <w:rsid w:val="00946388"/>
    <w:rsid w:val="009463BE"/>
    <w:rsid w:val="00946400"/>
    <w:rsid w:val="009468B2"/>
    <w:rsid w:val="00946BA6"/>
    <w:rsid w:val="009471A9"/>
    <w:rsid w:val="00947431"/>
    <w:rsid w:val="00947439"/>
    <w:rsid w:val="00947519"/>
    <w:rsid w:val="00947E03"/>
    <w:rsid w:val="009504B1"/>
    <w:rsid w:val="0095081E"/>
    <w:rsid w:val="0095083E"/>
    <w:rsid w:val="0095086D"/>
    <w:rsid w:val="00950C12"/>
    <w:rsid w:val="0095134E"/>
    <w:rsid w:val="0095148B"/>
    <w:rsid w:val="00951699"/>
    <w:rsid w:val="009517CC"/>
    <w:rsid w:val="00951BA5"/>
    <w:rsid w:val="00951FA0"/>
    <w:rsid w:val="00952078"/>
    <w:rsid w:val="00952096"/>
    <w:rsid w:val="009520B0"/>
    <w:rsid w:val="00952216"/>
    <w:rsid w:val="009522FA"/>
    <w:rsid w:val="0095257E"/>
    <w:rsid w:val="009528CD"/>
    <w:rsid w:val="009529F0"/>
    <w:rsid w:val="00952C37"/>
    <w:rsid w:val="00952CC5"/>
    <w:rsid w:val="00952D09"/>
    <w:rsid w:val="00952DF2"/>
    <w:rsid w:val="00952E12"/>
    <w:rsid w:val="00952F41"/>
    <w:rsid w:val="0095319D"/>
    <w:rsid w:val="009531A3"/>
    <w:rsid w:val="009535C0"/>
    <w:rsid w:val="009535DE"/>
    <w:rsid w:val="009536B1"/>
    <w:rsid w:val="009538CD"/>
    <w:rsid w:val="00953EC3"/>
    <w:rsid w:val="0095437E"/>
    <w:rsid w:val="009549CC"/>
    <w:rsid w:val="00954D85"/>
    <w:rsid w:val="00954F22"/>
    <w:rsid w:val="009554F0"/>
    <w:rsid w:val="00955FB2"/>
    <w:rsid w:val="00956098"/>
    <w:rsid w:val="0095627C"/>
    <w:rsid w:val="0095627D"/>
    <w:rsid w:val="009562C8"/>
    <w:rsid w:val="009568E1"/>
    <w:rsid w:val="00956989"/>
    <w:rsid w:val="00956995"/>
    <w:rsid w:val="00956C62"/>
    <w:rsid w:val="00956D16"/>
    <w:rsid w:val="00956E66"/>
    <w:rsid w:val="00957A9D"/>
    <w:rsid w:val="00957E68"/>
    <w:rsid w:val="0096008F"/>
    <w:rsid w:val="009600FA"/>
    <w:rsid w:val="00960193"/>
    <w:rsid w:val="009601F2"/>
    <w:rsid w:val="00960223"/>
    <w:rsid w:val="009602D5"/>
    <w:rsid w:val="00960388"/>
    <w:rsid w:val="009603FE"/>
    <w:rsid w:val="009604C0"/>
    <w:rsid w:val="00960672"/>
    <w:rsid w:val="00960C48"/>
    <w:rsid w:val="00960C6A"/>
    <w:rsid w:val="0096106A"/>
    <w:rsid w:val="0096107C"/>
    <w:rsid w:val="009610B6"/>
    <w:rsid w:val="0096122D"/>
    <w:rsid w:val="0096125E"/>
    <w:rsid w:val="00961362"/>
    <w:rsid w:val="009613B8"/>
    <w:rsid w:val="009613FC"/>
    <w:rsid w:val="009615D4"/>
    <w:rsid w:val="009616ED"/>
    <w:rsid w:val="00961747"/>
    <w:rsid w:val="00961AE8"/>
    <w:rsid w:val="00962490"/>
    <w:rsid w:val="00962588"/>
    <w:rsid w:val="00962905"/>
    <w:rsid w:val="009629A0"/>
    <w:rsid w:val="00962D0E"/>
    <w:rsid w:val="00962E05"/>
    <w:rsid w:val="00963136"/>
    <w:rsid w:val="009633E6"/>
    <w:rsid w:val="009637BD"/>
    <w:rsid w:val="00963A09"/>
    <w:rsid w:val="00963CFF"/>
    <w:rsid w:val="00964660"/>
    <w:rsid w:val="00964C90"/>
    <w:rsid w:val="00965293"/>
    <w:rsid w:val="00965527"/>
    <w:rsid w:val="00965674"/>
    <w:rsid w:val="0096573D"/>
    <w:rsid w:val="00965B33"/>
    <w:rsid w:val="00965FDC"/>
    <w:rsid w:val="009660D1"/>
    <w:rsid w:val="00966696"/>
    <w:rsid w:val="00966B8B"/>
    <w:rsid w:val="00966B9C"/>
    <w:rsid w:val="00966EB8"/>
    <w:rsid w:val="00966EE9"/>
    <w:rsid w:val="00966F2D"/>
    <w:rsid w:val="0096727B"/>
    <w:rsid w:val="009676B8"/>
    <w:rsid w:val="00967BB5"/>
    <w:rsid w:val="00967C75"/>
    <w:rsid w:val="0097025E"/>
    <w:rsid w:val="0097033B"/>
    <w:rsid w:val="00970743"/>
    <w:rsid w:val="0097080C"/>
    <w:rsid w:val="00970A20"/>
    <w:rsid w:val="00970BA1"/>
    <w:rsid w:val="00970D68"/>
    <w:rsid w:val="00970E8B"/>
    <w:rsid w:val="009712BF"/>
    <w:rsid w:val="0097141E"/>
    <w:rsid w:val="009714AF"/>
    <w:rsid w:val="00971607"/>
    <w:rsid w:val="0097163D"/>
    <w:rsid w:val="009717D4"/>
    <w:rsid w:val="00971960"/>
    <w:rsid w:val="00971E69"/>
    <w:rsid w:val="00972077"/>
    <w:rsid w:val="009721F8"/>
    <w:rsid w:val="009726FF"/>
    <w:rsid w:val="009728CC"/>
    <w:rsid w:val="00973211"/>
    <w:rsid w:val="0097362C"/>
    <w:rsid w:val="00973744"/>
    <w:rsid w:val="00973945"/>
    <w:rsid w:val="00973E98"/>
    <w:rsid w:val="00973F06"/>
    <w:rsid w:val="00974244"/>
    <w:rsid w:val="00974413"/>
    <w:rsid w:val="00974541"/>
    <w:rsid w:val="00974622"/>
    <w:rsid w:val="00974677"/>
    <w:rsid w:val="0097482B"/>
    <w:rsid w:val="00974888"/>
    <w:rsid w:val="00974957"/>
    <w:rsid w:val="00974C79"/>
    <w:rsid w:val="00974D3B"/>
    <w:rsid w:val="00975141"/>
    <w:rsid w:val="00975403"/>
    <w:rsid w:val="00975568"/>
    <w:rsid w:val="009758C8"/>
    <w:rsid w:val="00975F62"/>
    <w:rsid w:val="00976023"/>
    <w:rsid w:val="00976026"/>
    <w:rsid w:val="00976076"/>
    <w:rsid w:val="00976892"/>
    <w:rsid w:val="00976B2E"/>
    <w:rsid w:val="0097705F"/>
    <w:rsid w:val="0097737D"/>
    <w:rsid w:val="009773B4"/>
    <w:rsid w:val="009778DC"/>
    <w:rsid w:val="00977A76"/>
    <w:rsid w:val="00977CFD"/>
    <w:rsid w:val="00977EEB"/>
    <w:rsid w:val="00977EFD"/>
    <w:rsid w:val="00977FD8"/>
    <w:rsid w:val="0098018D"/>
    <w:rsid w:val="00980461"/>
    <w:rsid w:val="00980676"/>
    <w:rsid w:val="009807BD"/>
    <w:rsid w:val="00980807"/>
    <w:rsid w:val="00980848"/>
    <w:rsid w:val="00980A66"/>
    <w:rsid w:val="00980B2B"/>
    <w:rsid w:val="00981133"/>
    <w:rsid w:val="00981AC8"/>
    <w:rsid w:val="00981F61"/>
    <w:rsid w:val="009820FD"/>
    <w:rsid w:val="0098230B"/>
    <w:rsid w:val="0098234D"/>
    <w:rsid w:val="0098324E"/>
    <w:rsid w:val="009834DE"/>
    <w:rsid w:val="00983776"/>
    <w:rsid w:val="009839A5"/>
    <w:rsid w:val="0098448A"/>
    <w:rsid w:val="009844C7"/>
    <w:rsid w:val="00984A5E"/>
    <w:rsid w:val="00984E94"/>
    <w:rsid w:val="0098509F"/>
    <w:rsid w:val="00985787"/>
    <w:rsid w:val="00985DE9"/>
    <w:rsid w:val="009860EC"/>
    <w:rsid w:val="009864AF"/>
    <w:rsid w:val="00986733"/>
    <w:rsid w:val="00986836"/>
    <w:rsid w:val="00986ADE"/>
    <w:rsid w:val="00987048"/>
    <w:rsid w:val="0098764C"/>
    <w:rsid w:val="00987DE3"/>
    <w:rsid w:val="00987FDB"/>
    <w:rsid w:val="009901F4"/>
    <w:rsid w:val="00990338"/>
    <w:rsid w:val="0099074A"/>
    <w:rsid w:val="00990A93"/>
    <w:rsid w:val="00990AE8"/>
    <w:rsid w:val="00990CBD"/>
    <w:rsid w:val="00991040"/>
    <w:rsid w:val="0099105F"/>
    <w:rsid w:val="009911D3"/>
    <w:rsid w:val="0099123C"/>
    <w:rsid w:val="00991551"/>
    <w:rsid w:val="009916BB"/>
    <w:rsid w:val="00991924"/>
    <w:rsid w:val="00991A26"/>
    <w:rsid w:val="00991C84"/>
    <w:rsid w:val="00992584"/>
    <w:rsid w:val="00992B31"/>
    <w:rsid w:val="009932D9"/>
    <w:rsid w:val="00993440"/>
    <w:rsid w:val="009934B6"/>
    <w:rsid w:val="009936CE"/>
    <w:rsid w:val="00993A4C"/>
    <w:rsid w:val="009940C2"/>
    <w:rsid w:val="00994238"/>
    <w:rsid w:val="009945AD"/>
    <w:rsid w:val="00994A44"/>
    <w:rsid w:val="00994A6A"/>
    <w:rsid w:val="00994C02"/>
    <w:rsid w:val="00995121"/>
    <w:rsid w:val="009952A1"/>
    <w:rsid w:val="009954F1"/>
    <w:rsid w:val="00995864"/>
    <w:rsid w:val="00995D9C"/>
    <w:rsid w:val="00996183"/>
    <w:rsid w:val="009969C3"/>
    <w:rsid w:val="00997F8D"/>
    <w:rsid w:val="009A002D"/>
    <w:rsid w:val="009A01F8"/>
    <w:rsid w:val="009A0609"/>
    <w:rsid w:val="009A069C"/>
    <w:rsid w:val="009A0847"/>
    <w:rsid w:val="009A0B3F"/>
    <w:rsid w:val="009A1084"/>
    <w:rsid w:val="009A10F3"/>
    <w:rsid w:val="009A1361"/>
    <w:rsid w:val="009A13A5"/>
    <w:rsid w:val="009A13C9"/>
    <w:rsid w:val="009A17A6"/>
    <w:rsid w:val="009A1F07"/>
    <w:rsid w:val="009A21A7"/>
    <w:rsid w:val="009A22CA"/>
    <w:rsid w:val="009A29BA"/>
    <w:rsid w:val="009A29EE"/>
    <w:rsid w:val="009A29F8"/>
    <w:rsid w:val="009A2F15"/>
    <w:rsid w:val="009A2F17"/>
    <w:rsid w:val="009A3405"/>
    <w:rsid w:val="009A3640"/>
    <w:rsid w:val="009A39A6"/>
    <w:rsid w:val="009A3C2B"/>
    <w:rsid w:val="009A4297"/>
    <w:rsid w:val="009A4DB4"/>
    <w:rsid w:val="009A4DE7"/>
    <w:rsid w:val="009A4E85"/>
    <w:rsid w:val="009A4F37"/>
    <w:rsid w:val="009A5032"/>
    <w:rsid w:val="009A5400"/>
    <w:rsid w:val="009A57E7"/>
    <w:rsid w:val="009A580C"/>
    <w:rsid w:val="009A586D"/>
    <w:rsid w:val="009A5C32"/>
    <w:rsid w:val="009A5F97"/>
    <w:rsid w:val="009A62C9"/>
    <w:rsid w:val="009A6341"/>
    <w:rsid w:val="009A64F6"/>
    <w:rsid w:val="009A6620"/>
    <w:rsid w:val="009A67F1"/>
    <w:rsid w:val="009A69F5"/>
    <w:rsid w:val="009A6A45"/>
    <w:rsid w:val="009A6E9C"/>
    <w:rsid w:val="009A6F79"/>
    <w:rsid w:val="009A6FDD"/>
    <w:rsid w:val="009A708D"/>
    <w:rsid w:val="009A711E"/>
    <w:rsid w:val="009A7524"/>
    <w:rsid w:val="009A7706"/>
    <w:rsid w:val="009A78EE"/>
    <w:rsid w:val="009B0062"/>
    <w:rsid w:val="009B00D3"/>
    <w:rsid w:val="009B0183"/>
    <w:rsid w:val="009B049B"/>
    <w:rsid w:val="009B05ED"/>
    <w:rsid w:val="009B066C"/>
    <w:rsid w:val="009B0843"/>
    <w:rsid w:val="009B0905"/>
    <w:rsid w:val="009B0AE0"/>
    <w:rsid w:val="009B0C74"/>
    <w:rsid w:val="009B1323"/>
    <w:rsid w:val="009B1387"/>
    <w:rsid w:val="009B1A5A"/>
    <w:rsid w:val="009B1A9A"/>
    <w:rsid w:val="009B1E07"/>
    <w:rsid w:val="009B1E32"/>
    <w:rsid w:val="009B1F39"/>
    <w:rsid w:val="009B2022"/>
    <w:rsid w:val="009B296A"/>
    <w:rsid w:val="009B29BA"/>
    <w:rsid w:val="009B2DF9"/>
    <w:rsid w:val="009B3099"/>
    <w:rsid w:val="009B31D2"/>
    <w:rsid w:val="009B3262"/>
    <w:rsid w:val="009B3504"/>
    <w:rsid w:val="009B36F5"/>
    <w:rsid w:val="009B3701"/>
    <w:rsid w:val="009B39B0"/>
    <w:rsid w:val="009B3E68"/>
    <w:rsid w:val="009B3ECE"/>
    <w:rsid w:val="009B48C6"/>
    <w:rsid w:val="009B4D37"/>
    <w:rsid w:val="009B50ED"/>
    <w:rsid w:val="009B5E11"/>
    <w:rsid w:val="009B5F65"/>
    <w:rsid w:val="009B6095"/>
    <w:rsid w:val="009B63C9"/>
    <w:rsid w:val="009B63E1"/>
    <w:rsid w:val="009B6568"/>
    <w:rsid w:val="009B6603"/>
    <w:rsid w:val="009B6617"/>
    <w:rsid w:val="009B6742"/>
    <w:rsid w:val="009B6A04"/>
    <w:rsid w:val="009B6D16"/>
    <w:rsid w:val="009B77CC"/>
    <w:rsid w:val="009B7E46"/>
    <w:rsid w:val="009B7EEB"/>
    <w:rsid w:val="009C0156"/>
    <w:rsid w:val="009C0A9B"/>
    <w:rsid w:val="009C0BF3"/>
    <w:rsid w:val="009C0EC5"/>
    <w:rsid w:val="009C0EDA"/>
    <w:rsid w:val="009C1204"/>
    <w:rsid w:val="009C1973"/>
    <w:rsid w:val="009C19C1"/>
    <w:rsid w:val="009C20F2"/>
    <w:rsid w:val="009C2212"/>
    <w:rsid w:val="009C25C6"/>
    <w:rsid w:val="009C29B9"/>
    <w:rsid w:val="009C2A2D"/>
    <w:rsid w:val="009C3017"/>
    <w:rsid w:val="009C30EF"/>
    <w:rsid w:val="009C385C"/>
    <w:rsid w:val="009C3CD3"/>
    <w:rsid w:val="009C3E99"/>
    <w:rsid w:val="009C4026"/>
    <w:rsid w:val="009C41F2"/>
    <w:rsid w:val="009C427B"/>
    <w:rsid w:val="009C4496"/>
    <w:rsid w:val="009C45AA"/>
    <w:rsid w:val="009C4B86"/>
    <w:rsid w:val="009C4E34"/>
    <w:rsid w:val="009C510C"/>
    <w:rsid w:val="009C5579"/>
    <w:rsid w:val="009C6075"/>
    <w:rsid w:val="009C6593"/>
    <w:rsid w:val="009C7051"/>
    <w:rsid w:val="009C7359"/>
    <w:rsid w:val="009C768F"/>
    <w:rsid w:val="009C7793"/>
    <w:rsid w:val="009C78A0"/>
    <w:rsid w:val="009C7C95"/>
    <w:rsid w:val="009D027C"/>
    <w:rsid w:val="009D081B"/>
    <w:rsid w:val="009D0828"/>
    <w:rsid w:val="009D0A1E"/>
    <w:rsid w:val="009D0BF3"/>
    <w:rsid w:val="009D12C7"/>
    <w:rsid w:val="009D184E"/>
    <w:rsid w:val="009D24F5"/>
    <w:rsid w:val="009D2522"/>
    <w:rsid w:val="009D25E5"/>
    <w:rsid w:val="009D2BAB"/>
    <w:rsid w:val="009D2C0D"/>
    <w:rsid w:val="009D366B"/>
    <w:rsid w:val="009D3BFC"/>
    <w:rsid w:val="009D4078"/>
    <w:rsid w:val="009D42BA"/>
    <w:rsid w:val="009D46E0"/>
    <w:rsid w:val="009D4859"/>
    <w:rsid w:val="009D4A36"/>
    <w:rsid w:val="009D4BE4"/>
    <w:rsid w:val="009D4F2A"/>
    <w:rsid w:val="009D5041"/>
    <w:rsid w:val="009D50DA"/>
    <w:rsid w:val="009D5193"/>
    <w:rsid w:val="009D529A"/>
    <w:rsid w:val="009D5799"/>
    <w:rsid w:val="009D5885"/>
    <w:rsid w:val="009D5AAE"/>
    <w:rsid w:val="009D5B4C"/>
    <w:rsid w:val="009D6414"/>
    <w:rsid w:val="009D64F1"/>
    <w:rsid w:val="009D66BF"/>
    <w:rsid w:val="009D6741"/>
    <w:rsid w:val="009D6D4E"/>
    <w:rsid w:val="009D6E13"/>
    <w:rsid w:val="009D7465"/>
    <w:rsid w:val="009D7914"/>
    <w:rsid w:val="009E02E9"/>
    <w:rsid w:val="009E04A9"/>
    <w:rsid w:val="009E04C0"/>
    <w:rsid w:val="009E0650"/>
    <w:rsid w:val="009E066F"/>
    <w:rsid w:val="009E0910"/>
    <w:rsid w:val="009E0D43"/>
    <w:rsid w:val="009E0DEC"/>
    <w:rsid w:val="009E1264"/>
    <w:rsid w:val="009E143D"/>
    <w:rsid w:val="009E19A3"/>
    <w:rsid w:val="009E1AEA"/>
    <w:rsid w:val="009E1B28"/>
    <w:rsid w:val="009E1FAA"/>
    <w:rsid w:val="009E21A2"/>
    <w:rsid w:val="009E21E6"/>
    <w:rsid w:val="009E2382"/>
    <w:rsid w:val="009E2A27"/>
    <w:rsid w:val="009E2A52"/>
    <w:rsid w:val="009E2BF5"/>
    <w:rsid w:val="009E2C48"/>
    <w:rsid w:val="009E2E98"/>
    <w:rsid w:val="009E2E9A"/>
    <w:rsid w:val="009E2FE1"/>
    <w:rsid w:val="009E3265"/>
    <w:rsid w:val="009E39A1"/>
    <w:rsid w:val="009E4140"/>
    <w:rsid w:val="009E41C2"/>
    <w:rsid w:val="009E435F"/>
    <w:rsid w:val="009E4657"/>
    <w:rsid w:val="009E4A13"/>
    <w:rsid w:val="009E4B95"/>
    <w:rsid w:val="009E4DC0"/>
    <w:rsid w:val="009E5049"/>
    <w:rsid w:val="009E54B7"/>
    <w:rsid w:val="009E56DD"/>
    <w:rsid w:val="009E58CB"/>
    <w:rsid w:val="009E6255"/>
    <w:rsid w:val="009E635F"/>
    <w:rsid w:val="009E6374"/>
    <w:rsid w:val="009E64DD"/>
    <w:rsid w:val="009E65F6"/>
    <w:rsid w:val="009E6A14"/>
    <w:rsid w:val="009E6ABA"/>
    <w:rsid w:val="009E758A"/>
    <w:rsid w:val="009E771F"/>
    <w:rsid w:val="009E7A65"/>
    <w:rsid w:val="009E7B35"/>
    <w:rsid w:val="009E7B46"/>
    <w:rsid w:val="009E7BBE"/>
    <w:rsid w:val="009F02B4"/>
    <w:rsid w:val="009F034A"/>
    <w:rsid w:val="009F0424"/>
    <w:rsid w:val="009F0814"/>
    <w:rsid w:val="009F0842"/>
    <w:rsid w:val="009F0A77"/>
    <w:rsid w:val="009F0B31"/>
    <w:rsid w:val="009F0CF8"/>
    <w:rsid w:val="009F0DB9"/>
    <w:rsid w:val="009F104C"/>
    <w:rsid w:val="009F1199"/>
    <w:rsid w:val="009F130E"/>
    <w:rsid w:val="009F135D"/>
    <w:rsid w:val="009F1BEA"/>
    <w:rsid w:val="009F2390"/>
    <w:rsid w:val="009F2655"/>
    <w:rsid w:val="009F291E"/>
    <w:rsid w:val="009F2AAF"/>
    <w:rsid w:val="009F2B68"/>
    <w:rsid w:val="009F2E69"/>
    <w:rsid w:val="009F3007"/>
    <w:rsid w:val="009F32EA"/>
    <w:rsid w:val="009F3378"/>
    <w:rsid w:val="009F3CB8"/>
    <w:rsid w:val="009F3DAC"/>
    <w:rsid w:val="009F46DF"/>
    <w:rsid w:val="009F48E5"/>
    <w:rsid w:val="009F4CB7"/>
    <w:rsid w:val="009F4F11"/>
    <w:rsid w:val="009F52A8"/>
    <w:rsid w:val="009F589B"/>
    <w:rsid w:val="009F5B8B"/>
    <w:rsid w:val="009F637E"/>
    <w:rsid w:val="009F6571"/>
    <w:rsid w:val="009F6894"/>
    <w:rsid w:val="009F6906"/>
    <w:rsid w:val="009F6F54"/>
    <w:rsid w:val="009F78E2"/>
    <w:rsid w:val="009F796C"/>
    <w:rsid w:val="00A00641"/>
    <w:rsid w:val="00A00F36"/>
    <w:rsid w:val="00A012C8"/>
    <w:rsid w:val="00A0168A"/>
    <w:rsid w:val="00A01A26"/>
    <w:rsid w:val="00A01B60"/>
    <w:rsid w:val="00A020A1"/>
    <w:rsid w:val="00A02102"/>
    <w:rsid w:val="00A02407"/>
    <w:rsid w:val="00A02508"/>
    <w:rsid w:val="00A02857"/>
    <w:rsid w:val="00A02B49"/>
    <w:rsid w:val="00A02B4B"/>
    <w:rsid w:val="00A02FB8"/>
    <w:rsid w:val="00A038C9"/>
    <w:rsid w:val="00A0395C"/>
    <w:rsid w:val="00A03BDB"/>
    <w:rsid w:val="00A03D5C"/>
    <w:rsid w:val="00A03DD4"/>
    <w:rsid w:val="00A03E04"/>
    <w:rsid w:val="00A04116"/>
    <w:rsid w:val="00A041B7"/>
    <w:rsid w:val="00A041C0"/>
    <w:rsid w:val="00A04384"/>
    <w:rsid w:val="00A04819"/>
    <w:rsid w:val="00A048D9"/>
    <w:rsid w:val="00A04B01"/>
    <w:rsid w:val="00A04BFA"/>
    <w:rsid w:val="00A04C24"/>
    <w:rsid w:val="00A05441"/>
    <w:rsid w:val="00A05552"/>
    <w:rsid w:val="00A05554"/>
    <w:rsid w:val="00A057AA"/>
    <w:rsid w:val="00A057E3"/>
    <w:rsid w:val="00A05B58"/>
    <w:rsid w:val="00A05E4D"/>
    <w:rsid w:val="00A061F9"/>
    <w:rsid w:val="00A062C9"/>
    <w:rsid w:val="00A0651E"/>
    <w:rsid w:val="00A065F7"/>
    <w:rsid w:val="00A0689A"/>
    <w:rsid w:val="00A06FA7"/>
    <w:rsid w:val="00A0700D"/>
    <w:rsid w:val="00A072CA"/>
    <w:rsid w:val="00A0757A"/>
    <w:rsid w:val="00A07924"/>
    <w:rsid w:val="00A07B0C"/>
    <w:rsid w:val="00A07FC1"/>
    <w:rsid w:val="00A10520"/>
    <w:rsid w:val="00A1053C"/>
    <w:rsid w:val="00A106FF"/>
    <w:rsid w:val="00A1089D"/>
    <w:rsid w:val="00A10989"/>
    <w:rsid w:val="00A10B41"/>
    <w:rsid w:val="00A10CFC"/>
    <w:rsid w:val="00A10F1D"/>
    <w:rsid w:val="00A10F8E"/>
    <w:rsid w:val="00A114A2"/>
    <w:rsid w:val="00A11887"/>
    <w:rsid w:val="00A11935"/>
    <w:rsid w:val="00A11F19"/>
    <w:rsid w:val="00A1221B"/>
    <w:rsid w:val="00A128B7"/>
    <w:rsid w:val="00A1293A"/>
    <w:rsid w:val="00A12AC4"/>
    <w:rsid w:val="00A12B83"/>
    <w:rsid w:val="00A12E7E"/>
    <w:rsid w:val="00A1331D"/>
    <w:rsid w:val="00A13348"/>
    <w:rsid w:val="00A13623"/>
    <w:rsid w:val="00A13664"/>
    <w:rsid w:val="00A13913"/>
    <w:rsid w:val="00A141C5"/>
    <w:rsid w:val="00A14FF2"/>
    <w:rsid w:val="00A150B2"/>
    <w:rsid w:val="00A15209"/>
    <w:rsid w:val="00A152A6"/>
    <w:rsid w:val="00A152DE"/>
    <w:rsid w:val="00A15553"/>
    <w:rsid w:val="00A1560C"/>
    <w:rsid w:val="00A15684"/>
    <w:rsid w:val="00A15896"/>
    <w:rsid w:val="00A15BEE"/>
    <w:rsid w:val="00A15F27"/>
    <w:rsid w:val="00A15F4A"/>
    <w:rsid w:val="00A16AB8"/>
    <w:rsid w:val="00A16B52"/>
    <w:rsid w:val="00A16C1F"/>
    <w:rsid w:val="00A16C92"/>
    <w:rsid w:val="00A16E14"/>
    <w:rsid w:val="00A171F3"/>
    <w:rsid w:val="00A1724A"/>
    <w:rsid w:val="00A174EC"/>
    <w:rsid w:val="00A17525"/>
    <w:rsid w:val="00A17552"/>
    <w:rsid w:val="00A1776A"/>
    <w:rsid w:val="00A17B9B"/>
    <w:rsid w:val="00A17BA1"/>
    <w:rsid w:val="00A200CD"/>
    <w:rsid w:val="00A2020C"/>
    <w:rsid w:val="00A2026F"/>
    <w:rsid w:val="00A20399"/>
    <w:rsid w:val="00A20B58"/>
    <w:rsid w:val="00A20CF3"/>
    <w:rsid w:val="00A20D98"/>
    <w:rsid w:val="00A20E23"/>
    <w:rsid w:val="00A211E3"/>
    <w:rsid w:val="00A21380"/>
    <w:rsid w:val="00A214F5"/>
    <w:rsid w:val="00A2179A"/>
    <w:rsid w:val="00A2184E"/>
    <w:rsid w:val="00A21D9C"/>
    <w:rsid w:val="00A21F05"/>
    <w:rsid w:val="00A22202"/>
    <w:rsid w:val="00A22662"/>
    <w:rsid w:val="00A2283E"/>
    <w:rsid w:val="00A22952"/>
    <w:rsid w:val="00A22B5C"/>
    <w:rsid w:val="00A22C57"/>
    <w:rsid w:val="00A22CC5"/>
    <w:rsid w:val="00A22D14"/>
    <w:rsid w:val="00A22F9A"/>
    <w:rsid w:val="00A23196"/>
    <w:rsid w:val="00A232A7"/>
    <w:rsid w:val="00A237AE"/>
    <w:rsid w:val="00A239D7"/>
    <w:rsid w:val="00A241FE"/>
    <w:rsid w:val="00A2442E"/>
    <w:rsid w:val="00A244F6"/>
    <w:rsid w:val="00A2559D"/>
    <w:rsid w:val="00A25F41"/>
    <w:rsid w:val="00A261FF"/>
    <w:rsid w:val="00A262B1"/>
    <w:rsid w:val="00A26356"/>
    <w:rsid w:val="00A2669F"/>
    <w:rsid w:val="00A267B7"/>
    <w:rsid w:val="00A26B6F"/>
    <w:rsid w:val="00A26FF1"/>
    <w:rsid w:val="00A27550"/>
    <w:rsid w:val="00A275ED"/>
    <w:rsid w:val="00A27983"/>
    <w:rsid w:val="00A3022E"/>
    <w:rsid w:val="00A3036B"/>
    <w:rsid w:val="00A305D7"/>
    <w:rsid w:val="00A30C71"/>
    <w:rsid w:val="00A30E6C"/>
    <w:rsid w:val="00A31076"/>
    <w:rsid w:val="00A3137C"/>
    <w:rsid w:val="00A316B7"/>
    <w:rsid w:val="00A31734"/>
    <w:rsid w:val="00A3177C"/>
    <w:rsid w:val="00A31B97"/>
    <w:rsid w:val="00A31CCD"/>
    <w:rsid w:val="00A3296D"/>
    <w:rsid w:val="00A32B45"/>
    <w:rsid w:val="00A32BD4"/>
    <w:rsid w:val="00A32CB0"/>
    <w:rsid w:val="00A33520"/>
    <w:rsid w:val="00A3364F"/>
    <w:rsid w:val="00A336D8"/>
    <w:rsid w:val="00A338D7"/>
    <w:rsid w:val="00A33BBD"/>
    <w:rsid w:val="00A33CBC"/>
    <w:rsid w:val="00A33E58"/>
    <w:rsid w:val="00A33EDD"/>
    <w:rsid w:val="00A33F25"/>
    <w:rsid w:val="00A34317"/>
    <w:rsid w:val="00A3444A"/>
    <w:rsid w:val="00A344F9"/>
    <w:rsid w:val="00A346EC"/>
    <w:rsid w:val="00A34E93"/>
    <w:rsid w:val="00A34EDA"/>
    <w:rsid w:val="00A34FC6"/>
    <w:rsid w:val="00A3503C"/>
    <w:rsid w:val="00A35214"/>
    <w:rsid w:val="00A3534D"/>
    <w:rsid w:val="00A35465"/>
    <w:rsid w:val="00A355AF"/>
    <w:rsid w:val="00A35D6A"/>
    <w:rsid w:val="00A35EE3"/>
    <w:rsid w:val="00A36201"/>
    <w:rsid w:val="00A365DC"/>
    <w:rsid w:val="00A36F06"/>
    <w:rsid w:val="00A37148"/>
    <w:rsid w:val="00A37160"/>
    <w:rsid w:val="00A37AAE"/>
    <w:rsid w:val="00A37F27"/>
    <w:rsid w:val="00A409CE"/>
    <w:rsid w:val="00A40C4B"/>
    <w:rsid w:val="00A40F78"/>
    <w:rsid w:val="00A40F7B"/>
    <w:rsid w:val="00A4125C"/>
    <w:rsid w:val="00A416AD"/>
    <w:rsid w:val="00A4172D"/>
    <w:rsid w:val="00A417C0"/>
    <w:rsid w:val="00A41D6C"/>
    <w:rsid w:val="00A41FFF"/>
    <w:rsid w:val="00A420C5"/>
    <w:rsid w:val="00A42884"/>
    <w:rsid w:val="00A42B2E"/>
    <w:rsid w:val="00A42BF0"/>
    <w:rsid w:val="00A42F90"/>
    <w:rsid w:val="00A43231"/>
    <w:rsid w:val="00A43388"/>
    <w:rsid w:val="00A4362C"/>
    <w:rsid w:val="00A43A7B"/>
    <w:rsid w:val="00A43B86"/>
    <w:rsid w:val="00A43D6A"/>
    <w:rsid w:val="00A44138"/>
    <w:rsid w:val="00A442CC"/>
    <w:rsid w:val="00A443A7"/>
    <w:rsid w:val="00A44A84"/>
    <w:rsid w:val="00A4521B"/>
    <w:rsid w:val="00A452BF"/>
    <w:rsid w:val="00A45388"/>
    <w:rsid w:val="00A4548B"/>
    <w:rsid w:val="00A459E5"/>
    <w:rsid w:val="00A45AAD"/>
    <w:rsid w:val="00A45B1C"/>
    <w:rsid w:val="00A45BA4"/>
    <w:rsid w:val="00A45BC2"/>
    <w:rsid w:val="00A45E19"/>
    <w:rsid w:val="00A461AE"/>
    <w:rsid w:val="00A465D3"/>
    <w:rsid w:val="00A467D1"/>
    <w:rsid w:val="00A4695C"/>
    <w:rsid w:val="00A469A1"/>
    <w:rsid w:val="00A46BD1"/>
    <w:rsid w:val="00A46C5D"/>
    <w:rsid w:val="00A46FDE"/>
    <w:rsid w:val="00A4701A"/>
    <w:rsid w:val="00A4715D"/>
    <w:rsid w:val="00A471AE"/>
    <w:rsid w:val="00A47D55"/>
    <w:rsid w:val="00A47E0B"/>
    <w:rsid w:val="00A501DD"/>
    <w:rsid w:val="00A50374"/>
    <w:rsid w:val="00A5052F"/>
    <w:rsid w:val="00A509BE"/>
    <w:rsid w:val="00A50A8E"/>
    <w:rsid w:val="00A50BEB"/>
    <w:rsid w:val="00A50CD9"/>
    <w:rsid w:val="00A50D7C"/>
    <w:rsid w:val="00A51374"/>
    <w:rsid w:val="00A514B3"/>
    <w:rsid w:val="00A516B4"/>
    <w:rsid w:val="00A51820"/>
    <w:rsid w:val="00A51A94"/>
    <w:rsid w:val="00A51B30"/>
    <w:rsid w:val="00A52017"/>
    <w:rsid w:val="00A5205C"/>
    <w:rsid w:val="00A5279E"/>
    <w:rsid w:val="00A52801"/>
    <w:rsid w:val="00A5284E"/>
    <w:rsid w:val="00A52B9A"/>
    <w:rsid w:val="00A52C8E"/>
    <w:rsid w:val="00A5322F"/>
    <w:rsid w:val="00A5327B"/>
    <w:rsid w:val="00A53E78"/>
    <w:rsid w:val="00A53FCA"/>
    <w:rsid w:val="00A542E2"/>
    <w:rsid w:val="00A542E7"/>
    <w:rsid w:val="00A545AF"/>
    <w:rsid w:val="00A548A6"/>
    <w:rsid w:val="00A54C54"/>
    <w:rsid w:val="00A54F1F"/>
    <w:rsid w:val="00A5529A"/>
    <w:rsid w:val="00A55465"/>
    <w:rsid w:val="00A554C2"/>
    <w:rsid w:val="00A55C40"/>
    <w:rsid w:val="00A55CA7"/>
    <w:rsid w:val="00A55E1E"/>
    <w:rsid w:val="00A56106"/>
    <w:rsid w:val="00A56269"/>
    <w:rsid w:val="00A56CF1"/>
    <w:rsid w:val="00A56CF8"/>
    <w:rsid w:val="00A5703F"/>
    <w:rsid w:val="00A57116"/>
    <w:rsid w:val="00A5727E"/>
    <w:rsid w:val="00A574EC"/>
    <w:rsid w:val="00A57D33"/>
    <w:rsid w:val="00A57EC0"/>
    <w:rsid w:val="00A60190"/>
    <w:rsid w:val="00A609A6"/>
    <w:rsid w:val="00A609AF"/>
    <w:rsid w:val="00A60EAB"/>
    <w:rsid w:val="00A6108F"/>
    <w:rsid w:val="00A61694"/>
    <w:rsid w:val="00A61A06"/>
    <w:rsid w:val="00A61DDA"/>
    <w:rsid w:val="00A61FBE"/>
    <w:rsid w:val="00A6224B"/>
    <w:rsid w:val="00A62916"/>
    <w:rsid w:val="00A62E8F"/>
    <w:rsid w:val="00A62F39"/>
    <w:rsid w:val="00A6376B"/>
    <w:rsid w:val="00A63854"/>
    <w:rsid w:val="00A638D1"/>
    <w:rsid w:val="00A63D7B"/>
    <w:rsid w:val="00A63F02"/>
    <w:rsid w:val="00A64AC5"/>
    <w:rsid w:val="00A64EBB"/>
    <w:rsid w:val="00A6547B"/>
    <w:rsid w:val="00A656B3"/>
    <w:rsid w:val="00A65AD3"/>
    <w:rsid w:val="00A65AFF"/>
    <w:rsid w:val="00A65B6C"/>
    <w:rsid w:val="00A65DCB"/>
    <w:rsid w:val="00A6646C"/>
    <w:rsid w:val="00A66896"/>
    <w:rsid w:val="00A66D08"/>
    <w:rsid w:val="00A67180"/>
    <w:rsid w:val="00A6724F"/>
    <w:rsid w:val="00A6770E"/>
    <w:rsid w:val="00A6789E"/>
    <w:rsid w:val="00A679AD"/>
    <w:rsid w:val="00A67B0B"/>
    <w:rsid w:val="00A701D1"/>
    <w:rsid w:val="00A70A0C"/>
    <w:rsid w:val="00A70ADF"/>
    <w:rsid w:val="00A70C72"/>
    <w:rsid w:val="00A70D8C"/>
    <w:rsid w:val="00A71053"/>
    <w:rsid w:val="00A71549"/>
    <w:rsid w:val="00A71895"/>
    <w:rsid w:val="00A719D1"/>
    <w:rsid w:val="00A71A1B"/>
    <w:rsid w:val="00A71AF7"/>
    <w:rsid w:val="00A71C4C"/>
    <w:rsid w:val="00A725AF"/>
    <w:rsid w:val="00A72ED5"/>
    <w:rsid w:val="00A734E2"/>
    <w:rsid w:val="00A741C1"/>
    <w:rsid w:val="00A743D0"/>
    <w:rsid w:val="00A743DE"/>
    <w:rsid w:val="00A743E8"/>
    <w:rsid w:val="00A745F4"/>
    <w:rsid w:val="00A74887"/>
    <w:rsid w:val="00A75216"/>
    <w:rsid w:val="00A75721"/>
    <w:rsid w:val="00A75A52"/>
    <w:rsid w:val="00A75D84"/>
    <w:rsid w:val="00A75DCB"/>
    <w:rsid w:val="00A76000"/>
    <w:rsid w:val="00A7606B"/>
    <w:rsid w:val="00A765CF"/>
    <w:rsid w:val="00A76668"/>
    <w:rsid w:val="00A76FE9"/>
    <w:rsid w:val="00A777E3"/>
    <w:rsid w:val="00A7780C"/>
    <w:rsid w:val="00A8018F"/>
    <w:rsid w:val="00A8039B"/>
    <w:rsid w:val="00A804F1"/>
    <w:rsid w:val="00A80A08"/>
    <w:rsid w:val="00A80EE3"/>
    <w:rsid w:val="00A81103"/>
    <w:rsid w:val="00A8136D"/>
    <w:rsid w:val="00A813F0"/>
    <w:rsid w:val="00A8172B"/>
    <w:rsid w:val="00A8183A"/>
    <w:rsid w:val="00A81DF9"/>
    <w:rsid w:val="00A821A5"/>
    <w:rsid w:val="00A826A8"/>
    <w:rsid w:val="00A82A11"/>
    <w:rsid w:val="00A82A7A"/>
    <w:rsid w:val="00A82A99"/>
    <w:rsid w:val="00A8302B"/>
    <w:rsid w:val="00A8321B"/>
    <w:rsid w:val="00A83303"/>
    <w:rsid w:val="00A83357"/>
    <w:rsid w:val="00A83802"/>
    <w:rsid w:val="00A838AD"/>
    <w:rsid w:val="00A83E41"/>
    <w:rsid w:val="00A841CC"/>
    <w:rsid w:val="00A844A3"/>
    <w:rsid w:val="00A84792"/>
    <w:rsid w:val="00A847A4"/>
    <w:rsid w:val="00A84C9C"/>
    <w:rsid w:val="00A851AD"/>
    <w:rsid w:val="00A851BB"/>
    <w:rsid w:val="00A85A87"/>
    <w:rsid w:val="00A85B51"/>
    <w:rsid w:val="00A86051"/>
    <w:rsid w:val="00A8625F"/>
    <w:rsid w:val="00A8637C"/>
    <w:rsid w:val="00A86971"/>
    <w:rsid w:val="00A86B11"/>
    <w:rsid w:val="00A86BFF"/>
    <w:rsid w:val="00A86DFF"/>
    <w:rsid w:val="00A86E8B"/>
    <w:rsid w:val="00A86F66"/>
    <w:rsid w:val="00A8746E"/>
    <w:rsid w:val="00A87536"/>
    <w:rsid w:val="00A87740"/>
    <w:rsid w:val="00A87AB4"/>
    <w:rsid w:val="00A87BB3"/>
    <w:rsid w:val="00A9011B"/>
    <w:rsid w:val="00A90151"/>
    <w:rsid w:val="00A90256"/>
    <w:rsid w:val="00A906A1"/>
    <w:rsid w:val="00A90CF5"/>
    <w:rsid w:val="00A90E94"/>
    <w:rsid w:val="00A90FD8"/>
    <w:rsid w:val="00A9110F"/>
    <w:rsid w:val="00A911E8"/>
    <w:rsid w:val="00A91210"/>
    <w:rsid w:val="00A912CD"/>
    <w:rsid w:val="00A9145E"/>
    <w:rsid w:val="00A9180C"/>
    <w:rsid w:val="00A91903"/>
    <w:rsid w:val="00A919F3"/>
    <w:rsid w:val="00A923B3"/>
    <w:rsid w:val="00A92908"/>
    <w:rsid w:val="00A929CF"/>
    <w:rsid w:val="00A92BA6"/>
    <w:rsid w:val="00A92CAC"/>
    <w:rsid w:val="00A9316B"/>
    <w:rsid w:val="00A93402"/>
    <w:rsid w:val="00A93523"/>
    <w:rsid w:val="00A9359B"/>
    <w:rsid w:val="00A936D1"/>
    <w:rsid w:val="00A9374F"/>
    <w:rsid w:val="00A94128"/>
    <w:rsid w:val="00A942B4"/>
    <w:rsid w:val="00A949BF"/>
    <w:rsid w:val="00A94B8A"/>
    <w:rsid w:val="00A94BBA"/>
    <w:rsid w:val="00A94D00"/>
    <w:rsid w:val="00A94FA8"/>
    <w:rsid w:val="00A9545C"/>
    <w:rsid w:val="00A95524"/>
    <w:rsid w:val="00A95662"/>
    <w:rsid w:val="00A95D9A"/>
    <w:rsid w:val="00A95F50"/>
    <w:rsid w:val="00A95FF9"/>
    <w:rsid w:val="00A9661D"/>
    <w:rsid w:val="00A966A6"/>
    <w:rsid w:val="00A96743"/>
    <w:rsid w:val="00A96A7F"/>
    <w:rsid w:val="00A96D94"/>
    <w:rsid w:val="00A970A6"/>
    <w:rsid w:val="00A970C9"/>
    <w:rsid w:val="00A9729C"/>
    <w:rsid w:val="00A979FD"/>
    <w:rsid w:val="00A97BE3"/>
    <w:rsid w:val="00A97C2F"/>
    <w:rsid w:val="00A97FA7"/>
    <w:rsid w:val="00AA085B"/>
    <w:rsid w:val="00AA1152"/>
    <w:rsid w:val="00AA163B"/>
    <w:rsid w:val="00AA1757"/>
    <w:rsid w:val="00AA1C29"/>
    <w:rsid w:val="00AA1C2C"/>
    <w:rsid w:val="00AA1C69"/>
    <w:rsid w:val="00AA1FFF"/>
    <w:rsid w:val="00AA27D9"/>
    <w:rsid w:val="00AA2860"/>
    <w:rsid w:val="00AA29B8"/>
    <w:rsid w:val="00AA2A24"/>
    <w:rsid w:val="00AA2BC2"/>
    <w:rsid w:val="00AA2F1C"/>
    <w:rsid w:val="00AA3084"/>
    <w:rsid w:val="00AA3569"/>
    <w:rsid w:val="00AA3781"/>
    <w:rsid w:val="00AA3A35"/>
    <w:rsid w:val="00AA3A47"/>
    <w:rsid w:val="00AA4023"/>
    <w:rsid w:val="00AA420C"/>
    <w:rsid w:val="00AA438C"/>
    <w:rsid w:val="00AA4795"/>
    <w:rsid w:val="00AA4A8E"/>
    <w:rsid w:val="00AA4DA7"/>
    <w:rsid w:val="00AA5046"/>
    <w:rsid w:val="00AA511F"/>
    <w:rsid w:val="00AA5290"/>
    <w:rsid w:val="00AA59B2"/>
    <w:rsid w:val="00AA5F30"/>
    <w:rsid w:val="00AA64D6"/>
    <w:rsid w:val="00AA684D"/>
    <w:rsid w:val="00AA695A"/>
    <w:rsid w:val="00AA6D76"/>
    <w:rsid w:val="00AA6DEF"/>
    <w:rsid w:val="00AA72A3"/>
    <w:rsid w:val="00AA770D"/>
    <w:rsid w:val="00AA7734"/>
    <w:rsid w:val="00AA7962"/>
    <w:rsid w:val="00AA79FA"/>
    <w:rsid w:val="00AB02C3"/>
    <w:rsid w:val="00AB081E"/>
    <w:rsid w:val="00AB0EB0"/>
    <w:rsid w:val="00AB0F64"/>
    <w:rsid w:val="00AB105B"/>
    <w:rsid w:val="00AB10F4"/>
    <w:rsid w:val="00AB13C5"/>
    <w:rsid w:val="00AB1AE4"/>
    <w:rsid w:val="00AB1BC5"/>
    <w:rsid w:val="00AB1DB4"/>
    <w:rsid w:val="00AB1E35"/>
    <w:rsid w:val="00AB210A"/>
    <w:rsid w:val="00AB23B4"/>
    <w:rsid w:val="00AB2982"/>
    <w:rsid w:val="00AB2D17"/>
    <w:rsid w:val="00AB2F9C"/>
    <w:rsid w:val="00AB34AD"/>
    <w:rsid w:val="00AB34C0"/>
    <w:rsid w:val="00AB3BFE"/>
    <w:rsid w:val="00AB3F42"/>
    <w:rsid w:val="00AB4349"/>
    <w:rsid w:val="00AB4539"/>
    <w:rsid w:val="00AB46E2"/>
    <w:rsid w:val="00AB4727"/>
    <w:rsid w:val="00AB47A5"/>
    <w:rsid w:val="00AB4985"/>
    <w:rsid w:val="00AB4B1B"/>
    <w:rsid w:val="00AB520D"/>
    <w:rsid w:val="00AB528E"/>
    <w:rsid w:val="00AB534E"/>
    <w:rsid w:val="00AB559C"/>
    <w:rsid w:val="00AB5681"/>
    <w:rsid w:val="00AB5BB9"/>
    <w:rsid w:val="00AB5CFF"/>
    <w:rsid w:val="00AB5E5C"/>
    <w:rsid w:val="00AB613B"/>
    <w:rsid w:val="00AB6815"/>
    <w:rsid w:val="00AB6ECD"/>
    <w:rsid w:val="00AB7048"/>
    <w:rsid w:val="00AB7065"/>
    <w:rsid w:val="00AB7269"/>
    <w:rsid w:val="00AB72EA"/>
    <w:rsid w:val="00AB74EB"/>
    <w:rsid w:val="00AB77F2"/>
    <w:rsid w:val="00AB7915"/>
    <w:rsid w:val="00AB7A9F"/>
    <w:rsid w:val="00AB7DAB"/>
    <w:rsid w:val="00AB7F78"/>
    <w:rsid w:val="00AC0682"/>
    <w:rsid w:val="00AC0D47"/>
    <w:rsid w:val="00AC0FEC"/>
    <w:rsid w:val="00AC10DE"/>
    <w:rsid w:val="00AC14A5"/>
    <w:rsid w:val="00AC1CE5"/>
    <w:rsid w:val="00AC1E07"/>
    <w:rsid w:val="00AC1FE4"/>
    <w:rsid w:val="00AC25AE"/>
    <w:rsid w:val="00AC298F"/>
    <w:rsid w:val="00AC2AFE"/>
    <w:rsid w:val="00AC2CDF"/>
    <w:rsid w:val="00AC2D0D"/>
    <w:rsid w:val="00AC2E8D"/>
    <w:rsid w:val="00AC3630"/>
    <w:rsid w:val="00AC3962"/>
    <w:rsid w:val="00AC3A4E"/>
    <w:rsid w:val="00AC3D98"/>
    <w:rsid w:val="00AC4134"/>
    <w:rsid w:val="00AC4187"/>
    <w:rsid w:val="00AC48CE"/>
    <w:rsid w:val="00AC4ABF"/>
    <w:rsid w:val="00AC4C7E"/>
    <w:rsid w:val="00AC4CDF"/>
    <w:rsid w:val="00AC4D60"/>
    <w:rsid w:val="00AC4E37"/>
    <w:rsid w:val="00AC4F7C"/>
    <w:rsid w:val="00AC4FDC"/>
    <w:rsid w:val="00AC5084"/>
    <w:rsid w:val="00AC513C"/>
    <w:rsid w:val="00AC5503"/>
    <w:rsid w:val="00AC587D"/>
    <w:rsid w:val="00AC5906"/>
    <w:rsid w:val="00AC5AC7"/>
    <w:rsid w:val="00AC5B36"/>
    <w:rsid w:val="00AC6071"/>
    <w:rsid w:val="00AC6169"/>
    <w:rsid w:val="00AC6221"/>
    <w:rsid w:val="00AC772B"/>
    <w:rsid w:val="00AC78C7"/>
    <w:rsid w:val="00AD038F"/>
    <w:rsid w:val="00AD0C70"/>
    <w:rsid w:val="00AD0F56"/>
    <w:rsid w:val="00AD0FB7"/>
    <w:rsid w:val="00AD0FCA"/>
    <w:rsid w:val="00AD1503"/>
    <w:rsid w:val="00AD1543"/>
    <w:rsid w:val="00AD1736"/>
    <w:rsid w:val="00AD1740"/>
    <w:rsid w:val="00AD1AA2"/>
    <w:rsid w:val="00AD215F"/>
    <w:rsid w:val="00AD2726"/>
    <w:rsid w:val="00AD28D1"/>
    <w:rsid w:val="00AD2A3F"/>
    <w:rsid w:val="00AD38D9"/>
    <w:rsid w:val="00AD39CA"/>
    <w:rsid w:val="00AD3B08"/>
    <w:rsid w:val="00AD3C23"/>
    <w:rsid w:val="00AD3C27"/>
    <w:rsid w:val="00AD3EEF"/>
    <w:rsid w:val="00AD41D3"/>
    <w:rsid w:val="00AD4286"/>
    <w:rsid w:val="00AD48C9"/>
    <w:rsid w:val="00AD4986"/>
    <w:rsid w:val="00AD49F5"/>
    <w:rsid w:val="00AD4A13"/>
    <w:rsid w:val="00AD4B3A"/>
    <w:rsid w:val="00AD4D33"/>
    <w:rsid w:val="00AD4D9D"/>
    <w:rsid w:val="00AD4FE5"/>
    <w:rsid w:val="00AD4FEC"/>
    <w:rsid w:val="00AD5290"/>
    <w:rsid w:val="00AD5522"/>
    <w:rsid w:val="00AD562F"/>
    <w:rsid w:val="00AD5986"/>
    <w:rsid w:val="00AD5A43"/>
    <w:rsid w:val="00AD5CCD"/>
    <w:rsid w:val="00AD6537"/>
    <w:rsid w:val="00AD6C89"/>
    <w:rsid w:val="00AD6D81"/>
    <w:rsid w:val="00AD6E1C"/>
    <w:rsid w:val="00AD703C"/>
    <w:rsid w:val="00AD790C"/>
    <w:rsid w:val="00AD7A30"/>
    <w:rsid w:val="00AD7C9E"/>
    <w:rsid w:val="00AD7E0D"/>
    <w:rsid w:val="00AD7FCC"/>
    <w:rsid w:val="00AE036C"/>
    <w:rsid w:val="00AE068A"/>
    <w:rsid w:val="00AE0D77"/>
    <w:rsid w:val="00AE15DE"/>
    <w:rsid w:val="00AE18F8"/>
    <w:rsid w:val="00AE1A3C"/>
    <w:rsid w:val="00AE1B27"/>
    <w:rsid w:val="00AE1D44"/>
    <w:rsid w:val="00AE1F6E"/>
    <w:rsid w:val="00AE2063"/>
    <w:rsid w:val="00AE2A46"/>
    <w:rsid w:val="00AE2AFA"/>
    <w:rsid w:val="00AE312E"/>
    <w:rsid w:val="00AE3225"/>
    <w:rsid w:val="00AE3239"/>
    <w:rsid w:val="00AE38E3"/>
    <w:rsid w:val="00AE3992"/>
    <w:rsid w:val="00AE3A10"/>
    <w:rsid w:val="00AE3EE8"/>
    <w:rsid w:val="00AE407F"/>
    <w:rsid w:val="00AE4417"/>
    <w:rsid w:val="00AE49B0"/>
    <w:rsid w:val="00AE4A24"/>
    <w:rsid w:val="00AE5211"/>
    <w:rsid w:val="00AE533F"/>
    <w:rsid w:val="00AE5448"/>
    <w:rsid w:val="00AE54E9"/>
    <w:rsid w:val="00AE5AB6"/>
    <w:rsid w:val="00AE5FB5"/>
    <w:rsid w:val="00AE623B"/>
    <w:rsid w:val="00AE6283"/>
    <w:rsid w:val="00AE6E56"/>
    <w:rsid w:val="00AE6F75"/>
    <w:rsid w:val="00AE71A4"/>
    <w:rsid w:val="00AE77E5"/>
    <w:rsid w:val="00AE7868"/>
    <w:rsid w:val="00AE7AB9"/>
    <w:rsid w:val="00AE7DF9"/>
    <w:rsid w:val="00AE7F75"/>
    <w:rsid w:val="00AF001D"/>
    <w:rsid w:val="00AF08C1"/>
    <w:rsid w:val="00AF0AD8"/>
    <w:rsid w:val="00AF0D7A"/>
    <w:rsid w:val="00AF0DC4"/>
    <w:rsid w:val="00AF0DC8"/>
    <w:rsid w:val="00AF119F"/>
    <w:rsid w:val="00AF152C"/>
    <w:rsid w:val="00AF164F"/>
    <w:rsid w:val="00AF1B39"/>
    <w:rsid w:val="00AF1D58"/>
    <w:rsid w:val="00AF1EB9"/>
    <w:rsid w:val="00AF1F95"/>
    <w:rsid w:val="00AF274C"/>
    <w:rsid w:val="00AF2898"/>
    <w:rsid w:val="00AF28A2"/>
    <w:rsid w:val="00AF2A2A"/>
    <w:rsid w:val="00AF2A72"/>
    <w:rsid w:val="00AF2ECF"/>
    <w:rsid w:val="00AF2EE0"/>
    <w:rsid w:val="00AF33A3"/>
    <w:rsid w:val="00AF340C"/>
    <w:rsid w:val="00AF37E9"/>
    <w:rsid w:val="00AF3AB8"/>
    <w:rsid w:val="00AF3BD9"/>
    <w:rsid w:val="00AF3C6E"/>
    <w:rsid w:val="00AF41BD"/>
    <w:rsid w:val="00AF44A1"/>
    <w:rsid w:val="00AF479F"/>
    <w:rsid w:val="00AF4880"/>
    <w:rsid w:val="00AF500F"/>
    <w:rsid w:val="00AF505E"/>
    <w:rsid w:val="00AF66D8"/>
    <w:rsid w:val="00AF6752"/>
    <w:rsid w:val="00AF6B24"/>
    <w:rsid w:val="00AF6B4B"/>
    <w:rsid w:val="00AF6CAC"/>
    <w:rsid w:val="00AF6F5E"/>
    <w:rsid w:val="00AF6F86"/>
    <w:rsid w:val="00AF71D6"/>
    <w:rsid w:val="00AF71D9"/>
    <w:rsid w:val="00AF7249"/>
    <w:rsid w:val="00AF7CB9"/>
    <w:rsid w:val="00AF7FC7"/>
    <w:rsid w:val="00B0013B"/>
    <w:rsid w:val="00B006B4"/>
    <w:rsid w:val="00B007C7"/>
    <w:rsid w:val="00B00DE9"/>
    <w:rsid w:val="00B00E63"/>
    <w:rsid w:val="00B00F09"/>
    <w:rsid w:val="00B00F27"/>
    <w:rsid w:val="00B00F4C"/>
    <w:rsid w:val="00B01081"/>
    <w:rsid w:val="00B0115D"/>
    <w:rsid w:val="00B01B6D"/>
    <w:rsid w:val="00B01EF3"/>
    <w:rsid w:val="00B023B3"/>
    <w:rsid w:val="00B023F7"/>
    <w:rsid w:val="00B0280A"/>
    <w:rsid w:val="00B029F2"/>
    <w:rsid w:val="00B02BB9"/>
    <w:rsid w:val="00B02D9F"/>
    <w:rsid w:val="00B03150"/>
    <w:rsid w:val="00B0318C"/>
    <w:rsid w:val="00B034F0"/>
    <w:rsid w:val="00B03932"/>
    <w:rsid w:val="00B043AB"/>
    <w:rsid w:val="00B044BC"/>
    <w:rsid w:val="00B04869"/>
    <w:rsid w:val="00B04D16"/>
    <w:rsid w:val="00B04DF6"/>
    <w:rsid w:val="00B0502B"/>
    <w:rsid w:val="00B05108"/>
    <w:rsid w:val="00B052C8"/>
    <w:rsid w:val="00B0538A"/>
    <w:rsid w:val="00B053FC"/>
    <w:rsid w:val="00B0550A"/>
    <w:rsid w:val="00B0581F"/>
    <w:rsid w:val="00B058D7"/>
    <w:rsid w:val="00B058E6"/>
    <w:rsid w:val="00B05A99"/>
    <w:rsid w:val="00B05E0B"/>
    <w:rsid w:val="00B05E8B"/>
    <w:rsid w:val="00B0639B"/>
    <w:rsid w:val="00B0643A"/>
    <w:rsid w:val="00B06632"/>
    <w:rsid w:val="00B06CFE"/>
    <w:rsid w:val="00B07FBB"/>
    <w:rsid w:val="00B10319"/>
    <w:rsid w:val="00B1072D"/>
    <w:rsid w:val="00B10B5D"/>
    <w:rsid w:val="00B10D89"/>
    <w:rsid w:val="00B10E75"/>
    <w:rsid w:val="00B10EDB"/>
    <w:rsid w:val="00B111CE"/>
    <w:rsid w:val="00B116A6"/>
    <w:rsid w:val="00B119BE"/>
    <w:rsid w:val="00B11A1E"/>
    <w:rsid w:val="00B11A49"/>
    <w:rsid w:val="00B11AE1"/>
    <w:rsid w:val="00B11C25"/>
    <w:rsid w:val="00B11E67"/>
    <w:rsid w:val="00B11F80"/>
    <w:rsid w:val="00B124D6"/>
    <w:rsid w:val="00B128D4"/>
    <w:rsid w:val="00B12ADB"/>
    <w:rsid w:val="00B12D90"/>
    <w:rsid w:val="00B12D98"/>
    <w:rsid w:val="00B131D3"/>
    <w:rsid w:val="00B134D9"/>
    <w:rsid w:val="00B1350D"/>
    <w:rsid w:val="00B13CC8"/>
    <w:rsid w:val="00B13E11"/>
    <w:rsid w:val="00B143CB"/>
    <w:rsid w:val="00B14A33"/>
    <w:rsid w:val="00B14BED"/>
    <w:rsid w:val="00B15061"/>
    <w:rsid w:val="00B15404"/>
    <w:rsid w:val="00B156CB"/>
    <w:rsid w:val="00B15750"/>
    <w:rsid w:val="00B15785"/>
    <w:rsid w:val="00B15F7A"/>
    <w:rsid w:val="00B162EF"/>
    <w:rsid w:val="00B166BD"/>
    <w:rsid w:val="00B1670E"/>
    <w:rsid w:val="00B16778"/>
    <w:rsid w:val="00B16888"/>
    <w:rsid w:val="00B168FA"/>
    <w:rsid w:val="00B16C40"/>
    <w:rsid w:val="00B1716D"/>
    <w:rsid w:val="00B171F9"/>
    <w:rsid w:val="00B1739D"/>
    <w:rsid w:val="00B17435"/>
    <w:rsid w:val="00B179CE"/>
    <w:rsid w:val="00B17B5A"/>
    <w:rsid w:val="00B17D4A"/>
    <w:rsid w:val="00B17D86"/>
    <w:rsid w:val="00B17E51"/>
    <w:rsid w:val="00B20493"/>
    <w:rsid w:val="00B205BE"/>
    <w:rsid w:val="00B20A02"/>
    <w:rsid w:val="00B20A8B"/>
    <w:rsid w:val="00B20CD4"/>
    <w:rsid w:val="00B210BC"/>
    <w:rsid w:val="00B2190E"/>
    <w:rsid w:val="00B21B50"/>
    <w:rsid w:val="00B21EDD"/>
    <w:rsid w:val="00B21FBF"/>
    <w:rsid w:val="00B221F8"/>
    <w:rsid w:val="00B22523"/>
    <w:rsid w:val="00B22715"/>
    <w:rsid w:val="00B22731"/>
    <w:rsid w:val="00B22A92"/>
    <w:rsid w:val="00B22FF8"/>
    <w:rsid w:val="00B23082"/>
    <w:rsid w:val="00B231EF"/>
    <w:rsid w:val="00B23258"/>
    <w:rsid w:val="00B232DE"/>
    <w:rsid w:val="00B23603"/>
    <w:rsid w:val="00B23A4E"/>
    <w:rsid w:val="00B23B2A"/>
    <w:rsid w:val="00B2412C"/>
    <w:rsid w:val="00B248A9"/>
    <w:rsid w:val="00B24D89"/>
    <w:rsid w:val="00B24DA2"/>
    <w:rsid w:val="00B24F43"/>
    <w:rsid w:val="00B24F69"/>
    <w:rsid w:val="00B24FD9"/>
    <w:rsid w:val="00B25080"/>
    <w:rsid w:val="00B255A1"/>
    <w:rsid w:val="00B257B2"/>
    <w:rsid w:val="00B25A2C"/>
    <w:rsid w:val="00B25A39"/>
    <w:rsid w:val="00B25DDE"/>
    <w:rsid w:val="00B25FC8"/>
    <w:rsid w:val="00B26208"/>
    <w:rsid w:val="00B263B9"/>
    <w:rsid w:val="00B264E4"/>
    <w:rsid w:val="00B265BB"/>
    <w:rsid w:val="00B26840"/>
    <w:rsid w:val="00B26BF6"/>
    <w:rsid w:val="00B26EB0"/>
    <w:rsid w:val="00B2780F"/>
    <w:rsid w:val="00B278E2"/>
    <w:rsid w:val="00B27A97"/>
    <w:rsid w:val="00B30247"/>
    <w:rsid w:val="00B3028C"/>
    <w:rsid w:val="00B30290"/>
    <w:rsid w:val="00B302FA"/>
    <w:rsid w:val="00B30405"/>
    <w:rsid w:val="00B30448"/>
    <w:rsid w:val="00B305AA"/>
    <w:rsid w:val="00B305D1"/>
    <w:rsid w:val="00B306B9"/>
    <w:rsid w:val="00B30843"/>
    <w:rsid w:val="00B309CC"/>
    <w:rsid w:val="00B30CC1"/>
    <w:rsid w:val="00B31065"/>
    <w:rsid w:val="00B311B0"/>
    <w:rsid w:val="00B31576"/>
    <w:rsid w:val="00B31985"/>
    <w:rsid w:val="00B319EC"/>
    <w:rsid w:val="00B31DF3"/>
    <w:rsid w:val="00B31EE9"/>
    <w:rsid w:val="00B320A7"/>
    <w:rsid w:val="00B32501"/>
    <w:rsid w:val="00B32858"/>
    <w:rsid w:val="00B32D6C"/>
    <w:rsid w:val="00B330C6"/>
    <w:rsid w:val="00B33350"/>
    <w:rsid w:val="00B33373"/>
    <w:rsid w:val="00B336B8"/>
    <w:rsid w:val="00B339CE"/>
    <w:rsid w:val="00B339D8"/>
    <w:rsid w:val="00B33C7E"/>
    <w:rsid w:val="00B34048"/>
    <w:rsid w:val="00B34A96"/>
    <w:rsid w:val="00B34EC0"/>
    <w:rsid w:val="00B35295"/>
    <w:rsid w:val="00B3574C"/>
    <w:rsid w:val="00B35BD7"/>
    <w:rsid w:val="00B35D57"/>
    <w:rsid w:val="00B35DF7"/>
    <w:rsid w:val="00B36050"/>
    <w:rsid w:val="00B361D1"/>
    <w:rsid w:val="00B363AA"/>
    <w:rsid w:val="00B3677F"/>
    <w:rsid w:val="00B36974"/>
    <w:rsid w:val="00B36B49"/>
    <w:rsid w:val="00B36D2B"/>
    <w:rsid w:val="00B36EA8"/>
    <w:rsid w:val="00B36EFB"/>
    <w:rsid w:val="00B37019"/>
    <w:rsid w:val="00B37030"/>
    <w:rsid w:val="00B3708E"/>
    <w:rsid w:val="00B372D1"/>
    <w:rsid w:val="00B3742A"/>
    <w:rsid w:val="00B3749D"/>
    <w:rsid w:val="00B37817"/>
    <w:rsid w:val="00B3791D"/>
    <w:rsid w:val="00B37CCC"/>
    <w:rsid w:val="00B37CE8"/>
    <w:rsid w:val="00B37CFC"/>
    <w:rsid w:val="00B37D1A"/>
    <w:rsid w:val="00B37D62"/>
    <w:rsid w:val="00B37DA3"/>
    <w:rsid w:val="00B37FFB"/>
    <w:rsid w:val="00B4005F"/>
    <w:rsid w:val="00B402DE"/>
    <w:rsid w:val="00B40968"/>
    <w:rsid w:val="00B40A18"/>
    <w:rsid w:val="00B40A20"/>
    <w:rsid w:val="00B40A3F"/>
    <w:rsid w:val="00B40D2E"/>
    <w:rsid w:val="00B40D6F"/>
    <w:rsid w:val="00B41503"/>
    <w:rsid w:val="00B416B7"/>
    <w:rsid w:val="00B41A8B"/>
    <w:rsid w:val="00B41DC3"/>
    <w:rsid w:val="00B42085"/>
    <w:rsid w:val="00B422A3"/>
    <w:rsid w:val="00B425D7"/>
    <w:rsid w:val="00B42DDD"/>
    <w:rsid w:val="00B4312D"/>
    <w:rsid w:val="00B43195"/>
    <w:rsid w:val="00B43477"/>
    <w:rsid w:val="00B434A7"/>
    <w:rsid w:val="00B4381D"/>
    <w:rsid w:val="00B43AF4"/>
    <w:rsid w:val="00B43B08"/>
    <w:rsid w:val="00B43D26"/>
    <w:rsid w:val="00B43E70"/>
    <w:rsid w:val="00B443CC"/>
    <w:rsid w:val="00B44C6D"/>
    <w:rsid w:val="00B45370"/>
    <w:rsid w:val="00B455D3"/>
    <w:rsid w:val="00B45706"/>
    <w:rsid w:val="00B460D3"/>
    <w:rsid w:val="00B463B9"/>
    <w:rsid w:val="00B46C3B"/>
    <w:rsid w:val="00B471A8"/>
    <w:rsid w:val="00B47455"/>
    <w:rsid w:val="00B4747F"/>
    <w:rsid w:val="00B4768A"/>
    <w:rsid w:val="00B47743"/>
    <w:rsid w:val="00B479EA"/>
    <w:rsid w:val="00B5003C"/>
    <w:rsid w:val="00B50044"/>
    <w:rsid w:val="00B503B9"/>
    <w:rsid w:val="00B50430"/>
    <w:rsid w:val="00B50631"/>
    <w:rsid w:val="00B50740"/>
    <w:rsid w:val="00B50B96"/>
    <w:rsid w:val="00B50FAF"/>
    <w:rsid w:val="00B514BF"/>
    <w:rsid w:val="00B51525"/>
    <w:rsid w:val="00B51A58"/>
    <w:rsid w:val="00B51CE2"/>
    <w:rsid w:val="00B52098"/>
    <w:rsid w:val="00B521E8"/>
    <w:rsid w:val="00B52207"/>
    <w:rsid w:val="00B522CA"/>
    <w:rsid w:val="00B522FF"/>
    <w:rsid w:val="00B52359"/>
    <w:rsid w:val="00B5245D"/>
    <w:rsid w:val="00B526EF"/>
    <w:rsid w:val="00B528FD"/>
    <w:rsid w:val="00B52B7B"/>
    <w:rsid w:val="00B52FA3"/>
    <w:rsid w:val="00B53184"/>
    <w:rsid w:val="00B534B3"/>
    <w:rsid w:val="00B5478C"/>
    <w:rsid w:val="00B5498A"/>
    <w:rsid w:val="00B54C91"/>
    <w:rsid w:val="00B54D11"/>
    <w:rsid w:val="00B54E0E"/>
    <w:rsid w:val="00B5528D"/>
    <w:rsid w:val="00B5573B"/>
    <w:rsid w:val="00B55D78"/>
    <w:rsid w:val="00B55EE4"/>
    <w:rsid w:val="00B560E8"/>
    <w:rsid w:val="00B562F5"/>
    <w:rsid w:val="00B563A8"/>
    <w:rsid w:val="00B563F2"/>
    <w:rsid w:val="00B564DC"/>
    <w:rsid w:val="00B5685F"/>
    <w:rsid w:val="00B569F0"/>
    <w:rsid w:val="00B56C3C"/>
    <w:rsid w:val="00B57046"/>
    <w:rsid w:val="00B5722B"/>
    <w:rsid w:val="00B57326"/>
    <w:rsid w:val="00B57389"/>
    <w:rsid w:val="00B5747F"/>
    <w:rsid w:val="00B57686"/>
    <w:rsid w:val="00B57753"/>
    <w:rsid w:val="00B57A48"/>
    <w:rsid w:val="00B57AB1"/>
    <w:rsid w:val="00B60070"/>
    <w:rsid w:val="00B60328"/>
    <w:rsid w:val="00B6093C"/>
    <w:rsid w:val="00B60C7D"/>
    <w:rsid w:val="00B60D3A"/>
    <w:rsid w:val="00B60FFA"/>
    <w:rsid w:val="00B61488"/>
    <w:rsid w:val="00B617C8"/>
    <w:rsid w:val="00B6185B"/>
    <w:rsid w:val="00B619FD"/>
    <w:rsid w:val="00B61A4D"/>
    <w:rsid w:val="00B61BE4"/>
    <w:rsid w:val="00B61C8D"/>
    <w:rsid w:val="00B62182"/>
    <w:rsid w:val="00B621FF"/>
    <w:rsid w:val="00B62204"/>
    <w:rsid w:val="00B628E4"/>
    <w:rsid w:val="00B62ACC"/>
    <w:rsid w:val="00B62C64"/>
    <w:rsid w:val="00B62DFD"/>
    <w:rsid w:val="00B63063"/>
    <w:rsid w:val="00B6312E"/>
    <w:rsid w:val="00B631C4"/>
    <w:rsid w:val="00B63631"/>
    <w:rsid w:val="00B639AB"/>
    <w:rsid w:val="00B63E11"/>
    <w:rsid w:val="00B63FF0"/>
    <w:rsid w:val="00B640E3"/>
    <w:rsid w:val="00B64614"/>
    <w:rsid w:val="00B64741"/>
    <w:rsid w:val="00B64C21"/>
    <w:rsid w:val="00B64D24"/>
    <w:rsid w:val="00B64EAF"/>
    <w:rsid w:val="00B64F0D"/>
    <w:rsid w:val="00B64FA6"/>
    <w:rsid w:val="00B6525A"/>
    <w:rsid w:val="00B65296"/>
    <w:rsid w:val="00B6547D"/>
    <w:rsid w:val="00B657D6"/>
    <w:rsid w:val="00B65836"/>
    <w:rsid w:val="00B65A26"/>
    <w:rsid w:val="00B65AAF"/>
    <w:rsid w:val="00B65DAA"/>
    <w:rsid w:val="00B65DC4"/>
    <w:rsid w:val="00B65E12"/>
    <w:rsid w:val="00B668EE"/>
    <w:rsid w:val="00B66B2F"/>
    <w:rsid w:val="00B66D0E"/>
    <w:rsid w:val="00B66DA1"/>
    <w:rsid w:val="00B66F1C"/>
    <w:rsid w:val="00B67290"/>
    <w:rsid w:val="00B6750A"/>
    <w:rsid w:val="00B67AB3"/>
    <w:rsid w:val="00B70246"/>
    <w:rsid w:val="00B70267"/>
    <w:rsid w:val="00B7044C"/>
    <w:rsid w:val="00B707F3"/>
    <w:rsid w:val="00B70ADE"/>
    <w:rsid w:val="00B70BF2"/>
    <w:rsid w:val="00B70F90"/>
    <w:rsid w:val="00B710EE"/>
    <w:rsid w:val="00B71123"/>
    <w:rsid w:val="00B71576"/>
    <w:rsid w:val="00B719BC"/>
    <w:rsid w:val="00B71DB7"/>
    <w:rsid w:val="00B720B6"/>
    <w:rsid w:val="00B720EC"/>
    <w:rsid w:val="00B72DAB"/>
    <w:rsid w:val="00B72F84"/>
    <w:rsid w:val="00B7304C"/>
    <w:rsid w:val="00B739EB"/>
    <w:rsid w:val="00B73AF7"/>
    <w:rsid w:val="00B73CE0"/>
    <w:rsid w:val="00B73D1F"/>
    <w:rsid w:val="00B7459C"/>
    <w:rsid w:val="00B74842"/>
    <w:rsid w:val="00B749BD"/>
    <w:rsid w:val="00B74B7C"/>
    <w:rsid w:val="00B74C42"/>
    <w:rsid w:val="00B74F7F"/>
    <w:rsid w:val="00B75959"/>
    <w:rsid w:val="00B759CB"/>
    <w:rsid w:val="00B75B08"/>
    <w:rsid w:val="00B75DA5"/>
    <w:rsid w:val="00B75F05"/>
    <w:rsid w:val="00B75F51"/>
    <w:rsid w:val="00B764F6"/>
    <w:rsid w:val="00B7663C"/>
    <w:rsid w:val="00B76C13"/>
    <w:rsid w:val="00B76E5D"/>
    <w:rsid w:val="00B7754A"/>
    <w:rsid w:val="00B77588"/>
    <w:rsid w:val="00B77643"/>
    <w:rsid w:val="00B776B7"/>
    <w:rsid w:val="00B779A4"/>
    <w:rsid w:val="00B800B9"/>
    <w:rsid w:val="00B80131"/>
    <w:rsid w:val="00B80195"/>
    <w:rsid w:val="00B8051E"/>
    <w:rsid w:val="00B8074C"/>
    <w:rsid w:val="00B8079B"/>
    <w:rsid w:val="00B809DC"/>
    <w:rsid w:val="00B80E55"/>
    <w:rsid w:val="00B8158A"/>
    <w:rsid w:val="00B81A4A"/>
    <w:rsid w:val="00B81B62"/>
    <w:rsid w:val="00B81E9A"/>
    <w:rsid w:val="00B81EAA"/>
    <w:rsid w:val="00B8223D"/>
    <w:rsid w:val="00B82256"/>
    <w:rsid w:val="00B82259"/>
    <w:rsid w:val="00B825D3"/>
    <w:rsid w:val="00B827C7"/>
    <w:rsid w:val="00B8289B"/>
    <w:rsid w:val="00B828A6"/>
    <w:rsid w:val="00B82ACC"/>
    <w:rsid w:val="00B82DA0"/>
    <w:rsid w:val="00B82DD8"/>
    <w:rsid w:val="00B82E54"/>
    <w:rsid w:val="00B83111"/>
    <w:rsid w:val="00B83165"/>
    <w:rsid w:val="00B833B4"/>
    <w:rsid w:val="00B833E1"/>
    <w:rsid w:val="00B834BC"/>
    <w:rsid w:val="00B8360F"/>
    <w:rsid w:val="00B83BB0"/>
    <w:rsid w:val="00B83C87"/>
    <w:rsid w:val="00B83FF9"/>
    <w:rsid w:val="00B84034"/>
    <w:rsid w:val="00B8405D"/>
    <w:rsid w:val="00B84273"/>
    <w:rsid w:val="00B84400"/>
    <w:rsid w:val="00B84869"/>
    <w:rsid w:val="00B84D5D"/>
    <w:rsid w:val="00B84DB3"/>
    <w:rsid w:val="00B84E32"/>
    <w:rsid w:val="00B84E47"/>
    <w:rsid w:val="00B852B7"/>
    <w:rsid w:val="00B8548B"/>
    <w:rsid w:val="00B85ECA"/>
    <w:rsid w:val="00B86317"/>
    <w:rsid w:val="00B863B1"/>
    <w:rsid w:val="00B8647C"/>
    <w:rsid w:val="00B86607"/>
    <w:rsid w:val="00B86B54"/>
    <w:rsid w:val="00B86D2F"/>
    <w:rsid w:val="00B86E77"/>
    <w:rsid w:val="00B87077"/>
    <w:rsid w:val="00B87859"/>
    <w:rsid w:val="00B8792D"/>
    <w:rsid w:val="00B90434"/>
    <w:rsid w:val="00B90443"/>
    <w:rsid w:val="00B90B1F"/>
    <w:rsid w:val="00B90E29"/>
    <w:rsid w:val="00B90FA9"/>
    <w:rsid w:val="00B91281"/>
    <w:rsid w:val="00B912D5"/>
    <w:rsid w:val="00B918E0"/>
    <w:rsid w:val="00B91ACB"/>
    <w:rsid w:val="00B91B9D"/>
    <w:rsid w:val="00B91D47"/>
    <w:rsid w:val="00B91F0F"/>
    <w:rsid w:val="00B924D8"/>
    <w:rsid w:val="00B927F2"/>
    <w:rsid w:val="00B92B4B"/>
    <w:rsid w:val="00B92D23"/>
    <w:rsid w:val="00B93083"/>
    <w:rsid w:val="00B931CD"/>
    <w:rsid w:val="00B9320C"/>
    <w:rsid w:val="00B93D24"/>
    <w:rsid w:val="00B942B1"/>
    <w:rsid w:val="00B94438"/>
    <w:rsid w:val="00B94535"/>
    <w:rsid w:val="00B946AA"/>
    <w:rsid w:val="00B946E3"/>
    <w:rsid w:val="00B94716"/>
    <w:rsid w:val="00B94B11"/>
    <w:rsid w:val="00B94E4C"/>
    <w:rsid w:val="00B950DF"/>
    <w:rsid w:val="00B95111"/>
    <w:rsid w:val="00B953E2"/>
    <w:rsid w:val="00B954F5"/>
    <w:rsid w:val="00B9553F"/>
    <w:rsid w:val="00B95A06"/>
    <w:rsid w:val="00B95CE4"/>
    <w:rsid w:val="00B962A5"/>
    <w:rsid w:val="00B964D0"/>
    <w:rsid w:val="00B9672F"/>
    <w:rsid w:val="00B9679C"/>
    <w:rsid w:val="00B969E7"/>
    <w:rsid w:val="00B96B1E"/>
    <w:rsid w:val="00B96D72"/>
    <w:rsid w:val="00B9711B"/>
    <w:rsid w:val="00B975C4"/>
    <w:rsid w:val="00B97997"/>
    <w:rsid w:val="00B97A46"/>
    <w:rsid w:val="00B97A88"/>
    <w:rsid w:val="00B97C6F"/>
    <w:rsid w:val="00B97D63"/>
    <w:rsid w:val="00BA0289"/>
    <w:rsid w:val="00BA07AD"/>
    <w:rsid w:val="00BA0F93"/>
    <w:rsid w:val="00BA0FBE"/>
    <w:rsid w:val="00BA0FBF"/>
    <w:rsid w:val="00BA10BC"/>
    <w:rsid w:val="00BA10C9"/>
    <w:rsid w:val="00BA116C"/>
    <w:rsid w:val="00BA11E0"/>
    <w:rsid w:val="00BA1350"/>
    <w:rsid w:val="00BA13BC"/>
    <w:rsid w:val="00BA146D"/>
    <w:rsid w:val="00BA1562"/>
    <w:rsid w:val="00BA169C"/>
    <w:rsid w:val="00BA1CBE"/>
    <w:rsid w:val="00BA1F24"/>
    <w:rsid w:val="00BA2129"/>
    <w:rsid w:val="00BA2596"/>
    <w:rsid w:val="00BA297C"/>
    <w:rsid w:val="00BA2C26"/>
    <w:rsid w:val="00BA2D2D"/>
    <w:rsid w:val="00BA301E"/>
    <w:rsid w:val="00BA3988"/>
    <w:rsid w:val="00BA3CB8"/>
    <w:rsid w:val="00BA3F55"/>
    <w:rsid w:val="00BA42C8"/>
    <w:rsid w:val="00BA45F5"/>
    <w:rsid w:val="00BA47EB"/>
    <w:rsid w:val="00BA484E"/>
    <w:rsid w:val="00BA48F5"/>
    <w:rsid w:val="00BA4E17"/>
    <w:rsid w:val="00BA5151"/>
    <w:rsid w:val="00BA554D"/>
    <w:rsid w:val="00BA5764"/>
    <w:rsid w:val="00BA62D1"/>
    <w:rsid w:val="00BA65D3"/>
    <w:rsid w:val="00BA69C6"/>
    <w:rsid w:val="00BA6A97"/>
    <w:rsid w:val="00BA6F99"/>
    <w:rsid w:val="00BA7050"/>
    <w:rsid w:val="00BA71BD"/>
    <w:rsid w:val="00BA7623"/>
    <w:rsid w:val="00BA795F"/>
    <w:rsid w:val="00BA7DFA"/>
    <w:rsid w:val="00BA7EEE"/>
    <w:rsid w:val="00BA7F3B"/>
    <w:rsid w:val="00BB02F2"/>
    <w:rsid w:val="00BB0652"/>
    <w:rsid w:val="00BB0CC8"/>
    <w:rsid w:val="00BB0FB2"/>
    <w:rsid w:val="00BB10E4"/>
    <w:rsid w:val="00BB1557"/>
    <w:rsid w:val="00BB165F"/>
    <w:rsid w:val="00BB19EA"/>
    <w:rsid w:val="00BB1A9F"/>
    <w:rsid w:val="00BB1C4A"/>
    <w:rsid w:val="00BB1FA7"/>
    <w:rsid w:val="00BB266E"/>
    <w:rsid w:val="00BB2961"/>
    <w:rsid w:val="00BB2AB3"/>
    <w:rsid w:val="00BB2D75"/>
    <w:rsid w:val="00BB30FB"/>
    <w:rsid w:val="00BB353B"/>
    <w:rsid w:val="00BB36EC"/>
    <w:rsid w:val="00BB38C5"/>
    <w:rsid w:val="00BB409D"/>
    <w:rsid w:val="00BB48D3"/>
    <w:rsid w:val="00BB5131"/>
    <w:rsid w:val="00BB51AE"/>
    <w:rsid w:val="00BB52AA"/>
    <w:rsid w:val="00BB55AA"/>
    <w:rsid w:val="00BB55E8"/>
    <w:rsid w:val="00BB5600"/>
    <w:rsid w:val="00BB56F7"/>
    <w:rsid w:val="00BB5AF5"/>
    <w:rsid w:val="00BB5CA2"/>
    <w:rsid w:val="00BB62B9"/>
    <w:rsid w:val="00BB64C5"/>
    <w:rsid w:val="00BB6874"/>
    <w:rsid w:val="00BB68E5"/>
    <w:rsid w:val="00BB69D2"/>
    <w:rsid w:val="00BB6A1E"/>
    <w:rsid w:val="00BB6F15"/>
    <w:rsid w:val="00BB7061"/>
    <w:rsid w:val="00BB73F6"/>
    <w:rsid w:val="00BB77C6"/>
    <w:rsid w:val="00BB78DA"/>
    <w:rsid w:val="00BC01F2"/>
    <w:rsid w:val="00BC0DCE"/>
    <w:rsid w:val="00BC11AE"/>
    <w:rsid w:val="00BC127C"/>
    <w:rsid w:val="00BC17E7"/>
    <w:rsid w:val="00BC189A"/>
    <w:rsid w:val="00BC1A3D"/>
    <w:rsid w:val="00BC1B46"/>
    <w:rsid w:val="00BC290B"/>
    <w:rsid w:val="00BC2932"/>
    <w:rsid w:val="00BC2A5E"/>
    <w:rsid w:val="00BC2C6E"/>
    <w:rsid w:val="00BC2D92"/>
    <w:rsid w:val="00BC351A"/>
    <w:rsid w:val="00BC3DC2"/>
    <w:rsid w:val="00BC3F96"/>
    <w:rsid w:val="00BC43BA"/>
    <w:rsid w:val="00BC50B0"/>
    <w:rsid w:val="00BC50EF"/>
    <w:rsid w:val="00BC51EA"/>
    <w:rsid w:val="00BC595C"/>
    <w:rsid w:val="00BC5990"/>
    <w:rsid w:val="00BC5D4A"/>
    <w:rsid w:val="00BC5D4B"/>
    <w:rsid w:val="00BC5E44"/>
    <w:rsid w:val="00BC5ECB"/>
    <w:rsid w:val="00BC6606"/>
    <w:rsid w:val="00BC67F1"/>
    <w:rsid w:val="00BC6AD8"/>
    <w:rsid w:val="00BC6FD3"/>
    <w:rsid w:val="00BC747E"/>
    <w:rsid w:val="00BC79F3"/>
    <w:rsid w:val="00BC7A5B"/>
    <w:rsid w:val="00BC7C1B"/>
    <w:rsid w:val="00BD040F"/>
    <w:rsid w:val="00BD04EB"/>
    <w:rsid w:val="00BD0D8F"/>
    <w:rsid w:val="00BD0EDE"/>
    <w:rsid w:val="00BD1098"/>
    <w:rsid w:val="00BD13CF"/>
    <w:rsid w:val="00BD1704"/>
    <w:rsid w:val="00BD190D"/>
    <w:rsid w:val="00BD1949"/>
    <w:rsid w:val="00BD1C4C"/>
    <w:rsid w:val="00BD1F54"/>
    <w:rsid w:val="00BD2742"/>
    <w:rsid w:val="00BD2C59"/>
    <w:rsid w:val="00BD303D"/>
    <w:rsid w:val="00BD30C6"/>
    <w:rsid w:val="00BD343D"/>
    <w:rsid w:val="00BD400E"/>
    <w:rsid w:val="00BD446B"/>
    <w:rsid w:val="00BD46E5"/>
    <w:rsid w:val="00BD47D7"/>
    <w:rsid w:val="00BD4BB0"/>
    <w:rsid w:val="00BD4EB0"/>
    <w:rsid w:val="00BD521B"/>
    <w:rsid w:val="00BD5338"/>
    <w:rsid w:val="00BD568B"/>
    <w:rsid w:val="00BD5DA8"/>
    <w:rsid w:val="00BD5DFC"/>
    <w:rsid w:val="00BD64DC"/>
    <w:rsid w:val="00BD6B98"/>
    <w:rsid w:val="00BD7310"/>
    <w:rsid w:val="00BD7562"/>
    <w:rsid w:val="00BD770C"/>
    <w:rsid w:val="00BD78E5"/>
    <w:rsid w:val="00BD7904"/>
    <w:rsid w:val="00BD7A7C"/>
    <w:rsid w:val="00BD7B8E"/>
    <w:rsid w:val="00BD7EB1"/>
    <w:rsid w:val="00BD7F20"/>
    <w:rsid w:val="00BE019A"/>
    <w:rsid w:val="00BE0277"/>
    <w:rsid w:val="00BE037C"/>
    <w:rsid w:val="00BE0F1D"/>
    <w:rsid w:val="00BE16D2"/>
    <w:rsid w:val="00BE1865"/>
    <w:rsid w:val="00BE1C2E"/>
    <w:rsid w:val="00BE1E7A"/>
    <w:rsid w:val="00BE1F47"/>
    <w:rsid w:val="00BE1FBC"/>
    <w:rsid w:val="00BE2117"/>
    <w:rsid w:val="00BE23A0"/>
    <w:rsid w:val="00BE24B7"/>
    <w:rsid w:val="00BE2542"/>
    <w:rsid w:val="00BE2599"/>
    <w:rsid w:val="00BE2DEE"/>
    <w:rsid w:val="00BE2E5F"/>
    <w:rsid w:val="00BE2F9E"/>
    <w:rsid w:val="00BE35FC"/>
    <w:rsid w:val="00BE382D"/>
    <w:rsid w:val="00BE3A4D"/>
    <w:rsid w:val="00BE3D55"/>
    <w:rsid w:val="00BE41C2"/>
    <w:rsid w:val="00BE4282"/>
    <w:rsid w:val="00BE428B"/>
    <w:rsid w:val="00BE4408"/>
    <w:rsid w:val="00BE4540"/>
    <w:rsid w:val="00BE4D34"/>
    <w:rsid w:val="00BE4D5B"/>
    <w:rsid w:val="00BE5C42"/>
    <w:rsid w:val="00BE6373"/>
    <w:rsid w:val="00BE64B0"/>
    <w:rsid w:val="00BE6A96"/>
    <w:rsid w:val="00BE6AA3"/>
    <w:rsid w:val="00BE6B80"/>
    <w:rsid w:val="00BE6D1F"/>
    <w:rsid w:val="00BE7131"/>
    <w:rsid w:val="00BE713E"/>
    <w:rsid w:val="00BE775E"/>
    <w:rsid w:val="00BE7922"/>
    <w:rsid w:val="00BF00E7"/>
    <w:rsid w:val="00BF0EF2"/>
    <w:rsid w:val="00BF104A"/>
    <w:rsid w:val="00BF114A"/>
    <w:rsid w:val="00BF11A0"/>
    <w:rsid w:val="00BF1391"/>
    <w:rsid w:val="00BF1507"/>
    <w:rsid w:val="00BF16CD"/>
    <w:rsid w:val="00BF1730"/>
    <w:rsid w:val="00BF1F13"/>
    <w:rsid w:val="00BF2062"/>
    <w:rsid w:val="00BF2DD6"/>
    <w:rsid w:val="00BF2E3B"/>
    <w:rsid w:val="00BF2EDB"/>
    <w:rsid w:val="00BF2F40"/>
    <w:rsid w:val="00BF34AB"/>
    <w:rsid w:val="00BF36B3"/>
    <w:rsid w:val="00BF386C"/>
    <w:rsid w:val="00BF387A"/>
    <w:rsid w:val="00BF3BCA"/>
    <w:rsid w:val="00BF405B"/>
    <w:rsid w:val="00BF41EF"/>
    <w:rsid w:val="00BF455B"/>
    <w:rsid w:val="00BF4FCD"/>
    <w:rsid w:val="00BF50D4"/>
    <w:rsid w:val="00BF54A2"/>
    <w:rsid w:val="00BF552A"/>
    <w:rsid w:val="00BF55EF"/>
    <w:rsid w:val="00BF5D16"/>
    <w:rsid w:val="00BF65E3"/>
    <w:rsid w:val="00BF663B"/>
    <w:rsid w:val="00BF68C8"/>
    <w:rsid w:val="00BF73FF"/>
    <w:rsid w:val="00BF7983"/>
    <w:rsid w:val="00BF7DFC"/>
    <w:rsid w:val="00C00174"/>
    <w:rsid w:val="00C00281"/>
    <w:rsid w:val="00C00695"/>
    <w:rsid w:val="00C006FD"/>
    <w:rsid w:val="00C00715"/>
    <w:rsid w:val="00C00A6E"/>
    <w:rsid w:val="00C01021"/>
    <w:rsid w:val="00C010E1"/>
    <w:rsid w:val="00C0116B"/>
    <w:rsid w:val="00C016A3"/>
    <w:rsid w:val="00C017A8"/>
    <w:rsid w:val="00C01A64"/>
    <w:rsid w:val="00C01AFD"/>
    <w:rsid w:val="00C01E68"/>
    <w:rsid w:val="00C01E6F"/>
    <w:rsid w:val="00C0209A"/>
    <w:rsid w:val="00C023C3"/>
    <w:rsid w:val="00C02B48"/>
    <w:rsid w:val="00C03214"/>
    <w:rsid w:val="00C0335C"/>
    <w:rsid w:val="00C0349F"/>
    <w:rsid w:val="00C03662"/>
    <w:rsid w:val="00C039A0"/>
    <w:rsid w:val="00C03A33"/>
    <w:rsid w:val="00C03C59"/>
    <w:rsid w:val="00C03F0C"/>
    <w:rsid w:val="00C04060"/>
    <w:rsid w:val="00C040EB"/>
    <w:rsid w:val="00C0419A"/>
    <w:rsid w:val="00C043B1"/>
    <w:rsid w:val="00C043B3"/>
    <w:rsid w:val="00C044EC"/>
    <w:rsid w:val="00C04F2D"/>
    <w:rsid w:val="00C05581"/>
    <w:rsid w:val="00C05E12"/>
    <w:rsid w:val="00C06B18"/>
    <w:rsid w:val="00C070F5"/>
    <w:rsid w:val="00C072E8"/>
    <w:rsid w:val="00C07308"/>
    <w:rsid w:val="00C07317"/>
    <w:rsid w:val="00C073C0"/>
    <w:rsid w:val="00C0771C"/>
    <w:rsid w:val="00C07ADC"/>
    <w:rsid w:val="00C10073"/>
    <w:rsid w:val="00C10427"/>
    <w:rsid w:val="00C1068A"/>
    <w:rsid w:val="00C107AE"/>
    <w:rsid w:val="00C1097C"/>
    <w:rsid w:val="00C10A49"/>
    <w:rsid w:val="00C10EC6"/>
    <w:rsid w:val="00C1157E"/>
    <w:rsid w:val="00C1186B"/>
    <w:rsid w:val="00C11924"/>
    <w:rsid w:val="00C11B98"/>
    <w:rsid w:val="00C11DA2"/>
    <w:rsid w:val="00C11F71"/>
    <w:rsid w:val="00C11FC8"/>
    <w:rsid w:val="00C12074"/>
    <w:rsid w:val="00C121B5"/>
    <w:rsid w:val="00C125EA"/>
    <w:rsid w:val="00C1274E"/>
    <w:rsid w:val="00C131EF"/>
    <w:rsid w:val="00C136E6"/>
    <w:rsid w:val="00C13AD4"/>
    <w:rsid w:val="00C13ADF"/>
    <w:rsid w:val="00C13DA3"/>
    <w:rsid w:val="00C13EEE"/>
    <w:rsid w:val="00C14016"/>
    <w:rsid w:val="00C144B7"/>
    <w:rsid w:val="00C149BC"/>
    <w:rsid w:val="00C14A2A"/>
    <w:rsid w:val="00C14C75"/>
    <w:rsid w:val="00C14C95"/>
    <w:rsid w:val="00C14E63"/>
    <w:rsid w:val="00C15831"/>
    <w:rsid w:val="00C159CB"/>
    <w:rsid w:val="00C15BEC"/>
    <w:rsid w:val="00C15D6D"/>
    <w:rsid w:val="00C1609B"/>
    <w:rsid w:val="00C16846"/>
    <w:rsid w:val="00C173C5"/>
    <w:rsid w:val="00C1744A"/>
    <w:rsid w:val="00C17656"/>
    <w:rsid w:val="00C17B39"/>
    <w:rsid w:val="00C17B40"/>
    <w:rsid w:val="00C17DBB"/>
    <w:rsid w:val="00C17F74"/>
    <w:rsid w:val="00C2039F"/>
    <w:rsid w:val="00C20745"/>
    <w:rsid w:val="00C207C3"/>
    <w:rsid w:val="00C20828"/>
    <w:rsid w:val="00C20866"/>
    <w:rsid w:val="00C209F8"/>
    <w:rsid w:val="00C20AA9"/>
    <w:rsid w:val="00C20EC2"/>
    <w:rsid w:val="00C20EE2"/>
    <w:rsid w:val="00C20F8E"/>
    <w:rsid w:val="00C21906"/>
    <w:rsid w:val="00C21A7B"/>
    <w:rsid w:val="00C21A86"/>
    <w:rsid w:val="00C21C81"/>
    <w:rsid w:val="00C21DAD"/>
    <w:rsid w:val="00C221A0"/>
    <w:rsid w:val="00C222E0"/>
    <w:rsid w:val="00C2269F"/>
    <w:rsid w:val="00C2274A"/>
    <w:rsid w:val="00C22BD6"/>
    <w:rsid w:val="00C238D1"/>
    <w:rsid w:val="00C23A69"/>
    <w:rsid w:val="00C23A81"/>
    <w:rsid w:val="00C23D83"/>
    <w:rsid w:val="00C240AB"/>
    <w:rsid w:val="00C241FE"/>
    <w:rsid w:val="00C24A6E"/>
    <w:rsid w:val="00C24A71"/>
    <w:rsid w:val="00C24B30"/>
    <w:rsid w:val="00C24E33"/>
    <w:rsid w:val="00C2507D"/>
    <w:rsid w:val="00C2523F"/>
    <w:rsid w:val="00C252C3"/>
    <w:rsid w:val="00C25415"/>
    <w:rsid w:val="00C258B1"/>
    <w:rsid w:val="00C25C46"/>
    <w:rsid w:val="00C26086"/>
    <w:rsid w:val="00C26090"/>
    <w:rsid w:val="00C262DC"/>
    <w:rsid w:val="00C269E9"/>
    <w:rsid w:val="00C26B29"/>
    <w:rsid w:val="00C26BC0"/>
    <w:rsid w:val="00C26F62"/>
    <w:rsid w:val="00C272CE"/>
    <w:rsid w:val="00C27895"/>
    <w:rsid w:val="00C2789E"/>
    <w:rsid w:val="00C279DA"/>
    <w:rsid w:val="00C27B64"/>
    <w:rsid w:val="00C301F7"/>
    <w:rsid w:val="00C30331"/>
    <w:rsid w:val="00C30524"/>
    <w:rsid w:val="00C30C64"/>
    <w:rsid w:val="00C30CFA"/>
    <w:rsid w:val="00C30D49"/>
    <w:rsid w:val="00C30E32"/>
    <w:rsid w:val="00C30E9D"/>
    <w:rsid w:val="00C30F84"/>
    <w:rsid w:val="00C31119"/>
    <w:rsid w:val="00C31CC6"/>
    <w:rsid w:val="00C31D63"/>
    <w:rsid w:val="00C31E23"/>
    <w:rsid w:val="00C31F43"/>
    <w:rsid w:val="00C326F9"/>
    <w:rsid w:val="00C327DA"/>
    <w:rsid w:val="00C32877"/>
    <w:rsid w:val="00C32B0A"/>
    <w:rsid w:val="00C330AC"/>
    <w:rsid w:val="00C3342E"/>
    <w:rsid w:val="00C33E4F"/>
    <w:rsid w:val="00C33F82"/>
    <w:rsid w:val="00C34229"/>
    <w:rsid w:val="00C34739"/>
    <w:rsid w:val="00C34E18"/>
    <w:rsid w:val="00C35353"/>
    <w:rsid w:val="00C355FD"/>
    <w:rsid w:val="00C35AAC"/>
    <w:rsid w:val="00C35C73"/>
    <w:rsid w:val="00C35CDE"/>
    <w:rsid w:val="00C364B4"/>
    <w:rsid w:val="00C3653E"/>
    <w:rsid w:val="00C36551"/>
    <w:rsid w:val="00C36994"/>
    <w:rsid w:val="00C36997"/>
    <w:rsid w:val="00C36AA0"/>
    <w:rsid w:val="00C36AD8"/>
    <w:rsid w:val="00C36FFC"/>
    <w:rsid w:val="00C3704F"/>
    <w:rsid w:val="00C371F8"/>
    <w:rsid w:val="00C37788"/>
    <w:rsid w:val="00C379BD"/>
    <w:rsid w:val="00C37A29"/>
    <w:rsid w:val="00C37A7E"/>
    <w:rsid w:val="00C37D3B"/>
    <w:rsid w:val="00C40547"/>
    <w:rsid w:val="00C40F06"/>
    <w:rsid w:val="00C40F96"/>
    <w:rsid w:val="00C40FB8"/>
    <w:rsid w:val="00C4174E"/>
    <w:rsid w:val="00C418C1"/>
    <w:rsid w:val="00C419AF"/>
    <w:rsid w:val="00C41ABC"/>
    <w:rsid w:val="00C41ACC"/>
    <w:rsid w:val="00C41BB7"/>
    <w:rsid w:val="00C421D3"/>
    <w:rsid w:val="00C426E9"/>
    <w:rsid w:val="00C4289F"/>
    <w:rsid w:val="00C429E5"/>
    <w:rsid w:val="00C43330"/>
    <w:rsid w:val="00C43516"/>
    <w:rsid w:val="00C436D4"/>
    <w:rsid w:val="00C43B1B"/>
    <w:rsid w:val="00C444FA"/>
    <w:rsid w:val="00C445F7"/>
    <w:rsid w:val="00C446D4"/>
    <w:rsid w:val="00C45163"/>
    <w:rsid w:val="00C452BE"/>
    <w:rsid w:val="00C466DC"/>
    <w:rsid w:val="00C46795"/>
    <w:rsid w:val="00C46C21"/>
    <w:rsid w:val="00C46D1B"/>
    <w:rsid w:val="00C477AB"/>
    <w:rsid w:val="00C47EB4"/>
    <w:rsid w:val="00C47FD8"/>
    <w:rsid w:val="00C5003F"/>
    <w:rsid w:val="00C500C0"/>
    <w:rsid w:val="00C501E3"/>
    <w:rsid w:val="00C50588"/>
    <w:rsid w:val="00C50830"/>
    <w:rsid w:val="00C50A1C"/>
    <w:rsid w:val="00C50EF6"/>
    <w:rsid w:val="00C50F00"/>
    <w:rsid w:val="00C51108"/>
    <w:rsid w:val="00C51458"/>
    <w:rsid w:val="00C5151F"/>
    <w:rsid w:val="00C51692"/>
    <w:rsid w:val="00C51B13"/>
    <w:rsid w:val="00C51DD8"/>
    <w:rsid w:val="00C51DE7"/>
    <w:rsid w:val="00C51E99"/>
    <w:rsid w:val="00C51F09"/>
    <w:rsid w:val="00C5215F"/>
    <w:rsid w:val="00C52462"/>
    <w:rsid w:val="00C52791"/>
    <w:rsid w:val="00C52874"/>
    <w:rsid w:val="00C52B01"/>
    <w:rsid w:val="00C53010"/>
    <w:rsid w:val="00C530F7"/>
    <w:rsid w:val="00C5373D"/>
    <w:rsid w:val="00C53A9A"/>
    <w:rsid w:val="00C53B03"/>
    <w:rsid w:val="00C53E3B"/>
    <w:rsid w:val="00C54BBA"/>
    <w:rsid w:val="00C54BE4"/>
    <w:rsid w:val="00C550FB"/>
    <w:rsid w:val="00C5593E"/>
    <w:rsid w:val="00C55A44"/>
    <w:rsid w:val="00C55B16"/>
    <w:rsid w:val="00C5620A"/>
    <w:rsid w:val="00C56368"/>
    <w:rsid w:val="00C56625"/>
    <w:rsid w:val="00C5682D"/>
    <w:rsid w:val="00C57060"/>
    <w:rsid w:val="00C573A1"/>
    <w:rsid w:val="00C576F6"/>
    <w:rsid w:val="00C57A82"/>
    <w:rsid w:val="00C601B7"/>
    <w:rsid w:val="00C603A7"/>
    <w:rsid w:val="00C603F9"/>
    <w:rsid w:val="00C6052E"/>
    <w:rsid w:val="00C60853"/>
    <w:rsid w:val="00C60932"/>
    <w:rsid w:val="00C60B11"/>
    <w:rsid w:val="00C60F78"/>
    <w:rsid w:val="00C61046"/>
    <w:rsid w:val="00C61107"/>
    <w:rsid w:val="00C61E5A"/>
    <w:rsid w:val="00C624B9"/>
    <w:rsid w:val="00C625CC"/>
    <w:rsid w:val="00C6265E"/>
    <w:rsid w:val="00C628F4"/>
    <w:rsid w:val="00C62B46"/>
    <w:rsid w:val="00C632EB"/>
    <w:rsid w:val="00C635BC"/>
    <w:rsid w:val="00C637B7"/>
    <w:rsid w:val="00C639E2"/>
    <w:rsid w:val="00C639FF"/>
    <w:rsid w:val="00C63E1F"/>
    <w:rsid w:val="00C64B5C"/>
    <w:rsid w:val="00C6504E"/>
    <w:rsid w:val="00C65BC9"/>
    <w:rsid w:val="00C6661E"/>
    <w:rsid w:val="00C66681"/>
    <w:rsid w:val="00C669C1"/>
    <w:rsid w:val="00C66AF6"/>
    <w:rsid w:val="00C66EC8"/>
    <w:rsid w:val="00C6714F"/>
    <w:rsid w:val="00C671E4"/>
    <w:rsid w:val="00C67864"/>
    <w:rsid w:val="00C67E0E"/>
    <w:rsid w:val="00C700D7"/>
    <w:rsid w:val="00C70D80"/>
    <w:rsid w:val="00C70EFC"/>
    <w:rsid w:val="00C71661"/>
    <w:rsid w:val="00C71688"/>
    <w:rsid w:val="00C71733"/>
    <w:rsid w:val="00C717C6"/>
    <w:rsid w:val="00C71E97"/>
    <w:rsid w:val="00C72469"/>
    <w:rsid w:val="00C727C0"/>
    <w:rsid w:val="00C72CC2"/>
    <w:rsid w:val="00C72EBF"/>
    <w:rsid w:val="00C73049"/>
    <w:rsid w:val="00C7311D"/>
    <w:rsid w:val="00C731C6"/>
    <w:rsid w:val="00C73250"/>
    <w:rsid w:val="00C735F5"/>
    <w:rsid w:val="00C73713"/>
    <w:rsid w:val="00C73E7F"/>
    <w:rsid w:val="00C73FE1"/>
    <w:rsid w:val="00C7410A"/>
    <w:rsid w:val="00C742EF"/>
    <w:rsid w:val="00C747BC"/>
    <w:rsid w:val="00C748F4"/>
    <w:rsid w:val="00C74B46"/>
    <w:rsid w:val="00C74D6B"/>
    <w:rsid w:val="00C74E3A"/>
    <w:rsid w:val="00C74E42"/>
    <w:rsid w:val="00C74F94"/>
    <w:rsid w:val="00C75827"/>
    <w:rsid w:val="00C75C56"/>
    <w:rsid w:val="00C76786"/>
    <w:rsid w:val="00C76A49"/>
    <w:rsid w:val="00C76BF7"/>
    <w:rsid w:val="00C76C17"/>
    <w:rsid w:val="00C76D83"/>
    <w:rsid w:val="00C7722B"/>
    <w:rsid w:val="00C773F6"/>
    <w:rsid w:val="00C777DA"/>
    <w:rsid w:val="00C7783D"/>
    <w:rsid w:val="00C77BA4"/>
    <w:rsid w:val="00C77C5B"/>
    <w:rsid w:val="00C77FE0"/>
    <w:rsid w:val="00C80173"/>
    <w:rsid w:val="00C80445"/>
    <w:rsid w:val="00C805FB"/>
    <w:rsid w:val="00C80947"/>
    <w:rsid w:val="00C80D00"/>
    <w:rsid w:val="00C80D5A"/>
    <w:rsid w:val="00C80E94"/>
    <w:rsid w:val="00C80FB5"/>
    <w:rsid w:val="00C81199"/>
    <w:rsid w:val="00C81350"/>
    <w:rsid w:val="00C814E4"/>
    <w:rsid w:val="00C81603"/>
    <w:rsid w:val="00C81858"/>
    <w:rsid w:val="00C81B02"/>
    <w:rsid w:val="00C81F0C"/>
    <w:rsid w:val="00C81F97"/>
    <w:rsid w:val="00C8272D"/>
    <w:rsid w:val="00C8290B"/>
    <w:rsid w:val="00C82AD8"/>
    <w:rsid w:val="00C8316E"/>
    <w:rsid w:val="00C838FB"/>
    <w:rsid w:val="00C83C47"/>
    <w:rsid w:val="00C83DB8"/>
    <w:rsid w:val="00C840BC"/>
    <w:rsid w:val="00C841FC"/>
    <w:rsid w:val="00C84488"/>
    <w:rsid w:val="00C84B0B"/>
    <w:rsid w:val="00C84DFC"/>
    <w:rsid w:val="00C84F03"/>
    <w:rsid w:val="00C850F6"/>
    <w:rsid w:val="00C85A72"/>
    <w:rsid w:val="00C85AAA"/>
    <w:rsid w:val="00C85D4F"/>
    <w:rsid w:val="00C85F60"/>
    <w:rsid w:val="00C860BD"/>
    <w:rsid w:val="00C86400"/>
    <w:rsid w:val="00C866CA"/>
    <w:rsid w:val="00C87364"/>
    <w:rsid w:val="00C876DE"/>
    <w:rsid w:val="00C87862"/>
    <w:rsid w:val="00C87CC8"/>
    <w:rsid w:val="00C90149"/>
    <w:rsid w:val="00C9024E"/>
    <w:rsid w:val="00C90293"/>
    <w:rsid w:val="00C905D4"/>
    <w:rsid w:val="00C90BCC"/>
    <w:rsid w:val="00C91463"/>
    <w:rsid w:val="00C914EC"/>
    <w:rsid w:val="00C91723"/>
    <w:rsid w:val="00C923F6"/>
    <w:rsid w:val="00C92478"/>
    <w:rsid w:val="00C92731"/>
    <w:rsid w:val="00C92D59"/>
    <w:rsid w:val="00C93083"/>
    <w:rsid w:val="00C932F3"/>
    <w:rsid w:val="00C9373A"/>
    <w:rsid w:val="00C93A0C"/>
    <w:rsid w:val="00C9411A"/>
    <w:rsid w:val="00C94289"/>
    <w:rsid w:val="00C94377"/>
    <w:rsid w:val="00C9463E"/>
    <w:rsid w:val="00C94811"/>
    <w:rsid w:val="00C952F9"/>
    <w:rsid w:val="00C954EC"/>
    <w:rsid w:val="00C95525"/>
    <w:rsid w:val="00C95797"/>
    <w:rsid w:val="00C958AF"/>
    <w:rsid w:val="00C95B0B"/>
    <w:rsid w:val="00C95D33"/>
    <w:rsid w:val="00C95DD0"/>
    <w:rsid w:val="00C95E38"/>
    <w:rsid w:val="00C96274"/>
    <w:rsid w:val="00C963CE"/>
    <w:rsid w:val="00C96AA2"/>
    <w:rsid w:val="00C96BF2"/>
    <w:rsid w:val="00C96EA2"/>
    <w:rsid w:val="00C96EB7"/>
    <w:rsid w:val="00C96FAE"/>
    <w:rsid w:val="00C970CE"/>
    <w:rsid w:val="00C97938"/>
    <w:rsid w:val="00C979D3"/>
    <w:rsid w:val="00C97A28"/>
    <w:rsid w:val="00C97A9B"/>
    <w:rsid w:val="00C97A9E"/>
    <w:rsid w:val="00C97C1D"/>
    <w:rsid w:val="00C97F43"/>
    <w:rsid w:val="00CA00B5"/>
    <w:rsid w:val="00CA0248"/>
    <w:rsid w:val="00CA061A"/>
    <w:rsid w:val="00CA0989"/>
    <w:rsid w:val="00CA0A33"/>
    <w:rsid w:val="00CA0B3F"/>
    <w:rsid w:val="00CA0C53"/>
    <w:rsid w:val="00CA0E06"/>
    <w:rsid w:val="00CA0F59"/>
    <w:rsid w:val="00CA1146"/>
    <w:rsid w:val="00CA1449"/>
    <w:rsid w:val="00CA17F5"/>
    <w:rsid w:val="00CA2CC7"/>
    <w:rsid w:val="00CA3083"/>
    <w:rsid w:val="00CA3207"/>
    <w:rsid w:val="00CA36E6"/>
    <w:rsid w:val="00CA3E9D"/>
    <w:rsid w:val="00CA3F43"/>
    <w:rsid w:val="00CA43CA"/>
    <w:rsid w:val="00CA45D4"/>
    <w:rsid w:val="00CA45DD"/>
    <w:rsid w:val="00CA4741"/>
    <w:rsid w:val="00CA4757"/>
    <w:rsid w:val="00CA4922"/>
    <w:rsid w:val="00CA49D5"/>
    <w:rsid w:val="00CA4ED7"/>
    <w:rsid w:val="00CA4F3D"/>
    <w:rsid w:val="00CA519C"/>
    <w:rsid w:val="00CA5210"/>
    <w:rsid w:val="00CA541D"/>
    <w:rsid w:val="00CA5C79"/>
    <w:rsid w:val="00CA5FC3"/>
    <w:rsid w:val="00CA649F"/>
    <w:rsid w:val="00CA659A"/>
    <w:rsid w:val="00CA6671"/>
    <w:rsid w:val="00CA6686"/>
    <w:rsid w:val="00CA69CB"/>
    <w:rsid w:val="00CA6B98"/>
    <w:rsid w:val="00CA71EB"/>
    <w:rsid w:val="00CA723E"/>
    <w:rsid w:val="00CA72B8"/>
    <w:rsid w:val="00CA7AA0"/>
    <w:rsid w:val="00CB0235"/>
    <w:rsid w:val="00CB04BD"/>
    <w:rsid w:val="00CB06F1"/>
    <w:rsid w:val="00CB0A76"/>
    <w:rsid w:val="00CB0E86"/>
    <w:rsid w:val="00CB1051"/>
    <w:rsid w:val="00CB1145"/>
    <w:rsid w:val="00CB144B"/>
    <w:rsid w:val="00CB14BB"/>
    <w:rsid w:val="00CB155D"/>
    <w:rsid w:val="00CB1E9A"/>
    <w:rsid w:val="00CB1F00"/>
    <w:rsid w:val="00CB2576"/>
    <w:rsid w:val="00CB259D"/>
    <w:rsid w:val="00CB2634"/>
    <w:rsid w:val="00CB2FD1"/>
    <w:rsid w:val="00CB318A"/>
    <w:rsid w:val="00CB32D4"/>
    <w:rsid w:val="00CB333A"/>
    <w:rsid w:val="00CB355C"/>
    <w:rsid w:val="00CB385A"/>
    <w:rsid w:val="00CB3B0A"/>
    <w:rsid w:val="00CB3C3F"/>
    <w:rsid w:val="00CB46AD"/>
    <w:rsid w:val="00CB47A0"/>
    <w:rsid w:val="00CB48B3"/>
    <w:rsid w:val="00CB4A36"/>
    <w:rsid w:val="00CB4BF6"/>
    <w:rsid w:val="00CB507E"/>
    <w:rsid w:val="00CB5098"/>
    <w:rsid w:val="00CB540A"/>
    <w:rsid w:val="00CB5718"/>
    <w:rsid w:val="00CB5940"/>
    <w:rsid w:val="00CB5A0C"/>
    <w:rsid w:val="00CB5A38"/>
    <w:rsid w:val="00CB5ACF"/>
    <w:rsid w:val="00CB5B0E"/>
    <w:rsid w:val="00CB5CD3"/>
    <w:rsid w:val="00CB5D0A"/>
    <w:rsid w:val="00CB5D42"/>
    <w:rsid w:val="00CB5DB0"/>
    <w:rsid w:val="00CB6224"/>
    <w:rsid w:val="00CB6295"/>
    <w:rsid w:val="00CB6921"/>
    <w:rsid w:val="00CB69F8"/>
    <w:rsid w:val="00CB6AFB"/>
    <w:rsid w:val="00CB6B90"/>
    <w:rsid w:val="00CB79AA"/>
    <w:rsid w:val="00CB7B70"/>
    <w:rsid w:val="00CB7C2B"/>
    <w:rsid w:val="00CB7ED1"/>
    <w:rsid w:val="00CC00FC"/>
    <w:rsid w:val="00CC0237"/>
    <w:rsid w:val="00CC0720"/>
    <w:rsid w:val="00CC0850"/>
    <w:rsid w:val="00CC11A6"/>
    <w:rsid w:val="00CC1400"/>
    <w:rsid w:val="00CC1A94"/>
    <w:rsid w:val="00CC1C86"/>
    <w:rsid w:val="00CC1D81"/>
    <w:rsid w:val="00CC21C5"/>
    <w:rsid w:val="00CC23EF"/>
    <w:rsid w:val="00CC2BA8"/>
    <w:rsid w:val="00CC2D1A"/>
    <w:rsid w:val="00CC2E32"/>
    <w:rsid w:val="00CC2E8F"/>
    <w:rsid w:val="00CC3328"/>
    <w:rsid w:val="00CC3629"/>
    <w:rsid w:val="00CC3743"/>
    <w:rsid w:val="00CC37B3"/>
    <w:rsid w:val="00CC395A"/>
    <w:rsid w:val="00CC3A45"/>
    <w:rsid w:val="00CC3A4B"/>
    <w:rsid w:val="00CC3DE4"/>
    <w:rsid w:val="00CC3E6C"/>
    <w:rsid w:val="00CC3EA4"/>
    <w:rsid w:val="00CC40AA"/>
    <w:rsid w:val="00CC415C"/>
    <w:rsid w:val="00CC4257"/>
    <w:rsid w:val="00CC4367"/>
    <w:rsid w:val="00CC459A"/>
    <w:rsid w:val="00CC459B"/>
    <w:rsid w:val="00CC5007"/>
    <w:rsid w:val="00CC54F0"/>
    <w:rsid w:val="00CC56D4"/>
    <w:rsid w:val="00CC5F5B"/>
    <w:rsid w:val="00CC6416"/>
    <w:rsid w:val="00CC7034"/>
    <w:rsid w:val="00CC711A"/>
    <w:rsid w:val="00CC716F"/>
    <w:rsid w:val="00CC71A0"/>
    <w:rsid w:val="00CC71DE"/>
    <w:rsid w:val="00CC72BD"/>
    <w:rsid w:val="00CC7586"/>
    <w:rsid w:val="00CC777C"/>
    <w:rsid w:val="00CC77F5"/>
    <w:rsid w:val="00CC7D23"/>
    <w:rsid w:val="00CC7D25"/>
    <w:rsid w:val="00CC7FB6"/>
    <w:rsid w:val="00CD02CE"/>
    <w:rsid w:val="00CD0339"/>
    <w:rsid w:val="00CD0811"/>
    <w:rsid w:val="00CD0B17"/>
    <w:rsid w:val="00CD0B3B"/>
    <w:rsid w:val="00CD0ECA"/>
    <w:rsid w:val="00CD15A2"/>
    <w:rsid w:val="00CD1E5A"/>
    <w:rsid w:val="00CD2532"/>
    <w:rsid w:val="00CD292B"/>
    <w:rsid w:val="00CD2A87"/>
    <w:rsid w:val="00CD2EFA"/>
    <w:rsid w:val="00CD2F3A"/>
    <w:rsid w:val="00CD32E0"/>
    <w:rsid w:val="00CD330E"/>
    <w:rsid w:val="00CD332B"/>
    <w:rsid w:val="00CD3499"/>
    <w:rsid w:val="00CD398E"/>
    <w:rsid w:val="00CD39F9"/>
    <w:rsid w:val="00CD3CB9"/>
    <w:rsid w:val="00CD3E10"/>
    <w:rsid w:val="00CD428D"/>
    <w:rsid w:val="00CD43FB"/>
    <w:rsid w:val="00CD444B"/>
    <w:rsid w:val="00CD4F98"/>
    <w:rsid w:val="00CD50B6"/>
    <w:rsid w:val="00CD51CF"/>
    <w:rsid w:val="00CD546A"/>
    <w:rsid w:val="00CD592B"/>
    <w:rsid w:val="00CD5B0D"/>
    <w:rsid w:val="00CD5D9F"/>
    <w:rsid w:val="00CD61EB"/>
    <w:rsid w:val="00CD629E"/>
    <w:rsid w:val="00CD63EA"/>
    <w:rsid w:val="00CD661F"/>
    <w:rsid w:val="00CD67AB"/>
    <w:rsid w:val="00CD684C"/>
    <w:rsid w:val="00CD6B62"/>
    <w:rsid w:val="00CD6DF1"/>
    <w:rsid w:val="00CD6FBC"/>
    <w:rsid w:val="00CD71BA"/>
    <w:rsid w:val="00CD7205"/>
    <w:rsid w:val="00CD737F"/>
    <w:rsid w:val="00CD7C7B"/>
    <w:rsid w:val="00CD7F44"/>
    <w:rsid w:val="00CD7FFC"/>
    <w:rsid w:val="00CE02BC"/>
    <w:rsid w:val="00CE02C9"/>
    <w:rsid w:val="00CE0467"/>
    <w:rsid w:val="00CE0634"/>
    <w:rsid w:val="00CE0BDD"/>
    <w:rsid w:val="00CE1109"/>
    <w:rsid w:val="00CE14C8"/>
    <w:rsid w:val="00CE1924"/>
    <w:rsid w:val="00CE19A8"/>
    <w:rsid w:val="00CE1A7A"/>
    <w:rsid w:val="00CE1DE1"/>
    <w:rsid w:val="00CE1DF0"/>
    <w:rsid w:val="00CE1F5E"/>
    <w:rsid w:val="00CE2246"/>
    <w:rsid w:val="00CE241F"/>
    <w:rsid w:val="00CE2A84"/>
    <w:rsid w:val="00CE2A98"/>
    <w:rsid w:val="00CE2E5C"/>
    <w:rsid w:val="00CE2F80"/>
    <w:rsid w:val="00CE38BD"/>
    <w:rsid w:val="00CE3DB0"/>
    <w:rsid w:val="00CE3F94"/>
    <w:rsid w:val="00CE4237"/>
    <w:rsid w:val="00CE43AF"/>
    <w:rsid w:val="00CE47DF"/>
    <w:rsid w:val="00CE4878"/>
    <w:rsid w:val="00CE4D3A"/>
    <w:rsid w:val="00CE4E95"/>
    <w:rsid w:val="00CE4FB0"/>
    <w:rsid w:val="00CE5128"/>
    <w:rsid w:val="00CE5233"/>
    <w:rsid w:val="00CE5AFE"/>
    <w:rsid w:val="00CE5EC5"/>
    <w:rsid w:val="00CE5F00"/>
    <w:rsid w:val="00CE628B"/>
    <w:rsid w:val="00CE64FD"/>
    <w:rsid w:val="00CE67EB"/>
    <w:rsid w:val="00CE69B0"/>
    <w:rsid w:val="00CE6FB0"/>
    <w:rsid w:val="00CE70DD"/>
    <w:rsid w:val="00CE7183"/>
    <w:rsid w:val="00CE71F1"/>
    <w:rsid w:val="00CE71F4"/>
    <w:rsid w:val="00CE7236"/>
    <w:rsid w:val="00CE773C"/>
    <w:rsid w:val="00CE77FB"/>
    <w:rsid w:val="00CE798C"/>
    <w:rsid w:val="00CE7EC0"/>
    <w:rsid w:val="00CF02F0"/>
    <w:rsid w:val="00CF0721"/>
    <w:rsid w:val="00CF07AE"/>
    <w:rsid w:val="00CF09E0"/>
    <w:rsid w:val="00CF0A78"/>
    <w:rsid w:val="00CF0A81"/>
    <w:rsid w:val="00CF0C84"/>
    <w:rsid w:val="00CF0CBA"/>
    <w:rsid w:val="00CF0DAA"/>
    <w:rsid w:val="00CF0EE7"/>
    <w:rsid w:val="00CF109D"/>
    <w:rsid w:val="00CF1165"/>
    <w:rsid w:val="00CF13A2"/>
    <w:rsid w:val="00CF14E5"/>
    <w:rsid w:val="00CF1638"/>
    <w:rsid w:val="00CF18CB"/>
    <w:rsid w:val="00CF1D14"/>
    <w:rsid w:val="00CF1D49"/>
    <w:rsid w:val="00CF1D8B"/>
    <w:rsid w:val="00CF2018"/>
    <w:rsid w:val="00CF231B"/>
    <w:rsid w:val="00CF2579"/>
    <w:rsid w:val="00CF294B"/>
    <w:rsid w:val="00CF3141"/>
    <w:rsid w:val="00CF326E"/>
    <w:rsid w:val="00CF3433"/>
    <w:rsid w:val="00CF38E6"/>
    <w:rsid w:val="00CF3964"/>
    <w:rsid w:val="00CF3CA6"/>
    <w:rsid w:val="00CF425C"/>
    <w:rsid w:val="00CF4296"/>
    <w:rsid w:val="00CF4797"/>
    <w:rsid w:val="00CF47E2"/>
    <w:rsid w:val="00CF48D0"/>
    <w:rsid w:val="00CF498A"/>
    <w:rsid w:val="00CF4BC6"/>
    <w:rsid w:val="00CF51F3"/>
    <w:rsid w:val="00CF521E"/>
    <w:rsid w:val="00CF5257"/>
    <w:rsid w:val="00CF5381"/>
    <w:rsid w:val="00CF5538"/>
    <w:rsid w:val="00CF558F"/>
    <w:rsid w:val="00CF5C7F"/>
    <w:rsid w:val="00CF5FAD"/>
    <w:rsid w:val="00CF6172"/>
    <w:rsid w:val="00CF64E8"/>
    <w:rsid w:val="00CF6786"/>
    <w:rsid w:val="00CF6B91"/>
    <w:rsid w:val="00CF6FBD"/>
    <w:rsid w:val="00CF739C"/>
    <w:rsid w:val="00CF7595"/>
    <w:rsid w:val="00CF76C6"/>
    <w:rsid w:val="00CF77B1"/>
    <w:rsid w:val="00CF78CB"/>
    <w:rsid w:val="00CF7A9D"/>
    <w:rsid w:val="00CF7DB9"/>
    <w:rsid w:val="00CF7F06"/>
    <w:rsid w:val="00D0005A"/>
    <w:rsid w:val="00D00385"/>
    <w:rsid w:val="00D00795"/>
    <w:rsid w:val="00D007B2"/>
    <w:rsid w:val="00D01058"/>
    <w:rsid w:val="00D011B8"/>
    <w:rsid w:val="00D011D9"/>
    <w:rsid w:val="00D012C7"/>
    <w:rsid w:val="00D013A4"/>
    <w:rsid w:val="00D013DE"/>
    <w:rsid w:val="00D0157E"/>
    <w:rsid w:val="00D01615"/>
    <w:rsid w:val="00D01BCC"/>
    <w:rsid w:val="00D01EFA"/>
    <w:rsid w:val="00D02254"/>
    <w:rsid w:val="00D02433"/>
    <w:rsid w:val="00D02803"/>
    <w:rsid w:val="00D02E53"/>
    <w:rsid w:val="00D02E65"/>
    <w:rsid w:val="00D03162"/>
    <w:rsid w:val="00D0322D"/>
    <w:rsid w:val="00D0325A"/>
    <w:rsid w:val="00D0352E"/>
    <w:rsid w:val="00D0385C"/>
    <w:rsid w:val="00D038FC"/>
    <w:rsid w:val="00D03DA4"/>
    <w:rsid w:val="00D03FDC"/>
    <w:rsid w:val="00D04529"/>
    <w:rsid w:val="00D04839"/>
    <w:rsid w:val="00D04A3E"/>
    <w:rsid w:val="00D04AE4"/>
    <w:rsid w:val="00D04BB6"/>
    <w:rsid w:val="00D052A2"/>
    <w:rsid w:val="00D05633"/>
    <w:rsid w:val="00D05C62"/>
    <w:rsid w:val="00D0605B"/>
    <w:rsid w:val="00D0621F"/>
    <w:rsid w:val="00D06446"/>
    <w:rsid w:val="00D066DA"/>
    <w:rsid w:val="00D066E0"/>
    <w:rsid w:val="00D067B3"/>
    <w:rsid w:val="00D0713B"/>
    <w:rsid w:val="00D071AF"/>
    <w:rsid w:val="00D07416"/>
    <w:rsid w:val="00D075A1"/>
    <w:rsid w:val="00D076D6"/>
    <w:rsid w:val="00D077DB"/>
    <w:rsid w:val="00D077EE"/>
    <w:rsid w:val="00D07845"/>
    <w:rsid w:val="00D07E9C"/>
    <w:rsid w:val="00D101DA"/>
    <w:rsid w:val="00D1079A"/>
    <w:rsid w:val="00D10880"/>
    <w:rsid w:val="00D10F14"/>
    <w:rsid w:val="00D1134E"/>
    <w:rsid w:val="00D113BA"/>
    <w:rsid w:val="00D11671"/>
    <w:rsid w:val="00D12073"/>
    <w:rsid w:val="00D1246B"/>
    <w:rsid w:val="00D1255B"/>
    <w:rsid w:val="00D12CB9"/>
    <w:rsid w:val="00D12FE1"/>
    <w:rsid w:val="00D1350B"/>
    <w:rsid w:val="00D1366D"/>
    <w:rsid w:val="00D13770"/>
    <w:rsid w:val="00D137A3"/>
    <w:rsid w:val="00D13B27"/>
    <w:rsid w:val="00D13D85"/>
    <w:rsid w:val="00D13EA9"/>
    <w:rsid w:val="00D1425D"/>
    <w:rsid w:val="00D142E8"/>
    <w:rsid w:val="00D143C3"/>
    <w:rsid w:val="00D1446D"/>
    <w:rsid w:val="00D14561"/>
    <w:rsid w:val="00D146FD"/>
    <w:rsid w:val="00D14BF9"/>
    <w:rsid w:val="00D14EA6"/>
    <w:rsid w:val="00D14EBA"/>
    <w:rsid w:val="00D14FC4"/>
    <w:rsid w:val="00D14FDE"/>
    <w:rsid w:val="00D15113"/>
    <w:rsid w:val="00D155D4"/>
    <w:rsid w:val="00D156A3"/>
    <w:rsid w:val="00D1570D"/>
    <w:rsid w:val="00D1573D"/>
    <w:rsid w:val="00D15828"/>
    <w:rsid w:val="00D1584B"/>
    <w:rsid w:val="00D159C1"/>
    <w:rsid w:val="00D15B7C"/>
    <w:rsid w:val="00D15B7D"/>
    <w:rsid w:val="00D15E74"/>
    <w:rsid w:val="00D16015"/>
    <w:rsid w:val="00D16AA4"/>
    <w:rsid w:val="00D16E54"/>
    <w:rsid w:val="00D16EEE"/>
    <w:rsid w:val="00D16F74"/>
    <w:rsid w:val="00D172E3"/>
    <w:rsid w:val="00D174A7"/>
    <w:rsid w:val="00D174BE"/>
    <w:rsid w:val="00D1773B"/>
    <w:rsid w:val="00D177D6"/>
    <w:rsid w:val="00D17B91"/>
    <w:rsid w:val="00D2005B"/>
    <w:rsid w:val="00D202A7"/>
    <w:rsid w:val="00D202BB"/>
    <w:rsid w:val="00D20677"/>
    <w:rsid w:val="00D20E8D"/>
    <w:rsid w:val="00D20F59"/>
    <w:rsid w:val="00D213B3"/>
    <w:rsid w:val="00D213DC"/>
    <w:rsid w:val="00D216A3"/>
    <w:rsid w:val="00D2185C"/>
    <w:rsid w:val="00D21882"/>
    <w:rsid w:val="00D219D8"/>
    <w:rsid w:val="00D21D82"/>
    <w:rsid w:val="00D21DD3"/>
    <w:rsid w:val="00D21F8A"/>
    <w:rsid w:val="00D22225"/>
    <w:rsid w:val="00D227F5"/>
    <w:rsid w:val="00D22989"/>
    <w:rsid w:val="00D22C58"/>
    <w:rsid w:val="00D23069"/>
    <w:rsid w:val="00D2326D"/>
    <w:rsid w:val="00D23379"/>
    <w:rsid w:val="00D23382"/>
    <w:rsid w:val="00D23A3E"/>
    <w:rsid w:val="00D23D21"/>
    <w:rsid w:val="00D23DB3"/>
    <w:rsid w:val="00D23DE4"/>
    <w:rsid w:val="00D23FEA"/>
    <w:rsid w:val="00D2454C"/>
    <w:rsid w:val="00D247B2"/>
    <w:rsid w:val="00D24853"/>
    <w:rsid w:val="00D2487C"/>
    <w:rsid w:val="00D24896"/>
    <w:rsid w:val="00D248F3"/>
    <w:rsid w:val="00D24E82"/>
    <w:rsid w:val="00D25054"/>
    <w:rsid w:val="00D25149"/>
    <w:rsid w:val="00D253E1"/>
    <w:rsid w:val="00D25EB1"/>
    <w:rsid w:val="00D25F47"/>
    <w:rsid w:val="00D25F5F"/>
    <w:rsid w:val="00D26009"/>
    <w:rsid w:val="00D260A8"/>
    <w:rsid w:val="00D26129"/>
    <w:rsid w:val="00D2616C"/>
    <w:rsid w:val="00D26568"/>
    <w:rsid w:val="00D268DC"/>
    <w:rsid w:val="00D26CD2"/>
    <w:rsid w:val="00D26DA4"/>
    <w:rsid w:val="00D26E2C"/>
    <w:rsid w:val="00D276DB"/>
    <w:rsid w:val="00D27950"/>
    <w:rsid w:val="00D27DE0"/>
    <w:rsid w:val="00D30243"/>
    <w:rsid w:val="00D304D2"/>
    <w:rsid w:val="00D30647"/>
    <w:rsid w:val="00D30791"/>
    <w:rsid w:val="00D309F5"/>
    <w:rsid w:val="00D31684"/>
    <w:rsid w:val="00D318BC"/>
    <w:rsid w:val="00D31E3E"/>
    <w:rsid w:val="00D324B8"/>
    <w:rsid w:val="00D32790"/>
    <w:rsid w:val="00D32E2D"/>
    <w:rsid w:val="00D330CA"/>
    <w:rsid w:val="00D33111"/>
    <w:rsid w:val="00D3316D"/>
    <w:rsid w:val="00D33320"/>
    <w:rsid w:val="00D33A04"/>
    <w:rsid w:val="00D33F5F"/>
    <w:rsid w:val="00D34A0E"/>
    <w:rsid w:val="00D34CDC"/>
    <w:rsid w:val="00D352A7"/>
    <w:rsid w:val="00D353EE"/>
    <w:rsid w:val="00D354FE"/>
    <w:rsid w:val="00D3550B"/>
    <w:rsid w:val="00D35838"/>
    <w:rsid w:val="00D35A0F"/>
    <w:rsid w:val="00D35ACA"/>
    <w:rsid w:val="00D35B9C"/>
    <w:rsid w:val="00D35BFE"/>
    <w:rsid w:val="00D35E12"/>
    <w:rsid w:val="00D36396"/>
    <w:rsid w:val="00D367C3"/>
    <w:rsid w:val="00D368E9"/>
    <w:rsid w:val="00D36EC9"/>
    <w:rsid w:val="00D37059"/>
    <w:rsid w:val="00D3722A"/>
    <w:rsid w:val="00D37358"/>
    <w:rsid w:val="00D37705"/>
    <w:rsid w:val="00D37844"/>
    <w:rsid w:val="00D37882"/>
    <w:rsid w:val="00D37894"/>
    <w:rsid w:val="00D37AC6"/>
    <w:rsid w:val="00D400BC"/>
    <w:rsid w:val="00D404C7"/>
    <w:rsid w:val="00D40569"/>
    <w:rsid w:val="00D408A6"/>
    <w:rsid w:val="00D408F1"/>
    <w:rsid w:val="00D40C2E"/>
    <w:rsid w:val="00D40CD6"/>
    <w:rsid w:val="00D41138"/>
    <w:rsid w:val="00D41242"/>
    <w:rsid w:val="00D4161C"/>
    <w:rsid w:val="00D419FF"/>
    <w:rsid w:val="00D41C69"/>
    <w:rsid w:val="00D42027"/>
    <w:rsid w:val="00D42321"/>
    <w:rsid w:val="00D42729"/>
    <w:rsid w:val="00D42982"/>
    <w:rsid w:val="00D42A15"/>
    <w:rsid w:val="00D42B18"/>
    <w:rsid w:val="00D43322"/>
    <w:rsid w:val="00D43667"/>
    <w:rsid w:val="00D43818"/>
    <w:rsid w:val="00D438B7"/>
    <w:rsid w:val="00D43B8B"/>
    <w:rsid w:val="00D43C52"/>
    <w:rsid w:val="00D44069"/>
    <w:rsid w:val="00D441B6"/>
    <w:rsid w:val="00D44206"/>
    <w:rsid w:val="00D44305"/>
    <w:rsid w:val="00D4461F"/>
    <w:rsid w:val="00D44623"/>
    <w:rsid w:val="00D44857"/>
    <w:rsid w:val="00D449C8"/>
    <w:rsid w:val="00D44AF2"/>
    <w:rsid w:val="00D44DDB"/>
    <w:rsid w:val="00D44DEF"/>
    <w:rsid w:val="00D454D2"/>
    <w:rsid w:val="00D4579A"/>
    <w:rsid w:val="00D463E4"/>
    <w:rsid w:val="00D46459"/>
    <w:rsid w:val="00D46B19"/>
    <w:rsid w:val="00D46BB2"/>
    <w:rsid w:val="00D46FB8"/>
    <w:rsid w:val="00D46FD9"/>
    <w:rsid w:val="00D46FFB"/>
    <w:rsid w:val="00D47AD7"/>
    <w:rsid w:val="00D47C0D"/>
    <w:rsid w:val="00D500CF"/>
    <w:rsid w:val="00D508EE"/>
    <w:rsid w:val="00D50C91"/>
    <w:rsid w:val="00D51359"/>
    <w:rsid w:val="00D51645"/>
    <w:rsid w:val="00D51795"/>
    <w:rsid w:val="00D51D67"/>
    <w:rsid w:val="00D51E12"/>
    <w:rsid w:val="00D521BD"/>
    <w:rsid w:val="00D522F7"/>
    <w:rsid w:val="00D5246E"/>
    <w:rsid w:val="00D52B55"/>
    <w:rsid w:val="00D52DF9"/>
    <w:rsid w:val="00D52E46"/>
    <w:rsid w:val="00D5302A"/>
    <w:rsid w:val="00D54E44"/>
    <w:rsid w:val="00D552F0"/>
    <w:rsid w:val="00D5572D"/>
    <w:rsid w:val="00D557C8"/>
    <w:rsid w:val="00D55C3F"/>
    <w:rsid w:val="00D55E67"/>
    <w:rsid w:val="00D562E0"/>
    <w:rsid w:val="00D5676A"/>
    <w:rsid w:val="00D56A5B"/>
    <w:rsid w:val="00D56CBA"/>
    <w:rsid w:val="00D56CC3"/>
    <w:rsid w:val="00D56E33"/>
    <w:rsid w:val="00D56E77"/>
    <w:rsid w:val="00D56EF8"/>
    <w:rsid w:val="00D570C6"/>
    <w:rsid w:val="00D573A3"/>
    <w:rsid w:val="00D57607"/>
    <w:rsid w:val="00D576D4"/>
    <w:rsid w:val="00D57876"/>
    <w:rsid w:val="00D57BFF"/>
    <w:rsid w:val="00D57D1F"/>
    <w:rsid w:val="00D60312"/>
    <w:rsid w:val="00D60497"/>
    <w:rsid w:val="00D60649"/>
    <w:rsid w:val="00D60B40"/>
    <w:rsid w:val="00D60CE3"/>
    <w:rsid w:val="00D60ED8"/>
    <w:rsid w:val="00D61432"/>
    <w:rsid w:val="00D615B5"/>
    <w:rsid w:val="00D61B3A"/>
    <w:rsid w:val="00D61C87"/>
    <w:rsid w:val="00D61E88"/>
    <w:rsid w:val="00D6206A"/>
    <w:rsid w:val="00D6217A"/>
    <w:rsid w:val="00D6290D"/>
    <w:rsid w:val="00D62E08"/>
    <w:rsid w:val="00D638C3"/>
    <w:rsid w:val="00D63D83"/>
    <w:rsid w:val="00D64323"/>
    <w:rsid w:val="00D64700"/>
    <w:rsid w:val="00D64923"/>
    <w:rsid w:val="00D64E55"/>
    <w:rsid w:val="00D64F9D"/>
    <w:rsid w:val="00D65058"/>
    <w:rsid w:val="00D6520A"/>
    <w:rsid w:val="00D6525A"/>
    <w:rsid w:val="00D65512"/>
    <w:rsid w:val="00D65723"/>
    <w:rsid w:val="00D6589E"/>
    <w:rsid w:val="00D658EE"/>
    <w:rsid w:val="00D65D4B"/>
    <w:rsid w:val="00D66384"/>
    <w:rsid w:val="00D6648B"/>
    <w:rsid w:val="00D6658C"/>
    <w:rsid w:val="00D66854"/>
    <w:rsid w:val="00D6689C"/>
    <w:rsid w:val="00D66B4C"/>
    <w:rsid w:val="00D67369"/>
    <w:rsid w:val="00D676CF"/>
    <w:rsid w:val="00D67773"/>
    <w:rsid w:val="00D7058C"/>
    <w:rsid w:val="00D70643"/>
    <w:rsid w:val="00D70AE1"/>
    <w:rsid w:val="00D70BAE"/>
    <w:rsid w:val="00D71218"/>
    <w:rsid w:val="00D712A2"/>
    <w:rsid w:val="00D71705"/>
    <w:rsid w:val="00D718C4"/>
    <w:rsid w:val="00D71A2D"/>
    <w:rsid w:val="00D71C67"/>
    <w:rsid w:val="00D71DC0"/>
    <w:rsid w:val="00D71E5A"/>
    <w:rsid w:val="00D72213"/>
    <w:rsid w:val="00D7258A"/>
    <w:rsid w:val="00D72863"/>
    <w:rsid w:val="00D7296B"/>
    <w:rsid w:val="00D72E61"/>
    <w:rsid w:val="00D730B6"/>
    <w:rsid w:val="00D7336C"/>
    <w:rsid w:val="00D734E5"/>
    <w:rsid w:val="00D73529"/>
    <w:rsid w:val="00D7397D"/>
    <w:rsid w:val="00D73A33"/>
    <w:rsid w:val="00D73B81"/>
    <w:rsid w:val="00D73DF3"/>
    <w:rsid w:val="00D73E13"/>
    <w:rsid w:val="00D740F8"/>
    <w:rsid w:val="00D74763"/>
    <w:rsid w:val="00D74806"/>
    <w:rsid w:val="00D74954"/>
    <w:rsid w:val="00D74A68"/>
    <w:rsid w:val="00D74B32"/>
    <w:rsid w:val="00D74BE1"/>
    <w:rsid w:val="00D74C6D"/>
    <w:rsid w:val="00D74E23"/>
    <w:rsid w:val="00D74EB0"/>
    <w:rsid w:val="00D74F5A"/>
    <w:rsid w:val="00D7528F"/>
    <w:rsid w:val="00D7555C"/>
    <w:rsid w:val="00D758D9"/>
    <w:rsid w:val="00D7609D"/>
    <w:rsid w:val="00D76382"/>
    <w:rsid w:val="00D76664"/>
    <w:rsid w:val="00D77120"/>
    <w:rsid w:val="00D77B38"/>
    <w:rsid w:val="00D80116"/>
    <w:rsid w:val="00D807F7"/>
    <w:rsid w:val="00D80801"/>
    <w:rsid w:val="00D8093A"/>
    <w:rsid w:val="00D80ADF"/>
    <w:rsid w:val="00D815FA"/>
    <w:rsid w:val="00D81818"/>
    <w:rsid w:val="00D82631"/>
    <w:rsid w:val="00D8272E"/>
    <w:rsid w:val="00D82D2A"/>
    <w:rsid w:val="00D82F64"/>
    <w:rsid w:val="00D82FC2"/>
    <w:rsid w:val="00D83923"/>
    <w:rsid w:val="00D83BDC"/>
    <w:rsid w:val="00D83C94"/>
    <w:rsid w:val="00D83E77"/>
    <w:rsid w:val="00D8403C"/>
    <w:rsid w:val="00D842B1"/>
    <w:rsid w:val="00D843C0"/>
    <w:rsid w:val="00D8476E"/>
    <w:rsid w:val="00D84B15"/>
    <w:rsid w:val="00D84D11"/>
    <w:rsid w:val="00D84D81"/>
    <w:rsid w:val="00D8532B"/>
    <w:rsid w:val="00D85588"/>
    <w:rsid w:val="00D857F4"/>
    <w:rsid w:val="00D85CBA"/>
    <w:rsid w:val="00D86334"/>
    <w:rsid w:val="00D86F7F"/>
    <w:rsid w:val="00D8720A"/>
    <w:rsid w:val="00D87D92"/>
    <w:rsid w:val="00D900C3"/>
    <w:rsid w:val="00D904B4"/>
    <w:rsid w:val="00D90873"/>
    <w:rsid w:val="00D90958"/>
    <w:rsid w:val="00D90A43"/>
    <w:rsid w:val="00D90AD5"/>
    <w:rsid w:val="00D9104A"/>
    <w:rsid w:val="00D91104"/>
    <w:rsid w:val="00D9121C"/>
    <w:rsid w:val="00D9141A"/>
    <w:rsid w:val="00D918CF"/>
    <w:rsid w:val="00D91A89"/>
    <w:rsid w:val="00D91B25"/>
    <w:rsid w:val="00D91F3F"/>
    <w:rsid w:val="00D92081"/>
    <w:rsid w:val="00D920A1"/>
    <w:rsid w:val="00D92353"/>
    <w:rsid w:val="00D9260E"/>
    <w:rsid w:val="00D92646"/>
    <w:rsid w:val="00D93511"/>
    <w:rsid w:val="00D93722"/>
    <w:rsid w:val="00D93C1D"/>
    <w:rsid w:val="00D9419D"/>
    <w:rsid w:val="00D942BA"/>
    <w:rsid w:val="00D942F5"/>
    <w:rsid w:val="00D94A83"/>
    <w:rsid w:val="00D94E3E"/>
    <w:rsid w:val="00D94EE5"/>
    <w:rsid w:val="00D95227"/>
    <w:rsid w:val="00D955D6"/>
    <w:rsid w:val="00D95B88"/>
    <w:rsid w:val="00D95E3D"/>
    <w:rsid w:val="00D95FB8"/>
    <w:rsid w:val="00D9680D"/>
    <w:rsid w:val="00D96AE5"/>
    <w:rsid w:val="00D96CBA"/>
    <w:rsid w:val="00D96F65"/>
    <w:rsid w:val="00D9752D"/>
    <w:rsid w:val="00D97538"/>
    <w:rsid w:val="00D97E7F"/>
    <w:rsid w:val="00DA016F"/>
    <w:rsid w:val="00DA05C7"/>
    <w:rsid w:val="00DA0706"/>
    <w:rsid w:val="00DA0BAB"/>
    <w:rsid w:val="00DA0E32"/>
    <w:rsid w:val="00DA1185"/>
    <w:rsid w:val="00DA136C"/>
    <w:rsid w:val="00DA1604"/>
    <w:rsid w:val="00DA1AC1"/>
    <w:rsid w:val="00DA1C04"/>
    <w:rsid w:val="00DA1CB5"/>
    <w:rsid w:val="00DA1D5E"/>
    <w:rsid w:val="00DA1EE4"/>
    <w:rsid w:val="00DA1FB0"/>
    <w:rsid w:val="00DA1FF1"/>
    <w:rsid w:val="00DA2299"/>
    <w:rsid w:val="00DA24FF"/>
    <w:rsid w:val="00DA251A"/>
    <w:rsid w:val="00DA2D65"/>
    <w:rsid w:val="00DA3017"/>
    <w:rsid w:val="00DA3223"/>
    <w:rsid w:val="00DA3A39"/>
    <w:rsid w:val="00DA3F79"/>
    <w:rsid w:val="00DA43E0"/>
    <w:rsid w:val="00DA46D4"/>
    <w:rsid w:val="00DA4A24"/>
    <w:rsid w:val="00DA4BA3"/>
    <w:rsid w:val="00DA4EB1"/>
    <w:rsid w:val="00DA5484"/>
    <w:rsid w:val="00DA55FB"/>
    <w:rsid w:val="00DA5915"/>
    <w:rsid w:val="00DA5DE1"/>
    <w:rsid w:val="00DA6256"/>
    <w:rsid w:val="00DA646D"/>
    <w:rsid w:val="00DA67D9"/>
    <w:rsid w:val="00DA67EB"/>
    <w:rsid w:val="00DA6C2D"/>
    <w:rsid w:val="00DA759B"/>
    <w:rsid w:val="00DA7650"/>
    <w:rsid w:val="00DA765B"/>
    <w:rsid w:val="00DA7783"/>
    <w:rsid w:val="00DA779A"/>
    <w:rsid w:val="00DA79B7"/>
    <w:rsid w:val="00DB0053"/>
    <w:rsid w:val="00DB0491"/>
    <w:rsid w:val="00DB0E78"/>
    <w:rsid w:val="00DB0F3E"/>
    <w:rsid w:val="00DB119B"/>
    <w:rsid w:val="00DB1269"/>
    <w:rsid w:val="00DB12A6"/>
    <w:rsid w:val="00DB1ADA"/>
    <w:rsid w:val="00DB1F73"/>
    <w:rsid w:val="00DB2319"/>
    <w:rsid w:val="00DB23F5"/>
    <w:rsid w:val="00DB2473"/>
    <w:rsid w:val="00DB27C2"/>
    <w:rsid w:val="00DB29CB"/>
    <w:rsid w:val="00DB2B3D"/>
    <w:rsid w:val="00DB2C65"/>
    <w:rsid w:val="00DB3401"/>
    <w:rsid w:val="00DB369D"/>
    <w:rsid w:val="00DB36C7"/>
    <w:rsid w:val="00DB3777"/>
    <w:rsid w:val="00DB3D2D"/>
    <w:rsid w:val="00DB3F73"/>
    <w:rsid w:val="00DB41BB"/>
    <w:rsid w:val="00DB445F"/>
    <w:rsid w:val="00DB4D1D"/>
    <w:rsid w:val="00DB4F57"/>
    <w:rsid w:val="00DB5322"/>
    <w:rsid w:val="00DB559F"/>
    <w:rsid w:val="00DB5653"/>
    <w:rsid w:val="00DB5876"/>
    <w:rsid w:val="00DB5D75"/>
    <w:rsid w:val="00DB5DDA"/>
    <w:rsid w:val="00DB605D"/>
    <w:rsid w:val="00DB64DA"/>
    <w:rsid w:val="00DB6EB5"/>
    <w:rsid w:val="00DB7225"/>
    <w:rsid w:val="00DB7319"/>
    <w:rsid w:val="00DB73B1"/>
    <w:rsid w:val="00DB76FB"/>
    <w:rsid w:val="00DB7752"/>
    <w:rsid w:val="00DB788B"/>
    <w:rsid w:val="00DB7E8D"/>
    <w:rsid w:val="00DB7F66"/>
    <w:rsid w:val="00DC004A"/>
    <w:rsid w:val="00DC1012"/>
    <w:rsid w:val="00DC14A0"/>
    <w:rsid w:val="00DC18D8"/>
    <w:rsid w:val="00DC1B37"/>
    <w:rsid w:val="00DC1F26"/>
    <w:rsid w:val="00DC21C0"/>
    <w:rsid w:val="00DC2ABD"/>
    <w:rsid w:val="00DC324E"/>
    <w:rsid w:val="00DC3AE1"/>
    <w:rsid w:val="00DC3FC9"/>
    <w:rsid w:val="00DC4460"/>
    <w:rsid w:val="00DC498E"/>
    <w:rsid w:val="00DC4AC8"/>
    <w:rsid w:val="00DC4B3E"/>
    <w:rsid w:val="00DC4BAF"/>
    <w:rsid w:val="00DC4F80"/>
    <w:rsid w:val="00DC4FCA"/>
    <w:rsid w:val="00DC517C"/>
    <w:rsid w:val="00DC51AE"/>
    <w:rsid w:val="00DC521F"/>
    <w:rsid w:val="00DC5653"/>
    <w:rsid w:val="00DC5A11"/>
    <w:rsid w:val="00DC5B16"/>
    <w:rsid w:val="00DC5CC6"/>
    <w:rsid w:val="00DC5DFF"/>
    <w:rsid w:val="00DC632E"/>
    <w:rsid w:val="00DC68A2"/>
    <w:rsid w:val="00DC6AA1"/>
    <w:rsid w:val="00DC6BA8"/>
    <w:rsid w:val="00DC6FFD"/>
    <w:rsid w:val="00DC7013"/>
    <w:rsid w:val="00DC74CB"/>
    <w:rsid w:val="00DC78FA"/>
    <w:rsid w:val="00DC7926"/>
    <w:rsid w:val="00DC7B2B"/>
    <w:rsid w:val="00DD0322"/>
    <w:rsid w:val="00DD0598"/>
    <w:rsid w:val="00DD0C05"/>
    <w:rsid w:val="00DD0CAB"/>
    <w:rsid w:val="00DD0CFD"/>
    <w:rsid w:val="00DD0D75"/>
    <w:rsid w:val="00DD0DE8"/>
    <w:rsid w:val="00DD0E59"/>
    <w:rsid w:val="00DD0FE5"/>
    <w:rsid w:val="00DD106E"/>
    <w:rsid w:val="00DD132A"/>
    <w:rsid w:val="00DD134A"/>
    <w:rsid w:val="00DD152B"/>
    <w:rsid w:val="00DD1E18"/>
    <w:rsid w:val="00DD211F"/>
    <w:rsid w:val="00DD2493"/>
    <w:rsid w:val="00DD2653"/>
    <w:rsid w:val="00DD2BE4"/>
    <w:rsid w:val="00DD38F4"/>
    <w:rsid w:val="00DD3E7A"/>
    <w:rsid w:val="00DD3FFC"/>
    <w:rsid w:val="00DD4193"/>
    <w:rsid w:val="00DD42F8"/>
    <w:rsid w:val="00DD44DA"/>
    <w:rsid w:val="00DD487D"/>
    <w:rsid w:val="00DD4AD0"/>
    <w:rsid w:val="00DD501F"/>
    <w:rsid w:val="00DD59C5"/>
    <w:rsid w:val="00DD5B9F"/>
    <w:rsid w:val="00DD5F4A"/>
    <w:rsid w:val="00DD6231"/>
    <w:rsid w:val="00DD6473"/>
    <w:rsid w:val="00DD6A8D"/>
    <w:rsid w:val="00DD6AE7"/>
    <w:rsid w:val="00DD703C"/>
    <w:rsid w:val="00DD7193"/>
    <w:rsid w:val="00DD7B25"/>
    <w:rsid w:val="00DD7F10"/>
    <w:rsid w:val="00DD7FD5"/>
    <w:rsid w:val="00DE02A8"/>
    <w:rsid w:val="00DE0ABC"/>
    <w:rsid w:val="00DE0AF3"/>
    <w:rsid w:val="00DE0EAD"/>
    <w:rsid w:val="00DE1345"/>
    <w:rsid w:val="00DE14B9"/>
    <w:rsid w:val="00DE1663"/>
    <w:rsid w:val="00DE1A14"/>
    <w:rsid w:val="00DE1F02"/>
    <w:rsid w:val="00DE27B2"/>
    <w:rsid w:val="00DE2D0B"/>
    <w:rsid w:val="00DE3331"/>
    <w:rsid w:val="00DE3374"/>
    <w:rsid w:val="00DE3510"/>
    <w:rsid w:val="00DE384C"/>
    <w:rsid w:val="00DE3921"/>
    <w:rsid w:val="00DE3A5B"/>
    <w:rsid w:val="00DE3B75"/>
    <w:rsid w:val="00DE3B88"/>
    <w:rsid w:val="00DE3EC4"/>
    <w:rsid w:val="00DE4366"/>
    <w:rsid w:val="00DE4540"/>
    <w:rsid w:val="00DE4DC2"/>
    <w:rsid w:val="00DE4F25"/>
    <w:rsid w:val="00DE51DA"/>
    <w:rsid w:val="00DE5315"/>
    <w:rsid w:val="00DE5428"/>
    <w:rsid w:val="00DE5EC4"/>
    <w:rsid w:val="00DE5EFA"/>
    <w:rsid w:val="00DE60D1"/>
    <w:rsid w:val="00DE6ADB"/>
    <w:rsid w:val="00DE6BEB"/>
    <w:rsid w:val="00DE6DB9"/>
    <w:rsid w:val="00DE7275"/>
    <w:rsid w:val="00DE733E"/>
    <w:rsid w:val="00DE74B9"/>
    <w:rsid w:val="00DE7595"/>
    <w:rsid w:val="00DE769B"/>
    <w:rsid w:val="00DE7754"/>
    <w:rsid w:val="00DE7D2D"/>
    <w:rsid w:val="00DF02C7"/>
    <w:rsid w:val="00DF05F5"/>
    <w:rsid w:val="00DF07CD"/>
    <w:rsid w:val="00DF0A5B"/>
    <w:rsid w:val="00DF0F9D"/>
    <w:rsid w:val="00DF1600"/>
    <w:rsid w:val="00DF1626"/>
    <w:rsid w:val="00DF17BB"/>
    <w:rsid w:val="00DF1E6E"/>
    <w:rsid w:val="00DF221A"/>
    <w:rsid w:val="00DF22A8"/>
    <w:rsid w:val="00DF23CE"/>
    <w:rsid w:val="00DF2475"/>
    <w:rsid w:val="00DF259F"/>
    <w:rsid w:val="00DF26F1"/>
    <w:rsid w:val="00DF2C18"/>
    <w:rsid w:val="00DF2C6D"/>
    <w:rsid w:val="00DF2D78"/>
    <w:rsid w:val="00DF2DF6"/>
    <w:rsid w:val="00DF2E0E"/>
    <w:rsid w:val="00DF2ECE"/>
    <w:rsid w:val="00DF2F20"/>
    <w:rsid w:val="00DF3272"/>
    <w:rsid w:val="00DF398E"/>
    <w:rsid w:val="00DF3D38"/>
    <w:rsid w:val="00DF3DBF"/>
    <w:rsid w:val="00DF3F92"/>
    <w:rsid w:val="00DF400A"/>
    <w:rsid w:val="00DF41D6"/>
    <w:rsid w:val="00DF488E"/>
    <w:rsid w:val="00DF4E3E"/>
    <w:rsid w:val="00DF4F9C"/>
    <w:rsid w:val="00DF51CD"/>
    <w:rsid w:val="00DF55CA"/>
    <w:rsid w:val="00DF57D9"/>
    <w:rsid w:val="00DF6048"/>
    <w:rsid w:val="00DF60B9"/>
    <w:rsid w:val="00DF63B7"/>
    <w:rsid w:val="00DF6BE2"/>
    <w:rsid w:val="00DF6D0F"/>
    <w:rsid w:val="00DF6F92"/>
    <w:rsid w:val="00DF7441"/>
    <w:rsid w:val="00DF779E"/>
    <w:rsid w:val="00DF7B75"/>
    <w:rsid w:val="00DF7B9B"/>
    <w:rsid w:val="00DF7DA6"/>
    <w:rsid w:val="00DF7F7A"/>
    <w:rsid w:val="00E00305"/>
    <w:rsid w:val="00E00687"/>
    <w:rsid w:val="00E00BF5"/>
    <w:rsid w:val="00E00F60"/>
    <w:rsid w:val="00E010CD"/>
    <w:rsid w:val="00E012A7"/>
    <w:rsid w:val="00E013B7"/>
    <w:rsid w:val="00E015E8"/>
    <w:rsid w:val="00E01604"/>
    <w:rsid w:val="00E0185B"/>
    <w:rsid w:val="00E018FF"/>
    <w:rsid w:val="00E01951"/>
    <w:rsid w:val="00E01CA9"/>
    <w:rsid w:val="00E01D57"/>
    <w:rsid w:val="00E01EFE"/>
    <w:rsid w:val="00E028B7"/>
    <w:rsid w:val="00E02CAE"/>
    <w:rsid w:val="00E03E3C"/>
    <w:rsid w:val="00E03FF8"/>
    <w:rsid w:val="00E041A5"/>
    <w:rsid w:val="00E04458"/>
    <w:rsid w:val="00E0453D"/>
    <w:rsid w:val="00E0484B"/>
    <w:rsid w:val="00E0486E"/>
    <w:rsid w:val="00E04B02"/>
    <w:rsid w:val="00E04BF8"/>
    <w:rsid w:val="00E0504A"/>
    <w:rsid w:val="00E05769"/>
    <w:rsid w:val="00E05F1E"/>
    <w:rsid w:val="00E05FA6"/>
    <w:rsid w:val="00E063D5"/>
    <w:rsid w:val="00E06639"/>
    <w:rsid w:val="00E066D7"/>
    <w:rsid w:val="00E0693D"/>
    <w:rsid w:val="00E07064"/>
    <w:rsid w:val="00E073CD"/>
    <w:rsid w:val="00E07B0F"/>
    <w:rsid w:val="00E07B9C"/>
    <w:rsid w:val="00E1039D"/>
    <w:rsid w:val="00E1085E"/>
    <w:rsid w:val="00E10BF8"/>
    <w:rsid w:val="00E10C83"/>
    <w:rsid w:val="00E10EDB"/>
    <w:rsid w:val="00E10EDE"/>
    <w:rsid w:val="00E11144"/>
    <w:rsid w:val="00E115ED"/>
    <w:rsid w:val="00E11618"/>
    <w:rsid w:val="00E11626"/>
    <w:rsid w:val="00E1182C"/>
    <w:rsid w:val="00E118C7"/>
    <w:rsid w:val="00E119AB"/>
    <w:rsid w:val="00E11B2F"/>
    <w:rsid w:val="00E11C53"/>
    <w:rsid w:val="00E120F9"/>
    <w:rsid w:val="00E1230B"/>
    <w:rsid w:val="00E12498"/>
    <w:rsid w:val="00E12A6F"/>
    <w:rsid w:val="00E13017"/>
    <w:rsid w:val="00E130EB"/>
    <w:rsid w:val="00E1314D"/>
    <w:rsid w:val="00E13600"/>
    <w:rsid w:val="00E13B87"/>
    <w:rsid w:val="00E147AB"/>
    <w:rsid w:val="00E151BE"/>
    <w:rsid w:val="00E155FB"/>
    <w:rsid w:val="00E1561B"/>
    <w:rsid w:val="00E15A2F"/>
    <w:rsid w:val="00E15F23"/>
    <w:rsid w:val="00E15F34"/>
    <w:rsid w:val="00E1624B"/>
    <w:rsid w:val="00E164D7"/>
    <w:rsid w:val="00E164F6"/>
    <w:rsid w:val="00E16604"/>
    <w:rsid w:val="00E166F5"/>
    <w:rsid w:val="00E169BA"/>
    <w:rsid w:val="00E16D27"/>
    <w:rsid w:val="00E172DA"/>
    <w:rsid w:val="00E17490"/>
    <w:rsid w:val="00E1750C"/>
    <w:rsid w:val="00E17586"/>
    <w:rsid w:val="00E17699"/>
    <w:rsid w:val="00E201B8"/>
    <w:rsid w:val="00E201BE"/>
    <w:rsid w:val="00E20215"/>
    <w:rsid w:val="00E2039D"/>
    <w:rsid w:val="00E20413"/>
    <w:rsid w:val="00E20656"/>
    <w:rsid w:val="00E2097B"/>
    <w:rsid w:val="00E20CA2"/>
    <w:rsid w:val="00E20F9A"/>
    <w:rsid w:val="00E20FB0"/>
    <w:rsid w:val="00E20FC4"/>
    <w:rsid w:val="00E211A9"/>
    <w:rsid w:val="00E21964"/>
    <w:rsid w:val="00E21A0C"/>
    <w:rsid w:val="00E21A2C"/>
    <w:rsid w:val="00E21CBB"/>
    <w:rsid w:val="00E2214D"/>
    <w:rsid w:val="00E22292"/>
    <w:rsid w:val="00E225AA"/>
    <w:rsid w:val="00E226A9"/>
    <w:rsid w:val="00E22F91"/>
    <w:rsid w:val="00E23115"/>
    <w:rsid w:val="00E2365D"/>
    <w:rsid w:val="00E23861"/>
    <w:rsid w:val="00E23BAE"/>
    <w:rsid w:val="00E23CB1"/>
    <w:rsid w:val="00E2422F"/>
    <w:rsid w:val="00E247DC"/>
    <w:rsid w:val="00E24C72"/>
    <w:rsid w:val="00E251EA"/>
    <w:rsid w:val="00E25217"/>
    <w:rsid w:val="00E252DD"/>
    <w:rsid w:val="00E25474"/>
    <w:rsid w:val="00E25884"/>
    <w:rsid w:val="00E25D52"/>
    <w:rsid w:val="00E26075"/>
    <w:rsid w:val="00E26078"/>
    <w:rsid w:val="00E265BB"/>
    <w:rsid w:val="00E266C6"/>
    <w:rsid w:val="00E26969"/>
    <w:rsid w:val="00E26D19"/>
    <w:rsid w:val="00E26EC1"/>
    <w:rsid w:val="00E2703C"/>
    <w:rsid w:val="00E2732B"/>
    <w:rsid w:val="00E27654"/>
    <w:rsid w:val="00E27EB4"/>
    <w:rsid w:val="00E30064"/>
    <w:rsid w:val="00E3079C"/>
    <w:rsid w:val="00E30DE8"/>
    <w:rsid w:val="00E30E94"/>
    <w:rsid w:val="00E30FB8"/>
    <w:rsid w:val="00E310B8"/>
    <w:rsid w:val="00E3115B"/>
    <w:rsid w:val="00E31200"/>
    <w:rsid w:val="00E3148E"/>
    <w:rsid w:val="00E3176D"/>
    <w:rsid w:val="00E317B2"/>
    <w:rsid w:val="00E31A28"/>
    <w:rsid w:val="00E32503"/>
    <w:rsid w:val="00E32859"/>
    <w:rsid w:val="00E32938"/>
    <w:rsid w:val="00E32ADF"/>
    <w:rsid w:val="00E32DC1"/>
    <w:rsid w:val="00E32EE5"/>
    <w:rsid w:val="00E32F93"/>
    <w:rsid w:val="00E33CD9"/>
    <w:rsid w:val="00E34135"/>
    <w:rsid w:val="00E3458F"/>
    <w:rsid w:val="00E34605"/>
    <w:rsid w:val="00E346B4"/>
    <w:rsid w:val="00E34882"/>
    <w:rsid w:val="00E34899"/>
    <w:rsid w:val="00E34E5E"/>
    <w:rsid w:val="00E3558D"/>
    <w:rsid w:val="00E35CA0"/>
    <w:rsid w:val="00E35F11"/>
    <w:rsid w:val="00E3621E"/>
    <w:rsid w:val="00E365FB"/>
    <w:rsid w:val="00E3695B"/>
    <w:rsid w:val="00E36A46"/>
    <w:rsid w:val="00E36AA0"/>
    <w:rsid w:val="00E36E6E"/>
    <w:rsid w:val="00E36F2A"/>
    <w:rsid w:val="00E36F71"/>
    <w:rsid w:val="00E3704F"/>
    <w:rsid w:val="00E373D0"/>
    <w:rsid w:val="00E379F7"/>
    <w:rsid w:val="00E37FD3"/>
    <w:rsid w:val="00E401D2"/>
    <w:rsid w:val="00E40FBF"/>
    <w:rsid w:val="00E412F6"/>
    <w:rsid w:val="00E41706"/>
    <w:rsid w:val="00E41D36"/>
    <w:rsid w:val="00E41F55"/>
    <w:rsid w:val="00E42150"/>
    <w:rsid w:val="00E42224"/>
    <w:rsid w:val="00E42501"/>
    <w:rsid w:val="00E42D27"/>
    <w:rsid w:val="00E42FCB"/>
    <w:rsid w:val="00E4319B"/>
    <w:rsid w:val="00E432F0"/>
    <w:rsid w:val="00E43725"/>
    <w:rsid w:val="00E43AD8"/>
    <w:rsid w:val="00E43B3D"/>
    <w:rsid w:val="00E43D11"/>
    <w:rsid w:val="00E4431E"/>
    <w:rsid w:val="00E44B5E"/>
    <w:rsid w:val="00E44FE3"/>
    <w:rsid w:val="00E4518C"/>
    <w:rsid w:val="00E4551B"/>
    <w:rsid w:val="00E45B4E"/>
    <w:rsid w:val="00E45E6E"/>
    <w:rsid w:val="00E46284"/>
    <w:rsid w:val="00E462B7"/>
    <w:rsid w:val="00E46799"/>
    <w:rsid w:val="00E467FD"/>
    <w:rsid w:val="00E4694B"/>
    <w:rsid w:val="00E47107"/>
    <w:rsid w:val="00E478C6"/>
    <w:rsid w:val="00E5005E"/>
    <w:rsid w:val="00E500B9"/>
    <w:rsid w:val="00E50130"/>
    <w:rsid w:val="00E50590"/>
    <w:rsid w:val="00E509C3"/>
    <w:rsid w:val="00E50C88"/>
    <w:rsid w:val="00E50F45"/>
    <w:rsid w:val="00E510BD"/>
    <w:rsid w:val="00E51379"/>
    <w:rsid w:val="00E51DCF"/>
    <w:rsid w:val="00E521E2"/>
    <w:rsid w:val="00E5220E"/>
    <w:rsid w:val="00E522FB"/>
    <w:rsid w:val="00E5242F"/>
    <w:rsid w:val="00E52434"/>
    <w:rsid w:val="00E52442"/>
    <w:rsid w:val="00E52818"/>
    <w:rsid w:val="00E52B29"/>
    <w:rsid w:val="00E52FEF"/>
    <w:rsid w:val="00E53214"/>
    <w:rsid w:val="00E532EB"/>
    <w:rsid w:val="00E538A3"/>
    <w:rsid w:val="00E53AF6"/>
    <w:rsid w:val="00E53F67"/>
    <w:rsid w:val="00E54008"/>
    <w:rsid w:val="00E5421C"/>
    <w:rsid w:val="00E542D4"/>
    <w:rsid w:val="00E54349"/>
    <w:rsid w:val="00E54425"/>
    <w:rsid w:val="00E54496"/>
    <w:rsid w:val="00E54815"/>
    <w:rsid w:val="00E549C1"/>
    <w:rsid w:val="00E54ACD"/>
    <w:rsid w:val="00E54B2B"/>
    <w:rsid w:val="00E54CFA"/>
    <w:rsid w:val="00E54E4E"/>
    <w:rsid w:val="00E55283"/>
    <w:rsid w:val="00E555C5"/>
    <w:rsid w:val="00E5588A"/>
    <w:rsid w:val="00E558C9"/>
    <w:rsid w:val="00E558EE"/>
    <w:rsid w:val="00E559A1"/>
    <w:rsid w:val="00E559E2"/>
    <w:rsid w:val="00E55DCC"/>
    <w:rsid w:val="00E55EDF"/>
    <w:rsid w:val="00E5618B"/>
    <w:rsid w:val="00E561DE"/>
    <w:rsid w:val="00E562FB"/>
    <w:rsid w:val="00E56569"/>
    <w:rsid w:val="00E565E1"/>
    <w:rsid w:val="00E56755"/>
    <w:rsid w:val="00E5688A"/>
    <w:rsid w:val="00E5697D"/>
    <w:rsid w:val="00E56DFE"/>
    <w:rsid w:val="00E57328"/>
    <w:rsid w:val="00E576B0"/>
    <w:rsid w:val="00E577B9"/>
    <w:rsid w:val="00E57994"/>
    <w:rsid w:val="00E57AB0"/>
    <w:rsid w:val="00E57AD4"/>
    <w:rsid w:val="00E57EF1"/>
    <w:rsid w:val="00E60954"/>
    <w:rsid w:val="00E60A66"/>
    <w:rsid w:val="00E61277"/>
    <w:rsid w:val="00E612F0"/>
    <w:rsid w:val="00E6155A"/>
    <w:rsid w:val="00E61632"/>
    <w:rsid w:val="00E6181C"/>
    <w:rsid w:val="00E618C7"/>
    <w:rsid w:val="00E61E47"/>
    <w:rsid w:val="00E620E8"/>
    <w:rsid w:val="00E62322"/>
    <w:rsid w:val="00E623B7"/>
    <w:rsid w:val="00E62507"/>
    <w:rsid w:val="00E6273C"/>
    <w:rsid w:val="00E62A07"/>
    <w:rsid w:val="00E62B37"/>
    <w:rsid w:val="00E63010"/>
    <w:rsid w:val="00E634BA"/>
    <w:rsid w:val="00E63583"/>
    <w:rsid w:val="00E63CD6"/>
    <w:rsid w:val="00E63D05"/>
    <w:rsid w:val="00E63EE8"/>
    <w:rsid w:val="00E63F3C"/>
    <w:rsid w:val="00E64ADC"/>
    <w:rsid w:val="00E64BA5"/>
    <w:rsid w:val="00E64D81"/>
    <w:rsid w:val="00E64E84"/>
    <w:rsid w:val="00E64F0A"/>
    <w:rsid w:val="00E655F6"/>
    <w:rsid w:val="00E65637"/>
    <w:rsid w:val="00E65648"/>
    <w:rsid w:val="00E65B10"/>
    <w:rsid w:val="00E65C5E"/>
    <w:rsid w:val="00E65C6B"/>
    <w:rsid w:val="00E661F2"/>
    <w:rsid w:val="00E66535"/>
    <w:rsid w:val="00E665F3"/>
    <w:rsid w:val="00E668AB"/>
    <w:rsid w:val="00E66C84"/>
    <w:rsid w:val="00E673E2"/>
    <w:rsid w:val="00E67A82"/>
    <w:rsid w:val="00E67B14"/>
    <w:rsid w:val="00E67C84"/>
    <w:rsid w:val="00E67D81"/>
    <w:rsid w:val="00E67D9C"/>
    <w:rsid w:val="00E67DBF"/>
    <w:rsid w:val="00E67F40"/>
    <w:rsid w:val="00E700AE"/>
    <w:rsid w:val="00E70231"/>
    <w:rsid w:val="00E703AB"/>
    <w:rsid w:val="00E706D3"/>
    <w:rsid w:val="00E70C7E"/>
    <w:rsid w:val="00E70DD7"/>
    <w:rsid w:val="00E712EE"/>
    <w:rsid w:val="00E71CE8"/>
    <w:rsid w:val="00E7246D"/>
    <w:rsid w:val="00E72BFA"/>
    <w:rsid w:val="00E72D41"/>
    <w:rsid w:val="00E72EE0"/>
    <w:rsid w:val="00E7307D"/>
    <w:rsid w:val="00E73332"/>
    <w:rsid w:val="00E734FB"/>
    <w:rsid w:val="00E736E1"/>
    <w:rsid w:val="00E739FD"/>
    <w:rsid w:val="00E74113"/>
    <w:rsid w:val="00E741FB"/>
    <w:rsid w:val="00E7441B"/>
    <w:rsid w:val="00E7452A"/>
    <w:rsid w:val="00E748DB"/>
    <w:rsid w:val="00E7491B"/>
    <w:rsid w:val="00E74B79"/>
    <w:rsid w:val="00E74BAA"/>
    <w:rsid w:val="00E74FD3"/>
    <w:rsid w:val="00E753F5"/>
    <w:rsid w:val="00E75435"/>
    <w:rsid w:val="00E75656"/>
    <w:rsid w:val="00E75667"/>
    <w:rsid w:val="00E75868"/>
    <w:rsid w:val="00E759F6"/>
    <w:rsid w:val="00E75C69"/>
    <w:rsid w:val="00E76083"/>
    <w:rsid w:val="00E761D8"/>
    <w:rsid w:val="00E762BD"/>
    <w:rsid w:val="00E7637C"/>
    <w:rsid w:val="00E7669F"/>
    <w:rsid w:val="00E76960"/>
    <w:rsid w:val="00E76B08"/>
    <w:rsid w:val="00E76BCF"/>
    <w:rsid w:val="00E76C7A"/>
    <w:rsid w:val="00E76D40"/>
    <w:rsid w:val="00E76FD7"/>
    <w:rsid w:val="00E770FD"/>
    <w:rsid w:val="00E774D8"/>
    <w:rsid w:val="00E77A3B"/>
    <w:rsid w:val="00E77C71"/>
    <w:rsid w:val="00E77E91"/>
    <w:rsid w:val="00E803B0"/>
    <w:rsid w:val="00E80711"/>
    <w:rsid w:val="00E807D5"/>
    <w:rsid w:val="00E80A2B"/>
    <w:rsid w:val="00E80A4B"/>
    <w:rsid w:val="00E80D48"/>
    <w:rsid w:val="00E80EEB"/>
    <w:rsid w:val="00E81433"/>
    <w:rsid w:val="00E8144F"/>
    <w:rsid w:val="00E81A24"/>
    <w:rsid w:val="00E81CA3"/>
    <w:rsid w:val="00E81D53"/>
    <w:rsid w:val="00E81F0C"/>
    <w:rsid w:val="00E82295"/>
    <w:rsid w:val="00E8232D"/>
    <w:rsid w:val="00E8250D"/>
    <w:rsid w:val="00E82537"/>
    <w:rsid w:val="00E82AA3"/>
    <w:rsid w:val="00E82AC6"/>
    <w:rsid w:val="00E82B67"/>
    <w:rsid w:val="00E82B73"/>
    <w:rsid w:val="00E82BA8"/>
    <w:rsid w:val="00E83770"/>
    <w:rsid w:val="00E83872"/>
    <w:rsid w:val="00E83A01"/>
    <w:rsid w:val="00E83DBE"/>
    <w:rsid w:val="00E83F45"/>
    <w:rsid w:val="00E84233"/>
    <w:rsid w:val="00E84540"/>
    <w:rsid w:val="00E847F0"/>
    <w:rsid w:val="00E84880"/>
    <w:rsid w:val="00E84882"/>
    <w:rsid w:val="00E84A26"/>
    <w:rsid w:val="00E84BD6"/>
    <w:rsid w:val="00E84ED4"/>
    <w:rsid w:val="00E8511C"/>
    <w:rsid w:val="00E85335"/>
    <w:rsid w:val="00E854AE"/>
    <w:rsid w:val="00E85D30"/>
    <w:rsid w:val="00E85DB5"/>
    <w:rsid w:val="00E861B2"/>
    <w:rsid w:val="00E86615"/>
    <w:rsid w:val="00E8689E"/>
    <w:rsid w:val="00E86F6C"/>
    <w:rsid w:val="00E86FBE"/>
    <w:rsid w:val="00E870CE"/>
    <w:rsid w:val="00E87298"/>
    <w:rsid w:val="00E8733E"/>
    <w:rsid w:val="00E876F8"/>
    <w:rsid w:val="00E87759"/>
    <w:rsid w:val="00E87A60"/>
    <w:rsid w:val="00E87B48"/>
    <w:rsid w:val="00E87D7F"/>
    <w:rsid w:val="00E87E8C"/>
    <w:rsid w:val="00E87F2B"/>
    <w:rsid w:val="00E90510"/>
    <w:rsid w:val="00E906A7"/>
    <w:rsid w:val="00E90B63"/>
    <w:rsid w:val="00E90DA9"/>
    <w:rsid w:val="00E91246"/>
    <w:rsid w:val="00E912E6"/>
    <w:rsid w:val="00E914A9"/>
    <w:rsid w:val="00E91A7E"/>
    <w:rsid w:val="00E91F27"/>
    <w:rsid w:val="00E91FED"/>
    <w:rsid w:val="00E92104"/>
    <w:rsid w:val="00E92290"/>
    <w:rsid w:val="00E92788"/>
    <w:rsid w:val="00E928AE"/>
    <w:rsid w:val="00E92DD6"/>
    <w:rsid w:val="00E92E1B"/>
    <w:rsid w:val="00E92FAF"/>
    <w:rsid w:val="00E93022"/>
    <w:rsid w:val="00E93175"/>
    <w:rsid w:val="00E9333F"/>
    <w:rsid w:val="00E93790"/>
    <w:rsid w:val="00E93989"/>
    <w:rsid w:val="00E93C3A"/>
    <w:rsid w:val="00E93D12"/>
    <w:rsid w:val="00E93D94"/>
    <w:rsid w:val="00E94066"/>
    <w:rsid w:val="00E940E2"/>
    <w:rsid w:val="00E941CD"/>
    <w:rsid w:val="00E94315"/>
    <w:rsid w:val="00E944C6"/>
    <w:rsid w:val="00E94692"/>
    <w:rsid w:val="00E94874"/>
    <w:rsid w:val="00E949FF"/>
    <w:rsid w:val="00E95007"/>
    <w:rsid w:val="00E9587C"/>
    <w:rsid w:val="00E95B1E"/>
    <w:rsid w:val="00E95BAA"/>
    <w:rsid w:val="00E95C75"/>
    <w:rsid w:val="00E95D2E"/>
    <w:rsid w:val="00E95D82"/>
    <w:rsid w:val="00E95F5E"/>
    <w:rsid w:val="00E95FEA"/>
    <w:rsid w:val="00E960DD"/>
    <w:rsid w:val="00E966EA"/>
    <w:rsid w:val="00E96861"/>
    <w:rsid w:val="00E96A99"/>
    <w:rsid w:val="00E97170"/>
    <w:rsid w:val="00E9747F"/>
    <w:rsid w:val="00E974EC"/>
    <w:rsid w:val="00E9769F"/>
    <w:rsid w:val="00E978F1"/>
    <w:rsid w:val="00E97B4D"/>
    <w:rsid w:val="00E97BEB"/>
    <w:rsid w:val="00E97F5E"/>
    <w:rsid w:val="00E97F92"/>
    <w:rsid w:val="00E97FFB"/>
    <w:rsid w:val="00EA00B1"/>
    <w:rsid w:val="00EA01D5"/>
    <w:rsid w:val="00EA0391"/>
    <w:rsid w:val="00EA0497"/>
    <w:rsid w:val="00EA0B41"/>
    <w:rsid w:val="00EA0BBA"/>
    <w:rsid w:val="00EA0CE4"/>
    <w:rsid w:val="00EA0CF0"/>
    <w:rsid w:val="00EA0E37"/>
    <w:rsid w:val="00EA0EB2"/>
    <w:rsid w:val="00EA1042"/>
    <w:rsid w:val="00EA1132"/>
    <w:rsid w:val="00EA1837"/>
    <w:rsid w:val="00EA1943"/>
    <w:rsid w:val="00EA1A67"/>
    <w:rsid w:val="00EA1B10"/>
    <w:rsid w:val="00EA1C45"/>
    <w:rsid w:val="00EA22BA"/>
    <w:rsid w:val="00EA2742"/>
    <w:rsid w:val="00EA27BC"/>
    <w:rsid w:val="00EA27C2"/>
    <w:rsid w:val="00EA2A5E"/>
    <w:rsid w:val="00EA2DDE"/>
    <w:rsid w:val="00EA2E73"/>
    <w:rsid w:val="00EA313E"/>
    <w:rsid w:val="00EA3418"/>
    <w:rsid w:val="00EA39EB"/>
    <w:rsid w:val="00EA3AD0"/>
    <w:rsid w:val="00EA3D5B"/>
    <w:rsid w:val="00EA3D85"/>
    <w:rsid w:val="00EA406C"/>
    <w:rsid w:val="00EA4392"/>
    <w:rsid w:val="00EA45E5"/>
    <w:rsid w:val="00EA4C74"/>
    <w:rsid w:val="00EA5051"/>
    <w:rsid w:val="00EA505B"/>
    <w:rsid w:val="00EA521E"/>
    <w:rsid w:val="00EA59F8"/>
    <w:rsid w:val="00EA5B4F"/>
    <w:rsid w:val="00EA5B64"/>
    <w:rsid w:val="00EA6279"/>
    <w:rsid w:val="00EA64D6"/>
    <w:rsid w:val="00EA65A9"/>
    <w:rsid w:val="00EA678F"/>
    <w:rsid w:val="00EA68DB"/>
    <w:rsid w:val="00EA6BB1"/>
    <w:rsid w:val="00EA7358"/>
    <w:rsid w:val="00EA77CE"/>
    <w:rsid w:val="00EB02E3"/>
    <w:rsid w:val="00EB0341"/>
    <w:rsid w:val="00EB04DB"/>
    <w:rsid w:val="00EB072C"/>
    <w:rsid w:val="00EB0CF9"/>
    <w:rsid w:val="00EB175D"/>
    <w:rsid w:val="00EB1EB3"/>
    <w:rsid w:val="00EB24CB"/>
    <w:rsid w:val="00EB260A"/>
    <w:rsid w:val="00EB2735"/>
    <w:rsid w:val="00EB29EB"/>
    <w:rsid w:val="00EB2D60"/>
    <w:rsid w:val="00EB3033"/>
    <w:rsid w:val="00EB3305"/>
    <w:rsid w:val="00EB3D69"/>
    <w:rsid w:val="00EB3F9D"/>
    <w:rsid w:val="00EB41AF"/>
    <w:rsid w:val="00EB44AD"/>
    <w:rsid w:val="00EB4742"/>
    <w:rsid w:val="00EB48A2"/>
    <w:rsid w:val="00EB4AB9"/>
    <w:rsid w:val="00EB4C99"/>
    <w:rsid w:val="00EB4EA9"/>
    <w:rsid w:val="00EB5009"/>
    <w:rsid w:val="00EB5072"/>
    <w:rsid w:val="00EB5422"/>
    <w:rsid w:val="00EB589E"/>
    <w:rsid w:val="00EB5DC6"/>
    <w:rsid w:val="00EB5E5D"/>
    <w:rsid w:val="00EB60D0"/>
    <w:rsid w:val="00EB677A"/>
    <w:rsid w:val="00EB6AD5"/>
    <w:rsid w:val="00EB6CC8"/>
    <w:rsid w:val="00EB6E1F"/>
    <w:rsid w:val="00EB7209"/>
    <w:rsid w:val="00EB77AF"/>
    <w:rsid w:val="00EB7C45"/>
    <w:rsid w:val="00EC03B5"/>
    <w:rsid w:val="00EC071A"/>
    <w:rsid w:val="00EC0B92"/>
    <w:rsid w:val="00EC11AE"/>
    <w:rsid w:val="00EC1964"/>
    <w:rsid w:val="00EC19B2"/>
    <w:rsid w:val="00EC1D69"/>
    <w:rsid w:val="00EC1F5A"/>
    <w:rsid w:val="00EC3182"/>
    <w:rsid w:val="00EC3341"/>
    <w:rsid w:val="00EC39D4"/>
    <w:rsid w:val="00EC3C35"/>
    <w:rsid w:val="00EC4166"/>
    <w:rsid w:val="00EC41A7"/>
    <w:rsid w:val="00EC44CF"/>
    <w:rsid w:val="00EC4671"/>
    <w:rsid w:val="00EC4844"/>
    <w:rsid w:val="00EC4AEE"/>
    <w:rsid w:val="00EC4BCD"/>
    <w:rsid w:val="00EC4C8A"/>
    <w:rsid w:val="00EC4D85"/>
    <w:rsid w:val="00EC5044"/>
    <w:rsid w:val="00EC5141"/>
    <w:rsid w:val="00EC5508"/>
    <w:rsid w:val="00EC56EB"/>
    <w:rsid w:val="00EC578C"/>
    <w:rsid w:val="00EC5989"/>
    <w:rsid w:val="00EC61A2"/>
    <w:rsid w:val="00EC62EA"/>
    <w:rsid w:val="00EC6825"/>
    <w:rsid w:val="00EC6B14"/>
    <w:rsid w:val="00EC6DAA"/>
    <w:rsid w:val="00EC72F6"/>
    <w:rsid w:val="00EC7588"/>
    <w:rsid w:val="00EC7CCA"/>
    <w:rsid w:val="00EC7D0C"/>
    <w:rsid w:val="00ED0346"/>
    <w:rsid w:val="00ED06E2"/>
    <w:rsid w:val="00ED0D03"/>
    <w:rsid w:val="00ED1579"/>
    <w:rsid w:val="00ED15CF"/>
    <w:rsid w:val="00ED163C"/>
    <w:rsid w:val="00ED1723"/>
    <w:rsid w:val="00ED17B7"/>
    <w:rsid w:val="00ED1DD7"/>
    <w:rsid w:val="00ED1E02"/>
    <w:rsid w:val="00ED208F"/>
    <w:rsid w:val="00ED2386"/>
    <w:rsid w:val="00ED27F1"/>
    <w:rsid w:val="00ED2827"/>
    <w:rsid w:val="00ED28CE"/>
    <w:rsid w:val="00ED2BDA"/>
    <w:rsid w:val="00ED2D32"/>
    <w:rsid w:val="00ED2F00"/>
    <w:rsid w:val="00ED2FA4"/>
    <w:rsid w:val="00ED30D8"/>
    <w:rsid w:val="00ED340D"/>
    <w:rsid w:val="00ED36DE"/>
    <w:rsid w:val="00ED3721"/>
    <w:rsid w:val="00ED3AAD"/>
    <w:rsid w:val="00ED3B82"/>
    <w:rsid w:val="00ED3CAB"/>
    <w:rsid w:val="00ED3F1D"/>
    <w:rsid w:val="00ED45D9"/>
    <w:rsid w:val="00ED4724"/>
    <w:rsid w:val="00ED4983"/>
    <w:rsid w:val="00ED4C9D"/>
    <w:rsid w:val="00ED4F22"/>
    <w:rsid w:val="00ED5074"/>
    <w:rsid w:val="00ED5414"/>
    <w:rsid w:val="00ED54B1"/>
    <w:rsid w:val="00ED5EC6"/>
    <w:rsid w:val="00ED5ED1"/>
    <w:rsid w:val="00ED5F0D"/>
    <w:rsid w:val="00ED5FB1"/>
    <w:rsid w:val="00ED6125"/>
    <w:rsid w:val="00ED61C5"/>
    <w:rsid w:val="00ED6320"/>
    <w:rsid w:val="00ED6332"/>
    <w:rsid w:val="00ED644D"/>
    <w:rsid w:val="00ED65A0"/>
    <w:rsid w:val="00ED6B52"/>
    <w:rsid w:val="00ED6F1D"/>
    <w:rsid w:val="00ED743D"/>
    <w:rsid w:val="00ED7808"/>
    <w:rsid w:val="00ED7B68"/>
    <w:rsid w:val="00ED7B7F"/>
    <w:rsid w:val="00ED7F6E"/>
    <w:rsid w:val="00EE0336"/>
    <w:rsid w:val="00EE0628"/>
    <w:rsid w:val="00EE071F"/>
    <w:rsid w:val="00EE09EF"/>
    <w:rsid w:val="00EE0DBD"/>
    <w:rsid w:val="00EE0E63"/>
    <w:rsid w:val="00EE1171"/>
    <w:rsid w:val="00EE11A1"/>
    <w:rsid w:val="00EE12CB"/>
    <w:rsid w:val="00EE1B92"/>
    <w:rsid w:val="00EE1BA7"/>
    <w:rsid w:val="00EE1C18"/>
    <w:rsid w:val="00EE1FEC"/>
    <w:rsid w:val="00EE20C5"/>
    <w:rsid w:val="00EE2257"/>
    <w:rsid w:val="00EE241A"/>
    <w:rsid w:val="00EE24EC"/>
    <w:rsid w:val="00EE2CE4"/>
    <w:rsid w:val="00EE2E72"/>
    <w:rsid w:val="00EE2EAB"/>
    <w:rsid w:val="00EE3096"/>
    <w:rsid w:val="00EE31AC"/>
    <w:rsid w:val="00EE324F"/>
    <w:rsid w:val="00EE3644"/>
    <w:rsid w:val="00EE3985"/>
    <w:rsid w:val="00EE3AC6"/>
    <w:rsid w:val="00EE3F53"/>
    <w:rsid w:val="00EE3F69"/>
    <w:rsid w:val="00EE48DE"/>
    <w:rsid w:val="00EE4BC7"/>
    <w:rsid w:val="00EE4C64"/>
    <w:rsid w:val="00EE4F4B"/>
    <w:rsid w:val="00EE57D8"/>
    <w:rsid w:val="00EE5D82"/>
    <w:rsid w:val="00EE5F42"/>
    <w:rsid w:val="00EE6029"/>
    <w:rsid w:val="00EE60D1"/>
    <w:rsid w:val="00EE648C"/>
    <w:rsid w:val="00EE6806"/>
    <w:rsid w:val="00EE6DFC"/>
    <w:rsid w:val="00EE6EFF"/>
    <w:rsid w:val="00EE6F14"/>
    <w:rsid w:val="00EE6F6D"/>
    <w:rsid w:val="00EE70AE"/>
    <w:rsid w:val="00EE7106"/>
    <w:rsid w:val="00EE7251"/>
    <w:rsid w:val="00EE7647"/>
    <w:rsid w:val="00EE76F2"/>
    <w:rsid w:val="00EE7733"/>
    <w:rsid w:val="00EE77E9"/>
    <w:rsid w:val="00EE7886"/>
    <w:rsid w:val="00EE7B70"/>
    <w:rsid w:val="00EE7E97"/>
    <w:rsid w:val="00EF003C"/>
    <w:rsid w:val="00EF04EA"/>
    <w:rsid w:val="00EF04EB"/>
    <w:rsid w:val="00EF0AD9"/>
    <w:rsid w:val="00EF0AEF"/>
    <w:rsid w:val="00EF0B6A"/>
    <w:rsid w:val="00EF0BAD"/>
    <w:rsid w:val="00EF0F91"/>
    <w:rsid w:val="00EF1156"/>
    <w:rsid w:val="00EF144B"/>
    <w:rsid w:val="00EF147E"/>
    <w:rsid w:val="00EF1798"/>
    <w:rsid w:val="00EF1BDB"/>
    <w:rsid w:val="00EF1D1C"/>
    <w:rsid w:val="00EF1F71"/>
    <w:rsid w:val="00EF2250"/>
    <w:rsid w:val="00EF2634"/>
    <w:rsid w:val="00EF2AE6"/>
    <w:rsid w:val="00EF2EF8"/>
    <w:rsid w:val="00EF3164"/>
    <w:rsid w:val="00EF345F"/>
    <w:rsid w:val="00EF3800"/>
    <w:rsid w:val="00EF3B94"/>
    <w:rsid w:val="00EF3D3E"/>
    <w:rsid w:val="00EF3F23"/>
    <w:rsid w:val="00EF3F6C"/>
    <w:rsid w:val="00EF4311"/>
    <w:rsid w:val="00EF4369"/>
    <w:rsid w:val="00EF49CB"/>
    <w:rsid w:val="00EF49F1"/>
    <w:rsid w:val="00EF4B19"/>
    <w:rsid w:val="00EF4DB6"/>
    <w:rsid w:val="00EF515B"/>
    <w:rsid w:val="00EF5263"/>
    <w:rsid w:val="00EF52C0"/>
    <w:rsid w:val="00EF5461"/>
    <w:rsid w:val="00EF5522"/>
    <w:rsid w:val="00EF56A7"/>
    <w:rsid w:val="00EF5BE2"/>
    <w:rsid w:val="00EF5C73"/>
    <w:rsid w:val="00EF62D8"/>
    <w:rsid w:val="00EF68AE"/>
    <w:rsid w:val="00EF693E"/>
    <w:rsid w:val="00EF6945"/>
    <w:rsid w:val="00EF6BFA"/>
    <w:rsid w:val="00EF6D1E"/>
    <w:rsid w:val="00EF6D78"/>
    <w:rsid w:val="00EF701F"/>
    <w:rsid w:val="00EF79B6"/>
    <w:rsid w:val="00EF7A0F"/>
    <w:rsid w:val="00EF7F21"/>
    <w:rsid w:val="00EF7F65"/>
    <w:rsid w:val="00F00791"/>
    <w:rsid w:val="00F007B5"/>
    <w:rsid w:val="00F00A26"/>
    <w:rsid w:val="00F00C36"/>
    <w:rsid w:val="00F01264"/>
    <w:rsid w:val="00F015A0"/>
    <w:rsid w:val="00F01761"/>
    <w:rsid w:val="00F01E2A"/>
    <w:rsid w:val="00F0230D"/>
    <w:rsid w:val="00F0255D"/>
    <w:rsid w:val="00F0264D"/>
    <w:rsid w:val="00F02761"/>
    <w:rsid w:val="00F0278D"/>
    <w:rsid w:val="00F02A83"/>
    <w:rsid w:val="00F02DBA"/>
    <w:rsid w:val="00F0340B"/>
    <w:rsid w:val="00F035EC"/>
    <w:rsid w:val="00F037EE"/>
    <w:rsid w:val="00F03964"/>
    <w:rsid w:val="00F039AF"/>
    <w:rsid w:val="00F039FE"/>
    <w:rsid w:val="00F0437C"/>
    <w:rsid w:val="00F0444B"/>
    <w:rsid w:val="00F0451F"/>
    <w:rsid w:val="00F046A6"/>
    <w:rsid w:val="00F04717"/>
    <w:rsid w:val="00F04B89"/>
    <w:rsid w:val="00F04EA7"/>
    <w:rsid w:val="00F04FBC"/>
    <w:rsid w:val="00F05160"/>
    <w:rsid w:val="00F05168"/>
    <w:rsid w:val="00F05451"/>
    <w:rsid w:val="00F058AD"/>
    <w:rsid w:val="00F0596B"/>
    <w:rsid w:val="00F05CD7"/>
    <w:rsid w:val="00F05CFC"/>
    <w:rsid w:val="00F05D60"/>
    <w:rsid w:val="00F06208"/>
    <w:rsid w:val="00F0628B"/>
    <w:rsid w:val="00F0676A"/>
    <w:rsid w:val="00F067AF"/>
    <w:rsid w:val="00F06FB9"/>
    <w:rsid w:val="00F071EA"/>
    <w:rsid w:val="00F07707"/>
    <w:rsid w:val="00F079F1"/>
    <w:rsid w:val="00F07CEC"/>
    <w:rsid w:val="00F07F2C"/>
    <w:rsid w:val="00F10567"/>
    <w:rsid w:val="00F105F3"/>
    <w:rsid w:val="00F1089B"/>
    <w:rsid w:val="00F108F4"/>
    <w:rsid w:val="00F10DEB"/>
    <w:rsid w:val="00F11278"/>
    <w:rsid w:val="00F11315"/>
    <w:rsid w:val="00F11318"/>
    <w:rsid w:val="00F11831"/>
    <w:rsid w:val="00F11CD9"/>
    <w:rsid w:val="00F11E73"/>
    <w:rsid w:val="00F11F5F"/>
    <w:rsid w:val="00F124C8"/>
    <w:rsid w:val="00F12851"/>
    <w:rsid w:val="00F12B2B"/>
    <w:rsid w:val="00F12B96"/>
    <w:rsid w:val="00F12BF8"/>
    <w:rsid w:val="00F12D60"/>
    <w:rsid w:val="00F12D6D"/>
    <w:rsid w:val="00F135EB"/>
    <w:rsid w:val="00F13903"/>
    <w:rsid w:val="00F13C83"/>
    <w:rsid w:val="00F13DD3"/>
    <w:rsid w:val="00F13E7A"/>
    <w:rsid w:val="00F1436B"/>
    <w:rsid w:val="00F1465E"/>
    <w:rsid w:val="00F1496A"/>
    <w:rsid w:val="00F14B86"/>
    <w:rsid w:val="00F14D22"/>
    <w:rsid w:val="00F14FA3"/>
    <w:rsid w:val="00F14FA6"/>
    <w:rsid w:val="00F151A1"/>
    <w:rsid w:val="00F15F93"/>
    <w:rsid w:val="00F1613B"/>
    <w:rsid w:val="00F162D4"/>
    <w:rsid w:val="00F165C3"/>
    <w:rsid w:val="00F166B9"/>
    <w:rsid w:val="00F1696C"/>
    <w:rsid w:val="00F1707B"/>
    <w:rsid w:val="00F17807"/>
    <w:rsid w:val="00F17BEA"/>
    <w:rsid w:val="00F2058B"/>
    <w:rsid w:val="00F206C3"/>
    <w:rsid w:val="00F20F10"/>
    <w:rsid w:val="00F20FE9"/>
    <w:rsid w:val="00F21A98"/>
    <w:rsid w:val="00F21C67"/>
    <w:rsid w:val="00F21CC6"/>
    <w:rsid w:val="00F21D43"/>
    <w:rsid w:val="00F21EC7"/>
    <w:rsid w:val="00F224BB"/>
    <w:rsid w:val="00F2256F"/>
    <w:rsid w:val="00F227B5"/>
    <w:rsid w:val="00F229FB"/>
    <w:rsid w:val="00F22A96"/>
    <w:rsid w:val="00F22B42"/>
    <w:rsid w:val="00F22C28"/>
    <w:rsid w:val="00F23104"/>
    <w:rsid w:val="00F23458"/>
    <w:rsid w:val="00F23B67"/>
    <w:rsid w:val="00F23BD4"/>
    <w:rsid w:val="00F23CD9"/>
    <w:rsid w:val="00F240A1"/>
    <w:rsid w:val="00F24126"/>
    <w:rsid w:val="00F243B4"/>
    <w:rsid w:val="00F24434"/>
    <w:rsid w:val="00F2496E"/>
    <w:rsid w:val="00F24B4A"/>
    <w:rsid w:val="00F24D26"/>
    <w:rsid w:val="00F24E78"/>
    <w:rsid w:val="00F24EB3"/>
    <w:rsid w:val="00F24EDF"/>
    <w:rsid w:val="00F2542B"/>
    <w:rsid w:val="00F25916"/>
    <w:rsid w:val="00F25A7E"/>
    <w:rsid w:val="00F25AE6"/>
    <w:rsid w:val="00F25B91"/>
    <w:rsid w:val="00F25C0B"/>
    <w:rsid w:val="00F262F7"/>
    <w:rsid w:val="00F27160"/>
    <w:rsid w:val="00F27277"/>
    <w:rsid w:val="00F27869"/>
    <w:rsid w:val="00F27A41"/>
    <w:rsid w:val="00F27A70"/>
    <w:rsid w:val="00F27B37"/>
    <w:rsid w:val="00F27FBD"/>
    <w:rsid w:val="00F3064A"/>
    <w:rsid w:val="00F30CFD"/>
    <w:rsid w:val="00F31627"/>
    <w:rsid w:val="00F3187C"/>
    <w:rsid w:val="00F31A4C"/>
    <w:rsid w:val="00F31BB4"/>
    <w:rsid w:val="00F3203C"/>
    <w:rsid w:val="00F3209B"/>
    <w:rsid w:val="00F3214C"/>
    <w:rsid w:val="00F322FA"/>
    <w:rsid w:val="00F329AE"/>
    <w:rsid w:val="00F32B65"/>
    <w:rsid w:val="00F32C2D"/>
    <w:rsid w:val="00F32ED4"/>
    <w:rsid w:val="00F32FE6"/>
    <w:rsid w:val="00F330A3"/>
    <w:rsid w:val="00F335AB"/>
    <w:rsid w:val="00F33F8D"/>
    <w:rsid w:val="00F33FE8"/>
    <w:rsid w:val="00F3435D"/>
    <w:rsid w:val="00F34374"/>
    <w:rsid w:val="00F344D0"/>
    <w:rsid w:val="00F34987"/>
    <w:rsid w:val="00F35196"/>
    <w:rsid w:val="00F35329"/>
    <w:rsid w:val="00F354CD"/>
    <w:rsid w:val="00F3579B"/>
    <w:rsid w:val="00F357E3"/>
    <w:rsid w:val="00F358B5"/>
    <w:rsid w:val="00F35C91"/>
    <w:rsid w:val="00F3640F"/>
    <w:rsid w:val="00F364B5"/>
    <w:rsid w:val="00F364DF"/>
    <w:rsid w:val="00F3666A"/>
    <w:rsid w:val="00F3698B"/>
    <w:rsid w:val="00F369DF"/>
    <w:rsid w:val="00F36D3B"/>
    <w:rsid w:val="00F36E6E"/>
    <w:rsid w:val="00F36F15"/>
    <w:rsid w:val="00F37470"/>
    <w:rsid w:val="00F374F6"/>
    <w:rsid w:val="00F37619"/>
    <w:rsid w:val="00F37763"/>
    <w:rsid w:val="00F3799B"/>
    <w:rsid w:val="00F37BC7"/>
    <w:rsid w:val="00F37CB6"/>
    <w:rsid w:val="00F37E3B"/>
    <w:rsid w:val="00F37F65"/>
    <w:rsid w:val="00F4010B"/>
    <w:rsid w:val="00F405F1"/>
    <w:rsid w:val="00F40A61"/>
    <w:rsid w:val="00F40C30"/>
    <w:rsid w:val="00F411BA"/>
    <w:rsid w:val="00F41221"/>
    <w:rsid w:val="00F41222"/>
    <w:rsid w:val="00F4164D"/>
    <w:rsid w:val="00F41872"/>
    <w:rsid w:val="00F41AA8"/>
    <w:rsid w:val="00F41C6A"/>
    <w:rsid w:val="00F41FB3"/>
    <w:rsid w:val="00F42229"/>
    <w:rsid w:val="00F426E8"/>
    <w:rsid w:val="00F42731"/>
    <w:rsid w:val="00F42DAB"/>
    <w:rsid w:val="00F42E06"/>
    <w:rsid w:val="00F43545"/>
    <w:rsid w:val="00F43B5F"/>
    <w:rsid w:val="00F43B8C"/>
    <w:rsid w:val="00F4416A"/>
    <w:rsid w:val="00F442DF"/>
    <w:rsid w:val="00F44532"/>
    <w:rsid w:val="00F4497C"/>
    <w:rsid w:val="00F45223"/>
    <w:rsid w:val="00F45241"/>
    <w:rsid w:val="00F4524C"/>
    <w:rsid w:val="00F46351"/>
    <w:rsid w:val="00F46567"/>
    <w:rsid w:val="00F4679E"/>
    <w:rsid w:val="00F46886"/>
    <w:rsid w:val="00F46C58"/>
    <w:rsid w:val="00F46E42"/>
    <w:rsid w:val="00F46E8A"/>
    <w:rsid w:val="00F4702C"/>
    <w:rsid w:val="00F47092"/>
    <w:rsid w:val="00F4723D"/>
    <w:rsid w:val="00F47836"/>
    <w:rsid w:val="00F47F58"/>
    <w:rsid w:val="00F500E4"/>
    <w:rsid w:val="00F5019E"/>
    <w:rsid w:val="00F505B8"/>
    <w:rsid w:val="00F50A9A"/>
    <w:rsid w:val="00F50D97"/>
    <w:rsid w:val="00F50F2F"/>
    <w:rsid w:val="00F5132E"/>
    <w:rsid w:val="00F514A2"/>
    <w:rsid w:val="00F518AF"/>
    <w:rsid w:val="00F51A56"/>
    <w:rsid w:val="00F52087"/>
    <w:rsid w:val="00F5224D"/>
    <w:rsid w:val="00F522E8"/>
    <w:rsid w:val="00F523AA"/>
    <w:rsid w:val="00F5246A"/>
    <w:rsid w:val="00F52608"/>
    <w:rsid w:val="00F52646"/>
    <w:rsid w:val="00F529E8"/>
    <w:rsid w:val="00F52A30"/>
    <w:rsid w:val="00F52AC3"/>
    <w:rsid w:val="00F53DA3"/>
    <w:rsid w:val="00F53EFE"/>
    <w:rsid w:val="00F53F45"/>
    <w:rsid w:val="00F540CB"/>
    <w:rsid w:val="00F54174"/>
    <w:rsid w:val="00F5434E"/>
    <w:rsid w:val="00F546D5"/>
    <w:rsid w:val="00F549F4"/>
    <w:rsid w:val="00F555FE"/>
    <w:rsid w:val="00F5569C"/>
    <w:rsid w:val="00F55969"/>
    <w:rsid w:val="00F55AEC"/>
    <w:rsid w:val="00F55B1A"/>
    <w:rsid w:val="00F55D5B"/>
    <w:rsid w:val="00F560E9"/>
    <w:rsid w:val="00F563AB"/>
    <w:rsid w:val="00F563F7"/>
    <w:rsid w:val="00F5668B"/>
    <w:rsid w:val="00F56B95"/>
    <w:rsid w:val="00F56C75"/>
    <w:rsid w:val="00F56D55"/>
    <w:rsid w:val="00F57491"/>
    <w:rsid w:val="00F57727"/>
    <w:rsid w:val="00F579E6"/>
    <w:rsid w:val="00F57A2E"/>
    <w:rsid w:val="00F57EFE"/>
    <w:rsid w:val="00F57FD1"/>
    <w:rsid w:val="00F6050A"/>
    <w:rsid w:val="00F60659"/>
    <w:rsid w:val="00F60726"/>
    <w:rsid w:val="00F607C2"/>
    <w:rsid w:val="00F60BA2"/>
    <w:rsid w:val="00F60D1F"/>
    <w:rsid w:val="00F60E13"/>
    <w:rsid w:val="00F60F8D"/>
    <w:rsid w:val="00F61095"/>
    <w:rsid w:val="00F61314"/>
    <w:rsid w:val="00F61377"/>
    <w:rsid w:val="00F617E7"/>
    <w:rsid w:val="00F618C4"/>
    <w:rsid w:val="00F618F5"/>
    <w:rsid w:val="00F61953"/>
    <w:rsid w:val="00F619B1"/>
    <w:rsid w:val="00F61CC7"/>
    <w:rsid w:val="00F61EDA"/>
    <w:rsid w:val="00F6208F"/>
    <w:rsid w:val="00F620C7"/>
    <w:rsid w:val="00F623D8"/>
    <w:rsid w:val="00F627BD"/>
    <w:rsid w:val="00F62B89"/>
    <w:rsid w:val="00F62F41"/>
    <w:rsid w:val="00F632AF"/>
    <w:rsid w:val="00F63382"/>
    <w:rsid w:val="00F634F6"/>
    <w:rsid w:val="00F63595"/>
    <w:rsid w:val="00F63778"/>
    <w:rsid w:val="00F6457B"/>
    <w:rsid w:val="00F64703"/>
    <w:rsid w:val="00F64EBE"/>
    <w:rsid w:val="00F6512D"/>
    <w:rsid w:val="00F6558A"/>
    <w:rsid w:val="00F656B2"/>
    <w:rsid w:val="00F65CF7"/>
    <w:rsid w:val="00F65D25"/>
    <w:rsid w:val="00F65DC1"/>
    <w:rsid w:val="00F65E3D"/>
    <w:rsid w:val="00F65F0D"/>
    <w:rsid w:val="00F65F5F"/>
    <w:rsid w:val="00F66327"/>
    <w:rsid w:val="00F663EB"/>
    <w:rsid w:val="00F6657B"/>
    <w:rsid w:val="00F66ABF"/>
    <w:rsid w:val="00F66D8E"/>
    <w:rsid w:val="00F673B8"/>
    <w:rsid w:val="00F67520"/>
    <w:rsid w:val="00F675BF"/>
    <w:rsid w:val="00F6775C"/>
    <w:rsid w:val="00F67954"/>
    <w:rsid w:val="00F679F5"/>
    <w:rsid w:val="00F67AAC"/>
    <w:rsid w:val="00F67F1C"/>
    <w:rsid w:val="00F7087F"/>
    <w:rsid w:val="00F70B0D"/>
    <w:rsid w:val="00F70BA8"/>
    <w:rsid w:val="00F7103F"/>
    <w:rsid w:val="00F71FFE"/>
    <w:rsid w:val="00F728D6"/>
    <w:rsid w:val="00F72AC3"/>
    <w:rsid w:val="00F72EB6"/>
    <w:rsid w:val="00F73157"/>
    <w:rsid w:val="00F73320"/>
    <w:rsid w:val="00F73373"/>
    <w:rsid w:val="00F73B86"/>
    <w:rsid w:val="00F73D2D"/>
    <w:rsid w:val="00F73E9A"/>
    <w:rsid w:val="00F741BD"/>
    <w:rsid w:val="00F745E0"/>
    <w:rsid w:val="00F7475B"/>
    <w:rsid w:val="00F74784"/>
    <w:rsid w:val="00F748EA"/>
    <w:rsid w:val="00F74D42"/>
    <w:rsid w:val="00F74ECD"/>
    <w:rsid w:val="00F7507F"/>
    <w:rsid w:val="00F753FB"/>
    <w:rsid w:val="00F75404"/>
    <w:rsid w:val="00F75D83"/>
    <w:rsid w:val="00F7601E"/>
    <w:rsid w:val="00F761F3"/>
    <w:rsid w:val="00F763BF"/>
    <w:rsid w:val="00F76678"/>
    <w:rsid w:val="00F76870"/>
    <w:rsid w:val="00F76B59"/>
    <w:rsid w:val="00F76BAC"/>
    <w:rsid w:val="00F76BC0"/>
    <w:rsid w:val="00F77099"/>
    <w:rsid w:val="00F77287"/>
    <w:rsid w:val="00F772DB"/>
    <w:rsid w:val="00F772FB"/>
    <w:rsid w:val="00F778FF"/>
    <w:rsid w:val="00F77B4D"/>
    <w:rsid w:val="00F77C44"/>
    <w:rsid w:val="00F80052"/>
    <w:rsid w:val="00F805D8"/>
    <w:rsid w:val="00F80778"/>
    <w:rsid w:val="00F8077F"/>
    <w:rsid w:val="00F80ACC"/>
    <w:rsid w:val="00F80D5E"/>
    <w:rsid w:val="00F819B0"/>
    <w:rsid w:val="00F820DF"/>
    <w:rsid w:val="00F8239A"/>
    <w:rsid w:val="00F824C1"/>
    <w:rsid w:val="00F82DB6"/>
    <w:rsid w:val="00F83A25"/>
    <w:rsid w:val="00F83C02"/>
    <w:rsid w:val="00F83D5C"/>
    <w:rsid w:val="00F83F58"/>
    <w:rsid w:val="00F840B8"/>
    <w:rsid w:val="00F8441C"/>
    <w:rsid w:val="00F8471C"/>
    <w:rsid w:val="00F84908"/>
    <w:rsid w:val="00F8511D"/>
    <w:rsid w:val="00F85498"/>
    <w:rsid w:val="00F85840"/>
    <w:rsid w:val="00F85CCD"/>
    <w:rsid w:val="00F85F14"/>
    <w:rsid w:val="00F86382"/>
    <w:rsid w:val="00F8645D"/>
    <w:rsid w:val="00F867A5"/>
    <w:rsid w:val="00F86878"/>
    <w:rsid w:val="00F86882"/>
    <w:rsid w:val="00F8688A"/>
    <w:rsid w:val="00F86BC5"/>
    <w:rsid w:val="00F86E29"/>
    <w:rsid w:val="00F874A0"/>
    <w:rsid w:val="00F8755A"/>
    <w:rsid w:val="00F87A5D"/>
    <w:rsid w:val="00F87AA1"/>
    <w:rsid w:val="00F87B07"/>
    <w:rsid w:val="00F87BF6"/>
    <w:rsid w:val="00F87FD8"/>
    <w:rsid w:val="00F900E9"/>
    <w:rsid w:val="00F90660"/>
    <w:rsid w:val="00F90D62"/>
    <w:rsid w:val="00F90E3B"/>
    <w:rsid w:val="00F90F5C"/>
    <w:rsid w:val="00F91BEA"/>
    <w:rsid w:val="00F91C56"/>
    <w:rsid w:val="00F91D26"/>
    <w:rsid w:val="00F91DC7"/>
    <w:rsid w:val="00F91EE9"/>
    <w:rsid w:val="00F91F69"/>
    <w:rsid w:val="00F91F98"/>
    <w:rsid w:val="00F92312"/>
    <w:rsid w:val="00F9232B"/>
    <w:rsid w:val="00F92743"/>
    <w:rsid w:val="00F928D6"/>
    <w:rsid w:val="00F92CDF"/>
    <w:rsid w:val="00F930A4"/>
    <w:rsid w:val="00F93813"/>
    <w:rsid w:val="00F9395B"/>
    <w:rsid w:val="00F93D8F"/>
    <w:rsid w:val="00F9468C"/>
    <w:rsid w:val="00F94714"/>
    <w:rsid w:val="00F94880"/>
    <w:rsid w:val="00F94AD3"/>
    <w:rsid w:val="00F95382"/>
    <w:rsid w:val="00F956B6"/>
    <w:rsid w:val="00F959E2"/>
    <w:rsid w:val="00F96148"/>
    <w:rsid w:val="00F9670B"/>
    <w:rsid w:val="00F967AD"/>
    <w:rsid w:val="00F96868"/>
    <w:rsid w:val="00F96934"/>
    <w:rsid w:val="00F9699C"/>
    <w:rsid w:val="00F96EA1"/>
    <w:rsid w:val="00F9742F"/>
    <w:rsid w:val="00F975CC"/>
    <w:rsid w:val="00F9774E"/>
    <w:rsid w:val="00F979C3"/>
    <w:rsid w:val="00F97AE0"/>
    <w:rsid w:val="00F97C60"/>
    <w:rsid w:val="00FA0280"/>
    <w:rsid w:val="00FA03FA"/>
    <w:rsid w:val="00FA066F"/>
    <w:rsid w:val="00FA15AF"/>
    <w:rsid w:val="00FA15D4"/>
    <w:rsid w:val="00FA1AEF"/>
    <w:rsid w:val="00FA2181"/>
    <w:rsid w:val="00FA2360"/>
    <w:rsid w:val="00FA2B92"/>
    <w:rsid w:val="00FA2EA8"/>
    <w:rsid w:val="00FA2FD2"/>
    <w:rsid w:val="00FA33D2"/>
    <w:rsid w:val="00FA33F7"/>
    <w:rsid w:val="00FA344B"/>
    <w:rsid w:val="00FA366F"/>
    <w:rsid w:val="00FA3A80"/>
    <w:rsid w:val="00FA3E76"/>
    <w:rsid w:val="00FA43CB"/>
    <w:rsid w:val="00FA448A"/>
    <w:rsid w:val="00FA4545"/>
    <w:rsid w:val="00FA467A"/>
    <w:rsid w:val="00FA47EA"/>
    <w:rsid w:val="00FA4A8D"/>
    <w:rsid w:val="00FA5295"/>
    <w:rsid w:val="00FA5825"/>
    <w:rsid w:val="00FA5B91"/>
    <w:rsid w:val="00FA5FC1"/>
    <w:rsid w:val="00FA637C"/>
    <w:rsid w:val="00FA65EE"/>
    <w:rsid w:val="00FA6AAB"/>
    <w:rsid w:val="00FA6B8F"/>
    <w:rsid w:val="00FA6C43"/>
    <w:rsid w:val="00FA6EFD"/>
    <w:rsid w:val="00FA7297"/>
    <w:rsid w:val="00FA765B"/>
    <w:rsid w:val="00FA7667"/>
    <w:rsid w:val="00FA7B6E"/>
    <w:rsid w:val="00FA7BBE"/>
    <w:rsid w:val="00FA7C0A"/>
    <w:rsid w:val="00FA7F2A"/>
    <w:rsid w:val="00FB016C"/>
    <w:rsid w:val="00FB03E4"/>
    <w:rsid w:val="00FB0839"/>
    <w:rsid w:val="00FB0E22"/>
    <w:rsid w:val="00FB1148"/>
    <w:rsid w:val="00FB14EA"/>
    <w:rsid w:val="00FB15D1"/>
    <w:rsid w:val="00FB1824"/>
    <w:rsid w:val="00FB183F"/>
    <w:rsid w:val="00FB19F8"/>
    <w:rsid w:val="00FB1C1F"/>
    <w:rsid w:val="00FB1C9F"/>
    <w:rsid w:val="00FB1D4A"/>
    <w:rsid w:val="00FB23FF"/>
    <w:rsid w:val="00FB2755"/>
    <w:rsid w:val="00FB29C0"/>
    <w:rsid w:val="00FB31F8"/>
    <w:rsid w:val="00FB32B8"/>
    <w:rsid w:val="00FB32F3"/>
    <w:rsid w:val="00FB33E8"/>
    <w:rsid w:val="00FB35D0"/>
    <w:rsid w:val="00FB35FE"/>
    <w:rsid w:val="00FB376E"/>
    <w:rsid w:val="00FB3819"/>
    <w:rsid w:val="00FB38A4"/>
    <w:rsid w:val="00FB38AF"/>
    <w:rsid w:val="00FB3999"/>
    <w:rsid w:val="00FB3BAF"/>
    <w:rsid w:val="00FB3E32"/>
    <w:rsid w:val="00FB4120"/>
    <w:rsid w:val="00FB428C"/>
    <w:rsid w:val="00FB4909"/>
    <w:rsid w:val="00FB4E93"/>
    <w:rsid w:val="00FB51E4"/>
    <w:rsid w:val="00FB586C"/>
    <w:rsid w:val="00FB59FD"/>
    <w:rsid w:val="00FB5A42"/>
    <w:rsid w:val="00FB6699"/>
    <w:rsid w:val="00FB6DEB"/>
    <w:rsid w:val="00FB7408"/>
    <w:rsid w:val="00FB77E2"/>
    <w:rsid w:val="00FB7A65"/>
    <w:rsid w:val="00FB7C66"/>
    <w:rsid w:val="00FC022D"/>
    <w:rsid w:val="00FC037F"/>
    <w:rsid w:val="00FC0709"/>
    <w:rsid w:val="00FC07C2"/>
    <w:rsid w:val="00FC08A4"/>
    <w:rsid w:val="00FC0EC9"/>
    <w:rsid w:val="00FC0F3B"/>
    <w:rsid w:val="00FC1336"/>
    <w:rsid w:val="00FC1610"/>
    <w:rsid w:val="00FC17DC"/>
    <w:rsid w:val="00FC17FA"/>
    <w:rsid w:val="00FC1B06"/>
    <w:rsid w:val="00FC2455"/>
    <w:rsid w:val="00FC24BC"/>
    <w:rsid w:val="00FC2875"/>
    <w:rsid w:val="00FC28D2"/>
    <w:rsid w:val="00FC2A99"/>
    <w:rsid w:val="00FC2D8B"/>
    <w:rsid w:val="00FC2F7D"/>
    <w:rsid w:val="00FC2FBB"/>
    <w:rsid w:val="00FC31C9"/>
    <w:rsid w:val="00FC34CA"/>
    <w:rsid w:val="00FC3753"/>
    <w:rsid w:val="00FC3A95"/>
    <w:rsid w:val="00FC4D74"/>
    <w:rsid w:val="00FC4F8C"/>
    <w:rsid w:val="00FC5139"/>
    <w:rsid w:val="00FC5171"/>
    <w:rsid w:val="00FC5298"/>
    <w:rsid w:val="00FC5524"/>
    <w:rsid w:val="00FC5812"/>
    <w:rsid w:val="00FC58CF"/>
    <w:rsid w:val="00FC5D3B"/>
    <w:rsid w:val="00FC5ED7"/>
    <w:rsid w:val="00FC6030"/>
    <w:rsid w:val="00FC6741"/>
    <w:rsid w:val="00FC6817"/>
    <w:rsid w:val="00FC6B4F"/>
    <w:rsid w:val="00FC6D28"/>
    <w:rsid w:val="00FC70F3"/>
    <w:rsid w:val="00FC7277"/>
    <w:rsid w:val="00FC74D6"/>
    <w:rsid w:val="00FC7593"/>
    <w:rsid w:val="00FC75AC"/>
    <w:rsid w:val="00FC75CE"/>
    <w:rsid w:val="00FC7AE7"/>
    <w:rsid w:val="00FD00B6"/>
    <w:rsid w:val="00FD04B9"/>
    <w:rsid w:val="00FD0784"/>
    <w:rsid w:val="00FD09B7"/>
    <w:rsid w:val="00FD09E1"/>
    <w:rsid w:val="00FD0A03"/>
    <w:rsid w:val="00FD1228"/>
    <w:rsid w:val="00FD1562"/>
    <w:rsid w:val="00FD1D5A"/>
    <w:rsid w:val="00FD1EC6"/>
    <w:rsid w:val="00FD2393"/>
    <w:rsid w:val="00FD3306"/>
    <w:rsid w:val="00FD34B8"/>
    <w:rsid w:val="00FD35E0"/>
    <w:rsid w:val="00FD3661"/>
    <w:rsid w:val="00FD36B1"/>
    <w:rsid w:val="00FD38E2"/>
    <w:rsid w:val="00FD3FE9"/>
    <w:rsid w:val="00FD4098"/>
    <w:rsid w:val="00FD4225"/>
    <w:rsid w:val="00FD445F"/>
    <w:rsid w:val="00FD4C79"/>
    <w:rsid w:val="00FD5303"/>
    <w:rsid w:val="00FD57A4"/>
    <w:rsid w:val="00FD5CCB"/>
    <w:rsid w:val="00FD5DEF"/>
    <w:rsid w:val="00FD5EF7"/>
    <w:rsid w:val="00FD62BB"/>
    <w:rsid w:val="00FD6811"/>
    <w:rsid w:val="00FD69AB"/>
    <w:rsid w:val="00FD6A84"/>
    <w:rsid w:val="00FD70C5"/>
    <w:rsid w:val="00FD7239"/>
    <w:rsid w:val="00FD724D"/>
    <w:rsid w:val="00FD766C"/>
    <w:rsid w:val="00FD7D1D"/>
    <w:rsid w:val="00FD7DB8"/>
    <w:rsid w:val="00FD7E40"/>
    <w:rsid w:val="00FE004A"/>
    <w:rsid w:val="00FE01FB"/>
    <w:rsid w:val="00FE0839"/>
    <w:rsid w:val="00FE0C5A"/>
    <w:rsid w:val="00FE0E6E"/>
    <w:rsid w:val="00FE1039"/>
    <w:rsid w:val="00FE12BE"/>
    <w:rsid w:val="00FE14E0"/>
    <w:rsid w:val="00FE15D8"/>
    <w:rsid w:val="00FE167B"/>
    <w:rsid w:val="00FE1725"/>
    <w:rsid w:val="00FE179C"/>
    <w:rsid w:val="00FE17D0"/>
    <w:rsid w:val="00FE1822"/>
    <w:rsid w:val="00FE19B4"/>
    <w:rsid w:val="00FE1C32"/>
    <w:rsid w:val="00FE1E3A"/>
    <w:rsid w:val="00FE236A"/>
    <w:rsid w:val="00FE23DD"/>
    <w:rsid w:val="00FE26D9"/>
    <w:rsid w:val="00FE2C2C"/>
    <w:rsid w:val="00FE3076"/>
    <w:rsid w:val="00FE345C"/>
    <w:rsid w:val="00FE3524"/>
    <w:rsid w:val="00FE36E3"/>
    <w:rsid w:val="00FE3D7B"/>
    <w:rsid w:val="00FE3EFB"/>
    <w:rsid w:val="00FE3F00"/>
    <w:rsid w:val="00FE3F89"/>
    <w:rsid w:val="00FE4034"/>
    <w:rsid w:val="00FE4424"/>
    <w:rsid w:val="00FE4483"/>
    <w:rsid w:val="00FE4BFD"/>
    <w:rsid w:val="00FE4F70"/>
    <w:rsid w:val="00FE4FFD"/>
    <w:rsid w:val="00FE50A6"/>
    <w:rsid w:val="00FE519F"/>
    <w:rsid w:val="00FE5427"/>
    <w:rsid w:val="00FE595A"/>
    <w:rsid w:val="00FE59FD"/>
    <w:rsid w:val="00FE5E84"/>
    <w:rsid w:val="00FE60E3"/>
    <w:rsid w:val="00FE6369"/>
    <w:rsid w:val="00FE65FB"/>
    <w:rsid w:val="00FE6E6B"/>
    <w:rsid w:val="00FE75E9"/>
    <w:rsid w:val="00FE7876"/>
    <w:rsid w:val="00FE78C4"/>
    <w:rsid w:val="00FE7B1E"/>
    <w:rsid w:val="00FE7C0C"/>
    <w:rsid w:val="00FE7F98"/>
    <w:rsid w:val="00FE7FF5"/>
    <w:rsid w:val="00FF09CE"/>
    <w:rsid w:val="00FF0BC5"/>
    <w:rsid w:val="00FF0BC9"/>
    <w:rsid w:val="00FF1466"/>
    <w:rsid w:val="00FF1594"/>
    <w:rsid w:val="00FF19FD"/>
    <w:rsid w:val="00FF1FA3"/>
    <w:rsid w:val="00FF202D"/>
    <w:rsid w:val="00FF255E"/>
    <w:rsid w:val="00FF25B9"/>
    <w:rsid w:val="00FF266E"/>
    <w:rsid w:val="00FF2A9E"/>
    <w:rsid w:val="00FF2C41"/>
    <w:rsid w:val="00FF2E7F"/>
    <w:rsid w:val="00FF306D"/>
    <w:rsid w:val="00FF3421"/>
    <w:rsid w:val="00FF358F"/>
    <w:rsid w:val="00FF38DB"/>
    <w:rsid w:val="00FF393F"/>
    <w:rsid w:val="00FF3D71"/>
    <w:rsid w:val="00FF4937"/>
    <w:rsid w:val="00FF4A17"/>
    <w:rsid w:val="00FF4AE6"/>
    <w:rsid w:val="00FF5677"/>
    <w:rsid w:val="00FF5736"/>
    <w:rsid w:val="00FF5C91"/>
    <w:rsid w:val="00FF5F9F"/>
    <w:rsid w:val="00FF603A"/>
    <w:rsid w:val="00FF6418"/>
    <w:rsid w:val="00FF65E4"/>
    <w:rsid w:val="00FF6D78"/>
    <w:rsid w:val="00FF6E30"/>
    <w:rsid w:val="00FF6F25"/>
    <w:rsid w:val="00FF7068"/>
    <w:rsid w:val="00FF7595"/>
    <w:rsid w:val="00FF764E"/>
    <w:rsid w:val="00FF7CE7"/>
    <w:rsid w:val="00FF7E70"/>
    <w:rsid w:val="094AF58B"/>
    <w:rsid w:val="3A3651C7"/>
    <w:rsid w:val="43EF2A9E"/>
    <w:rsid w:val="7955820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5D9A2"/>
  <w15:chartTrackingRefBased/>
  <w15:docId w15:val="{9F154568-820E-4D49-BBD6-4C6502DD1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02AEE"/>
    <w:pPr>
      <w:spacing w:before="120" w:after="120" w:line="280" w:lineRule="atLeast"/>
    </w:pPr>
    <w:rPr>
      <w:rFonts w:eastAsiaTheme="minorHAnsi"/>
      <w:sz w:val="20"/>
      <w:szCs w:val="20"/>
    </w:rPr>
  </w:style>
  <w:style w:type="paragraph" w:styleId="Heading1">
    <w:name w:val="heading 1"/>
    <w:basedOn w:val="Normal"/>
    <w:next w:val="BodyText"/>
    <w:link w:val="Heading1Char"/>
    <w:uiPriority w:val="9"/>
    <w:qFormat/>
    <w:rsid w:val="00402AEE"/>
    <w:pPr>
      <w:numPr>
        <w:numId w:val="28"/>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402AEE"/>
    <w:pPr>
      <w:keepNext/>
      <w:keepLines/>
      <w:numPr>
        <w:ilvl w:val="2"/>
        <w:numId w:val="28"/>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402AEE"/>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402AEE"/>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402AEE"/>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402AEE"/>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402AEE"/>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402AEE"/>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402AEE"/>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rsid w:val="00402AE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02AEE"/>
  </w:style>
  <w:style w:type="character" w:styleId="PlaceholderText">
    <w:name w:val="Placeholder Text"/>
    <w:basedOn w:val="DefaultParagraphFont"/>
    <w:uiPriority w:val="99"/>
    <w:semiHidden/>
    <w:rsid w:val="00402AEE"/>
    <w:rPr>
      <w:color w:val="808080"/>
    </w:rPr>
  </w:style>
  <w:style w:type="paragraph" w:styleId="Date">
    <w:name w:val="Date"/>
    <w:basedOn w:val="Normal"/>
    <w:next w:val="Normal"/>
    <w:link w:val="DateChar"/>
    <w:uiPriority w:val="99"/>
    <w:unhideWhenUsed/>
    <w:rsid w:val="00402AEE"/>
    <w:pPr>
      <w:spacing w:after="360" w:line="293" w:lineRule="auto"/>
    </w:pPr>
  </w:style>
  <w:style w:type="character" w:customStyle="1" w:styleId="DateChar">
    <w:name w:val="Date Char"/>
    <w:basedOn w:val="DefaultParagraphFont"/>
    <w:link w:val="Date"/>
    <w:uiPriority w:val="99"/>
    <w:rsid w:val="00402AEE"/>
    <w:rPr>
      <w:rFonts w:eastAsiaTheme="minorHAnsi"/>
      <w:sz w:val="20"/>
      <w:szCs w:val="20"/>
    </w:rPr>
  </w:style>
  <w:style w:type="paragraph" w:styleId="NoSpacing">
    <w:name w:val="No Spacing"/>
    <w:basedOn w:val="Normal"/>
    <w:link w:val="NoSpacingChar"/>
    <w:uiPriority w:val="10"/>
    <w:qFormat/>
    <w:rsid w:val="00402AEE"/>
    <w:pPr>
      <w:spacing w:before="0" w:after="0"/>
    </w:pPr>
  </w:style>
  <w:style w:type="paragraph" w:styleId="ListBullet">
    <w:name w:val="List Bullet"/>
    <w:basedOn w:val="Normal"/>
    <w:link w:val="ListBulletChar"/>
    <w:uiPriority w:val="1"/>
    <w:qFormat/>
    <w:rsid w:val="00402AEE"/>
    <w:pPr>
      <w:numPr>
        <w:numId w:val="12"/>
      </w:numPr>
      <w:contextualSpacing/>
    </w:pPr>
  </w:style>
  <w:style w:type="paragraph" w:styleId="ListBullet2">
    <w:name w:val="List Bullet 2"/>
    <w:basedOn w:val="Normal"/>
    <w:uiPriority w:val="1"/>
    <w:qFormat/>
    <w:rsid w:val="00402AEE"/>
    <w:pPr>
      <w:numPr>
        <w:ilvl w:val="1"/>
        <w:numId w:val="12"/>
      </w:numPr>
      <w:contextualSpacing/>
    </w:pPr>
  </w:style>
  <w:style w:type="paragraph" w:styleId="ListNumber">
    <w:name w:val="List Number"/>
    <w:basedOn w:val="Normal"/>
    <w:uiPriority w:val="2"/>
    <w:qFormat/>
    <w:rsid w:val="00402AEE"/>
    <w:pPr>
      <w:numPr>
        <w:numId w:val="27"/>
      </w:numPr>
      <w:spacing w:before="60"/>
      <w:ind w:left="340" w:hanging="340"/>
      <w:contextualSpacing/>
    </w:pPr>
  </w:style>
  <w:style w:type="numbering" w:customStyle="1" w:styleId="Bullets">
    <w:name w:val="Bullets"/>
    <w:uiPriority w:val="99"/>
    <w:rsid w:val="00402AEE"/>
    <w:pPr>
      <w:numPr>
        <w:numId w:val="41"/>
      </w:numPr>
    </w:pPr>
  </w:style>
  <w:style w:type="character" w:customStyle="1" w:styleId="Heading1Char">
    <w:name w:val="Heading 1 Char"/>
    <w:basedOn w:val="DefaultParagraphFont"/>
    <w:link w:val="Heading1"/>
    <w:uiPriority w:val="9"/>
    <w:rsid w:val="00402AEE"/>
    <w:rPr>
      <w:rFonts w:asciiTheme="majorHAnsi" w:eastAsiaTheme="min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402AEE"/>
    <w:pPr>
      <w:numPr>
        <w:ilvl w:val="1"/>
        <w:numId w:val="27"/>
      </w:numPr>
      <w:spacing w:before="60"/>
      <w:contextualSpacing/>
    </w:pPr>
  </w:style>
  <w:style w:type="character" w:customStyle="1" w:styleId="Heading2Char">
    <w:name w:val="Heading 2 Char"/>
    <w:basedOn w:val="DefaultParagraphFont"/>
    <w:link w:val="Heading2"/>
    <w:uiPriority w:val="9"/>
    <w:rsid w:val="00402AEE"/>
    <w:rPr>
      <w:rFonts w:asciiTheme="majorHAnsi" w:eastAsiaTheme="majorEastAsia" w:hAnsiTheme="majorHAnsi" w:cstheme="majorBidi"/>
      <w:sz w:val="30"/>
      <w:szCs w:val="60"/>
    </w:rPr>
  </w:style>
  <w:style w:type="paragraph" w:styleId="ListParagraph">
    <w:name w:val="List Paragraph"/>
    <w:basedOn w:val="Normal"/>
    <w:uiPriority w:val="34"/>
    <w:rsid w:val="00402AEE"/>
    <w:pPr>
      <w:spacing w:line="293" w:lineRule="auto"/>
      <w:ind w:left="284"/>
      <w:contextualSpacing/>
    </w:pPr>
  </w:style>
  <w:style w:type="paragraph" w:styleId="Header">
    <w:name w:val="header"/>
    <w:basedOn w:val="Normal"/>
    <w:link w:val="HeaderChar"/>
    <w:uiPriority w:val="99"/>
    <w:unhideWhenUsed/>
    <w:rsid w:val="00402AEE"/>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402AEE"/>
    <w:rPr>
      <w:rFonts w:eastAsiaTheme="minorHAnsi"/>
      <w:sz w:val="16"/>
      <w:szCs w:val="20"/>
    </w:rPr>
  </w:style>
  <w:style w:type="paragraph" w:styleId="Footer">
    <w:name w:val="footer"/>
    <w:basedOn w:val="Normal"/>
    <w:link w:val="FooterChar"/>
    <w:uiPriority w:val="11"/>
    <w:rsid w:val="00402AEE"/>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402AEE"/>
    <w:rPr>
      <w:rFonts w:asciiTheme="majorHAnsi" w:eastAsiaTheme="minorHAnsi" w:hAnsiTheme="majorHAnsi"/>
      <w:sz w:val="17"/>
    </w:rPr>
  </w:style>
  <w:style w:type="numbering" w:customStyle="1" w:styleId="Numbering">
    <w:name w:val="Numbering"/>
    <w:uiPriority w:val="99"/>
    <w:rsid w:val="00402AEE"/>
    <w:pPr>
      <w:numPr>
        <w:numId w:val="11"/>
      </w:numPr>
    </w:pPr>
  </w:style>
  <w:style w:type="paragraph" w:styleId="ListBullet3">
    <w:name w:val="List Bullet 3"/>
    <w:basedOn w:val="Normal"/>
    <w:uiPriority w:val="1"/>
    <w:qFormat/>
    <w:rsid w:val="00402AEE"/>
    <w:pPr>
      <w:numPr>
        <w:ilvl w:val="2"/>
        <w:numId w:val="12"/>
      </w:numPr>
      <w:ind w:left="681"/>
      <w:contextualSpacing/>
    </w:pPr>
  </w:style>
  <w:style w:type="paragraph" w:styleId="ListContinue2">
    <w:name w:val="List Continue 2"/>
    <w:basedOn w:val="Normal"/>
    <w:uiPriority w:val="3"/>
    <w:unhideWhenUsed/>
    <w:qFormat/>
    <w:rsid w:val="00402AEE"/>
    <w:pPr>
      <w:spacing w:before="60"/>
      <w:ind w:left="454"/>
    </w:pPr>
  </w:style>
  <w:style w:type="paragraph" w:styleId="ListNumber3">
    <w:name w:val="List Number 3"/>
    <w:basedOn w:val="Normal"/>
    <w:uiPriority w:val="13"/>
    <w:qFormat/>
    <w:rsid w:val="00402AEE"/>
    <w:pPr>
      <w:numPr>
        <w:ilvl w:val="2"/>
        <w:numId w:val="27"/>
      </w:numPr>
      <w:spacing w:before="60"/>
      <w:contextualSpacing/>
    </w:pPr>
  </w:style>
  <w:style w:type="paragraph" w:styleId="ListNumber4">
    <w:name w:val="List Number 4"/>
    <w:basedOn w:val="Normal"/>
    <w:uiPriority w:val="13"/>
    <w:semiHidden/>
    <w:qFormat/>
    <w:rsid w:val="00402AEE"/>
    <w:pPr>
      <w:numPr>
        <w:ilvl w:val="3"/>
        <w:numId w:val="27"/>
      </w:numPr>
      <w:spacing w:after="200" w:line="293" w:lineRule="auto"/>
      <w:contextualSpacing/>
    </w:pPr>
  </w:style>
  <w:style w:type="paragraph" w:styleId="ListNumber5">
    <w:name w:val="List Number 5"/>
    <w:basedOn w:val="Normal"/>
    <w:uiPriority w:val="13"/>
    <w:semiHidden/>
    <w:rsid w:val="00402AEE"/>
    <w:pPr>
      <w:numPr>
        <w:ilvl w:val="4"/>
        <w:numId w:val="27"/>
      </w:numPr>
      <w:spacing w:after="200" w:line="293" w:lineRule="auto"/>
      <w:contextualSpacing/>
    </w:pPr>
  </w:style>
  <w:style w:type="paragraph" w:styleId="ListContinue">
    <w:name w:val="List Continue"/>
    <w:basedOn w:val="Normal"/>
    <w:uiPriority w:val="3"/>
    <w:unhideWhenUsed/>
    <w:qFormat/>
    <w:rsid w:val="00402AEE"/>
    <w:pPr>
      <w:spacing w:before="60"/>
      <w:ind w:left="227"/>
    </w:pPr>
  </w:style>
  <w:style w:type="paragraph" w:styleId="ListContinue3">
    <w:name w:val="List Continue 3"/>
    <w:basedOn w:val="Normal"/>
    <w:uiPriority w:val="3"/>
    <w:unhideWhenUsed/>
    <w:qFormat/>
    <w:rsid w:val="00402AEE"/>
    <w:pPr>
      <w:spacing w:before="60"/>
      <w:ind w:left="907"/>
    </w:pPr>
  </w:style>
  <w:style w:type="paragraph" w:styleId="ListContinue4">
    <w:name w:val="List Continue 4"/>
    <w:basedOn w:val="Normal"/>
    <w:uiPriority w:val="3"/>
    <w:unhideWhenUsed/>
    <w:qFormat/>
    <w:rsid w:val="00402AEE"/>
    <w:pPr>
      <w:spacing w:line="293" w:lineRule="auto"/>
      <w:ind w:left="907"/>
      <w:contextualSpacing/>
    </w:pPr>
  </w:style>
  <w:style w:type="character" w:customStyle="1" w:styleId="Heading3Char">
    <w:name w:val="Heading 3 Char"/>
    <w:basedOn w:val="DefaultParagraphFont"/>
    <w:link w:val="Heading3"/>
    <w:uiPriority w:val="9"/>
    <w:rsid w:val="00402AEE"/>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402AEE"/>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402AEE"/>
    <w:rPr>
      <w:rFonts w:eastAsiaTheme="majorEastAsia" w:cstheme="majorBidi"/>
      <w:b/>
      <w:color w:val="265A9A" w:themeColor="background2"/>
      <w:szCs w:val="29"/>
    </w:rPr>
  </w:style>
  <w:style w:type="numbering" w:customStyle="1" w:styleId="ListHeadings">
    <w:name w:val="List Headings"/>
    <w:uiPriority w:val="99"/>
    <w:rsid w:val="00402AEE"/>
    <w:pPr>
      <w:numPr>
        <w:numId w:val="38"/>
      </w:numPr>
    </w:pPr>
  </w:style>
  <w:style w:type="paragraph" w:styleId="Title">
    <w:name w:val="Title"/>
    <w:basedOn w:val="Heading1"/>
    <w:next w:val="Normal"/>
    <w:link w:val="TitleChar"/>
    <w:uiPriority w:val="39"/>
    <w:rsid w:val="00402AEE"/>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402AEE"/>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402AEE"/>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02AEE"/>
    <w:rPr>
      <w:b/>
    </w:rPr>
  </w:style>
  <w:style w:type="character" w:customStyle="1" w:styleId="Pull-outQuoteChar">
    <w:name w:val="Pull-out Quote Char"/>
    <w:basedOn w:val="DefaultParagraphFont"/>
    <w:link w:val="Pull-outQuote"/>
    <w:uiPriority w:val="99"/>
    <w:semiHidden/>
    <w:rsid w:val="00402AEE"/>
    <w:rPr>
      <w:rFonts w:eastAsiaTheme="minorHAnsi"/>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402AEE"/>
    <w:rPr>
      <w:rFonts w:eastAsiaTheme="minorHAnsi"/>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402AEE"/>
  </w:style>
  <w:style w:type="paragraph" w:customStyle="1" w:styleId="NumberedHeading2">
    <w:name w:val="Numbered Heading 2"/>
    <w:basedOn w:val="Heading2"/>
    <w:next w:val="Normal"/>
    <w:link w:val="NumberedHeading2Char"/>
    <w:uiPriority w:val="9"/>
    <w:semiHidden/>
    <w:rsid w:val="00402AEE"/>
  </w:style>
  <w:style w:type="character" w:customStyle="1" w:styleId="NumberedHeading1Char">
    <w:name w:val="Numbered Heading 1 Char"/>
    <w:basedOn w:val="Heading1Char"/>
    <w:link w:val="NumberedHeading1"/>
    <w:uiPriority w:val="9"/>
    <w:semiHidden/>
    <w:rsid w:val="00402AEE"/>
    <w:rPr>
      <w:rFonts w:asciiTheme="majorHAnsi" w:eastAsiaTheme="min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402AEE"/>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402AEE"/>
    <w:pPr>
      <w:ind w:left="1134"/>
      <w:contextualSpacing/>
    </w:pPr>
  </w:style>
  <w:style w:type="table" w:styleId="TableGrid">
    <w:name w:val="Table Grid"/>
    <w:basedOn w:val="TableNormal"/>
    <w:uiPriority w:val="39"/>
    <w:rsid w:val="00402AE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402AEE"/>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402AEE"/>
    <w:pPr>
      <w:numPr>
        <w:numId w:val="7"/>
      </w:numPr>
      <w:spacing w:before="60"/>
    </w:pPr>
  </w:style>
  <w:style w:type="paragraph" w:styleId="List2">
    <w:name w:val="List 2"/>
    <w:basedOn w:val="Normal"/>
    <w:uiPriority w:val="99"/>
    <w:semiHidden/>
    <w:qFormat/>
    <w:rsid w:val="00402AEE"/>
    <w:pPr>
      <w:numPr>
        <w:ilvl w:val="1"/>
        <w:numId w:val="7"/>
      </w:numPr>
      <w:spacing w:before="60"/>
    </w:pPr>
  </w:style>
  <w:style w:type="numbering" w:customStyle="1" w:styleId="LetteredList">
    <w:name w:val="Lettered List"/>
    <w:uiPriority w:val="99"/>
    <w:rsid w:val="00402AEE"/>
    <w:pPr>
      <w:numPr>
        <w:numId w:val="40"/>
      </w:numPr>
    </w:pPr>
  </w:style>
  <w:style w:type="paragraph" w:styleId="Subtitle">
    <w:name w:val="Subtitle"/>
    <w:basedOn w:val="Normal"/>
    <w:next w:val="Normal"/>
    <w:link w:val="SubtitleChar"/>
    <w:uiPriority w:val="39"/>
    <w:rsid w:val="00402AEE"/>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402AEE"/>
    <w:rPr>
      <w:rFonts w:eastAsiaTheme="minorEastAsia"/>
      <w:color w:val="FFFFFF" w:themeColor="background1"/>
      <w:sz w:val="52"/>
      <w:szCs w:val="20"/>
    </w:rPr>
  </w:style>
  <w:style w:type="character" w:styleId="Strong">
    <w:name w:val="Strong"/>
    <w:basedOn w:val="DefaultParagraphFont"/>
    <w:uiPriority w:val="22"/>
    <w:qFormat/>
    <w:rsid w:val="00402AEE"/>
    <w:rPr>
      <w:rFonts w:asciiTheme="minorHAnsi" w:hAnsiTheme="minorHAnsi"/>
      <w:b/>
      <w:bCs/>
    </w:rPr>
  </w:style>
  <w:style w:type="paragraph" w:customStyle="1" w:styleId="Header-Keyline">
    <w:name w:val="Header - Keyline"/>
    <w:basedOn w:val="Header"/>
    <w:link w:val="Header-KeylineChar"/>
    <w:uiPriority w:val="99"/>
    <w:rsid w:val="00402AEE"/>
    <w:pPr>
      <w:pBdr>
        <w:bottom w:val="single" w:sz="4" w:space="31" w:color="66BCDB" w:themeColor="text2"/>
      </w:pBdr>
      <w:spacing w:after="600"/>
    </w:pPr>
  </w:style>
  <w:style w:type="character" w:customStyle="1" w:styleId="Heading6Char">
    <w:name w:val="Heading 6 Char"/>
    <w:basedOn w:val="DefaultParagraphFont"/>
    <w:link w:val="Heading6"/>
    <w:uiPriority w:val="9"/>
    <w:rsid w:val="00402AEE"/>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402AEE"/>
    <w:rPr>
      <w:rFonts w:eastAsiaTheme="minorHAnsi"/>
      <w:sz w:val="16"/>
      <w:szCs w:val="20"/>
    </w:rPr>
  </w:style>
  <w:style w:type="character" w:customStyle="1" w:styleId="Heading7Char">
    <w:name w:val="Heading 7 Char"/>
    <w:basedOn w:val="DefaultParagraphFont"/>
    <w:link w:val="Heading7"/>
    <w:uiPriority w:val="9"/>
    <w:semiHidden/>
    <w:rsid w:val="00402AEE"/>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402AEE"/>
    <w:rPr>
      <w:rFonts w:eastAsiaTheme="majorEastAsia" w:cstheme="majorBidi"/>
      <w:b/>
      <w:sz w:val="18"/>
      <w:szCs w:val="21"/>
    </w:rPr>
  </w:style>
  <w:style w:type="table" w:customStyle="1" w:styleId="ProductivityCommissionTable1">
    <w:name w:val="Productivity Commission Table 1"/>
    <w:basedOn w:val="TableNormal"/>
    <w:uiPriority w:val="99"/>
    <w:rsid w:val="00402AEE"/>
    <w:pPr>
      <w:spacing w:after="0" w:line="240" w:lineRule="auto"/>
    </w:pPr>
    <w:rPr>
      <w:rFonts w:eastAsiaTheme="minorHAnsi"/>
    </w:r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402AEE"/>
    <w:rPr>
      <w:rFonts w:asciiTheme="majorHAnsi" w:eastAsiaTheme="minorHAnsi" w:hAnsiTheme="majorHAnsi"/>
      <w:color w:val="4D7028" w:themeColor="accent2"/>
      <w:sz w:val="18"/>
      <w:szCs w:val="18"/>
    </w:rPr>
  </w:style>
  <w:style w:type="table" w:customStyle="1" w:styleId="ProductivityCommissionTable3">
    <w:name w:val="Productivity Commission Table 3"/>
    <w:basedOn w:val="TableNormal"/>
    <w:uiPriority w:val="99"/>
    <w:rsid w:val="00402AEE"/>
    <w:pPr>
      <w:spacing w:after="0" w:line="240" w:lineRule="auto"/>
      <w:jc w:val="right"/>
    </w:pPr>
    <w:rPr>
      <w:rFonts w:eastAsiaTheme="minorHAnsi"/>
    </w:r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402AEE"/>
    <w:pPr>
      <w:spacing w:before="240" w:after="240" w:line="500" w:lineRule="atLeast"/>
      <w:outlineLvl w:val="0"/>
    </w:pPr>
    <w:rPr>
      <w:rFonts w:asciiTheme="majorHAnsi" w:eastAsiaTheme="minorHAnsi" w:hAnsiTheme="majorHAnsi"/>
      <w:color w:val="265A9A" w:themeColor="background2"/>
      <w:sz w:val="42"/>
      <w:szCs w:val="20"/>
    </w:rPr>
  </w:style>
  <w:style w:type="paragraph" w:styleId="FootnoteText">
    <w:name w:val="footnote text"/>
    <w:basedOn w:val="Normal"/>
    <w:link w:val="FootnoteTextChar"/>
    <w:uiPriority w:val="99"/>
    <w:rsid w:val="00402AEE"/>
    <w:pPr>
      <w:spacing w:before="60" w:after="60" w:line="293" w:lineRule="auto"/>
      <w:contextualSpacing/>
    </w:pPr>
    <w:rPr>
      <w:sz w:val="18"/>
    </w:rPr>
  </w:style>
  <w:style w:type="paragraph" w:styleId="TOC1">
    <w:name w:val="toc 1"/>
    <w:basedOn w:val="Normal"/>
    <w:next w:val="BodyText"/>
    <w:link w:val="TOC1Char"/>
    <w:autoRedefine/>
    <w:uiPriority w:val="39"/>
    <w:unhideWhenUsed/>
    <w:rsid w:val="00402AEE"/>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402AEE"/>
    <w:rPr>
      <w:rFonts w:eastAsiaTheme="minorHAnsi"/>
      <w:sz w:val="18"/>
      <w:szCs w:val="20"/>
    </w:rPr>
  </w:style>
  <w:style w:type="character" w:styleId="FootnoteReference">
    <w:name w:val="footnote reference"/>
    <w:basedOn w:val="DefaultParagraphFont"/>
    <w:uiPriority w:val="99"/>
    <w:unhideWhenUsed/>
    <w:rsid w:val="00402AEE"/>
    <w:rPr>
      <w:vertAlign w:val="superscript"/>
    </w:rPr>
  </w:style>
  <w:style w:type="character" w:styleId="Hyperlink">
    <w:name w:val="Hyperlink"/>
    <w:basedOn w:val="DefaultParagraphFont"/>
    <w:uiPriority w:val="99"/>
    <w:unhideWhenUsed/>
    <w:rsid w:val="00402AEE"/>
    <w:rPr>
      <w:color w:val="000000" w:themeColor="hyperlink"/>
      <w:u w:val="single"/>
    </w:rPr>
  </w:style>
  <w:style w:type="character" w:styleId="HTMLVariable">
    <w:name w:val="HTML Variable"/>
    <w:basedOn w:val="DefaultParagraphFont"/>
    <w:uiPriority w:val="99"/>
    <w:unhideWhenUsed/>
    <w:rsid w:val="00402AEE"/>
    <w:rPr>
      <w:i/>
      <w:iCs/>
    </w:rPr>
  </w:style>
  <w:style w:type="paragraph" w:styleId="TOC2">
    <w:name w:val="toc 2"/>
    <w:basedOn w:val="Normal"/>
    <w:next w:val="Normal"/>
    <w:autoRedefine/>
    <w:uiPriority w:val="39"/>
    <w:unhideWhenUsed/>
    <w:rsid w:val="00402AEE"/>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402AEE"/>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402AEE"/>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402AEE"/>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402AEE"/>
    <w:rPr>
      <w:rFonts w:asciiTheme="majorHAnsi" w:eastAsiaTheme="min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402AEE"/>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402AEE"/>
    <w:rPr>
      <w:rFonts w:eastAsiaTheme="minorHAnsi"/>
      <w:sz w:val="20"/>
      <w:szCs w:val="20"/>
    </w:rPr>
  </w:style>
  <w:style w:type="character" w:customStyle="1" w:styleId="Copyrightpage-Heading2Char">
    <w:name w:val="Copyright page-Heading 2 Char"/>
    <w:basedOn w:val="NoSpacingChar"/>
    <w:link w:val="Copyrightpage-Heading2"/>
    <w:uiPriority w:val="19"/>
    <w:rsid w:val="00402AEE"/>
    <w:rPr>
      <w:rFonts w:eastAsiaTheme="minorHAnsi"/>
      <w:b/>
      <w:color w:val="FFFFFF" w:themeColor="background1"/>
      <w:sz w:val="16"/>
      <w:szCs w:val="16"/>
    </w:rPr>
  </w:style>
  <w:style w:type="paragraph" w:customStyle="1" w:styleId="Copyrightpage-Heading">
    <w:name w:val="Copyright page-Heading"/>
    <w:basedOn w:val="Subtitle2"/>
    <w:link w:val="Copyrightpage-HeadingChar"/>
    <w:uiPriority w:val="19"/>
    <w:rsid w:val="00402AEE"/>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402AEE"/>
    <w:rPr>
      <w:rFonts w:eastAsiaTheme="minorHAnsi"/>
      <w:color w:val="FFFFFF" w:themeColor="background1"/>
      <w:sz w:val="16"/>
      <w:szCs w:val="20"/>
    </w:rPr>
  </w:style>
  <w:style w:type="paragraph" w:customStyle="1" w:styleId="Subtitle4">
    <w:name w:val="Subtitle 4"/>
    <w:basedOn w:val="Copyrightpage-Heading"/>
    <w:link w:val="Subtitle4Char"/>
    <w:uiPriority w:val="39"/>
    <w:rsid w:val="00402AEE"/>
    <w:pPr>
      <w:spacing w:after="40"/>
    </w:pPr>
    <w:rPr>
      <w:b/>
      <w:sz w:val="16"/>
    </w:rPr>
  </w:style>
  <w:style w:type="character" w:customStyle="1" w:styleId="Copyrightpage-HeadingChar">
    <w:name w:val="Copyright page-Heading Char"/>
    <w:basedOn w:val="Subtitle2Char"/>
    <w:link w:val="Copyrightpage-Heading"/>
    <w:uiPriority w:val="19"/>
    <w:rsid w:val="00402AEE"/>
    <w:rPr>
      <w:rFonts w:asciiTheme="majorHAnsi" w:eastAsiaTheme="minorHAnsi" w:hAnsiTheme="majorHAnsi"/>
      <w:color w:val="FFFFFF" w:themeColor="background1"/>
      <w:spacing w:val="4"/>
      <w:sz w:val="19"/>
      <w:szCs w:val="18"/>
    </w:rPr>
  </w:style>
  <w:style w:type="paragraph" w:customStyle="1" w:styleId="Heading1-noTOC">
    <w:name w:val="Heading 1-no TOC"/>
    <w:next w:val="BodyText"/>
    <w:uiPriority w:val="9"/>
    <w:qFormat/>
    <w:rsid w:val="00402AEE"/>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402AEE"/>
    <w:rPr>
      <w:rFonts w:asciiTheme="majorHAnsi" w:eastAsiaTheme="min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402AEE"/>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2AEE"/>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402AEE"/>
    <w:pPr>
      <w:spacing w:line="360" w:lineRule="auto"/>
      <w:jc w:val="right"/>
    </w:pPr>
    <w:rPr>
      <w:sz w:val="16"/>
    </w:rPr>
  </w:style>
  <w:style w:type="paragraph" w:customStyle="1" w:styleId="Letterlogo">
    <w:name w:val="Letter logo"/>
    <w:basedOn w:val="LetterRight"/>
    <w:uiPriority w:val="99"/>
    <w:rsid w:val="00402AEE"/>
    <w:pPr>
      <w:spacing w:after="320"/>
    </w:pPr>
  </w:style>
  <w:style w:type="character" w:customStyle="1" w:styleId="LetterRightChar">
    <w:name w:val="Letter Right Char"/>
    <w:basedOn w:val="DefaultParagraphFont"/>
    <w:link w:val="LetterRight"/>
    <w:uiPriority w:val="99"/>
    <w:rsid w:val="00402AEE"/>
    <w:rPr>
      <w:rFonts w:eastAsiaTheme="minorHAnsi"/>
      <w:sz w:val="16"/>
      <w:szCs w:val="20"/>
    </w:rPr>
  </w:style>
  <w:style w:type="character" w:styleId="UnresolvedMention">
    <w:name w:val="Unresolved Mention"/>
    <w:basedOn w:val="DefaultParagraphFont"/>
    <w:uiPriority w:val="99"/>
    <w:unhideWhenUsed/>
    <w:rsid w:val="00402AEE"/>
    <w:rPr>
      <w:color w:val="605E5C"/>
      <w:shd w:val="clear" w:color="auto" w:fill="E1DFDD"/>
    </w:rPr>
  </w:style>
  <w:style w:type="paragraph" w:customStyle="1" w:styleId="LetterRight-NoSpace">
    <w:name w:val="Letter Right-No Space"/>
    <w:basedOn w:val="LetterRight"/>
    <w:uiPriority w:val="99"/>
    <w:rsid w:val="00402AEE"/>
    <w:pPr>
      <w:spacing w:after="0"/>
    </w:pPr>
  </w:style>
  <w:style w:type="table" w:customStyle="1" w:styleId="Blank">
    <w:name w:val="Blank"/>
    <w:basedOn w:val="TableNormal"/>
    <w:uiPriority w:val="99"/>
    <w:rsid w:val="00402AEE"/>
    <w:pPr>
      <w:spacing w:after="0" w:line="240" w:lineRule="auto"/>
    </w:pPr>
    <w:rPr>
      <w:rFonts w:eastAsiaTheme="minorHAnsi"/>
    </w:rPr>
    <w:tblPr>
      <w:tblCellMar>
        <w:top w:w="57" w:type="dxa"/>
        <w:left w:w="0" w:type="dxa"/>
        <w:bottom w:w="57" w:type="dxa"/>
        <w:right w:w="0" w:type="dxa"/>
      </w:tblCellMar>
    </w:tblPr>
  </w:style>
  <w:style w:type="paragraph" w:styleId="ListBullet5">
    <w:name w:val="List Bullet 5"/>
    <w:basedOn w:val="Normal"/>
    <w:uiPriority w:val="13"/>
    <w:semiHidden/>
    <w:rsid w:val="00402AEE"/>
    <w:pPr>
      <w:numPr>
        <w:numId w:val="9"/>
      </w:numPr>
      <w:ind w:left="1491" w:hanging="357"/>
      <w:contextualSpacing/>
    </w:pPr>
  </w:style>
  <w:style w:type="paragraph" w:customStyle="1" w:styleId="Coverdate">
    <w:name w:val="Cover date"/>
    <w:basedOn w:val="Normal"/>
    <w:uiPriority w:val="29"/>
    <w:rsid w:val="00402AEE"/>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402AEE"/>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402AEE"/>
    <w:rPr>
      <w:color w:val="FFFFFF" w:themeColor="background1"/>
    </w:rPr>
  </w:style>
  <w:style w:type="paragraph" w:customStyle="1" w:styleId="Copyrightpage-Keylinenotext">
    <w:name w:val="Copyright page-Keyline (no text)"/>
    <w:basedOn w:val="Copyrightpage-Heading2"/>
    <w:uiPriority w:val="19"/>
    <w:rsid w:val="00402AEE"/>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402AEE"/>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402AEE"/>
    <w:rPr>
      <w:b/>
    </w:rPr>
  </w:style>
  <w:style w:type="paragraph" w:customStyle="1" w:styleId="CoverImage">
    <w:name w:val="Cover Image"/>
    <w:basedOn w:val="Normal"/>
    <w:uiPriority w:val="29"/>
    <w:rsid w:val="00402AEE"/>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402AEE"/>
    <w:pPr>
      <w:spacing w:after="0" w:line="240" w:lineRule="auto"/>
    </w:pPr>
    <w:rPr>
      <w:rFonts w:eastAsiaTheme="minorHAnsi"/>
    </w:r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02AEE"/>
    <w:pPr>
      <w:spacing w:after="0" w:line="240" w:lineRule="auto"/>
    </w:pPr>
    <w:rPr>
      <w:rFonts w:eastAsiaTheme="minorHAnsi"/>
    </w:r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402AEE"/>
    <w:pPr>
      <w:spacing w:before="60"/>
      <w:ind w:left="113" w:right="851"/>
    </w:pPr>
    <w:rPr>
      <w:color w:val="58585B"/>
    </w:rPr>
  </w:style>
  <w:style w:type="numbering" w:customStyle="1" w:styleId="TOCList">
    <w:name w:val="TOC List"/>
    <w:uiPriority w:val="99"/>
    <w:rsid w:val="00402AEE"/>
    <w:pPr>
      <w:numPr>
        <w:numId w:val="39"/>
      </w:numPr>
    </w:pPr>
  </w:style>
  <w:style w:type="paragraph" w:customStyle="1" w:styleId="Heading1-Section-fullpage">
    <w:name w:val="Heading 1-Section-full page"/>
    <w:basedOn w:val="Heading1-nobackground"/>
    <w:uiPriority w:val="9"/>
    <w:qFormat/>
    <w:rsid w:val="00402AEE"/>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402AEE"/>
    <w:pPr>
      <w:spacing w:after="0" w:line="240" w:lineRule="auto"/>
    </w:pPr>
    <w:rPr>
      <w:rFonts w:eastAsiaTheme="minorHAnsi"/>
    </w:r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402AEE"/>
    <w:pPr>
      <w:keepNext/>
      <w:spacing w:before="240"/>
    </w:pPr>
  </w:style>
  <w:style w:type="paragraph" w:customStyle="1" w:styleId="Source">
    <w:name w:val="Source"/>
    <w:basedOn w:val="Normal"/>
    <w:uiPriority w:val="9"/>
    <w:qFormat/>
    <w:rsid w:val="00402AEE"/>
    <w:pPr>
      <w:spacing w:before="80" w:after="240" w:line="216" w:lineRule="atLeast"/>
    </w:pPr>
    <w:rPr>
      <w:sz w:val="18"/>
    </w:rPr>
  </w:style>
  <w:style w:type="paragraph" w:customStyle="1" w:styleId="Note">
    <w:name w:val="Note"/>
    <w:basedOn w:val="Source"/>
    <w:uiPriority w:val="9"/>
    <w:qFormat/>
    <w:rsid w:val="00402AEE"/>
    <w:pPr>
      <w:spacing w:after="20"/>
    </w:pPr>
  </w:style>
  <w:style w:type="numbering" w:customStyle="1" w:styleId="Figure">
    <w:name w:val="Figure"/>
    <w:uiPriority w:val="99"/>
    <w:rsid w:val="00402AEE"/>
    <w:pPr>
      <w:numPr>
        <w:numId w:val="29"/>
      </w:numPr>
    </w:pPr>
  </w:style>
  <w:style w:type="table" w:customStyle="1" w:styleId="Boxtable">
    <w:name w:val="Box table"/>
    <w:basedOn w:val="Texttable-Paleblue"/>
    <w:uiPriority w:val="99"/>
    <w:rsid w:val="00402AEE"/>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402AEE"/>
    <w:pPr>
      <w:numPr>
        <w:numId w:val="4"/>
      </w:numPr>
    </w:pPr>
  </w:style>
  <w:style w:type="paragraph" w:customStyle="1" w:styleId="BoxHeading2">
    <w:name w:val="Box Heading 2"/>
    <w:basedOn w:val="Normal"/>
    <w:next w:val="BodyText"/>
    <w:uiPriority w:val="4"/>
    <w:qFormat/>
    <w:rsid w:val="00402AEE"/>
    <w:rPr>
      <w:b/>
    </w:rPr>
  </w:style>
  <w:style w:type="table" w:customStyle="1" w:styleId="ProductivityCommissionTable2-Dark">
    <w:name w:val="Productivity Commission Table 2 - Dark"/>
    <w:basedOn w:val="ProductivityCommissionTable2"/>
    <w:uiPriority w:val="99"/>
    <w:rsid w:val="00402AE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402AEE"/>
    <w:rPr>
      <w:i/>
    </w:rPr>
  </w:style>
  <w:style w:type="paragraph" w:customStyle="1" w:styleId="TableHeading">
    <w:name w:val="Table Heading"/>
    <w:basedOn w:val="NoSpacing"/>
    <w:uiPriority w:val="4"/>
    <w:qFormat/>
    <w:rsid w:val="00402AEE"/>
    <w:pPr>
      <w:spacing w:after="20"/>
      <w:ind w:left="57"/>
    </w:pPr>
    <w:rPr>
      <w:b/>
      <w:color w:val="265A9A" w:themeColor="background2"/>
      <w:sz w:val="18"/>
    </w:rPr>
  </w:style>
  <w:style w:type="paragraph" w:customStyle="1" w:styleId="BodyText-Blue">
    <w:name w:val="Body Text-Blue"/>
    <w:basedOn w:val="BodyText"/>
    <w:link w:val="BodyText-BlueChar"/>
    <w:semiHidden/>
    <w:qFormat/>
    <w:rsid w:val="00402AEE"/>
    <w:rPr>
      <w:color w:val="265A9A" w:themeColor="background2"/>
    </w:rPr>
  </w:style>
  <w:style w:type="table" w:customStyle="1" w:styleId="Texttable-Keyline">
    <w:name w:val="Text table-Keyline"/>
    <w:basedOn w:val="Texttable-Paleblue"/>
    <w:uiPriority w:val="99"/>
    <w:rsid w:val="00402AEE"/>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402AEE"/>
    <w:pPr>
      <w:jc w:val="right"/>
    </w:pPr>
  </w:style>
  <w:style w:type="table" w:customStyle="1" w:styleId="CopyrightPage">
    <w:name w:val="Copyright Page"/>
    <w:basedOn w:val="OverviewPageBannerTableStyle"/>
    <w:uiPriority w:val="99"/>
    <w:rsid w:val="00402AEE"/>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402AEE"/>
    <w:pPr>
      <w:spacing w:line="312" w:lineRule="atLeast"/>
    </w:pPr>
    <w:rPr>
      <w:color w:val="2C9BC2"/>
    </w:rPr>
  </w:style>
  <w:style w:type="paragraph" w:styleId="BodyText">
    <w:name w:val="Body Text"/>
    <w:basedOn w:val="Normal"/>
    <w:link w:val="BodyTextChar"/>
    <w:qFormat/>
    <w:rsid w:val="00402AEE"/>
  </w:style>
  <w:style w:type="character" w:customStyle="1" w:styleId="BodyTextChar">
    <w:name w:val="Body Text Char"/>
    <w:basedOn w:val="DefaultParagraphFont"/>
    <w:link w:val="BodyText"/>
    <w:rsid w:val="00402AEE"/>
    <w:rPr>
      <w:rFonts w:eastAsiaTheme="minorHAnsi"/>
      <w:sz w:val="20"/>
      <w:szCs w:val="20"/>
    </w:rPr>
  </w:style>
  <w:style w:type="paragraph" w:styleId="List4">
    <w:name w:val="List 4"/>
    <w:basedOn w:val="Normal"/>
    <w:uiPriority w:val="99"/>
    <w:semiHidden/>
    <w:rsid w:val="00402AEE"/>
    <w:pPr>
      <w:numPr>
        <w:ilvl w:val="3"/>
        <w:numId w:val="7"/>
      </w:numPr>
      <w:contextualSpacing/>
    </w:pPr>
  </w:style>
  <w:style w:type="paragraph" w:styleId="List3">
    <w:name w:val="List 3"/>
    <w:basedOn w:val="Normal"/>
    <w:uiPriority w:val="99"/>
    <w:semiHidden/>
    <w:rsid w:val="00402AEE"/>
    <w:pPr>
      <w:numPr>
        <w:ilvl w:val="2"/>
        <w:numId w:val="7"/>
      </w:numPr>
      <w:contextualSpacing/>
    </w:pPr>
  </w:style>
  <w:style w:type="paragraph" w:customStyle="1" w:styleId="Heading1-nonumber">
    <w:name w:val="Heading 1-no number"/>
    <w:basedOn w:val="Heading1"/>
    <w:next w:val="BodyText"/>
    <w:uiPriority w:val="9"/>
    <w:qFormat/>
    <w:rsid w:val="00402AEE"/>
    <w:pPr>
      <w:numPr>
        <w:numId w:val="0"/>
      </w:numPr>
      <w:ind w:left="567"/>
    </w:pPr>
  </w:style>
  <w:style w:type="paragraph" w:customStyle="1" w:styleId="ListAlpha1">
    <w:name w:val="List Alpha 1"/>
    <w:basedOn w:val="Normal"/>
    <w:uiPriority w:val="3"/>
    <w:qFormat/>
    <w:rsid w:val="00402AEE"/>
    <w:pPr>
      <w:numPr>
        <w:numId w:val="8"/>
      </w:numPr>
      <w:spacing w:before="60"/>
      <w:contextualSpacing/>
    </w:pPr>
  </w:style>
  <w:style w:type="paragraph" w:customStyle="1" w:styleId="ListAlpha2">
    <w:name w:val="List Alpha 2"/>
    <w:basedOn w:val="ListAlpha1"/>
    <w:uiPriority w:val="3"/>
    <w:qFormat/>
    <w:rsid w:val="00402AEE"/>
    <w:pPr>
      <w:numPr>
        <w:ilvl w:val="1"/>
      </w:numPr>
    </w:pPr>
  </w:style>
  <w:style w:type="paragraph" w:customStyle="1" w:styleId="ListAlpha3">
    <w:name w:val="List Alpha 3"/>
    <w:basedOn w:val="ListAlpha2"/>
    <w:uiPriority w:val="3"/>
    <w:qFormat/>
    <w:rsid w:val="00402AEE"/>
    <w:pPr>
      <w:numPr>
        <w:ilvl w:val="2"/>
      </w:numPr>
      <w:ind w:left="681"/>
    </w:pPr>
  </w:style>
  <w:style w:type="paragraph" w:customStyle="1" w:styleId="ListAlpha4">
    <w:name w:val="List Alpha 4"/>
    <w:basedOn w:val="ListAlpha3"/>
    <w:uiPriority w:val="3"/>
    <w:qFormat/>
    <w:rsid w:val="00402AEE"/>
    <w:pPr>
      <w:numPr>
        <w:ilvl w:val="3"/>
      </w:numPr>
    </w:pPr>
  </w:style>
  <w:style w:type="numbering" w:customStyle="1" w:styleId="Alphalist">
    <w:name w:val="Alpha list"/>
    <w:uiPriority w:val="99"/>
    <w:rsid w:val="00402AEE"/>
    <w:pPr>
      <w:numPr>
        <w:numId w:val="1"/>
      </w:numPr>
    </w:pPr>
  </w:style>
  <w:style w:type="paragraph" w:customStyle="1" w:styleId="KeyPoints-Bold">
    <w:name w:val="Key Points-Bold"/>
    <w:basedOn w:val="Normal"/>
    <w:uiPriority w:val="10"/>
    <w:qFormat/>
    <w:rsid w:val="00402AEE"/>
    <w:pPr>
      <w:spacing w:before="40" w:after="60" w:line="274" w:lineRule="atLeast"/>
    </w:pPr>
    <w:rPr>
      <w:b/>
      <w:sz w:val="18"/>
    </w:rPr>
  </w:style>
  <w:style w:type="paragraph" w:customStyle="1" w:styleId="Copyrightpage-BodyBold">
    <w:name w:val="Copyright page-Body Bold"/>
    <w:basedOn w:val="Copyrightpage-BodyText"/>
    <w:uiPriority w:val="19"/>
    <w:rsid w:val="00402AEE"/>
    <w:rPr>
      <w:b/>
    </w:rPr>
  </w:style>
  <w:style w:type="paragraph" w:customStyle="1" w:styleId="KeyPoints-Bullet">
    <w:name w:val="Key Points-Bullet"/>
    <w:basedOn w:val="ListBullet"/>
    <w:uiPriority w:val="10"/>
    <w:qFormat/>
    <w:rsid w:val="00402AEE"/>
    <w:pPr>
      <w:spacing w:after="60" w:line="274" w:lineRule="atLeast"/>
    </w:pPr>
    <w:rPr>
      <w:sz w:val="18"/>
    </w:rPr>
  </w:style>
  <w:style w:type="paragraph" w:customStyle="1" w:styleId="BodyText-Grey">
    <w:name w:val="Body Text-Grey"/>
    <w:basedOn w:val="BodyText"/>
    <w:link w:val="BodyText-GreyChar"/>
    <w:semiHidden/>
    <w:qFormat/>
    <w:rsid w:val="00402AEE"/>
    <w:rPr>
      <w:color w:val="58585B"/>
    </w:rPr>
  </w:style>
  <w:style w:type="character" w:customStyle="1" w:styleId="BodyText-GreyChar">
    <w:name w:val="Body Text-Grey Char"/>
    <w:basedOn w:val="BodyTextChar"/>
    <w:link w:val="BodyText-Grey"/>
    <w:semiHidden/>
    <w:rsid w:val="00402AEE"/>
    <w:rPr>
      <w:rFonts w:eastAsiaTheme="minorHAnsi"/>
      <w:color w:val="58585B"/>
      <w:sz w:val="20"/>
      <w:szCs w:val="20"/>
    </w:rPr>
  </w:style>
  <w:style w:type="paragraph" w:styleId="BalloonText">
    <w:name w:val="Balloon Text"/>
    <w:basedOn w:val="Normal"/>
    <w:link w:val="BalloonTextChar"/>
    <w:uiPriority w:val="99"/>
    <w:unhideWhenUsed/>
    <w:rsid w:val="00402A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402AEE"/>
    <w:rPr>
      <w:rFonts w:ascii="Segoe UI" w:eastAsiaTheme="minorHAnsi" w:hAnsi="Segoe UI" w:cs="Segoe UI"/>
      <w:sz w:val="18"/>
      <w:szCs w:val="18"/>
    </w:rPr>
  </w:style>
  <w:style w:type="character" w:styleId="CommentReference">
    <w:name w:val="annotation reference"/>
    <w:basedOn w:val="DefaultParagraphFont"/>
    <w:uiPriority w:val="99"/>
    <w:semiHidden/>
    <w:unhideWhenUsed/>
    <w:rsid w:val="00402AEE"/>
    <w:rPr>
      <w:sz w:val="16"/>
      <w:szCs w:val="16"/>
    </w:rPr>
  </w:style>
  <w:style w:type="paragraph" w:styleId="CommentText">
    <w:name w:val="annotation text"/>
    <w:basedOn w:val="Normal"/>
    <w:link w:val="CommentTextChar"/>
    <w:uiPriority w:val="99"/>
    <w:unhideWhenUsed/>
    <w:rsid w:val="00402AEE"/>
    <w:pPr>
      <w:spacing w:line="240" w:lineRule="auto"/>
    </w:pPr>
  </w:style>
  <w:style w:type="character" w:customStyle="1" w:styleId="CommentTextChar">
    <w:name w:val="Comment Text Char"/>
    <w:basedOn w:val="DefaultParagraphFont"/>
    <w:link w:val="CommentText"/>
    <w:uiPriority w:val="99"/>
    <w:rsid w:val="00402AEE"/>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402AEE"/>
    <w:rPr>
      <w:b/>
      <w:bCs/>
    </w:rPr>
  </w:style>
  <w:style w:type="character" w:customStyle="1" w:styleId="CommentSubjectChar">
    <w:name w:val="Comment Subject Char"/>
    <w:basedOn w:val="CommentTextChar"/>
    <w:link w:val="CommentSubject"/>
    <w:uiPriority w:val="99"/>
    <w:semiHidden/>
    <w:rsid w:val="00402AEE"/>
    <w:rPr>
      <w:rFonts w:eastAsiaTheme="minorHAnsi"/>
      <w:b/>
      <w:bCs/>
      <w:sz w:val="20"/>
      <w:szCs w:val="20"/>
    </w:rPr>
  </w:style>
  <w:style w:type="character" w:customStyle="1" w:styleId="ColourBlue">
    <w:name w:val="Colour Blue"/>
    <w:basedOn w:val="DefaultParagraphFont"/>
    <w:uiPriority w:val="22"/>
    <w:qFormat/>
    <w:rsid w:val="00402AEE"/>
    <w:rPr>
      <w:color w:val="66BCDB" w:themeColor="text2"/>
    </w:rPr>
  </w:style>
  <w:style w:type="character" w:customStyle="1" w:styleId="ColourDarkBlue">
    <w:name w:val="Colour Dark Blue"/>
    <w:basedOn w:val="ColourBlue"/>
    <w:uiPriority w:val="22"/>
    <w:qFormat/>
    <w:rsid w:val="00402AEE"/>
    <w:rPr>
      <w:color w:val="265A9A" w:themeColor="background2"/>
    </w:rPr>
  </w:style>
  <w:style w:type="paragraph" w:customStyle="1" w:styleId="BodyText-Beforebullet">
    <w:name w:val="Body Text-Before bullet"/>
    <w:basedOn w:val="BodyText"/>
    <w:link w:val="BodyText-BeforebulletChar"/>
    <w:semiHidden/>
    <w:unhideWhenUsed/>
    <w:rsid w:val="00402AEE"/>
    <w:pPr>
      <w:spacing w:after="20"/>
    </w:pPr>
  </w:style>
  <w:style w:type="paragraph" w:customStyle="1" w:styleId="PullQuote">
    <w:name w:val="Pull Quote"/>
    <w:basedOn w:val="BodyText"/>
    <w:next w:val="BodyText"/>
    <w:uiPriority w:val="10"/>
    <w:qFormat/>
    <w:rsid w:val="00402AEE"/>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402AEE"/>
    <w:rPr>
      <w:rFonts w:eastAsiaTheme="minorHAnsi"/>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402AEE"/>
    <w:pPr>
      <w:spacing w:after="20"/>
      <w:ind w:left="57"/>
    </w:pPr>
    <w:rPr>
      <w:sz w:val="18"/>
    </w:rPr>
  </w:style>
  <w:style w:type="paragraph" w:styleId="Revision">
    <w:name w:val="Revision"/>
    <w:hidden/>
    <w:uiPriority w:val="99"/>
    <w:semiHidden/>
    <w:rsid w:val="00402AEE"/>
    <w:pPr>
      <w:spacing w:after="0" w:line="240" w:lineRule="auto"/>
    </w:pPr>
    <w:rPr>
      <w:rFonts w:eastAsiaTheme="minorHAnsi"/>
      <w:sz w:val="20"/>
      <w:szCs w:val="20"/>
    </w:rPr>
  </w:style>
  <w:style w:type="paragraph" w:customStyle="1" w:styleId="KeyPointsicon">
    <w:name w:val="Key Points icon"/>
    <w:basedOn w:val="Normal"/>
    <w:uiPriority w:val="10"/>
    <w:qFormat/>
    <w:rsid w:val="00402AEE"/>
    <w:pPr>
      <w:spacing w:before="60"/>
      <w:jc w:val="right"/>
    </w:pPr>
  </w:style>
  <w:style w:type="paragraph" w:customStyle="1" w:styleId="FigureTableSubheading">
    <w:name w:val="Figure/Table Subheading"/>
    <w:basedOn w:val="FigureTableHeading"/>
    <w:uiPriority w:val="4"/>
    <w:qFormat/>
    <w:rsid w:val="00402AEE"/>
    <w:pPr>
      <w:spacing w:before="40"/>
    </w:pPr>
    <w:rPr>
      <w:color w:val="58585B"/>
    </w:rPr>
  </w:style>
  <w:style w:type="table" w:customStyle="1" w:styleId="TextTable-Grey">
    <w:name w:val="Text Table-Grey"/>
    <w:basedOn w:val="Texttable-Paleblue"/>
    <w:uiPriority w:val="99"/>
    <w:rsid w:val="00402AEE"/>
    <w:rPr>
      <w:color w:val="265A9A" w:themeColor="background2"/>
    </w:rPr>
    <w:tblPr/>
    <w:tcPr>
      <w:shd w:val="clear" w:color="auto" w:fill="F2F2F2"/>
    </w:tcPr>
  </w:style>
  <w:style w:type="character" w:customStyle="1" w:styleId="BodyText-BlueChar">
    <w:name w:val="Body Text-Blue Char"/>
    <w:basedOn w:val="BodyTextChar"/>
    <w:link w:val="BodyText-Blue"/>
    <w:semiHidden/>
    <w:rsid w:val="00402AEE"/>
    <w:rPr>
      <w:rFonts w:eastAsiaTheme="minorHAnsi"/>
      <w:color w:val="265A9A" w:themeColor="background2"/>
      <w:sz w:val="20"/>
      <w:szCs w:val="20"/>
    </w:rPr>
  </w:style>
  <w:style w:type="paragraph" w:customStyle="1" w:styleId="Heading3-nonumber">
    <w:name w:val="Heading 3-no number"/>
    <w:basedOn w:val="Heading3"/>
    <w:uiPriority w:val="9"/>
    <w:semiHidden/>
    <w:qFormat/>
    <w:rsid w:val="00402AEE"/>
  </w:style>
  <w:style w:type="paragraph" w:customStyle="1" w:styleId="Heading1-nobackground">
    <w:name w:val="Heading 1-no background"/>
    <w:basedOn w:val="Heading1"/>
    <w:next w:val="BodyText"/>
    <w:uiPriority w:val="9"/>
    <w:qFormat/>
    <w:rsid w:val="00402AEE"/>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402AEE"/>
    <w:rPr>
      <w:rFonts w:eastAsiaTheme="minorHAnsi"/>
      <w:color w:val="58585B"/>
      <w:sz w:val="20"/>
      <w:szCs w:val="20"/>
    </w:rPr>
  </w:style>
  <w:style w:type="paragraph" w:customStyle="1" w:styleId="TableHeading-numbered">
    <w:name w:val="Table Heading-numbered"/>
    <w:basedOn w:val="Normal"/>
    <w:semiHidden/>
    <w:qFormat/>
    <w:rsid w:val="00402AEE"/>
    <w:pPr>
      <w:numPr>
        <w:numId w:val="13"/>
      </w:numPr>
      <w:spacing w:before="60"/>
      <w:contextualSpacing/>
    </w:pPr>
    <w:rPr>
      <w:b/>
      <w:color w:val="265A9A" w:themeColor="background2"/>
    </w:rPr>
  </w:style>
  <w:style w:type="numbering" w:customStyle="1" w:styleId="TableList">
    <w:name w:val="TableList"/>
    <w:uiPriority w:val="99"/>
    <w:rsid w:val="00402AEE"/>
    <w:pPr>
      <w:numPr>
        <w:numId w:val="13"/>
      </w:numPr>
    </w:pPr>
  </w:style>
  <w:style w:type="paragraph" w:customStyle="1" w:styleId="Footer-right">
    <w:name w:val="Footer-right"/>
    <w:basedOn w:val="Footer"/>
    <w:uiPriority w:val="11"/>
    <w:rsid w:val="00402AEE"/>
    <w:pPr>
      <w:jc w:val="right"/>
    </w:pPr>
    <w:rPr>
      <w:szCs w:val="24"/>
    </w:rPr>
  </w:style>
  <w:style w:type="paragraph" w:customStyle="1" w:styleId="Heading2-nonumber">
    <w:name w:val="Heading 2-no number"/>
    <w:basedOn w:val="Heading2"/>
    <w:uiPriority w:val="9"/>
    <w:qFormat/>
    <w:rsid w:val="00402AEE"/>
    <w:pPr>
      <w:numPr>
        <w:ilvl w:val="0"/>
        <w:numId w:val="0"/>
      </w:numPr>
    </w:pPr>
  </w:style>
  <w:style w:type="paragraph" w:customStyle="1" w:styleId="Heading-Appendix">
    <w:name w:val="Heading-Appendix"/>
    <w:basedOn w:val="Heading1-nonumber"/>
    <w:next w:val="BodyText"/>
    <w:uiPriority w:val="9"/>
    <w:qFormat/>
    <w:rsid w:val="00402AEE"/>
    <w:pPr>
      <w:numPr>
        <w:numId w:val="6"/>
      </w:numPr>
    </w:pPr>
  </w:style>
  <w:style w:type="numbering" w:customStyle="1" w:styleId="AppendixHeading">
    <w:name w:val="AppendixHeading"/>
    <w:uiPriority w:val="99"/>
    <w:rsid w:val="00402AEE"/>
    <w:pPr>
      <w:numPr>
        <w:numId w:val="3"/>
      </w:numPr>
    </w:pPr>
  </w:style>
  <w:style w:type="paragraph" w:customStyle="1" w:styleId="DraftingNote">
    <w:name w:val="Drafting Note"/>
    <w:basedOn w:val="BodyText"/>
    <w:link w:val="DraftingNoteChar"/>
    <w:qFormat/>
    <w:rsid w:val="00402AEE"/>
    <w:pPr>
      <w:contextualSpacing/>
    </w:pPr>
    <w:rPr>
      <w:color w:val="A22D2B"/>
      <w:sz w:val="24"/>
      <w:u w:val="dotted"/>
    </w:rPr>
  </w:style>
  <w:style w:type="character" w:customStyle="1" w:styleId="DraftingNoteChar">
    <w:name w:val="Drafting Note Char"/>
    <w:basedOn w:val="BodyTextChar"/>
    <w:link w:val="DraftingNote"/>
    <w:rsid w:val="00402AEE"/>
    <w:rPr>
      <w:rFonts w:eastAsiaTheme="minorHAnsi"/>
      <w:color w:val="A22D2B"/>
      <w:sz w:val="24"/>
      <w:szCs w:val="20"/>
      <w:u w:val="dotted"/>
    </w:rPr>
  </w:style>
  <w:style w:type="paragraph" w:customStyle="1" w:styleId="BoxHeading1">
    <w:name w:val="Box Heading 1"/>
    <w:basedOn w:val="FigureTableHeading"/>
    <w:next w:val="BodyText"/>
    <w:uiPriority w:val="4"/>
    <w:qFormat/>
    <w:rsid w:val="00402AEE"/>
    <w:pPr>
      <w:spacing w:after="0"/>
    </w:pPr>
  </w:style>
  <w:style w:type="character" w:styleId="Emphasis">
    <w:name w:val="Emphasis"/>
    <w:basedOn w:val="DefaultParagraphFont"/>
    <w:uiPriority w:val="22"/>
    <w:qFormat/>
    <w:rsid w:val="00402AEE"/>
    <w:rPr>
      <w:i/>
      <w:iCs/>
    </w:rPr>
  </w:style>
  <w:style w:type="paragraph" w:customStyle="1" w:styleId="Reference">
    <w:name w:val="Reference"/>
    <w:basedOn w:val="BodyText"/>
    <w:qFormat/>
    <w:rsid w:val="00402AEE"/>
    <w:pPr>
      <w:spacing w:before="0" w:after="60" w:line="200" w:lineRule="exact"/>
    </w:pPr>
    <w:rPr>
      <w:sz w:val="16"/>
    </w:rPr>
  </w:style>
  <w:style w:type="paragraph" w:customStyle="1" w:styleId="Keypoints-heading">
    <w:name w:val="Key points-heading"/>
    <w:basedOn w:val="Heading3"/>
    <w:uiPriority w:val="10"/>
    <w:qFormat/>
    <w:rsid w:val="00402AEE"/>
    <w:rPr>
      <w:color w:val="auto"/>
    </w:rPr>
  </w:style>
  <w:style w:type="paragraph" w:customStyle="1" w:styleId="Heading2-Appendix">
    <w:name w:val="Heading 2-Appendix"/>
    <w:basedOn w:val="Heading2-nonumber"/>
    <w:next w:val="Normal"/>
    <w:uiPriority w:val="10"/>
    <w:qFormat/>
    <w:rsid w:val="00402AEE"/>
    <w:pPr>
      <w:numPr>
        <w:ilvl w:val="1"/>
        <w:numId w:val="6"/>
      </w:numPr>
    </w:pPr>
  </w:style>
  <w:style w:type="numbering" w:customStyle="1" w:styleId="AppendixHeadingList">
    <w:name w:val="Appendix Heading List"/>
    <w:uiPriority w:val="99"/>
    <w:rsid w:val="00402AEE"/>
    <w:pPr>
      <w:numPr>
        <w:numId w:val="30"/>
      </w:numPr>
    </w:pPr>
  </w:style>
  <w:style w:type="paragraph" w:customStyle="1" w:styleId="Space">
    <w:name w:val="Space"/>
    <w:basedOn w:val="BodyText"/>
    <w:uiPriority w:val="1"/>
    <w:rsid w:val="00402AEE"/>
    <w:pPr>
      <w:spacing w:before="0" w:after="0"/>
    </w:pPr>
  </w:style>
  <w:style w:type="paragraph" w:customStyle="1" w:styleId="QuoteBullet">
    <w:name w:val="Quote Bullet"/>
    <w:basedOn w:val="ListBullet"/>
    <w:link w:val="QuoteBulletChar"/>
    <w:uiPriority w:val="1"/>
    <w:qFormat/>
    <w:rsid w:val="00402AEE"/>
    <w:pPr>
      <w:spacing w:before="60"/>
      <w:ind w:left="340" w:right="851"/>
    </w:pPr>
    <w:rPr>
      <w:color w:val="58585B"/>
    </w:rPr>
  </w:style>
  <w:style w:type="character" w:customStyle="1" w:styleId="ListBulletChar">
    <w:name w:val="List Bullet Char"/>
    <w:basedOn w:val="DefaultParagraphFont"/>
    <w:link w:val="ListBullet"/>
    <w:uiPriority w:val="1"/>
    <w:rsid w:val="00402AEE"/>
    <w:rPr>
      <w:rFonts w:eastAsiaTheme="minorHAnsi"/>
      <w:sz w:val="20"/>
      <w:szCs w:val="20"/>
    </w:rPr>
  </w:style>
  <w:style w:type="character" w:customStyle="1" w:styleId="QuoteBulletChar">
    <w:name w:val="Quote Bullet Char"/>
    <w:basedOn w:val="ListBulletChar"/>
    <w:link w:val="QuoteBullet"/>
    <w:uiPriority w:val="1"/>
    <w:rsid w:val="00402AEE"/>
    <w:rPr>
      <w:rFonts w:eastAsiaTheme="minorHAnsi"/>
      <w:color w:val="58585B"/>
      <w:sz w:val="20"/>
      <w:szCs w:val="20"/>
    </w:rPr>
  </w:style>
  <w:style w:type="paragraph" w:customStyle="1" w:styleId="Figurecharttitle">
    <w:name w:val="Figure chart title"/>
    <w:basedOn w:val="BodyText"/>
    <w:uiPriority w:val="10"/>
    <w:qFormat/>
    <w:rsid w:val="00402AEE"/>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402AEE"/>
    <w:pPr>
      <w:spacing w:line="160" w:lineRule="exact"/>
    </w:pPr>
  </w:style>
  <w:style w:type="character" w:customStyle="1" w:styleId="PullQuoteNoSpacingChar">
    <w:name w:val="Pull Quote No Spacing Char"/>
    <w:basedOn w:val="NoSpacingChar"/>
    <w:link w:val="PullQuoteNoSpacing"/>
    <w:uiPriority w:val="10"/>
    <w:rsid w:val="00402AEE"/>
    <w:rPr>
      <w:rFonts w:eastAsiaTheme="minorHAnsi"/>
      <w:sz w:val="20"/>
      <w:szCs w:val="20"/>
    </w:rPr>
  </w:style>
  <w:style w:type="paragraph" w:customStyle="1" w:styleId="PullQuote-Indigenous">
    <w:name w:val="Pull Quote-Indigenous"/>
    <w:basedOn w:val="PullQuote"/>
    <w:uiPriority w:val="10"/>
    <w:qFormat/>
    <w:rsid w:val="00402AEE"/>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402AEE"/>
    <w:pPr>
      <w:spacing w:before="0" w:after="20"/>
      <w:ind w:left="170" w:hanging="113"/>
    </w:pPr>
  </w:style>
  <w:style w:type="character" w:styleId="HTMLCite">
    <w:name w:val="HTML Cite"/>
    <w:basedOn w:val="DefaultParagraphFont"/>
    <w:uiPriority w:val="99"/>
    <w:semiHidden/>
    <w:unhideWhenUsed/>
    <w:rsid w:val="003406B1"/>
    <w:rPr>
      <w:i/>
      <w:iCs/>
    </w:rPr>
  </w:style>
  <w:style w:type="character" w:customStyle="1" w:styleId="NoteLabel">
    <w:name w:val="Note Label"/>
    <w:basedOn w:val="DefaultParagraphFont"/>
    <w:rsid w:val="0003438B"/>
    <w:rPr>
      <w:rFonts w:ascii="Arial" w:hAnsi="Arial"/>
      <w:b/>
      <w:position w:val="6"/>
      <w:sz w:val="18"/>
    </w:rPr>
  </w:style>
  <w:style w:type="paragraph" w:customStyle="1" w:styleId="Box">
    <w:name w:val="Box"/>
    <w:basedOn w:val="BodyText"/>
    <w:qFormat/>
    <w:rsid w:val="0003438B"/>
    <w:pPr>
      <w:keepNext/>
      <w:spacing w:line="260" w:lineRule="atLeast"/>
    </w:pPr>
    <w:rPr>
      <w:rFonts w:ascii="Arial" w:hAnsi="Arial"/>
    </w:rPr>
  </w:style>
  <w:style w:type="paragraph" w:customStyle="1" w:styleId="BoxListBullet3">
    <w:name w:val="Box List Bullet 3"/>
    <w:basedOn w:val="ListBullet3"/>
    <w:rsid w:val="004113BE"/>
    <w:pPr>
      <w:numPr>
        <w:numId w:val="14"/>
      </w:numPr>
      <w:tabs>
        <w:tab w:val="left" w:pos="907"/>
      </w:tabs>
      <w:spacing w:before="60" w:after="160" w:line="260" w:lineRule="atLeast"/>
    </w:pPr>
    <w:rPr>
      <w:rFonts w:ascii="Arial" w:hAnsi="Arial"/>
      <w:sz w:val="22"/>
      <w:szCs w:val="22"/>
    </w:rPr>
  </w:style>
  <w:style w:type="character" w:styleId="EndnoteReference">
    <w:name w:val="endnote reference"/>
    <w:basedOn w:val="DefaultParagraphFont"/>
    <w:uiPriority w:val="99"/>
    <w:semiHidden/>
    <w:unhideWhenUsed/>
    <w:rsid w:val="004113BE"/>
    <w:rPr>
      <w:vertAlign w:val="superscript"/>
    </w:rPr>
  </w:style>
  <w:style w:type="paragraph" w:customStyle="1" w:styleId="BoxQuoteBullet">
    <w:name w:val="Box Quote Bullet"/>
    <w:basedOn w:val="BoxQuote"/>
    <w:next w:val="Box"/>
    <w:rsid w:val="004113BE"/>
    <w:pPr>
      <w:ind w:left="0"/>
    </w:pPr>
  </w:style>
  <w:style w:type="paragraph" w:styleId="Bibliography">
    <w:name w:val="Bibliography"/>
    <w:basedOn w:val="Normal"/>
    <w:next w:val="Normal"/>
    <w:uiPriority w:val="37"/>
    <w:unhideWhenUsed/>
    <w:rsid w:val="004113BE"/>
    <w:pPr>
      <w:spacing w:after="240" w:line="240" w:lineRule="atLeast"/>
      <w:ind w:left="720" w:hanging="720"/>
    </w:pPr>
  </w:style>
  <w:style w:type="paragraph" w:customStyle="1" w:styleId="FooterEnd">
    <w:name w:val="Footer End"/>
    <w:basedOn w:val="Footer"/>
    <w:rsid w:val="004113BE"/>
    <w:pPr>
      <w:spacing w:line="20" w:lineRule="exact"/>
    </w:pPr>
  </w:style>
  <w:style w:type="paragraph" w:customStyle="1" w:styleId="HeaderEnd">
    <w:name w:val="Header End"/>
    <w:basedOn w:val="Header"/>
    <w:autoRedefine/>
    <w:rsid w:val="004113BE"/>
    <w:pPr>
      <w:spacing w:line="20" w:lineRule="exact"/>
    </w:pPr>
  </w:style>
  <w:style w:type="paragraph" w:customStyle="1" w:styleId="HeaderEven">
    <w:name w:val="Header Even"/>
    <w:basedOn w:val="Header"/>
    <w:semiHidden/>
    <w:rsid w:val="004113BE"/>
  </w:style>
  <w:style w:type="paragraph" w:customStyle="1" w:styleId="HeaderOdd">
    <w:name w:val="Header Odd"/>
    <w:basedOn w:val="Header"/>
    <w:semiHidden/>
    <w:rsid w:val="004113BE"/>
  </w:style>
  <w:style w:type="character" w:styleId="PageNumber">
    <w:name w:val="page number"/>
    <w:basedOn w:val="DefaultParagraphFont"/>
    <w:rsid w:val="004113BE"/>
    <w:rPr>
      <w:rFonts w:ascii="Arial" w:hAnsi="Arial"/>
      <w:b/>
      <w:sz w:val="16"/>
    </w:rPr>
  </w:style>
  <w:style w:type="paragraph" w:customStyle="1" w:styleId="Abbreviation">
    <w:name w:val="Abbreviation"/>
    <w:basedOn w:val="BodyText"/>
    <w:rsid w:val="004113BE"/>
    <w:pPr>
      <w:ind w:left="2381" w:hanging="2381"/>
    </w:pPr>
  </w:style>
  <w:style w:type="paragraph" w:customStyle="1" w:styleId="BoxContinued">
    <w:name w:val="Box Continued"/>
    <w:basedOn w:val="BodyText"/>
    <w:next w:val="BodyText"/>
    <w:semiHidden/>
    <w:rsid w:val="004113BE"/>
    <w:pPr>
      <w:spacing w:before="180" w:line="220" w:lineRule="exact"/>
      <w:jc w:val="right"/>
    </w:pPr>
    <w:rPr>
      <w:rFonts w:ascii="Arial" w:hAnsi="Arial"/>
      <w:sz w:val="18"/>
    </w:rPr>
  </w:style>
  <w:style w:type="paragraph" w:customStyle="1" w:styleId="BoxListBullet">
    <w:name w:val="Box List Bullet"/>
    <w:basedOn w:val="BodyText"/>
    <w:rsid w:val="004113BE"/>
    <w:pPr>
      <w:keepNext/>
      <w:numPr>
        <w:numId w:val="15"/>
      </w:numPr>
      <w:spacing w:before="100" w:after="160" w:line="260" w:lineRule="atLeast"/>
    </w:pPr>
    <w:rPr>
      <w:rFonts w:ascii="Arial" w:hAnsi="Arial"/>
      <w:sz w:val="22"/>
      <w:szCs w:val="22"/>
    </w:rPr>
  </w:style>
  <w:style w:type="paragraph" w:customStyle="1" w:styleId="BoxListBullet2">
    <w:name w:val="Box List Bullet 2"/>
    <w:basedOn w:val="BoxListBullet"/>
    <w:rsid w:val="004113BE"/>
    <w:pPr>
      <w:numPr>
        <w:numId w:val="21"/>
      </w:numPr>
    </w:pPr>
  </w:style>
  <w:style w:type="paragraph" w:customStyle="1" w:styleId="BoxListNumber">
    <w:name w:val="Box List Number"/>
    <w:basedOn w:val="BodyText"/>
    <w:rsid w:val="004113BE"/>
    <w:pPr>
      <w:keepNext/>
      <w:numPr>
        <w:numId w:val="19"/>
      </w:numPr>
      <w:spacing w:before="100" w:after="160" w:line="260" w:lineRule="atLeast"/>
    </w:pPr>
    <w:rPr>
      <w:rFonts w:ascii="Arial" w:hAnsi="Arial"/>
      <w:sz w:val="22"/>
      <w:szCs w:val="22"/>
    </w:rPr>
  </w:style>
  <w:style w:type="paragraph" w:customStyle="1" w:styleId="BoxListNumber2">
    <w:name w:val="Box List Number 2"/>
    <w:basedOn w:val="BoxListNumber"/>
    <w:rsid w:val="004113BE"/>
    <w:pPr>
      <w:numPr>
        <w:ilvl w:val="1"/>
      </w:numPr>
    </w:pPr>
  </w:style>
  <w:style w:type="paragraph" w:customStyle="1" w:styleId="BoxQuote">
    <w:name w:val="Box Quote"/>
    <w:basedOn w:val="BodyText"/>
    <w:next w:val="Box"/>
    <w:qFormat/>
    <w:rsid w:val="004113BE"/>
    <w:pPr>
      <w:keepNext/>
      <w:spacing w:before="60" w:line="240" w:lineRule="exact"/>
      <w:ind w:left="284"/>
    </w:pPr>
    <w:rPr>
      <w:rFonts w:ascii="Arial" w:hAnsi="Arial"/>
      <w:sz w:val="18"/>
    </w:rPr>
  </w:style>
  <w:style w:type="paragraph" w:customStyle="1" w:styleId="BoxSource">
    <w:name w:val="Box Source"/>
    <w:basedOn w:val="Source"/>
    <w:next w:val="BodyText"/>
    <w:rsid w:val="004113BE"/>
    <w:pPr>
      <w:spacing w:before="120"/>
    </w:pPr>
  </w:style>
  <w:style w:type="paragraph" w:customStyle="1" w:styleId="BoxSpaceAbove">
    <w:name w:val="Box Space Above"/>
    <w:basedOn w:val="BodyText"/>
    <w:rsid w:val="004113BE"/>
    <w:pPr>
      <w:keepNext/>
      <w:spacing w:before="360" w:line="80" w:lineRule="exact"/>
    </w:pPr>
  </w:style>
  <w:style w:type="paragraph" w:customStyle="1" w:styleId="BoxTitle">
    <w:name w:val="Box Title"/>
    <w:basedOn w:val="Caption"/>
    <w:next w:val="BoxSubtitle"/>
    <w:rsid w:val="004113BE"/>
    <w:pPr>
      <w:spacing w:before="120" w:after="0"/>
    </w:pPr>
  </w:style>
  <w:style w:type="paragraph" w:customStyle="1" w:styleId="BoxSubtitle">
    <w:name w:val="Box Subtitle"/>
    <w:basedOn w:val="BoxTitle"/>
    <w:next w:val="Normal"/>
    <w:rsid w:val="004113BE"/>
    <w:pPr>
      <w:spacing w:after="80" w:line="200" w:lineRule="exact"/>
    </w:pPr>
    <w:rPr>
      <w:b/>
    </w:rPr>
  </w:style>
  <w:style w:type="paragraph" w:customStyle="1" w:styleId="Chapter">
    <w:name w:val="Chapter"/>
    <w:basedOn w:val="Heading1"/>
    <w:next w:val="BodyText"/>
    <w:semiHidden/>
    <w:rsid w:val="004113BE"/>
    <w:pPr>
      <w:numPr>
        <w:numId w:val="0"/>
      </w:numPr>
      <w:tabs>
        <w:tab w:val="num" w:pos="340"/>
      </w:tabs>
      <w:outlineLvl w:val="9"/>
    </w:pPr>
  </w:style>
  <w:style w:type="paragraph" w:customStyle="1" w:styleId="ChapterSummary">
    <w:name w:val="Chapter Summary"/>
    <w:basedOn w:val="BodyText"/>
    <w:rsid w:val="004113BE"/>
    <w:pPr>
      <w:ind w:left="907"/>
    </w:pPr>
    <w:rPr>
      <w:rFonts w:ascii="Arial" w:hAnsi="Arial"/>
      <w:b/>
    </w:rPr>
  </w:style>
  <w:style w:type="paragraph" w:customStyle="1" w:styleId="Continued">
    <w:name w:val="Continued"/>
    <w:basedOn w:val="BoxContinued"/>
    <w:next w:val="BodyText"/>
    <w:rsid w:val="004113BE"/>
  </w:style>
  <w:style w:type="character" w:customStyle="1" w:styleId="DocumentInfo">
    <w:name w:val="Document Info"/>
    <w:basedOn w:val="DefaultParagraphFont"/>
    <w:semiHidden/>
    <w:rsid w:val="004113BE"/>
    <w:rPr>
      <w:rFonts w:ascii="Arial" w:hAnsi="Arial"/>
      <w:sz w:val="14"/>
    </w:rPr>
  </w:style>
  <w:style w:type="paragraph" w:customStyle="1" w:styleId="FigureTitle">
    <w:name w:val="Figure Title"/>
    <w:basedOn w:val="Caption"/>
    <w:next w:val="Subtitle"/>
    <w:rsid w:val="004113BE"/>
    <w:pPr>
      <w:spacing w:before="120"/>
    </w:pPr>
  </w:style>
  <w:style w:type="paragraph" w:customStyle="1" w:styleId="Finding">
    <w:name w:val="Finding"/>
    <w:basedOn w:val="BodyText"/>
    <w:rsid w:val="004113BE"/>
    <w:pPr>
      <w:keepLines/>
      <w:spacing w:before="0" w:after="160" w:line="259" w:lineRule="auto"/>
    </w:pPr>
    <w:rPr>
      <w:rFonts w:ascii="Arial" w:hAnsi="Arial"/>
      <w:sz w:val="22"/>
      <w:szCs w:val="22"/>
    </w:rPr>
  </w:style>
  <w:style w:type="paragraph" w:customStyle="1" w:styleId="FindingBullet">
    <w:name w:val="Finding Bullet"/>
    <w:basedOn w:val="Finding"/>
    <w:rsid w:val="004113BE"/>
    <w:pPr>
      <w:numPr>
        <w:numId w:val="22"/>
      </w:numPr>
      <w:spacing w:before="80"/>
    </w:pPr>
  </w:style>
  <w:style w:type="paragraph" w:customStyle="1" w:styleId="FindingNoTitle">
    <w:name w:val="Finding NoTitle"/>
    <w:basedOn w:val="Finding"/>
    <w:semiHidden/>
    <w:rsid w:val="004113BE"/>
    <w:pPr>
      <w:spacing w:before="240"/>
    </w:pPr>
  </w:style>
  <w:style w:type="paragraph" w:customStyle="1" w:styleId="RecTitle">
    <w:name w:val="Rec Title"/>
    <w:basedOn w:val="BodyText"/>
    <w:next w:val="Rec"/>
    <w:qFormat/>
    <w:rsid w:val="004113BE"/>
    <w:pPr>
      <w:keepNext/>
      <w:keepLines/>
    </w:pPr>
    <w:rPr>
      <w:rFonts w:ascii="Arial" w:hAnsi="Arial"/>
      <w:caps/>
      <w:sz w:val="18"/>
    </w:rPr>
  </w:style>
  <w:style w:type="paragraph" w:customStyle="1" w:styleId="FindingTitle">
    <w:name w:val="Finding Title"/>
    <w:basedOn w:val="RecTitle"/>
    <w:next w:val="Finding"/>
    <w:rsid w:val="004113BE"/>
  </w:style>
  <w:style w:type="paragraph" w:customStyle="1" w:styleId="InformationRequest">
    <w:name w:val="Information Request"/>
    <w:basedOn w:val="Finding"/>
    <w:next w:val="BodyText"/>
    <w:rsid w:val="004113BE"/>
    <w:rPr>
      <w:i/>
    </w:rPr>
  </w:style>
  <w:style w:type="paragraph" w:customStyle="1" w:styleId="Jurisdictioncommentsbodytext">
    <w:name w:val="Jurisdiction comments body text"/>
    <w:rsid w:val="004113BE"/>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4113BE"/>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4113BE"/>
    <w:pPr>
      <w:numPr>
        <w:numId w:val="16"/>
      </w:numPr>
      <w:spacing w:after="140" w:line="240" w:lineRule="auto"/>
      <w:jc w:val="both"/>
    </w:pPr>
    <w:rPr>
      <w:rFonts w:ascii="Arial" w:eastAsia="Times New Roman" w:hAnsi="Arial" w:cs="Times New Roman"/>
      <w:sz w:val="24"/>
      <w:szCs w:val="20"/>
    </w:rPr>
  </w:style>
  <w:style w:type="paragraph" w:customStyle="1" w:styleId="PartDivider">
    <w:name w:val="Part Divider"/>
    <w:basedOn w:val="BodyText"/>
    <w:next w:val="BodyText"/>
    <w:semiHidden/>
    <w:rsid w:val="004113BE"/>
    <w:pPr>
      <w:spacing w:before="0" w:after="160" w:line="40" w:lineRule="exact"/>
      <w:jc w:val="right"/>
    </w:pPr>
    <w:rPr>
      <w:smallCaps/>
      <w:sz w:val="16"/>
      <w:szCs w:val="22"/>
    </w:rPr>
  </w:style>
  <w:style w:type="paragraph" w:customStyle="1" w:styleId="PartNumber">
    <w:name w:val="Part Number"/>
    <w:basedOn w:val="BodyText"/>
    <w:next w:val="BodyText"/>
    <w:semiHidden/>
    <w:rsid w:val="004113BE"/>
    <w:pPr>
      <w:spacing w:before="4000" w:line="320" w:lineRule="exact"/>
      <w:ind w:left="6634"/>
      <w:jc w:val="right"/>
    </w:pPr>
    <w:rPr>
      <w:smallCaps/>
      <w:spacing w:val="60"/>
      <w:sz w:val="32"/>
    </w:rPr>
  </w:style>
  <w:style w:type="paragraph" w:customStyle="1" w:styleId="PartTitle">
    <w:name w:val="Part Title"/>
    <w:basedOn w:val="BodyText"/>
    <w:semiHidden/>
    <w:rsid w:val="004113BE"/>
    <w:pPr>
      <w:spacing w:before="160" w:after="1360" w:line="520" w:lineRule="exact"/>
      <w:ind w:right="2381"/>
      <w:jc w:val="right"/>
    </w:pPr>
    <w:rPr>
      <w:smallCaps/>
      <w:sz w:val="52"/>
    </w:rPr>
  </w:style>
  <w:style w:type="paragraph" w:customStyle="1" w:styleId="Rec">
    <w:name w:val="Rec"/>
    <w:basedOn w:val="BodyText"/>
    <w:qFormat/>
    <w:rsid w:val="004113BE"/>
    <w:pPr>
      <w:keepLines/>
      <w:spacing w:before="0" w:after="160" w:line="259" w:lineRule="auto"/>
    </w:pPr>
    <w:rPr>
      <w:rFonts w:ascii="Arial" w:hAnsi="Arial"/>
      <w:sz w:val="22"/>
      <w:szCs w:val="22"/>
    </w:rPr>
  </w:style>
  <w:style w:type="paragraph" w:customStyle="1" w:styleId="RecBullet">
    <w:name w:val="Rec Bullet"/>
    <w:basedOn w:val="Rec"/>
    <w:rsid w:val="004113BE"/>
    <w:pPr>
      <w:numPr>
        <w:numId w:val="24"/>
      </w:numPr>
      <w:spacing w:before="80"/>
    </w:pPr>
  </w:style>
  <w:style w:type="paragraph" w:customStyle="1" w:styleId="RecB">
    <w:name w:val="RecB"/>
    <w:basedOn w:val="Normal"/>
    <w:semiHidden/>
    <w:rsid w:val="004113BE"/>
    <w:pPr>
      <w:keepLines/>
      <w:pBdr>
        <w:left w:val="single" w:sz="24" w:space="12" w:color="C0C0C0"/>
      </w:pBdr>
      <w:spacing w:before="180" w:line="320" w:lineRule="atLeast"/>
      <w:jc w:val="both"/>
    </w:pPr>
    <w:rPr>
      <w:b/>
      <w:i/>
    </w:rPr>
  </w:style>
  <w:style w:type="paragraph" w:customStyle="1" w:styleId="RecBBullet">
    <w:name w:val="RecB Bullet"/>
    <w:basedOn w:val="RecB"/>
    <w:semiHidden/>
    <w:rsid w:val="004113BE"/>
    <w:pPr>
      <w:tabs>
        <w:tab w:val="num" w:pos="340"/>
      </w:tabs>
      <w:spacing w:before="80" w:after="160"/>
      <w:ind w:left="340" w:hanging="340"/>
    </w:pPr>
    <w:rPr>
      <w:sz w:val="22"/>
      <w:szCs w:val="22"/>
    </w:rPr>
  </w:style>
  <w:style w:type="paragraph" w:customStyle="1" w:styleId="RecBNoTitle">
    <w:name w:val="RecB NoTitle"/>
    <w:basedOn w:val="RecB"/>
    <w:semiHidden/>
    <w:rsid w:val="004113BE"/>
    <w:pPr>
      <w:spacing w:before="240"/>
    </w:pPr>
  </w:style>
  <w:style w:type="paragraph" w:customStyle="1" w:styleId="SequenceInfo">
    <w:name w:val="Sequence Info"/>
    <w:basedOn w:val="BodyText"/>
    <w:semiHidden/>
    <w:rsid w:val="004113BE"/>
    <w:rPr>
      <w:vanish/>
      <w:sz w:val="16"/>
    </w:rPr>
  </w:style>
  <w:style w:type="paragraph" w:customStyle="1" w:styleId="SideNote">
    <w:name w:val="Side Note"/>
    <w:basedOn w:val="BodyText"/>
    <w:next w:val="BodyText"/>
    <w:semiHidden/>
    <w:rsid w:val="004113BE"/>
    <w:pPr>
      <w:keepNext/>
      <w:keepLines/>
      <w:framePr w:w="2155" w:hSpace="227" w:vSpace="181" w:wrap="around" w:vAnchor="text" w:hAnchor="page" w:xAlign="outside" w:y="1"/>
    </w:pPr>
    <w:rPr>
      <w:i/>
    </w:rPr>
  </w:style>
  <w:style w:type="paragraph" w:customStyle="1" w:styleId="SideNoteBullet">
    <w:name w:val="Side Note Bullet"/>
    <w:basedOn w:val="SideNote"/>
    <w:next w:val="BodyText"/>
    <w:semiHidden/>
    <w:rsid w:val="004113BE"/>
    <w:pPr>
      <w:framePr w:wrap="around"/>
      <w:numPr>
        <w:numId w:val="17"/>
      </w:numPr>
      <w:tabs>
        <w:tab w:val="left" w:pos="227"/>
      </w:tabs>
      <w:spacing w:before="0" w:after="160" w:line="259" w:lineRule="auto"/>
    </w:pPr>
    <w:rPr>
      <w:sz w:val="22"/>
      <w:szCs w:val="22"/>
    </w:rPr>
  </w:style>
  <w:style w:type="paragraph" w:customStyle="1" w:styleId="SideNoteGraphic">
    <w:name w:val="Side Note Graphic"/>
    <w:basedOn w:val="SideNote"/>
    <w:next w:val="BodyText"/>
    <w:semiHidden/>
    <w:rsid w:val="004113BE"/>
    <w:pPr>
      <w:framePr w:wrap="around"/>
    </w:pPr>
  </w:style>
  <w:style w:type="paragraph" w:customStyle="1" w:styleId="TableBodyText">
    <w:name w:val="Table Body Text"/>
    <w:basedOn w:val="BodyText"/>
    <w:rsid w:val="004113BE"/>
    <w:pPr>
      <w:keepNext/>
      <w:keepLines/>
      <w:spacing w:before="0" w:after="40" w:line="200" w:lineRule="atLeast"/>
      <w:ind w:left="6" w:right="113"/>
      <w:jc w:val="right"/>
    </w:pPr>
    <w:rPr>
      <w:rFonts w:ascii="Arial" w:hAnsi="Arial"/>
      <w:sz w:val="18"/>
      <w:szCs w:val="22"/>
    </w:rPr>
  </w:style>
  <w:style w:type="paragraph" w:customStyle="1" w:styleId="TableBullet">
    <w:name w:val="Table Bullet"/>
    <w:basedOn w:val="TableBodyText"/>
    <w:rsid w:val="004113BE"/>
    <w:pPr>
      <w:numPr>
        <w:numId w:val="18"/>
      </w:numPr>
      <w:jc w:val="left"/>
    </w:pPr>
  </w:style>
  <w:style w:type="paragraph" w:customStyle="1" w:styleId="TableColumnHeading">
    <w:name w:val="Table Column Heading"/>
    <w:basedOn w:val="TableBodyText"/>
    <w:rsid w:val="004113BE"/>
    <w:pPr>
      <w:spacing w:before="80" w:after="80"/>
    </w:pPr>
    <w:rPr>
      <w:i/>
    </w:rPr>
  </w:style>
  <w:style w:type="paragraph" w:styleId="TableofFigures">
    <w:name w:val="table of figures"/>
    <w:basedOn w:val="TOC3"/>
    <w:next w:val="BodyText"/>
    <w:semiHidden/>
    <w:rsid w:val="004113BE"/>
    <w:pPr>
      <w:ind w:left="737" w:hanging="737"/>
    </w:pPr>
  </w:style>
  <w:style w:type="paragraph" w:customStyle="1" w:styleId="TableTitle">
    <w:name w:val="Table Title"/>
    <w:basedOn w:val="Caption"/>
    <w:next w:val="Subtitle"/>
    <w:qFormat/>
    <w:rsid w:val="004113BE"/>
    <w:pPr>
      <w:spacing w:before="120"/>
    </w:pPr>
  </w:style>
  <w:style w:type="paragraph" w:customStyle="1" w:styleId="TableUnitsRow">
    <w:name w:val="Table Units Row"/>
    <w:basedOn w:val="TableBodyText"/>
    <w:rsid w:val="004113BE"/>
    <w:pPr>
      <w:spacing w:before="40"/>
    </w:pPr>
  </w:style>
  <w:style w:type="paragraph" w:customStyle="1" w:styleId="RecBBullet2">
    <w:name w:val="RecB Bullet 2"/>
    <w:basedOn w:val="ListBullet2"/>
    <w:semiHidden/>
    <w:rsid w:val="004113BE"/>
    <w:pPr>
      <w:numPr>
        <w:ilvl w:val="0"/>
        <w:numId w:val="0"/>
      </w:numPr>
      <w:pBdr>
        <w:left w:val="single" w:sz="24" w:space="29" w:color="C0C0C0"/>
      </w:pBdr>
      <w:ind w:left="454" w:hanging="227"/>
    </w:pPr>
    <w:rPr>
      <w:b/>
      <w:i/>
    </w:rPr>
  </w:style>
  <w:style w:type="paragraph" w:customStyle="1" w:styleId="InformationRequestBullet">
    <w:name w:val="Information Request Bullet"/>
    <w:basedOn w:val="ListBullet"/>
    <w:next w:val="BodyText"/>
    <w:rsid w:val="004113BE"/>
    <w:pPr>
      <w:numPr>
        <w:numId w:val="23"/>
      </w:numPr>
      <w:spacing w:before="80"/>
    </w:pPr>
    <w:rPr>
      <w:rFonts w:ascii="Arial" w:hAnsi="Arial"/>
      <w:i/>
    </w:rPr>
  </w:style>
  <w:style w:type="paragraph" w:customStyle="1" w:styleId="BoxSpaceBelow">
    <w:name w:val="Box Space Below"/>
    <w:basedOn w:val="Box"/>
    <w:rsid w:val="004113BE"/>
    <w:pPr>
      <w:keepNext w:val="0"/>
      <w:spacing w:before="60" w:after="60" w:line="80" w:lineRule="exact"/>
    </w:pPr>
    <w:rPr>
      <w:sz w:val="14"/>
    </w:rPr>
  </w:style>
  <w:style w:type="paragraph" w:customStyle="1" w:styleId="KeyPointsListBullet">
    <w:name w:val="Key Points List Bullet"/>
    <w:basedOn w:val="Normal"/>
    <w:qFormat/>
    <w:rsid w:val="004113BE"/>
    <w:pPr>
      <w:keepNext/>
      <w:numPr>
        <w:numId w:val="25"/>
      </w:numPr>
      <w:spacing w:before="100" w:after="160" w:line="260" w:lineRule="atLeast"/>
      <w:jc w:val="both"/>
    </w:pPr>
    <w:rPr>
      <w:rFonts w:ascii="Arial" w:hAnsi="Arial"/>
      <w:sz w:val="22"/>
      <w:szCs w:val="22"/>
    </w:rPr>
  </w:style>
  <w:style w:type="paragraph" w:customStyle="1" w:styleId="KeyPointsListBullet2">
    <w:name w:val="Key Points List Bullet 2"/>
    <w:basedOn w:val="BoxListBullet2"/>
    <w:rsid w:val="004113BE"/>
    <w:pPr>
      <w:numPr>
        <w:numId w:val="26"/>
      </w:numPr>
    </w:pPr>
  </w:style>
  <w:style w:type="paragraph" w:customStyle="1" w:styleId="InformationRequestTitle">
    <w:name w:val="Information Request Title"/>
    <w:basedOn w:val="FindingTitle"/>
    <w:next w:val="InformationRequest"/>
    <w:rsid w:val="004113BE"/>
    <w:rPr>
      <w:i/>
    </w:rPr>
  </w:style>
  <w:style w:type="paragraph" w:customStyle="1" w:styleId="Heading1nochapterno">
    <w:name w:val="Heading 1 (no chapter no.)"/>
    <w:basedOn w:val="Heading1"/>
    <w:rsid w:val="004113BE"/>
    <w:pPr>
      <w:numPr>
        <w:numId w:val="0"/>
      </w:numPr>
      <w:tabs>
        <w:tab w:val="num" w:pos="340"/>
      </w:tabs>
      <w:spacing w:before="0"/>
    </w:pPr>
  </w:style>
  <w:style w:type="paragraph" w:customStyle="1" w:styleId="Heading2nosectionno">
    <w:name w:val="Heading 2 (no section no.)"/>
    <w:basedOn w:val="Heading2"/>
    <w:rsid w:val="004113BE"/>
    <w:pPr>
      <w:numPr>
        <w:ilvl w:val="0"/>
        <w:numId w:val="20"/>
      </w:numPr>
    </w:pPr>
  </w:style>
  <w:style w:type="paragraph" w:customStyle="1" w:styleId="Figurespace">
    <w:name w:val="Figure space"/>
    <w:basedOn w:val="Box"/>
    <w:rsid w:val="004113BE"/>
    <w:pPr>
      <w:spacing w:before="0" w:after="160" w:line="120" w:lineRule="exact"/>
    </w:pPr>
    <w:rPr>
      <w:sz w:val="22"/>
      <w:szCs w:val="22"/>
    </w:rPr>
  </w:style>
  <w:style w:type="paragraph" w:customStyle="1" w:styleId="FooterDraftReport">
    <w:name w:val="FooterDraftReport"/>
    <w:basedOn w:val="Footer"/>
    <w:link w:val="FooterDraftReportChar"/>
    <w:rsid w:val="004113BE"/>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4113BE"/>
    <w:rPr>
      <w:rFonts w:asciiTheme="majorHAnsi" w:eastAsiaTheme="minorHAnsi" w:hAnsiTheme="majorHAnsi" w:cs="Arial"/>
      <w:color w:val="808080"/>
      <w:sz w:val="17"/>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4113BE"/>
    <w:rPr>
      <w:rFonts w:asciiTheme="majorHAnsi" w:eastAsiaTheme="minorHAnsi" w:hAnsiTheme="majorHAnsi"/>
      <w:color w:val="265A9A" w:themeColor="background2"/>
      <w:sz w:val="20"/>
      <w:szCs w:val="20"/>
    </w:rPr>
  </w:style>
  <w:style w:type="character" w:customStyle="1" w:styleId="Continuedintitle">
    <w:name w:val="Continued (in title)"/>
    <w:basedOn w:val="DefaultParagraphFont"/>
    <w:rsid w:val="004113BE"/>
    <w:rPr>
      <w:rFonts w:ascii="Arial" w:hAnsi="Arial"/>
      <w:b/>
      <w:sz w:val="18"/>
    </w:rPr>
  </w:style>
  <w:style w:type="character" w:styleId="FollowedHyperlink">
    <w:name w:val="FollowedHyperlink"/>
    <w:basedOn w:val="DefaultParagraphFont"/>
    <w:uiPriority w:val="99"/>
    <w:semiHidden/>
    <w:unhideWhenUsed/>
    <w:rsid w:val="004113BE"/>
    <w:rPr>
      <w:color w:val="BFBFBF" w:themeColor="followedHyperlink"/>
      <w:u w:val="single"/>
    </w:rPr>
  </w:style>
  <w:style w:type="paragraph" w:customStyle="1" w:styleId="cdt4ke">
    <w:name w:val="cdt4ke"/>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4113BE"/>
    <w:rPr>
      <w:rFonts w:ascii="Segoe UI" w:hAnsi="Segoe UI" w:cs="Segoe UI" w:hint="default"/>
      <w:sz w:val="18"/>
      <w:szCs w:val="18"/>
    </w:rPr>
  </w:style>
  <w:style w:type="character" w:customStyle="1" w:styleId="t">
    <w:name w:val="t"/>
    <w:basedOn w:val="DefaultParagraphFont"/>
    <w:rsid w:val="004113BE"/>
  </w:style>
  <w:style w:type="paragraph" w:customStyle="1" w:styleId="small-authors-listitem">
    <w:name w:val="small-authors-list__item"/>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113BE"/>
  </w:style>
  <w:style w:type="character" w:customStyle="1" w:styleId="eop">
    <w:name w:val="eop"/>
    <w:basedOn w:val="DefaultParagraphFont"/>
    <w:rsid w:val="004113BE"/>
  </w:style>
  <w:style w:type="paragraph" w:customStyle="1" w:styleId="pf0">
    <w:name w:val="pf0"/>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4113BE"/>
    <w:rPr>
      <w:rFonts w:ascii="Segoe UI" w:hAnsi="Segoe UI" w:cs="Segoe UI" w:hint="default"/>
      <w:sz w:val="18"/>
      <w:szCs w:val="18"/>
    </w:rPr>
  </w:style>
  <w:style w:type="character" w:styleId="Mention">
    <w:name w:val="Mention"/>
    <w:basedOn w:val="DefaultParagraphFont"/>
    <w:uiPriority w:val="99"/>
    <w:unhideWhenUsed/>
    <w:rsid w:val="004113BE"/>
    <w:rPr>
      <w:color w:val="2B579A"/>
      <w:shd w:val="clear" w:color="auto" w:fill="E1DFDD"/>
    </w:rPr>
  </w:style>
  <w:style w:type="paragraph" w:customStyle="1" w:styleId="BoxSpaceAboveElement">
    <w:name w:val="Box Space Above Element"/>
    <w:basedOn w:val="BoxSpaceAbove"/>
    <w:link w:val="BoxSpaceAboveElementChar"/>
    <w:qFormat/>
    <w:rsid w:val="004113BE"/>
    <w:pPr>
      <w:spacing w:before="240" w:after="0"/>
    </w:pPr>
    <w:rPr>
      <w:rFonts w:ascii="Times New Roman" w:eastAsia="Times New Roman" w:hAnsi="Times New Roman" w:cs="Times New Roman"/>
      <w:b/>
      <w:vanish/>
      <w:color w:val="FF00FF"/>
      <w:sz w:val="14"/>
      <w:lang w:eastAsia="en-AU"/>
    </w:rPr>
  </w:style>
  <w:style w:type="character" w:customStyle="1" w:styleId="BoxSpaceAboveElementChar">
    <w:name w:val="Box Space Above Element Char"/>
    <w:basedOn w:val="DefaultParagraphFont"/>
    <w:link w:val="BoxSpaceAboveElement"/>
    <w:rsid w:val="004113BE"/>
    <w:rPr>
      <w:rFonts w:ascii="Times New Roman" w:eastAsia="Times New Roman" w:hAnsi="Times New Roman" w:cs="Times New Roman"/>
      <w:b/>
      <w:vanish/>
      <w:color w:val="FF00FF"/>
      <w:sz w:val="1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7044">
      <w:bodyDiv w:val="1"/>
      <w:marLeft w:val="0"/>
      <w:marRight w:val="0"/>
      <w:marTop w:val="0"/>
      <w:marBottom w:val="0"/>
      <w:divBdr>
        <w:top w:val="none" w:sz="0" w:space="0" w:color="auto"/>
        <w:left w:val="none" w:sz="0" w:space="0" w:color="auto"/>
        <w:bottom w:val="none" w:sz="0" w:space="0" w:color="auto"/>
        <w:right w:val="none" w:sz="0" w:space="0" w:color="auto"/>
      </w:divBdr>
    </w:div>
    <w:div w:id="921991173">
      <w:bodyDiv w:val="1"/>
      <w:marLeft w:val="0"/>
      <w:marRight w:val="0"/>
      <w:marTop w:val="0"/>
      <w:marBottom w:val="0"/>
      <w:divBdr>
        <w:top w:val="none" w:sz="0" w:space="0" w:color="auto"/>
        <w:left w:val="none" w:sz="0" w:space="0" w:color="auto"/>
        <w:bottom w:val="none" w:sz="0" w:space="0" w:color="auto"/>
        <w:right w:val="none" w:sz="0" w:space="0" w:color="auto"/>
      </w:divBdr>
    </w:div>
    <w:div w:id="1490172394">
      <w:bodyDiv w:val="1"/>
      <w:marLeft w:val="0"/>
      <w:marRight w:val="0"/>
      <w:marTop w:val="0"/>
      <w:marBottom w:val="0"/>
      <w:divBdr>
        <w:top w:val="none" w:sz="0" w:space="0" w:color="auto"/>
        <w:left w:val="none" w:sz="0" w:space="0" w:color="auto"/>
        <w:bottom w:val="none" w:sz="0" w:space="0" w:color="auto"/>
        <w:right w:val="none" w:sz="0" w:space="0" w:color="auto"/>
      </w:divBdr>
    </w:div>
    <w:div w:id="205673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3.xm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header" Target="header8.xml"/><Relationship Id="rId68" Type="http://schemas.openxmlformats.org/officeDocument/2006/relationships/image" Target="media/image44.emf"/><Relationship Id="rId16" Type="http://schemas.openxmlformats.org/officeDocument/2006/relationships/header" Target="header1.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0.svg"/><Relationship Id="rId58" Type="http://schemas.openxmlformats.org/officeDocument/2006/relationships/image" Target="media/image35.emf"/><Relationship Id="rId66" Type="http://schemas.openxmlformats.org/officeDocument/2006/relationships/image" Target="media/image42.emf"/><Relationship Id="rId74" Type="http://schemas.openxmlformats.org/officeDocument/2006/relationships/footer" Target="footer6.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8.emf"/><Relationship Id="rId19" Type="http://schemas.openxmlformats.org/officeDocument/2006/relationships/image" Target="media/image5.svg"/><Relationship Id="rId14" Type="http://schemas.openxmlformats.org/officeDocument/2006/relationships/footer" Target="footer1.xml"/><Relationship Id="rId22" Type="http://schemas.openxmlformats.org/officeDocument/2006/relationships/hyperlink" Target="https://www.pc.gov.au" TargetMode="External"/><Relationship Id="rId27" Type="http://schemas.openxmlformats.org/officeDocument/2006/relationships/header" Target="header6.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header" Target="header7.xml"/><Relationship Id="rId56" Type="http://schemas.openxmlformats.org/officeDocument/2006/relationships/image" Target="media/image33.emf"/><Relationship Id="rId64" Type="http://schemas.openxmlformats.org/officeDocument/2006/relationships/image" Target="media/image40.emf"/><Relationship Id="rId69" Type="http://schemas.openxmlformats.org/officeDocument/2006/relationships/image" Target="media/image45.emf"/><Relationship Id="rId77" Type="http://schemas.openxmlformats.org/officeDocument/2006/relationships/header" Target="header12.xml"/><Relationship Id="rId8" Type="http://schemas.openxmlformats.org/officeDocument/2006/relationships/styles" Target="styles.xml"/><Relationship Id="rId51" Type="http://schemas.openxmlformats.org/officeDocument/2006/relationships/image" Target="media/image28.png"/><Relationship Id="rId72" Type="http://schemas.openxmlformats.org/officeDocument/2006/relationships/header" Target="header9.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6.emf"/><Relationship Id="rId67" Type="http://schemas.openxmlformats.org/officeDocument/2006/relationships/image" Target="media/image43.emf"/><Relationship Id="rId20" Type="http://schemas.openxmlformats.org/officeDocument/2006/relationships/header" Target="header2.xml"/><Relationship Id="rId41" Type="http://schemas.openxmlformats.org/officeDocument/2006/relationships/image" Target="media/image19.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6.emf"/><Relationship Id="rId75"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4.emf"/><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webSettings" Target="webSettings.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29.png"/><Relationship Id="rId60" Type="http://schemas.openxmlformats.org/officeDocument/2006/relationships/image" Target="media/image37.emf"/><Relationship Id="rId65" Type="http://schemas.openxmlformats.org/officeDocument/2006/relationships/image" Target="media/image41.emf"/><Relationship Id="rId73" Type="http://schemas.openxmlformats.org/officeDocument/2006/relationships/header" Target="header10.xml"/><Relationship Id="rId78"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header" Target="header11.xml"/><Relationship Id="rId7" Type="http://schemas.openxmlformats.org/officeDocument/2006/relationships/numbering" Target="numbering.xml"/><Relationship Id="rId71" Type="http://schemas.openxmlformats.org/officeDocument/2006/relationships/image" Target="media/image47.emf"/><Relationship Id="rId2" Type="http://schemas.openxmlformats.org/officeDocument/2006/relationships/customXml" Target="../customXml/item2.xml"/><Relationship Id="rId29" Type="http://schemas.openxmlformats.org/officeDocument/2006/relationships/image" Target="media/image7.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formDataEntries":[]}]]></TemplafyFormConfiguration>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4999a062-bf25-4e1b-bf40-d0ceaadde115">
      <Terms xmlns="http://schemas.microsoft.com/office/infopath/2007/PartnerControls"/>
    </lcf76f155ced4ddcb4097134ff3c332f>
    <TaxCatchAll xmlns="ab9bf696-b976-42ed-b50a-48004ee2daad">
      <Value>1</Value>
    </TaxCatchAll>
    <SharedWithUsers xmlns="ab9bf696-b976-42ed-b50a-48004ee2daad">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Props1.xml><?xml version="1.0" encoding="utf-8"?>
<ds:datastoreItem xmlns:ds="http://schemas.openxmlformats.org/officeDocument/2006/customXml" ds:itemID="{7F2C05DD-8A73-4AF2-A25C-29ADC45EC10B}">
  <ds:schemaRefs>
    <ds:schemaRef ds:uri="http://schemas.microsoft.com/sharepoint/v3/contenttype/forms"/>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066D64FB-2FD8-4CC7-8DF7-84330C2B6332}">
  <ds:schemaRefs>
    <ds:schemaRef ds:uri="http://purl.org/dc/terms/"/>
    <ds:schemaRef ds:uri="ab9bf696-b976-42ed-b50a-48004ee2daad"/>
    <ds:schemaRef ds:uri="http://schemas.openxmlformats.org/package/2006/metadata/core-properties"/>
    <ds:schemaRef ds:uri="4999a062-bf25-4e1b-bf40-d0ceaadde115"/>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F5D87D94-7930-4C3D-B4A3-55D9809AE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Template>
  <TotalTime>9607</TotalTime>
  <Pages>105</Pages>
  <Words>47900</Words>
  <Characters>273033</Characters>
  <Application>Microsoft Office Word</Application>
  <DocSecurity>0</DocSecurity>
  <Lines>2275</Lines>
  <Paragraphs>640</Paragraphs>
  <ScaleCrop>false</ScaleCrop>
  <HeadingPairs>
    <vt:vector size="2" baseType="variant">
      <vt:variant>
        <vt:lpstr>Title</vt:lpstr>
      </vt:variant>
      <vt:variant>
        <vt:i4>1</vt:i4>
      </vt:variant>
    </vt:vector>
  </HeadingPairs>
  <TitlesOfParts>
    <vt:vector size="1" baseType="lpstr">
      <vt:lpstr>Volume 5 - 5-year Productivity Inquiry: Innovation for the 98%</vt:lpstr>
    </vt:vector>
  </TitlesOfParts>
  <Company>Productivity Commission</Company>
  <LinksUpToDate>false</LinksUpToDate>
  <CharactersWithSpaces>320293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5 - 5-year Productivity Inquiry: Innovation for the 98%</dc:title>
  <dc:subject/>
  <dc:creator>Productivity Commission</dc:creator>
  <cp:keywords/>
  <dc:description/>
  <cp:lastModifiedBy>Chris Alston</cp:lastModifiedBy>
  <cp:revision>3089</cp:revision>
  <cp:lastPrinted>2023-03-09T03:32:00Z</cp:lastPrinted>
  <dcterms:created xsi:type="dcterms:W3CDTF">2022-10-19T19:51:00Z</dcterms:created>
  <dcterms:modified xsi:type="dcterms:W3CDTF">2023-03-09T03:32:00Z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ournalAbbreviations" value="true"/&gt;&lt;pref name="delayCitationUpdates" value="true"/&gt;&lt;pref name="dontAskDelayCitationUpdates" value="true"/&gt;&lt;/prefs&gt;&lt;/data&gt;</vt:lpwstr>
  </property>
  <property fmtid="{D5CDD505-2E9C-101B-9397-08002B2CF9AE}" pid="10" name="ZOTERO_PREF_1">
    <vt:lpwstr>&lt;data data-version="3" zotero-version="6.0.9"&gt;&lt;session id="nXnWq5IB"/&gt;&lt;style id="http://www.zotero.org/styles/Productivity-Commission" hasBibliography="1" bibliographyStyleHasBeenSet="1"/&gt;&lt;prefs&gt;&lt;pref name="fieldType" value="Field"/&gt;&lt;pref name="automaticJ</vt:lpwstr>
  </property>
</Properties>
</file>